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D2166">
      <w:pPr>
        <w:divId w:val="1711950419"/>
        <w:rPr>
          <w:rFonts w:eastAsia="Times New Roman"/>
          <w:vanish/>
          <w:sz w:val="20"/>
          <w:szCs w:val="20"/>
        </w:rPr>
      </w:pPr>
      <w:r>
        <w:rPr>
          <w:rFonts w:eastAsia="Times New Roman"/>
          <w:vanish/>
          <w:sz w:val="20"/>
          <w:szCs w:val="20"/>
        </w:rPr>
        <w:t xml:space="preserve">0000879101 KIMCO REALTY CORP false --12-31 FY 2021 1.00 1.00 7,054,000 7,054,000 19,580 19,580 19,580 19,580 489,500 489,500 0.01 0.01 750,000,000 750,000,000 616,658,593 616,658,593 432,518,743 432,518,743 0 7,538 1,531 583 13,683 15,690 0 47 3,452 </w:t>
      </w:r>
      <w:r>
        <w:rPr>
          <w:rFonts w:eastAsia="Times New Roman"/>
          <w:vanish/>
          <w:sz w:val="20"/>
          <w:szCs w:val="20"/>
        </w:rPr>
        <w:t>1,106 August 2, 2021 July 28, 2021 1 1 0 3 10 4 5 10 1 3 1,193.1 1,166.3 9 2 2.5 5 98 98 6 2 3.35 3.33 1 0 4.12 4.73 4 7 5.2 1 16.1 2 1 8 0 0 0 0 0 0 In July 2020, the Company issued unsecured notes (the “Green Bond”), of which the net proceeds from this o</w:t>
      </w:r>
      <w:r>
        <w:rPr>
          <w:rFonts w:eastAsia="Times New Roman"/>
          <w:vanish/>
          <w:sz w:val="20"/>
          <w:szCs w:val="20"/>
        </w:rPr>
        <w:t>ffering are allocated to finance or refinance, in whole or in part, recently completed, existing or future Eligible Green Projects, in alignment with the four core components of the Green Bond Principles, 2018 as administered by the International Capital M</w:t>
      </w:r>
      <w:r>
        <w:rPr>
          <w:rFonts w:eastAsia="Times New Roman"/>
          <w:vanish/>
          <w:sz w:val="20"/>
          <w:szCs w:val="20"/>
        </w:rPr>
        <w:t>arket Association. Eligible Green Projects include projects with disbursements made in the three years preceding the issue date of the notes. Includes fixtures, leasehold improvements and other costs capitalized. The year ended December 31, 2018 includes a</w:t>
      </w:r>
      <w:r>
        <w:rPr>
          <w:rFonts w:eastAsia="Times New Roman"/>
          <w:vanish/>
          <w:sz w:val="20"/>
          <w:szCs w:val="20"/>
        </w:rPr>
        <w:t xml:space="preserve"> charge of $1.6 million related to the recording of a deferred tax valuation allowance. See Footnotes 1 and 2 of the Notes to Consolidated Financial Statements for further details. Includes non-recourse liabilities of consolidated VIEs at December 31, 2021</w:t>
      </w:r>
      <w:r>
        <w:rPr>
          <w:rFonts w:eastAsia="Times New Roman"/>
          <w:vanish/>
          <w:sz w:val="20"/>
          <w:szCs w:val="20"/>
        </w:rPr>
        <w:t xml:space="preserve"> and December 31, 2020 of $153,924 and $62,076, respectively. See Footnote 11 of the Notes to Consolidated Financial Statements. Includes minimum base rents, expense reimbursements, ancillary income and straight-line rent adjustments. The year ended Decemb</w:t>
      </w:r>
      <w:r>
        <w:rPr>
          <w:rFonts w:eastAsia="Times New Roman"/>
          <w:vanish/>
          <w:sz w:val="20"/>
          <w:szCs w:val="20"/>
        </w:rPr>
        <w:t xml:space="preserve">er 31, 2020 includes $1.5 million of estimated state and local tax provision related to the REIT operations. All adjustments to "GAAP net income from REIT operations" are net of amounts attributable to noncontrolling interests and TRSs. In connection with </w:t>
      </w:r>
      <w:r>
        <w:rPr>
          <w:rFonts w:eastAsia="Times New Roman"/>
          <w:vanish/>
          <w:sz w:val="20"/>
          <w:szCs w:val="20"/>
        </w:rPr>
        <w:t>the Merger, the Company acquired ownership in 9 unconsolidated joint ventures, which have a fair market value of $586.2 million at the time of Merger. These joint ventures represented 30 property interests and 4.4 million square feet of GLA. During 2021, t</w:t>
      </w:r>
      <w:r>
        <w:rPr>
          <w:rFonts w:eastAsia="Times New Roman"/>
          <w:vanish/>
          <w:sz w:val="20"/>
          <w:szCs w:val="20"/>
        </w:rPr>
        <w:t>he changes in estimates in insured events in the prior years, incurred losses and loss adjustment expenses resulted in an increase of $5.3 million primarily due to the liability incurred as a result of the Merger. During 2020, the changes in estimates in i</w:t>
      </w:r>
      <w:r>
        <w:rPr>
          <w:rFonts w:eastAsia="Times New Roman"/>
          <w:vanish/>
          <w:sz w:val="20"/>
          <w:szCs w:val="20"/>
        </w:rPr>
        <w:t xml:space="preserve">nsured events in the prior years, incurred losses and loss adjustment expenses resulted in a decrease of $0.2 million primarily due to continued regular favorable loss development on the general liability coverage assumed. Amounts relate to adjustments to </w:t>
      </w:r>
      <w:r>
        <w:rPr>
          <w:rFonts w:eastAsia="Times New Roman"/>
          <w:vanish/>
          <w:sz w:val="20"/>
          <w:szCs w:val="20"/>
        </w:rPr>
        <w:t>property carrying values for properties which the Company has marketed for sale as part of its capital recycling program and as such has adjusted the anticipated hold periods for such properties. Weighted-average interest rate The amounts represent adjustm</w:t>
      </w:r>
      <w:r>
        <w:rPr>
          <w:rFonts w:eastAsia="Times New Roman"/>
          <w:vanish/>
          <w:sz w:val="20"/>
          <w:szCs w:val="20"/>
        </w:rPr>
        <w:t>ents associated with potentially uncollectible revenues and disputed amounts primarily due to the COVID-19 pandemic. Expiration dates ranging from 2027 to 2035. Includes bargain purchase options exercisable in 2023 related to two properties. Includes Merge</w:t>
      </w:r>
      <w:r>
        <w:rPr>
          <w:rFonts w:eastAsia="Times New Roman"/>
          <w:vanish/>
          <w:sz w:val="20"/>
          <w:szCs w:val="20"/>
        </w:rPr>
        <w:t>r related costs of $20.7 million for the year ended December 31, 2021. During 2021, the Company purchased its partner’s 70.0% remaining interest in Jamestown Portfolio, which is comprised of six property interests. The Company then entered into a joint ven</w:t>
      </w:r>
      <w:r>
        <w:rPr>
          <w:rFonts w:eastAsia="Times New Roman"/>
          <w:vanish/>
          <w:sz w:val="20"/>
          <w:szCs w:val="20"/>
        </w:rPr>
        <w:t>ture with Blackstone Real Estate Income Trust, Inc. (“BREIT”) in which it contributed these six properties for a gross sales price of $425.8 million, including $170.0 million of non-recourse mortgage debt. As a result, the Company no longer consolidates th</w:t>
      </w:r>
      <w:r>
        <w:rPr>
          <w:rFonts w:eastAsia="Times New Roman"/>
          <w:vanish/>
          <w:sz w:val="20"/>
          <w:szCs w:val="20"/>
        </w:rPr>
        <w:t>ese six property interests and recognized a loss on change in control of interests of $0.4 million. The Company has a 50.0% investment in this joint venture ($130.1 million as of the date of deconsolidation), included in Investments in and advances to real</w:t>
      </w:r>
      <w:r>
        <w:rPr>
          <w:rFonts w:eastAsia="Times New Roman"/>
          <w:vanish/>
          <w:sz w:val="20"/>
          <w:szCs w:val="20"/>
        </w:rPr>
        <w:t xml:space="preserve"> estate joint ventures on the Company’s Consolidated Balance Sheets. As of December 31, 2021 and 2020, the Company had $4.0 million and $5.6 million of deferred financing costs, net related to the Credit Facility that are included in Other assets on the Co</w:t>
      </w:r>
      <w:r>
        <w:rPr>
          <w:rFonts w:eastAsia="Times New Roman"/>
          <w:vanish/>
          <w:sz w:val="20"/>
          <w:szCs w:val="20"/>
        </w:rPr>
        <w:t>mpany’s Consolidated Balance Sheets, respectively. During 2021, the Company acquired $13.4 million of mortgage loan receivables in connection with the Merger. The weighted-average grant date fair value for restricted stock issued during the years ended Dec</w:t>
      </w:r>
      <w:r>
        <w:rPr>
          <w:rFonts w:eastAsia="Times New Roman"/>
          <w:vanish/>
          <w:sz w:val="20"/>
          <w:szCs w:val="20"/>
        </w:rPr>
        <w:t>ember 31, 2021, 2020 and 2019 were $17.81, $18.67 and $18.03, respectively. Includes minimum base rents, expense reimbursements, percentage rent, lease termination fee income and ancillary income. Gross leasable area ("GLA") During 2021, the Company entere</w:t>
      </w:r>
      <w:r>
        <w:rPr>
          <w:rFonts w:eastAsia="Times New Roman"/>
          <w:vanish/>
          <w:sz w:val="20"/>
          <w:szCs w:val="20"/>
        </w:rPr>
        <w:t>d into a new joint venture with BREIT in which it contributed six properties for a gross sales price of $425.8 million. See Footnote 5 of the Notes to Consolidated Financial Statements for the operating properties disposed by the Company. Amounts relate to</w:t>
      </w:r>
      <w:r>
        <w:rPr>
          <w:rFonts w:eastAsia="Times New Roman"/>
          <w:vanish/>
          <w:sz w:val="20"/>
          <w:szCs w:val="20"/>
        </w:rPr>
        <w:t xml:space="preserve"> dispositions/deeds in lieu/foreclosures during the respective years shown. Average remaining term includes extensions These units are redeemable for cash by the holder or at the Company’s option, shares of the Company’s common stock, based upon the conver</w:t>
      </w:r>
      <w:r>
        <w:rPr>
          <w:rFonts w:eastAsia="Times New Roman"/>
          <w:vanish/>
          <w:sz w:val="20"/>
          <w:szCs w:val="20"/>
        </w:rPr>
        <w:t>sion calculation as defined in the agreement. These units are included in Noncontrolling interests on the Company’s Consolidated Balance Sheets. Shopping center includes land held for development. The Company recorded an adjustment to the estimated redempt</w:t>
      </w:r>
      <w:r>
        <w:rPr>
          <w:rFonts w:eastAsia="Times New Roman"/>
          <w:vanish/>
          <w:sz w:val="20"/>
          <w:szCs w:val="20"/>
        </w:rPr>
        <w:t>ion fair market value of a noncontrolling interest in accordance with the provisions of the respective joint venture agreement and ASC 480, Accounting for Redeemable Equity Instruments. The Company assesses the fair market value of this noncontrolling inte</w:t>
      </w:r>
      <w:r>
        <w:rPr>
          <w:rFonts w:eastAsia="Times New Roman"/>
          <w:vanish/>
          <w:sz w:val="20"/>
          <w:szCs w:val="20"/>
        </w:rPr>
        <w:t>rest on a recurring basis and determined that its valuation was classified within Level 3 of the fair value hierarchy. The estimated fair market value of this noncontrolling interest was based upon a discounted cash flow model, for which a capitalization r</w:t>
      </w:r>
      <w:r>
        <w:rPr>
          <w:rFonts w:eastAsia="Times New Roman"/>
          <w:vanish/>
          <w:sz w:val="20"/>
          <w:szCs w:val="20"/>
        </w:rPr>
        <w:t>ate of 5.50% and discount rate of 6.50% were utilized in the model based upon unobservable rates that the Company believes to be within a reasonable range of current market rates. Includes fair market value of debt adjustments, net and deferred financing c</w:t>
      </w:r>
      <w:r>
        <w:rPr>
          <w:rFonts w:eastAsia="Times New Roman"/>
          <w:vanish/>
          <w:sz w:val="20"/>
          <w:szCs w:val="20"/>
        </w:rPr>
        <w:t>osts, net. At December 31, 2021 and 2020, the Company had accumulated amortization relating to in-place leases and above-market leases aggregating $569,648 and $499,022, respectively. Includes the sale of a land parcel at a development project located in D</w:t>
      </w:r>
      <w:r>
        <w:rPr>
          <w:rFonts w:eastAsia="Times New Roman"/>
          <w:vanish/>
          <w:sz w:val="20"/>
          <w:szCs w:val="20"/>
        </w:rPr>
        <w:t>ania Beach, FL for a sales price of $32.5 million, which resulted in a gain of $4.3 million. The weighted-average grant date fair value for performance shares issued during the years ended December 31, 2021, 2020 and 2019 were $22.96, $18.02 and $22.00, re</w:t>
      </w:r>
      <w:r>
        <w:rPr>
          <w:rFonts w:eastAsia="Times New Roman"/>
          <w:vanish/>
          <w:sz w:val="20"/>
          <w:szCs w:val="20"/>
        </w:rPr>
        <w:t>spectively. Volatility is based on the annualized standard deviation of the daily logarithmic returns on dividend-adjusted closing prices over the look-back period based on the term of the award. These units are redeemable for cash by the holder or callabl</w:t>
      </w:r>
      <w:r>
        <w:rPr>
          <w:rFonts w:eastAsia="Times New Roman"/>
          <w:vanish/>
          <w:sz w:val="20"/>
          <w:szCs w:val="20"/>
        </w:rPr>
        <w:t xml:space="preserve">e by the Company and are included in Redeemable noncontrolling interests on the Company's Consolidated Balance Sheets. Amounts include additional consideration of $39.3 million relating to reimbursements paid by the Company to Weingarten at the closing of </w:t>
      </w:r>
      <w:r>
        <w:rPr>
          <w:rFonts w:eastAsia="Times New Roman"/>
          <w:vanish/>
          <w:sz w:val="20"/>
          <w:szCs w:val="20"/>
        </w:rPr>
        <w:t>the Merger for transaction costs incurred by Weingarten. Total Shareholder Returns, as used in the performance share awards computation, are measured based on cumulative dividend stock prices, as such a zero percent dividend yield is utilized. The negative</w:t>
      </w:r>
      <w:r>
        <w:rPr>
          <w:rFonts w:eastAsia="Times New Roman"/>
          <w:vanish/>
          <w:sz w:val="20"/>
          <w:szCs w:val="20"/>
        </w:rPr>
        <w:t xml:space="preserve"> balance for costs capitalized subsequent to acquisition could include parcels/out-parcels sold, assets held-for-sale, provision for losses and/or demolition of part of a property for redevelopment. The effect of the assumed conversion of certain convertib</w:t>
      </w:r>
      <w:r>
        <w:rPr>
          <w:rFonts w:eastAsia="Times New Roman"/>
          <w:vanish/>
          <w:sz w:val="20"/>
          <w:szCs w:val="20"/>
        </w:rPr>
        <w:t>le units had an anti-dilutive effect upon the calculation of Net income/(loss) available to the Company’s common shareholders per share. Accordingly, the impact of such conversions has not been included in the determination of diluted earnings per share ca</w:t>
      </w:r>
      <w:r>
        <w:rPr>
          <w:rFonts w:eastAsia="Times New Roman"/>
          <w:vanish/>
          <w:sz w:val="20"/>
          <w:szCs w:val="20"/>
        </w:rPr>
        <w:t>lculations. Additionally, there were 0.5 million and 1.2 million stock options that were not dilutive as of September 30, 2021 and 2020, respectively, and 2.5 million shares of restricted stock that were not dilutive for the three months ended September 30</w:t>
      </w:r>
      <w:r>
        <w:rPr>
          <w:rFonts w:eastAsia="Times New Roman"/>
          <w:vanish/>
          <w:sz w:val="20"/>
          <w:szCs w:val="20"/>
        </w:rPr>
        <w:t>, 2020. The Company determined that the valuation of its Senior Unsecured Notes were classified within Level 2 of the fair value hierarchy and its Credit Facility was classified within Level 3 of the fair value hierarchy. The estimated fair value amounts c</w:t>
      </w:r>
      <w:r>
        <w:rPr>
          <w:rFonts w:eastAsia="Times New Roman"/>
          <w:vanish/>
          <w:sz w:val="20"/>
          <w:szCs w:val="20"/>
        </w:rPr>
        <w:t>lassified as Level 2 as of December 31, 2021 and 2020, were $7.3 billion and $5.5 billion, respectively. The pro forma earnings for the year ended December 31, 2021 were adjusted to exclude $50.2 million of merger costs while the pro forma earnings for the</w:t>
      </w:r>
      <w:r>
        <w:rPr>
          <w:rFonts w:eastAsia="Times New Roman"/>
          <w:vanish/>
          <w:sz w:val="20"/>
          <w:szCs w:val="20"/>
        </w:rPr>
        <w:t xml:space="preserve"> year ended December 31, 2020 were adjusted to include $50.2 million of merger costs incurred. Relates to interest expense on finance lease liabilities, which were acquired in connection with the Merger. Other includes the Company’s previously held equity </w:t>
      </w:r>
      <w:r>
        <w:rPr>
          <w:rFonts w:eastAsia="Times New Roman"/>
          <w:vanish/>
          <w:sz w:val="20"/>
          <w:szCs w:val="20"/>
        </w:rPr>
        <w:t>investments and net gains on change in control. The Company evaluated these transactions pursuant to the FASB’s Consolidation guidance and as a result, recognized net gains on change in control of interests of $5.0 million, in aggregate, resulting from the</w:t>
      </w:r>
      <w:r>
        <w:rPr>
          <w:rFonts w:eastAsia="Times New Roman"/>
          <w:vanish/>
          <w:sz w:val="20"/>
          <w:szCs w:val="20"/>
        </w:rPr>
        <w:t xml:space="preserve"> fair value adjustments associated with the Company’s previously held equity interests, which are included in Equity in income of joint ventures, net on the Company’s Consolidated Statements of Income. The Company previously held an ownership interest of 3</w:t>
      </w:r>
      <w:r>
        <w:rPr>
          <w:rFonts w:eastAsia="Times New Roman"/>
          <w:vanish/>
          <w:sz w:val="20"/>
          <w:szCs w:val="20"/>
        </w:rPr>
        <w:t>0.0% in Jamestown Portfolio, 15.0% in KimPru Portfolio and 90.0% in Centro Arlington. The Company incurred a prepayment charge of $7.5 million, which is included in Early extinguishment of debt charges on the Company's Consolidated Statements of Income. Th</w:t>
      </w:r>
      <w:r>
        <w:rPr>
          <w:rFonts w:eastAsia="Times New Roman"/>
          <w:vanish/>
          <w:sz w:val="20"/>
          <w:szCs w:val="20"/>
        </w:rPr>
        <w:t>e aggregate cost for Federal income tax purposes was approximately $32.2 million as of December 31, 2020. During the year ended December 31, 2019, the Prudential Investment Program recognized an impairment charge on a property of $29.9 million, of which th</w:t>
      </w:r>
      <w:r>
        <w:rPr>
          <w:rFonts w:eastAsia="Times New Roman"/>
          <w:vanish/>
          <w:sz w:val="20"/>
          <w:szCs w:val="20"/>
        </w:rPr>
        <w:t>e Company’s share was $3.7 million. The year ended December 31, 2019 includes a tax benefit from AMT credit refunds of $3.7 million and $1.1 million related to the recording of a deferred tax valuation allowance. Other consists of the fair value of the ass</w:t>
      </w:r>
      <w:r>
        <w:rPr>
          <w:rFonts w:eastAsia="Times New Roman"/>
          <w:vanish/>
          <w:sz w:val="20"/>
          <w:szCs w:val="20"/>
        </w:rPr>
        <w:t>ets acquired which exceeded the purchase price upon closing. The transaction was a sale-leaseback with the seller which resulted in the recognition of a prepayment of rent of $17.7 million in accordance with ASC 842, Leases at closing. The prepayment of re</w:t>
      </w:r>
      <w:r>
        <w:rPr>
          <w:rFonts w:eastAsia="Times New Roman"/>
          <w:vanish/>
          <w:sz w:val="20"/>
          <w:szCs w:val="20"/>
        </w:rPr>
        <w:t xml:space="preserve">nt was amortized over the initial term of the lease through Revenues from rental properties, net on the Company's Consolidated Statements of Operations. See Footnote 16 of the Company’s Consolidated Financial Statements for additional discussion regarding </w:t>
      </w:r>
      <w:r>
        <w:rPr>
          <w:rFonts w:eastAsia="Times New Roman"/>
          <w:vanish/>
          <w:sz w:val="20"/>
          <w:szCs w:val="20"/>
        </w:rPr>
        <w:t xml:space="preserve">fair value allocation of partnership interest for noncontrolling interests. During January 2021, KIM RDC, LLC (“KIM RDC”), a wholly owned subsidiary of the Company, and KP Lancewood LLC (“KPR Member”) entered into a joint venture agreement wherein KIM RDC </w:t>
      </w:r>
      <w:r>
        <w:rPr>
          <w:rFonts w:eastAsia="Times New Roman"/>
          <w:vanish/>
          <w:sz w:val="20"/>
          <w:szCs w:val="20"/>
        </w:rPr>
        <w:t>has a 100% controlling interest and KPR Member is entitled to a profit participation. The joint venture acquired two operating properties for a gross fair value of $104.0 million (see Footnote 4 of the Company’s Consolidated Financial Statements). During J</w:t>
      </w:r>
      <w:r>
        <w:rPr>
          <w:rFonts w:eastAsia="Times New Roman"/>
          <w:vanish/>
          <w:sz w:val="20"/>
          <w:szCs w:val="20"/>
        </w:rPr>
        <w:t>une 2021, the two joint venture properties were sold for a combined sales price of $108.0 million of which the KPR Member received a distribution of $2.1 million. The negative balance for costs capitalized subsequent to acquisition could include parcels/ou</w:t>
      </w:r>
      <w:r>
        <w:rPr>
          <w:rFonts w:eastAsia="Times New Roman"/>
          <w:vanish/>
          <w:sz w:val="20"/>
          <w:szCs w:val="20"/>
        </w:rPr>
        <w:t xml:space="preserve">t-parcels sold, assets held-for-sale, provision for losses and/or demolition of part of a property for redevelopment. Operating lease liabilities are included in Operating lease liabilities and financing lease liabilities are included in Other liabilities </w:t>
      </w:r>
      <w:r>
        <w:rPr>
          <w:rFonts w:eastAsia="Times New Roman"/>
          <w:vanish/>
          <w:sz w:val="20"/>
          <w:szCs w:val="20"/>
        </w:rPr>
        <w:t>on the Company’s Consolidated Balance Sheets. Accrues interest at a rate of LIBOR plus 0.765%. Before noncontrolling interests of $3.0 million and taxes of $2.2 million, after utilization of net operating loss carryforwards, for the year ended December 31,</w:t>
      </w:r>
      <w:r>
        <w:rPr>
          <w:rFonts w:eastAsia="Times New Roman"/>
          <w:vanish/>
          <w:sz w:val="20"/>
          <w:szCs w:val="20"/>
        </w:rPr>
        <w:t xml:space="preserve"> 2021. As of the date of the Merger, the Company acquired ownership in 9 unconsolidated joint ventures, which had an aggregate $191.5 million of secured debt (including a fair market value adjustment of $0.8 million). Net operating losses expire in 2032. A</w:t>
      </w:r>
      <w:r>
        <w:rPr>
          <w:rFonts w:eastAsia="Times New Roman"/>
          <w:vanish/>
          <w:sz w:val="20"/>
          <w:szCs w:val="20"/>
        </w:rPr>
        <w:t>mounts relate to a cost method investment during the respective years shown. Includes restricted assets of consolidated variable interest entities (“VIEs”) at December 31, 2021 and December 31, 2020 of $227,858 and $102,482, respectively. See Footnote 11 o</w:t>
      </w:r>
      <w:r>
        <w:rPr>
          <w:rFonts w:eastAsia="Times New Roman"/>
          <w:vanish/>
          <w:sz w:val="20"/>
          <w:szCs w:val="20"/>
        </w:rPr>
        <w:t>f the Notes to Consolidated Financial Statements. For the years ended December 31, 2021, 2020 and 2019, the corresponding common stock equivalent of these vested awards were 814,160, 594,900 and 104,551 shares, respectively. The Company determined that its</w:t>
      </w:r>
      <w:r>
        <w:rPr>
          <w:rFonts w:eastAsia="Times New Roman"/>
          <w:vanish/>
          <w:sz w:val="20"/>
          <w:szCs w:val="20"/>
        </w:rPr>
        <w:t xml:space="preserve"> valuation of its mortgages loan were classified within Level 3 of the fair value hierarchy. Includes allowances on accounts receivable and straight-line rents. Representing 120 property interests and 24.7 million square feet of GLA, as of December 31, 202</w:t>
      </w:r>
      <w:r>
        <w:rPr>
          <w:rFonts w:eastAsia="Times New Roman"/>
          <w:vanish/>
          <w:sz w:val="20"/>
          <w:szCs w:val="20"/>
        </w:rPr>
        <w:t>1, and 97 property interests and 21.2 million square feet of GLA, as of December 31, 2020. 227,858 102,482 153,924 62,076 00008791012021-01-012021-12-31 0000879101us-gaap:CommonStockMember2021-01-012021-12-31 0000879101kim:ClassMCumulativeRedeemablePreferr</w:t>
      </w:r>
      <w:r>
        <w:rPr>
          <w:rFonts w:eastAsia="Times New Roman"/>
          <w:vanish/>
          <w:sz w:val="20"/>
          <w:szCs w:val="20"/>
        </w:rPr>
        <w:t>edStockMember2021-01-012021-12-31 0000879101kim:ClassLCumulativeRedeemablePreferredStockMember2021-01-012021-12-31 iso4217:USD 00008791012021-06-30 xbrli:shares 00008791012022-02-10 thunderdome:item 00008791012021-12-31 00008791012020-12-31 0000879101kim:R</w:t>
      </w:r>
      <w:r>
        <w:rPr>
          <w:rFonts w:eastAsia="Times New Roman"/>
          <w:vanish/>
          <w:sz w:val="20"/>
          <w:szCs w:val="20"/>
        </w:rPr>
        <w:t>ealEstateUnderDevelopmentMember2021-12-31 0000879101kim:RealEstateUnderDevelopmentMember2020-12-31 0000879101kim:InvestmentsInAndAdvancesToRealEstateJointVenturesMember2021-12-31 0000879101kim:InvestmentsInAndAdvancesToRealEstateJointVenturesMember2020-12-</w:t>
      </w:r>
      <w:r>
        <w:rPr>
          <w:rFonts w:eastAsia="Times New Roman"/>
          <w:vanish/>
          <w:sz w:val="20"/>
          <w:szCs w:val="20"/>
        </w:rPr>
        <w:t>31 0000879101kim:OtherRealEstateInvestmentsMember2021-12-31 0000879101kim:OtherRealEstateInvestmentsMember2020-12-31 iso4217:USDxbrli:shares 00008791012020-01-012020-12-31 00008791012019-01-012019-12-31 0000879101kim:JointVenturesMember2021-01-012021-12-31</w:t>
      </w:r>
      <w:r>
        <w:rPr>
          <w:rFonts w:eastAsia="Times New Roman"/>
          <w:vanish/>
          <w:sz w:val="20"/>
          <w:szCs w:val="20"/>
        </w:rPr>
        <w:t xml:space="preserve"> 0000879101kim:JointVenturesMember2020-01-012020-12-31 0000879101kim:JointVenturesMember2019-01-012019-12-31 0000879101kim:OtherRealEstateInvestmentsMember2021-01-012021-12-31 0000879101kim:OtherRealEstateInvestmentsMember2020-01-012020-12-31 0000879101kim</w:t>
      </w:r>
      <w:r>
        <w:rPr>
          <w:rFonts w:eastAsia="Times New Roman"/>
          <w:vanish/>
          <w:sz w:val="20"/>
          <w:szCs w:val="20"/>
        </w:rPr>
        <w:t>:OtherRealEstateInvestmentsMember2019-01-012019-12-31 0000879101us-gaap:RetainedEarningsMember2018-12-31 0000879101us-gaap:AccumulatedOtherComprehensiveIncomeMember2018-12-31 0000879101us-gaap:PreferredStockMember2018-12-31 0000879101us-gaap:CommonStockMem</w:t>
      </w:r>
      <w:r>
        <w:rPr>
          <w:rFonts w:eastAsia="Times New Roman"/>
          <w:vanish/>
          <w:sz w:val="20"/>
          <w:szCs w:val="20"/>
        </w:rPr>
        <w:t>ber2018-12-31 0000879101us-gaap:AdditionalPaidInCapitalMember2018-12-31 0000879101us-gaap:ParentMember2018-12-31 0000879101us-gaap:NoncontrollingInterestMember2018-12-31 00008791012018-12-31 0000879101us-gaap:RetainedEarningsMember2019-01-012019-12-31 0000</w:t>
      </w:r>
      <w:r>
        <w:rPr>
          <w:rFonts w:eastAsia="Times New Roman"/>
          <w:vanish/>
          <w:sz w:val="20"/>
          <w:szCs w:val="20"/>
        </w:rPr>
        <w:t>879101us-gaap:AccumulatedOtherComprehensiveIncomeMember2019-01-012019-12-31 0000879101us-gaap:PreferredStockMember2019-01-012019-12-31 0000879101us-gaap:CommonStockMember2019-01-012019-12-31 0000879101us-gaap:AdditionalPaidInCapitalMember2019-01-012019-12-</w:t>
      </w:r>
      <w:r>
        <w:rPr>
          <w:rFonts w:eastAsia="Times New Roman"/>
          <w:vanish/>
          <w:sz w:val="20"/>
          <w:szCs w:val="20"/>
        </w:rPr>
        <w:t>31 0000879101us-gaap:ParentMember2019-01-012019-12-31 0000879101us-gaap:NoncontrollingInterestMember2019-01-012019-12-31 0000879101us-gaap:RetainedEarningsMember2019-12-31 0000879101us-gaap:AccumulatedOtherComprehensiveIncomeMember2019-12-31 0000879101us-g</w:t>
      </w:r>
      <w:r>
        <w:rPr>
          <w:rFonts w:eastAsia="Times New Roman"/>
          <w:vanish/>
          <w:sz w:val="20"/>
          <w:szCs w:val="20"/>
        </w:rPr>
        <w:t>aap:PreferredStockMember2019-12-31 0000879101us-gaap:CommonStockMember2019-12-31 0000879101us-gaap:AdditionalPaidInCapitalMember2019-12-31 0000879101us-gaap:ParentMember2019-12-31 0000879101us-gaap:NoncontrollingInterestMember2019-12-31 00008791012019-12-3</w:t>
      </w:r>
      <w:r>
        <w:rPr>
          <w:rFonts w:eastAsia="Times New Roman"/>
          <w:vanish/>
          <w:sz w:val="20"/>
          <w:szCs w:val="20"/>
        </w:rPr>
        <w:t>1 0000879101us-gaap:RetainedEarningsMember2020-01-012020-12-31 0000879101us-gaap:AccumulatedOtherComprehensiveIncomeMember2020-01-012020-12-31 0000879101us-gaap:PreferredStockMember2020-01-012020-12-31 0000879101us-gaap:CommonStockMember2020-01-012020-12-3</w:t>
      </w:r>
      <w:r>
        <w:rPr>
          <w:rFonts w:eastAsia="Times New Roman"/>
          <w:vanish/>
          <w:sz w:val="20"/>
          <w:szCs w:val="20"/>
        </w:rPr>
        <w:t>1 0000879101us-gaap:AdditionalPaidInCapitalMember2020-01-012020-12-31 0000879101us-gaap:ParentMember2020-01-012020-12-31 0000879101us-gaap:NoncontrollingInterestMember2020-01-012020-12-31 0000879101us-gaap:RetainedEarningsMember2020-12-31 0000879101us-gaap</w:t>
      </w:r>
      <w:r>
        <w:rPr>
          <w:rFonts w:eastAsia="Times New Roman"/>
          <w:vanish/>
          <w:sz w:val="20"/>
          <w:szCs w:val="20"/>
        </w:rPr>
        <w:t>:AccumulatedOtherComprehensiveIncomeMember2020-12-31 0000879101us-gaap:PreferredStockMember2020-12-31 0000879101us-gaap:CommonStockMember2020-12-31 0000879101us-gaap:AdditionalPaidInCapitalMember2020-12-31 0000879101us-gaap:ParentMember2020-12-31 000087910</w:t>
      </w:r>
      <w:r>
        <w:rPr>
          <w:rFonts w:eastAsia="Times New Roman"/>
          <w:vanish/>
          <w:sz w:val="20"/>
          <w:szCs w:val="20"/>
        </w:rPr>
        <w:t>1us-gaap:NoncontrollingInterestMember2020-12-31 0000879101us-gaap:RetainedEarningsMember2021-01-012021-12-31 0000879101us-gaap:AccumulatedOtherComprehensiveIncomeMember2021-01-012021-12-31 0000879101us-gaap:PreferredStockMember2021-01-012021-12-31 00008791</w:t>
      </w:r>
      <w:r>
        <w:rPr>
          <w:rFonts w:eastAsia="Times New Roman"/>
          <w:vanish/>
          <w:sz w:val="20"/>
          <w:szCs w:val="20"/>
        </w:rPr>
        <w:t>01us-gaap:CommonStockMember2021-01-012021-12-31 0000879101us-gaap:AdditionalPaidInCapitalMember2021-01-012021-12-31 0000879101us-gaap:ParentMember2021-01-012021-12-31 0000879101us-gaap:NoncontrollingInterestMember2021-01-012021-12-31 0000879101us-gaap:Reta</w:t>
      </w:r>
      <w:r>
        <w:rPr>
          <w:rFonts w:eastAsia="Times New Roman"/>
          <w:vanish/>
          <w:sz w:val="20"/>
          <w:szCs w:val="20"/>
        </w:rPr>
        <w:t>inedEarningsMember2021-12-31 0000879101us-gaap:AccumulatedOtherComprehensiveIncomeMember2021-12-31 0000879101us-gaap:PreferredStockMember2021-12-31 0000879101us-gaap:CommonStockMember2021-12-31 0000879101us-gaap:AdditionalPaidInCapitalMember2021-12-31 0000</w:t>
      </w:r>
      <w:r>
        <w:rPr>
          <w:rFonts w:eastAsia="Times New Roman"/>
          <w:vanish/>
          <w:sz w:val="20"/>
          <w:szCs w:val="20"/>
        </w:rPr>
        <w:t>879101us-gaap:ParentMember2021-12-31 0000879101us-gaap:NoncontrollingInterestMember2021-12-31 0000879101kim:TermLoanMember2021-01-012021-12-31 0000879101kim:TermLoanMember2020-01-012020-12-31 0000879101kim:TermLoanMember2019-01-012019-12-31 0000879101kim:S</w:t>
      </w:r>
      <w:r>
        <w:rPr>
          <w:rFonts w:eastAsia="Times New Roman"/>
          <w:vanish/>
          <w:sz w:val="20"/>
          <w:szCs w:val="20"/>
        </w:rPr>
        <w:t>eniorUnsecuredNotesMember2021-01-012021-12-31 0000879101kim:SeniorUnsecuredNotesMember2020-01-012020-12-31 0000879101kim:SeniorUnsecuredNotesMember2019-01-012019-12-31 0000879101kim:WeingartenRealtyInvestorsMember2021-04-152021-04-15 0000879101kim:Weingart</w:t>
      </w:r>
      <w:r>
        <w:rPr>
          <w:rFonts w:eastAsia="Times New Roman"/>
          <w:vanish/>
          <w:sz w:val="20"/>
          <w:szCs w:val="20"/>
        </w:rPr>
        <w:t>enRealtyInvestorsMember2021-07-15 0000879101kim:WeingartenRealtyInvestorsMember2021-07-152021-07-15 0000879101kim:WeingartenRealtyInvestorsMember2021-07-152021-07-15 0000879101kim:WeingartenRealtyInvestorsMember2021-01-012021-12-31 utr:Y 0000879101us-gaap:</w:t>
      </w:r>
      <w:r>
        <w:rPr>
          <w:rFonts w:eastAsia="Times New Roman"/>
          <w:vanish/>
          <w:sz w:val="20"/>
          <w:szCs w:val="20"/>
        </w:rPr>
        <w:t>BuildingAndBuildingImprovementsMembersrt:MinimumMember2021-01-012021-12-31 0000879101us-gaap:BuildingAndBuildingImprovementsMembersrt:MaximumMember2021-01-012021-12-31 0000879101kim:InvestmentCashHeldAsCollateralForLettersOfCreditMember2021-12-31 xbrli:pur</w:t>
      </w:r>
      <w:r>
        <w:rPr>
          <w:rFonts w:eastAsia="Times New Roman"/>
          <w:vanish/>
          <w:sz w:val="20"/>
          <w:szCs w:val="20"/>
        </w:rPr>
        <w:t>e utr:D 0000879101kim:TaxIncrementRevenueBondsMember2021-12-31 0000879101us-gaap:ComputerSoftwareIntangibleAssetMembersrt:MinimumMember2021-01-012021-12-31 0000879101us-gaap:ComputerSoftwareIntangibleAssetMembersrt:MaximumMember2021-01-012021-12-31 0000879</w:t>
      </w:r>
      <w:r>
        <w:rPr>
          <w:rFonts w:eastAsia="Times New Roman"/>
          <w:vanish/>
          <w:sz w:val="20"/>
          <w:szCs w:val="20"/>
        </w:rPr>
        <w:t>101kim:WeingartenRealtyInvestorsMember2021-08-032021-08-03 0000879101kim:The2010PlanMember2021-12-31 0000879101us-gaap:RestrictedStockMemberkim:SharebasedCompensationAwardVestingOnFourthOrFifthAnniversaryMember2021-01-012021-12-31 0000879101us-gaap:Restric</w:t>
      </w:r>
      <w:r>
        <w:rPr>
          <w:rFonts w:eastAsia="Times New Roman"/>
          <w:vanish/>
          <w:sz w:val="20"/>
          <w:szCs w:val="20"/>
        </w:rPr>
        <w:t>tedStockMemberus-gaap:ShareBasedCompensationAwardTrancheTwoMember2021-01-012021-12-31 0000879101us-gaap:RestrictedStockMemberus-gaap:ShareBasedCompensationAwardTrancheThreeMember2021-01-012021-12-31 0000879101us-gaap:RestrictedStockMemberkim:SharebasedComp</w:t>
      </w:r>
      <w:r>
        <w:rPr>
          <w:rFonts w:eastAsia="Times New Roman"/>
          <w:vanish/>
          <w:sz w:val="20"/>
          <w:szCs w:val="20"/>
        </w:rPr>
        <w:t>ensationAwardVestingAfterTheFifthAnniversaryMember2021-01-012021-12-31 0000879101us-gaap:PerformanceSharesMembersrt:MinimumMember2021-01-012021-12-31 0000879101us-gaap:PerformanceSharesMembersrt:MaximumMember2021-01-012021-12-31 0000879101srt:RevisionOfPri</w:t>
      </w:r>
      <w:r>
        <w:rPr>
          <w:rFonts w:eastAsia="Times New Roman"/>
          <w:vanish/>
          <w:sz w:val="20"/>
          <w:szCs w:val="20"/>
        </w:rPr>
        <w:t>orPeriodReclassificationAdjustmentMember2020-01-012020-12-31 0000879101srt:RevisionOfPriorPeriodReclassificationAdjustmentMember2019-01-012019-12-31 0000879101kim:WeingartenRealtyInvestorsMember2021-08-03 0000879101kim:WeingartenRealtyInvestorsMemberus-gaa</w:t>
      </w:r>
      <w:r>
        <w:rPr>
          <w:rFonts w:eastAsia="Times New Roman"/>
          <w:vanish/>
          <w:sz w:val="20"/>
          <w:szCs w:val="20"/>
        </w:rPr>
        <w:t>p:MeasurementInputCapRateMembersrt:MinimumMemberus-gaap:IncomeApproachValuationTechniqueMember2021-08-03 0000879101kim:WeingartenRealtyInvestorsMemberus-gaap:MeasurementInputCapRateMembersrt:MaximumMemberus-gaap:IncomeApproachValuationTechniqueMember2021-0</w:t>
      </w:r>
      <w:r>
        <w:rPr>
          <w:rFonts w:eastAsia="Times New Roman"/>
          <w:vanish/>
          <w:sz w:val="20"/>
          <w:szCs w:val="20"/>
        </w:rPr>
        <w:t>8-03 0000879101kim:WeingartenRealtyInvestorsMemberus-gaap:MeasurementInputCapRateMembersrt:MinimumMemberus-gaap:ValuationTechniqueDiscountedCashFlowMember2021-08-03 0000879101kim:WeingartenRealtyInvestorsMemberus-gaap:MeasurementInputCapRateMembersrt:Maxim</w:t>
      </w:r>
      <w:r>
        <w:rPr>
          <w:rFonts w:eastAsia="Times New Roman"/>
          <w:vanish/>
          <w:sz w:val="20"/>
          <w:szCs w:val="20"/>
        </w:rPr>
        <w:t>umMemberus-gaap:ValuationTechniqueDiscountedCashFlowMember2021-08-03 0000879101kim:WeingartenRealtyInvestorsMemberus-gaap:MeasurementInputDiscountRateMembersrt:MinimumMemberus-gaap:ValuationTechniqueDiscountedCashFlowMember2021-08-03 0000879101kim:Weingart</w:t>
      </w:r>
      <w:r>
        <w:rPr>
          <w:rFonts w:eastAsia="Times New Roman"/>
          <w:vanish/>
          <w:sz w:val="20"/>
          <w:szCs w:val="20"/>
        </w:rPr>
        <w:t xml:space="preserve">enRealtyInvestorsMemberus-gaap:MeasurementInputDiscountRateMembersrt:MaximumMemberus-gaap:ValuationTechniqueDiscountedCashFlowMember2021-08-03 0000879101us-gaap:SecuredDebtMemberus-gaap:MeasurementInputCreditSpreadMembersrt:WeightedAverageMember2021-12-31 </w:t>
      </w:r>
      <w:r>
        <w:rPr>
          <w:rFonts w:eastAsia="Times New Roman"/>
          <w:vanish/>
          <w:sz w:val="20"/>
          <w:szCs w:val="20"/>
        </w:rPr>
        <w:t>0000879101us-gaap:SecuredDebtMemberkim:MeasurementInputVariableRateMemberus-gaap:LondonInterbankOfferedRateLIBORMember2021-12-31 0000879101kim:WeingartenRealtyInvestorsMemberus-gaap:LeasesAcquiredInPlaceMember2021-08-03 0000879101kim:WeingartenRealtyInvest</w:t>
      </w:r>
      <w:r>
        <w:rPr>
          <w:rFonts w:eastAsia="Times New Roman"/>
          <w:vanish/>
          <w:sz w:val="20"/>
          <w:szCs w:val="20"/>
        </w:rPr>
        <w:t>orsMemberus-gaap:AboveMarketLeasesMember2021-08-03 0000879101kim:WeingartenRealtyInvestorsMemberus-gaap:BuildingMember2021-08-042021-12-31 0000879101kim:WeingartenRealtyInvestorsMemberus-gaap:BuildingImprovementsMember2021-08-042021-12-31 0000879101kim:Wei</w:t>
      </w:r>
      <w:r>
        <w:rPr>
          <w:rFonts w:eastAsia="Times New Roman"/>
          <w:vanish/>
          <w:sz w:val="20"/>
          <w:szCs w:val="20"/>
        </w:rPr>
        <w:t>ngartenRealtyInvestorsMemberkim:TenantImprovementsMember2021-08-042021-12-31 0000879101kim:WeingartenRealtyInvestorsMemberkim:FixturesAndLeaseholdImprovementsMember2021-08-042021-12-31 0000879101kim:WeingartenRealtyInvestorsMemberus-gaap:LeasesAcquiredInPl</w:t>
      </w:r>
      <w:r>
        <w:rPr>
          <w:rFonts w:eastAsia="Times New Roman"/>
          <w:vanish/>
          <w:sz w:val="20"/>
          <w:szCs w:val="20"/>
        </w:rPr>
        <w:t>aceMember2021-08-042021-12-31 0000879101kim:WeingartenRealtyInvestorsMemberus-gaap:AboveMarketLeasesMember2021-08-042021-12-31 0000879101kim:WeingartenRealtyInvestorsMemberkim:BelowMarketLeasesMember2021-08-042021-12-31 0000879101kim:WeingartenRealtyInvest</w:t>
      </w:r>
      <w:r>
        <w:rPr>
          <w:rFonts w:eastAsia="Times New Roman"/>
          <w:vanish/>
          <w:sz w:val="20"/>
          <w:szCs w:val="20"/>
        </w:rPr>
        <w:t>orsMember2021-12-31 0000879101kim:WeingartenRealtyInvestorsMember2021-08-042021-12-31 0000879101kim:WeingartenRealtyInvestorsMember2020-01-012020-12-31 0000879101us-gaap:LandMember2021-12-31 0000879101us-gaap:LandMember2020-12-31 0000879101kim:UndevelopedL</w:t>
      </w:r>
      <w:r>
        <w:rPr>
          <w:rFonts w:eastAsia="Times New Roman"/>
          <w:vanish/>
          <w:sz w:val="20"/>
          <w:szCs w:val="20"/>
        </w:rPr>
        <w:t>andMember2021-12-31 0000879101kim:UndevelopedLandMember2020-12-31 0000879101us-gaap:BuildingMember2021-12-31 0000879101us-gaap:BuildingMember2020-12-31 0000879101us-gaap:BuildingImprovementsMember2021-12-31 0000879101us-gaap:BuildingImprovementsMember2020-</w:t>
      </w:r>
      <w:r>
        <w:rPr>
          <w:rFonts w:eastAsia="Times New Roman"/>
          <w:vanish/>
          <w:sz w:val="20"/>
          <w:szCs w:val="20"/>
        </w:rPr>
        <w:t>12-31 0000879101kim:TenantImprovementsMember2021-12-31 0000879101kim:TenantImprovementsMember2020-12-31 0000879101kim:FixturesAndLeaseholdImprovementsMember2021-12-31 0000879101kim:FixturesAndLeaseholdImprovementsMember2020-12-31 0000879101us-gaap:AboveMar</w:t>
      </w:r>
      <w:r>
        <w:rPr>
          <w:rFonts w:eastAsia="Times New Roman"/>
          <w:vanish/>
          <w:sz w:val="20"/>
          <w:szCs w:val="20"/>
        </w:rPr>
        <w:t>ketLeasesMember2021-12-31 0000879101us-gaap:AboveMarketLeasesMember2020-12-31 0000879101kim:InplaceLeasesMember2021-12-31 0000879101kim:InplaceLeasesMember2020-12-31 0000879101kim:InplaceLeasesTenantRelationshipsAndAbovemarketLeasesMember2021-12-31 0000879</w:t>
      </w:r>
      <w:r>
        <w:rPr>
          <w:rFonts w:eastAsia="Times New Roman"/>
          <w:vanish/>
          <w:sz w:val="20"/>
          <w:szCs w:val="20"/>
        </w:rPr>
        <w:t>101kim:InplaceLeasesTenantRelationshipsAndAbovemarketLeasesMember2020-12-31 0000879101kim:BelowMarketRentsMember2021-12-31 0000879101kim:BelowMarketRentsMember2020-12-31 0000879101kim:AboveAndBelowMarketLeasesMember2021-01-012021-12-31 0000879101kim:AboveA</w:t>
      </w:r>
      <w:r>
        <w:rPr>
          <w:rFonts w:eastAsia="Times New Roman"/>
          <w:vanish/>
          <w:sz w:val="20"/>
          <w:szCs w:val="20"/>
        </w:rPr>
        <w:t>ndBelowMarketLeasesMember2020-01-012020-12-31 0000879101kim:AboveAndBelowMarketLeasesMember2019-01-012019-12-31 0000879101kim:InplaceLeasesAndTenantRelationshipsMember2021-01-012021-12-31 0000879101kim:InplaceLeasesAndTenantRelationshipsMember2020-01-01202</w:t>
      </w:r>
      <w:r>
        <w:rPr>
          <w:rFonts w:eastAsia="Times New Roman"/>
          <w:vanish/>
          <w:sz w:val="20"/>
          <w:szCs w:val="20"/>
        </w:rPr>
        <w:t>0-12-31 0000879101kim:InplaceLeasesAndTenantRelationshipsMember2019-01-012019-12-31 0000879101kim:InplaceLeasesMember2021-12-31 0000879101kim:DistributionCenter1Memberkim:LancasterCAMember2021-01-012021-12-31 utr:sqft 0000879101kim:DistributionCenter1Membe</w:t>
      </w:r>
      <w:r>
        <w:rPr>
          <w:rFonts w:eastAsia="Times New Roman"/>
          <w:vanish/>
          <w:sz w:val="20"/>
          <w:szCs w:val="20"/>
        </w:rPr>
        <w:t>rkim:LancasterCAMember2021-12-31 0000879101kim:DistributionCenter2Memberkim:WoodlandCAMember2021-01-012021-12-31 0000879101kim:DistributionCenter2Memberkim:WoodlandCAMember2021-12-31 0000879101kim:JamestownMember2021-01-012021-12-31 0000879101kim:Jamestown</w:t>
      </w:r>
      <w:r>
        <w:rPr>
          <w:rFonts w:eastAsia="Times New Roman"/>
          <w:vanish/>
          <w:sz w:val="20"/>
          <w:szCs w:val="20"/>
        </w:rPr>
        <w:t>Member2021-12-31 0000879101kim:KimPruMember2021-01-012021-12-31 0000879101kim:KimPruMember2021-12-31 0000879101kim:ColumbiaCrossingMember2021-01-012021-12-31 0000879101kim:ColumbiaCrossingMember2021-12-31 0000879101kim:CentroArlingtonMember2021-01-012021-1</w:t>
      </w:r>
      <w:r>
        <w:rPr>
          <w:rFonts w:eastAsia="Times New Roman"/>
          <w:vanish/>
          <w:sz w:val="20"/>
          <w:szCs w:val="20"/>
        </w:rPr>
        <w:t>2-31 0000879101kim:CentroArlingtonMember2021-12-31 0000879101kim:EquityInIncomeOfJointVenturesNetMember2021-01-012021-12-31 0000879101kim:JamestownMember2021-09-30 0000879101kim:KimPruMember2021-09-30 0000879101kim:CentroArlingtonMember2021-10-31 000087910</w:t>
      </w:r>
      <w:r>
        <w:rPr>
          <w:rFonts w:eastAsia="Times New Roman"/>
          <w:vanish/>
          <w:sz w:val="20"/>
          <w:szCs w:val="20"/>
        </w:rPr>
        <w:t>1kim:NorthValleyParcelMember2020-01-012020-12-31 0000879101kim:NorthValleyParcelMember2020-12-31 0000879101us-gaap:BuildingMember2021-01-012021-12-31 0000879101us-gaap:BuildingMember2020-01-012020-12-31 0000879101us-gaap:BuildingImprovementsMember2021-01-0</w:t>
      </w:r>
      <w:r>
        <w:rPr>
          <w:rFonts w:eastAsia="Times New Roman"/>
          <w:vanish/>
          <w:sz w:val="20"/>
          <w:szCs w:val="20"/>
        </w:rPr>
        <w:t>12021-12-31 0000879101us-gaap:BuildingImprovementsMember2020-01-012020-12-31 0000879101kim:TenantImprovementsMember2021-12-31 0000879101kim:TenantImprovementsMember2021-01-012021-12-31 0000879101kim:TenantImprovementsMember2020-12-31 0000879101kim:TenantIm</w:t>
      </w:r>
      <w:r>
        <w:rPr>
          <w:rFonts w:eastAsia="Times New Roman"/>
          <w:vanish/>
          <w:sz w:val="20"/>
          <w:szCs w:val="20"/>
        </w:rPr>
        <w:t>provementsMember2020-01-012020-12-31 0000879101us-gaap:LeasesAcquiredInPlaceMember2021-12-31 0000879101us-gaap:LeasesAcquiredInPlaceMember2021-01-012021-12-31 0000879101us-gaap:LeasesAcquiredInPlaceMember2020-12-31 0000879101us-gaap:LeasesAcquiredInPlaceMe</w:t>
      </w:r>
      <w:r>
        <w:rPr>
          <w:rFonts w:eastAsia="Times New Roman"/>
          <w:vanish/>
          <w:sz w:val="20"/>
          <w:szCs w:val="20"/>
        </w:rPr>
        <w:t>mber2020-01-012020-12-31 0000879101us-gaap:AboveMarketLeasesMember2021-12-31 0000879101us-gaap:AboveMarketLeasesMember2021-01-012021-12-31 0000879101us-gaap:AboveMarketLeasesMember2020-12-31 0000879101kim:BelowMarketLeasesMember2021-12-31 0000879101kim:Bel</w:t>
      </w:r>
      <w:r>
        <w:rPr>
          <w:rFonts w:eastAsia="Times New Roman"/>
          <w:vanish/>
          <w:sz w:val="20"/>
          <w:szCs w:val="20"/>
        </w:rPr>
        <w:t>owMarketLeasesMember2021-01-012021-12-31 0000879101kim:BelowMarketLeasesMember2020-12-31 0000879101kim:DispositionActivityRelatingToConsolidatedOperatingPropertiesAndParcelsMember2021-01-012021-12-31 0000879101kim:DispositionActivityRelatingToConsolidatedO</w:t>
      </w:r>
      <w:r>
        <w:rPr>
          <w:rFonts w:eastAsia="Times New Roman"/>
          <w:vanish/>
          <w:sz w:val="20"/>
          <w:szCs w:val="20"/>
        </w:rPr>
        <w:t xml:space="preserve">peratingPropertiesAndParcelsMember2020-01-012020-12-31 0000879101kim:DispositionActivityRelatingToConsolidatedOperatingPropertiesAndParcelsMember2019-01-012019-12-31 0000879101kim:JamestownMember2021-10-31 0000879101kim:JamestownMember2021-10-012021-10-31 </w:t>
      </w:r>
      <w:r>
        <w:rPr>
          <w:rFonts w:eastAsia="Times New Roman"/>
          <w:vanish/>
          <w:sz w:val="20"/>
          <w:szCs w:val="20"/>
        </w:rPr>
        <w:t>0000879101kim:JamestownMember2021-11-012021-12-31 0000879101kim:JamestownMember2021-12-31 0000879101kim:NonrecouseMortgageDebtRelatedToPropertyDeconsolidatedMember2021-11-012021-12-31 0000879101kim:JointVentureWithBreitMember2021-12-31 0000879101us-gaap:Di</w:t>
      </w:r>
      <w:r>
        <w:rPr>
          <w:rFonts w:eastAsia="Times New Roman"/>
          <w:vanish/>
          <w:sz w:val="20"/>
          <w:szCs w:val="20"/>
        </w:rPr>
        <w:t>sposalGroupDisposedOfBySaleNotDiscontinuedOperationsMember2021-01-012021-12-31 0000879101kim:PropertiesMarketedForSaleMember2021-01-012021-12-31 0000879101kim:PropertiesMarketedForSaleMember2020-01-012020-12-31 0000879101kim:PropertiesMarketedForSaleMember</w:t>
      </w:r>
      <w:r>
        <w:rPr>
          <w:rFonts w:eastAsia="Times New Roman"/>
          <w:vanish/>
          <w:sz w:val="20"/>
          <w:szCs w:val="20"/>
        </w:rPr>
        <w:t>2019-01-012019-12-31 0000879101kim:DisposedOperatingPropertiesMember2021-01-012021-12-31 0000879101kim:DisposedOperatingPropertiesMember2020-01-012020-12-31 0000879101kim:DisposedOperatingPropertiesMember2019-01-012019-12-31 0000879101kim:CostMethodInvestm</w:t>
      </w:r>
      <w:r>
        <w:rPr>
          <w:rFonts w:eastAsia="Times New Roman"/>
          <w:vanish/>
          <w:sz w:val="20"/>
          <w:szCs w:val="20"/>
        </w:rPr>
        <w:t>entMember2021-01-012021-12-31 0000879101kim:CostMethodInvestmentMember2020-01-012020-12-31 0000879101kim:CostMethodInvestmentMember2019-01-012019-12-31 0000879101us-gaap:EquityMethodInvestmentsMember2021-01-012021-12-31 0000879101us-gaap:EquityMethodInvest</w:t>
      </w:r>
      <w:r>
        <w:rPr>
          <w:rFonts w:eastAsia="Times New Roman"/>
          <w:vanish/>
          <w:sz w:val="20"/>
          <w:szCs w:val="20"/>
        </w:rPr>
        <w:t>mentsMember2020-01-012020-12-31 0000879101us-gaap:EquityMethodInvestmentsMember2019-01-012019-12-31 0000879101kim:KimPruandKimPruIIMember2021-12-31 0000879101kim:KimPruandKimPruIIMember2020-12-31 0000879101kim:KimcoIncomeFundMember2021-12-31 0000879101kim:</w:t>
      </w:r>
      <w:r>
        <w:rPr>
          <w:rFonts w:eastAsia="Times New Roman"/>
          <w:vanish/>
          <w:sz w:val="20"/>
          <w:szCs w:val="20"/>
        </w:rPr>
        <w:t>KimcoIncomeFundMember2020-12-31 0000879101kim:CPPMember2021-12-31 0000879101kim:CPPMember2020-12-31 0000879101kim:OtherInstitutionalJointVenturesMember2021-12-31 0000879101kim:OtherInstitutionalJointVenturesMember2020-12-31 0000879101kim:OtherJointVentureP</w:t>
      </w:r>
      <w:r>
        <w:rPr>
          <w:rFonts w:eastAsia="Times New Roman"/>
          <w:vanish/>
          <w:sz w:val="20"/>
          <w:szCs w:val="20"/>
        </w:rPr>
        <w:t>rogramsMember2021-12-31 0000879101kim:OtherJointVentureProgramsMember2020-12-31 0000879101kim:AllEquityMethodInvestmentsMember2021-12-31 0000879101kim:AllEquityMethodInvestmentsMember2020-12-31 0000879101kim:UnconsolidatedJointVenturesAcquiredInWeingartenM</w:t>
      </w:r>
      <w:r>
        <w:rPr>
          <w:rFonts w:eastAsia="Times New Roman"/>
          <w:vanish/>
          <w:sz w:val="20"/>
          <w:szCs w:val="20"/>
        </w:rPr>
        <w:t>ergerMember2021-08-03 00008791012021-10-31 00008791012021-10-012021-10-31 0000879101kim:PrudentialInvestmentProgramMember2021-01-012021-12-31 0000879101kim:PrudentialInvestmentProgramMember2020-01-012020-12-31 0000879101kim:PrudentialInvestmentProgramMembe</w:t>
      </w:r>
      <w:r>
        <w:rPr>
          <w:rFonts w:eastAsia="Times New Roman"/>
          <w:vanish/>
          <w:sz w:val="20"/>
          <w:szCs w:val="20"/>
        </w:rPr>
        <w:t>r2019-01-012019-12-31 0000879101kim:KIRMember2021-01-012021-12-31 0000879101kim:KIRMember2020-01-012020-12-31 0000879101kim:KIRMember2019-01-012019-12-31 0000879101kim:CPPMember2021-01-012021-12-31 0000879101kim:CPPMember2020-01-012020-12-31 0000879101kim:</w:t>
      </w:r>
      <w:r>
        <w:rPr>
          <w:rFonts w:eastAsia="Times New Roman"/>
          <w:vanish/>
          <w:sz w:val="20"/>
          <w:szCs w:val="20"/>
        </w:rPr>
        <w:t>CPPMember2019-01-012019-12-31 0000879101kim:OtherInstitutionalJointVenturesMember2021-01-012021-12-31 0000879101kim:OtherInstitutionalJointVenturesMember2020-01-012020-12-31 0000879101kim:OtherInstitutionalJointVenturesMember2019-01-012019-12-31 0000879101</w:t>
      </w:r>
      <w:r>
        <w:rPr>
          <w:rFonts w:eastAsia="Times New Roman"/>
          <w:vanish/>
          <w:sz w:val="20"/>
          <w:szCs w:val="20"/>
        </w:rPr>
        <w:t xml:space="preserve">kim:OtherJointVentureProgramsMember2021-01-012021-12-31 0000879101kim:OtherJointVentureProgramsMember2020-01-012020-12-31 0000879101kim:OtherJointVentureProgramsMember2019-01-012019-12-31 0000879101kim:PrudentialInvestmentProgramMember2019-01-012019-12-31 </w:t>
      </w:r>
      <w:r>
        <w:rPr>
          <w:rFonts w:eastAsia="Times New Roman"/>
          <w:vanish/>
          <w:sz w:val="20"/>
          <w:szCs w:val="20"/>
        </w:rPr>
        <w:t>0000879101kim:OperatingPropertiesMemberkim:RealEstateJointVenturesMember2021-01-012021-12-31 0000879101kim:OperatingPropertiesMemberkim:RealEstateJointVenturesMember2021-12-31 0000879101kim:OperatingPropertiesMemberkim:RealEstateJointVenturesMember2019-01-</w:t>
      </w:r>
      <w:r>
        <w:rPr>
          <w:rFonts w:eastAsia="Times New Roman"/>
          <w:vanish/>
          <w:sz w:val="20"/>
          <w:szCs w:val="20"/>
        </w:rPr>
        <w:t>012019-12-31 0000879101kim:OperatingPropertiesMemberkim:RealEstateJointVenturesMember2019-12-31 0000879101kim:PrudentialInvestmentProgramMember2021-12-31 utr:M 0000879101kim:PrudentialInvestmentProgramMember2020-12-31 0000879101kim:KIRMember2021-12-31 0000</w:t>
      </w:r>
      <w:r>
        <w:rPr>
          <w:rFonts w:eastAsia="Times New Roman"/>
          <w:vanish/>
          <w:sz w:val="20"/>
          <w:szCs w:val="20"/>
        </w:rPr>
        <w:t>879101kim:KIRMember2020-12-31 0000879101us-gaap:EquityMethodInvestmentNonconsolidatedInvesteeOrGroupOfInvesteesMemberkim:KIRMember2021-12-31 0000879101us-gaap:EquityMethodInvestmentNonconsolidatedInvesteeOrGroupOfInvesteesMemberkim:KIRMember2020-12-31 0000</w:t>
      </w:r>
      <w:r>
        <w:rPr>
          <w:rFonts w:eastAsia="Times New Roman"/>
          <w:vanish/>
          <w:sz w:val="20"/>
          <w:szCs w:val="20"/>
        </w:rPr>
        <w:t>879101us-gaap:EquityMethodInvestmentNonconsolidatedInvesteeOrGroupOfInvesteesMemberkim:KIRMember2021-01-012021-12-31 0000879101us-gaap:EquityMethodInvestmentNonconsolidatedInvesteeOrGroupOfInvesteesMemberkim:KIRMember2019-01-012020-12-31 0000879101us-gaap:</w:t>
      </w:r>
      <w:r>
        <w:rPr>
          <w:rFonts w:eastAsia="Times New Roman"/>
          <w:vanish/>
          <w:sz w:val="20"/>
          <w:szCs w:val="20"/>
        </w:rPr>
        <w:t>EquityMethodInvestmentNonconsolidatedInvesteeOrGroupOfInvesteesMemberkim:KIRMember2019-01-012019-12-31 0000879101us-gaap:EquityMethodInvestmentNonconsolidatedInvesteeOrGroupOfInvesteesMemberkim:ExcludingKIRMember2021-12-31 0000879101us-gaap:EquityMethodInv</w:t>
      </w:r>
      <w:r>
        <w:rPr>
          <w:rFonts w:eastAsia="Times New Roman"/>
          <w:vanish/>
          <w:sz w:val="20"/>
          <w:szCs w:val="20"/>
        </w:rPr>
        <w:t>estmentNonconsolidatedInvesteeOrGroupOfInvesteesMemberkim:ExcludingKIRMember2020-12-31 0000879101us-gaap:EquityMethodInvestmentNonconsolidatedInvesteeOrGroupOfInvesteesMemberkim:ExcludingKIRMember2021-01-012021-12-31 0000879101us-gaap:EquityMethodInvestmen</w:t>
      </w:r>
      <w:r>
        <w:rPr>
          <w:rFonts w:eastAsia="Times New Roman"/>
          <w:vanish/>
          <w:sz w:val="20"/>
          <w:szCs w:val="20"/>
        </w:rPr>
        <w:t>tNonconsolidatedInvesteeOrGroupOfInvesteesMemberkim:ExcludingKIRMember2020-01-012020-12-31 0000879101us-gaap:EquityMethodInvestmentNonconsolidatedInvesteeOrGroupOfInvesteesMemberkim:ExcludingKIRMember2019-01-012019-12-31 0000879101kim:PreferredEquityInvest</w:t>
      </w:r>
      <w:r>
        <w:rPr>
          <w:rFonts w:eastAsia="Times New Roman"/>
          <w:vanish/>
          <w:sz w:val="20"/>
          <w:szCs w:val="20"/>
        </w:rPr>
        <w:t>mentsMember2021-12-31 0000879101kim:LeasedPropertiesMemberkim:PreferredEquityInvestmentsMember2021-12-31 0000879101kim:PreferredEquityInvestmentsMember2021-01-012021-12-31 0000879101kim:PreferredEquityInvestmentsMember2020-12-31 0000879101kim:LeasedPropert</w:t>
      </w:r>
      <w:r>
        <w:rPr>
          <w:rFonts w:eastAsia="Times New Roman"/>
          <w:vanish/>
          <w:sz w:val="20"/>
          <w:szCs w:val="20"/>
        </w:rPr>
        <w:t>iesMemberkim:PreferredEquityInvestmentsMember2020-12-31 0000879101kim:PreferredEquityInvestmentsMember2020-01-012020-12-31 0000879101kim:PreferredEquityInvestmentsMemberkim:SanAntonioTexasMember2021-01-012021-12-31 0000879101kim:PreferredEquityInvestmentsM</w:t>
      </w:r>
      <w:r>
        <w:rPr>
          <w:rFonts w:eastAsia="Times New Roman"/>
          <w:vanish/>
          <w:sz w:val="20"/>
          <w:szCs w:val="20"/>
        </w:rPr>
        <w:t>emberkim:PropertyInQueensNyMember2020-01-012020-12-31 0000879101srt:MinimumMemberkim:PreferredEquityInvestmentsMember2021-01-012021-12-31 0000879101srt:MaximumMemberkim:PreferredEquityInvestmentsMember2021-01-012021-12-31 0000879101srt:MinimumMemberkim:Pre</w:t>
      </w:r>
      <w:r>
        <w:rPr>
          <w:rFonts w:eastAsia="Times New Roman"/>
          <w:vanish/>
          <w:sz w:val="20"/>
          <w:szCs w:val="20"/>
        </w:rPr>
        <w:t>ferredEquityInvestmentsMember2021-12-31 0000879101srt:MaximumMemberkim:PreferredEquityInvestmentsMember2021-12-31 0000879101us-gaap:EquityMethodInvestmentNonconsolidatedInvesteeOrGroupOfInvesteesMemberkim:PreferredEquityInvestmentsMember2021-12-31 00008791</w:t>
      </w:r>
      <w:r>
        <w:rPr>
          <w:rFonts w:eastAsia="Times New Roman"/>
          <w:vanish/>
          <w:sz w:val="20"/>
          <w:szCs w:val="20"/>
        </w:rPr>
        <w:t>01us-gaap:EquityMethodInvestmentNonconsolidatedInvesteeOrGroupOfInvesteesMemberkim:PreferredEquityInvestmentsMember2020-12-31 0000879101us-gaap:EquityMethodInvestmentNonconsolidatedInvesteeOrGroupOfInvesteesMemberkim:PreferredEquityInvestmentsMember2021-01</w:t>
      </w:r>
      <w:r>
        <w:rPr>
          <w:rFonts w:eastAsia="Times New Roman"/>
          <w:vanish/>
          <w:sz w:val="20"/>
          <w:szCs w:val="20"/>
        </w:rPr>
        <w:t>-012021-12-31 0000879101us-gaap:EquityMethodInvestmentNonconsolidatedInvesteeOrGroupOfInvesteesMemberkim:PreferredEquityInvestmentsMember2020-01-012020-12-31 0000879101us-gaap:EquityMethodInvestmentNonconsolidatedInvesteeOrGroupOfInvesteesMemberkim:Preferr</w:t>
      </w:r>
      <w:r>
        <w:rPr>
          <w:rFonts w:eastAsia="Times New Roman"/>
          <w:vanish/>
          <w:sz w:val="20"/>
          <w:szCs w:val="20"/>
        </w:rPr>
        <w:t>edEquityInvestmentsMember2019-01-012019-12-31 0000879101kim:AlbertsonsCompaniesIncMember2021-12-31 0000879101us-gaap:OtherAssetsMemberkim:AlbertsonsCompaniesIncMember2021-12-31 0000879101kim:AlbertsonsCompaniesIncMemberus-gaap:ConvertiblePreferredStockMemb</w:t>
      </w:r>
      <w:r>
        <w:rPr>
          <w:rFonts w:eastAsia="Times New Roman"/>
          <w:vanish/>
          <w:sz w:val="20"/>
          <w:szCs w:val="20"/>
        </w:rPr>
        <w:t>er2020-06-012020-06-30 0000879101kim:AlbertsonsCompaniesIncMember2020-06-012020-06-30 0000879101kim:AlbertsonsCompaniesIncMember2020-06-30 0000879101kim:AlbertsonsCompaniesIncMember2020-06-012020-06-30 0000879101kim:AlbertsonsCompaniesIncMember2020-06-30 0</w:t>
      </w:r>
      <w:r>
        <w:rPr>
          <w:rFonts w:eastAsia="Times New Roman"/>
          <w:vanish/>
          <w:sz w:val="20"/>
          <w:szCs w:val="20"/>
        </w:rPr>
        <w:t>000879101kim:AlbertsonsCompaniesIncMemberus-gaap:IPOMember2020-06-252020-06-25 0000879101kim:AlbertsonsCompaniesIncMemberus-gaap:IPOMember2020-06-25 0000879101kim:AlbertsonsCompaniesIncMember2020-06-252020-06-25 0000879101kim:AlbertsonsCompaniesIncMember20</w:t>
      </w:r>
      <w:r>
        <w:rPr>
          <w:rFonts w:eastAsia="Times New Roman"/>
          <w:vanish/>
          <w:sz w:val="20"/>
          <w:szCs w:val="20"/>
        </w:rPr>
        <w:t>20-12-31 0000879101kim:AlbertsonsCompaniesIncMember2021-01-012021-12-31 0000879101kim:AlbertsonsCompaniesIncMember2020-01-012020-12-31 0000879101kim:ConsolidatedOperatingPropertiesMember2021-12-31 0000879101kim:ConsolidatedOperatingPropertiesMember2020-12-</w:t>
      </w:r>
      <w:r>
        <w:rPr>
          <w:rFonts w:eastAsia="Times New Roman"/>
          <w:vanish/>
          <w:sz w:val="20"/>
          <w:szCs w:val="20"/>
        </w:rPr>
        <w:t>31 0000879101kim:WeingartenRealtyInvestorsMemberkim:ConsolidatedOperatingPropertiesMember2021-08-032021-08-03 0000879101us-gaap:VariableInterestEntityPrimaryBeneficiaryMemberkim:ConsolidatedOperatingPropertiesMember2021-12-31 0000879101us-gaap:VariableInte</w:t>
      </w:r>
      <w:r>
        <w:rPr>
          <w:rFonts w:eastAsia="Times New Roman"/>
          <w:vanish/>
          <w:sz w:val="20"/>
          <w:szCs w:val="20"/>
        </w:rPr>
        <w:t>restEntityPrimaryBeneficiaryMemberkim:ConsolidatedOperatingPropertiesMember2020-12-31 0000879101kim:VariableInterestEntityUnencumberedMember2021-12-31 0000879101kim:VariableInterestEntityUnencumberedMember2020-12-31 0000879101kim:VariableInterestEntityEncu</w:t>
      </w:r>
      <w:r>
        <w:rPr>
          <w:rFonts w:eastAsia="Times New Roman"/>
          <w:vanish/>
          <w:sz w:val="20"/>
          <w:szCs w:val="20"/>
        </w:rPr>
        <w:t>mberedByThirdPartyNonResourceMortgageDebtMember2021-12-31 0000879101kim:VariableInterestEntityEncumberedByThirdPartyNonResourceMortgageDebtMember2020-12-31 0000879101us-gaap:VariableInterestEntityPrimaryBeneficiaryMember2021-12-31 0000879101us-gaap:Variabl</w:t>
      </w:r>
      <w:r>
        <w:rPr>
          <w:rFonts w:eastAsia="Times New Roman"/>
          <w:vanish/>
          <w:sz w:val="20"/>
          <w:szCs w:val="20"/>
        </w:rPr>
        <w:t>eInterestEntityPrimaryBeneficiaryMember2020-12-31 0000879101us-gaap:VariableInterestEntityPrimaryBeneficiaryMemberus-gaap:AssetPledgedAsCollateralMember2021-12-31 0000879101us-gaap:VariableInterestEntityPrimaryBeneficiaryMemberus-gaap:AssetPledgedAsCollate</w:t>
      </w:r>
      <w:r>
        <w:rPr>
          <w:rFonts w:eastAsia="Times New Roman"/>
          <w:vanish/>
          <w:sz w:val="20"/>
          <w:szCs w:val="20"/>
        </w:rPr>
        <w:t>ralMember2020-12-31 0000879101us-gaap:VariableInterestEntityPrimaryBeneficiaryMemberus-gaap:NonrecourseMember2021-12-31 0000879101us-gaap:VariableInterestEntityPrimaryBeneficiaryMemberus-gaap:NonrecourseMember2020-12-31 0000879101kim:Covid19Member2021-01-0</w:t>
      </w:r>
      <w:r>
        <w:rPr>
          <w:rFonts w:eastAsia="Times New Roman"/>
          <w:vanish/>
          <w:sz w:val="20"/>
          <w:szCs w:val="20"/>
        </w:rPr>
        <w:t>12021-12-31 0000879101kim:Covid19Member2020-01-012020-12-31 0000879101kim:Covid19Member2019-01-012019-12-31 0000879101kim:ShoppingCentersMembersrt:MinimumMember2021-12-31 0000879101kim:ShoppingCentersMembersrt:MaximumMember2021-12-31 0000879101kim:RentalRe</w:t>
      </w:r>
      <w:r>
        <w:rPr>
          <w:rFonts w:eastAsia="Times New Roman"/>
          <w:vanish/>
          <w:sz w:val="20"/>
          <w:szCs w:val="20"/>
        </w:rPr>
        <w:t>venueMemberus-gaap:CustomerConcentrationRiskMemberkim:AnnualMinimumRentalsPlusIncrementalRentsMember2021-01-012021-12-31 0000879101kim:RentalRevenueMemberus-gaap:CustomerConcentrationRiskMemberkim:AnnualMinimumRentalsPlusIncrementalRentsMember2020-01-01202</w:t>
      </w:r>
      <w:r>
        <w:rPr>
          <w:rFonts w:eastAsia="Times New Roman"/>
          <w:vanish/>
          <w:sz w:val="20"/>
          <w:szCs w:val="20"/>
        </w:rPr>
        <w:t>0-12-31 0000879101kim:RentalRevenueMemberus-gaap:CustomerConcentrationRiskMemberkim:AnnualMinimumRentalsPlusIncrementalRentsMember2019-01-012019-12-31 0000879101srt:MaximumMember2021-12-31 0000879101srt:MaximumMember2020-12-31 0000879101us-gaap:PerformingF</w:t>
      </w:r>
      <w:r>
        <w:rPr>
          <w:rFonts w:eastAsia="Times New Roman"/>
          <w:vanish/>
          <w:sz w:val="20"/>
          <w:szCs w:val="20"/>
        </w:rPr>
        <w:t>inancingReceivableMember2021-12-31 0000879101us-gaap:NonperformingFinancingReceivableMember2021-12-31 0000879101kim:NotesPayableMemberus-gaap:UnsecuredDebtMember2021-12-31 0000879101kim:NotesPayableMemberus-gaap:UnsecuredDebtMember2020-12-31 0000879101kim:</w:t>
      </w:r>
      <w:r>
        <w:rPr>
          <w:rFonts w:eastAsia="Times New Roman"/>
          <w:vanish/>
          <w:sz w:val="20"/>
          <w:szCs w:val="20"/>
        </w:rPr>
        <w:t>NotesPayableMemberus-gaap:UnsecuredDebtMembersrt:MinimumMember2021-12-31 0000879101kim:NotesPayableMemberus-gaap:UnsecuredDebtMembersrt:MaximumMember2021-12-31 0000879101kim:NotesPayableMemberus-gaap:UnsecuredDebtMembersrt:MinimumMember2020-12-31 000087910</w:t>
      </w:r>
      <w:r>
        <w:rPr>
          <w:rFonts w:eastAsia="Times New Roman"/>
          <w:vanish/>
          <w:sz w:val="20"/>
          <w:szCs w:val="20"/>
        </w:rPr>
        <w:t>1kim:NotesPayableMemberus-gaap:UnsecuredDebtMembersrt:MaximumMember2020-12-31 0000879101kim:NotesPayableMemberus-gaap:LineOfCreditMember2021-12-31 0000879101kim:NotesPayableMemberus-gaap:LineOfCreditMember2020-12-31 0000879101kim:NotesPayableMemberus-gaap:</w:t>
      </w:r>
      <w:r>
        <w:rPr>
          <w:rFonts w:eastAsia="Times New Roman"/>
          <w:vanish/>
          <w:sz w:val="20"/>
          <w:szCs w:val="20"/>
        </w:rPr>
        <w:t>LineOfCreditMembersrt:WeightedAverageMember2021-12-31 0000879101kim:NotesPayableMemberus-gaap:LineOfCreditMembersrt:WeightedAverageMember2020-12-31 0000879101kim:NotesPayableMember2021-01-012021-12-31 0000879101kim:NotesPayableMember2020-01-012020-12-31 00</w:t>
      </w:r>
      <w:r>
        <w:rPr>
          <w:rFonts w:eastAsia="Times New Roman"/>
          <w:vanish/>
          <w:sz w:val="20"/>
          <w:szCs w:val="20"/>
        </w:rPr>
        <w:t>00879101kim:NotesPayableMember2021-12-31 0000879101kim:NotesPayableMember2020-12-31 0000879101srt:WeightedAverageMember2021-12-31 0000879101srt:WeightedAverageMember2020-12-31 0000879101us-gaap:RevolvingCreditFacilityMemberus-gaap:LondonInterbankOfferedRat</w:t>
      </w:r>
      <w:r>
        <w:rPr>
          <w:rFonts w:eastAsia="Times New Roman"/>
          <w:vanish/>
          <w:sz w:val="20"/>
          <w:szCs w:val="20"/>
        </w:rPr>
        <w:t>eLIBORMember2021-01-012021-12-31 0000879101us-gaap:OtherAssetsMemberus-gaap:RevolvingCreditFacilityMember2021-12-31 0000879101us-gaap:OtherAssetsMemberus-gaap:RevolvingCreditFacilityMember2020-12-31 0000879101kim:SeniorUnsecuredNotesAssumedInTheWeingartenA</w:t>
      </w:r>
      <w:r>
        <w:rPr>
          <w:rFonts w:eastAsia="Times New Roman"/>
          <w:vanish/>
          <w:sz w:val="20"/>
          <w:szCs w:val="20"/>
        </w:rPr>
        <w:t>cquisitionMember2021-08-032021-08-03 0000879101kim:SeniorUnsecuredNotesAssumedInTheWeingartenAcquisitionMembersrt:MinimumMember2021-08-03 0000879101kim:SeniorUnsecuredNotesAssumedInTheWeingartenAcquisitionMembersrt:MaximumMember2021-08-03 0000879101kim:Sen</w:t>
      </w:r>
      <w:r>
        <w:rPr>
          <w:rFonts w:eastAsia="Times New Roman"/>
          <w:vanish/>
          <w:sz w:val="20"/>
          <w:szCs w:val="20"/>
        </w:rPr>
        <w:t>iorUnsecuredNotes1Member2021-12-31 0000879101kim:SeniorUnsecuredNotes2Member2021-12-31 0000879101kim:SeniorUnsecuredNotes3Member2021-12-31 0000879101kim:SeniorNote1Member2020-01-012020-12-31 0000879101kim:SeniorNote1Member2020-12-31 0000879101kim:SeniorUns</w:t>
      </w:r>
      <w:r>
        <w:rPr>
          <w:rFonts w:eastAsia="Times New Roman"/>
          <w:vanish/>
          <w:sz w:val="20"/>
          <w:szCs w:val="20"/>
        </w:rPr>
        <w:t>ecuredNotesMemberus-gaap:SubsequentEventMember2022-02-15 0000879101kim:SeniorUnsecuredNotesMemberus-gaap:SubsequentEventMember2022-02-152022-02-15 0000879101kim:SeniorUnsecuredNotesMemberus-gaap:SubsequentEventMember2022-02-01 0000879101us-gaap:UnsecuredDe</w:t>
      </w:r>
      <w:r>
        <w:rPr>
          <w:rFonts w:eastAsia="Times New Roman"/>
          <w:vanish/>
          <w:sz w:val="20"/>
          <w:szCs w:val="20"/>
        </w:rPr>
        <w:t>btMember2021-01-012021-12-31 0000879101us-gaap:UnsecuredDebtMember2021-12-31 0000879101kim:TermLoanMember2020-04-01 0000879101kim:TermLoanMemberus-gaap:LondonInterbankOfferedRateLIBORMember2020-04-012020-04-01 0000879101kim:TermLoanMemberus-gaap:BaseRateMe</w:t>
      </w:r>
      <w:r>
        <w:rPr>
          <w:rFonts w:eastAsia="Times New Roman"/>
          <w:vanish/>
          <w:sz w:val="20"/>
          <w:szCs w:val="20"/>
        </w:rPr>
        <w:t>mber2020-04-012020-04-01 0000879101us-gaap:RevolvingCreditFacilityMember2020-02-29 0000879101us-gaap:RevolvingCreditFacilityMember2020-01-31 0000879101us-gaap:RevolvingCreditFacilityMember2020-01-012020-12-31 0000879101us-gaap:RevolvingCreditFacilityMember</w:t>
      </w:r>
      <w:r>
        <w:rPr>
          <w:rFonts w:eastAsia="Times New Roman"/>
          <w:vanish/>
          <w:sz w:val="20"/>
          <w:szCs w:val="20"/>
        </w:rPr>
        <w:t>2020-02-012020-02-29 0000879101us-gaap:RevolvingCreditFacilityMember2021-12-31 0000879101us-gaap:RevolvingCreditFacilityMemberkim:CreditFacilityAccordionFeatureMember2020-02-29 0000879101us-gaap:LetterOfCreditMember2021-12-31 0000879101us-gaap:MortgagesMem</w:t>
      </w:r>
      <w:r>
        <w:rPr>
          <w:rFonts w:eastAsia="Times New Roman"/>
          <w:vanish/>
          <w:sz w:val="20"/>
          <w:szCs w:val="20"/>
        </w:rPr>
        <w:t>ber2021-12-31 0000879101us-gaap:MortgagesMember2020-12-31 0000879101us-gaap:MortgagesMembersrt:MinimumMember2021-12-31 0000879101us-gaap:MortgagesMembersrt:MaximumMember2021-12-31 0000879101us-gaap:MortgagesMembersrt:MinimumMember2020-12-31 0000879101us-ga</w:t>
      </w:r>
      <w:r>
        <w:rPr>
          <w:rFonts w:eastAsia="Times New Roman"/>
          <w:vanish/>
          <w:sz w:val="20"/>
          <w:szCs w:val="20"/>
        </w:rPr>
        <w:t>ap:MortgagesMembersrt:MaximumMember2020-12-31 0000879101us-gaap:MortgagesMembersrt:WeightedAverageMember2020-12-31 0000879101kim:NonrecourseMortagesAssumedThroughConsolidationMember2021-01-012021-12-31 0000879101kim:NonrecourseMortagesAssumedThroughConsoli</w:t>
      </w:r>
      <w:r>
        <w:rPr>
          <w:rFonts w:eastAsia="Times New Roman"/>
          <w:vanish/>
          <w:sz w:val="20"/>
          <w:szCs w:val="20"/>
        </w:rPr>
        <w:t>dationMember2021-12-31 0000879101kim:MortgageDebtEncumberedOperatingPropertyMember2021-01-012021-12-31 0000879101kim:MortgageDebtEncumberedOperatingPropertyMember2021-12-31 0000879101kim:NonrecouseMortgageDebtRelatedToPropertyDeconsolidatedMember2021-01-01</w:t>
      </w:r>
      <w:r>
        <w:rPr>
          <w:rFonts w:eastAsia="Times New Roman"/>
          <w:vanish/>
          <w:sz w:val="20"/>
          <w:szCs w:val="20"/>
        </w:rPr>
        <w:t>2021-12-31 0000879101kim:NonrecouseMortgageDebtRelatedToPropertyDeconsolidatedMember2021-12-31 0000879101kim:MortgageDebtAssumedInTheWeingartenAcquisitionMember2021-08-032021-08-03 0000879101kim:MortgageDebtAssumedInTheWeingartenAcquisitionMember2021-08-03</w:t>
      </w:r>
      <w:r>
        <w:rPr>
          <w:rFonts w:eastAsia="Times New Roman"/>
          <w:vanish/>
          <w:sz w:val="20"/>
          <w:szCs w:val="20"/>
        </w:rPr>
        <w:t xml:space="preserve"> 0000879101kim:MortgageDebtAssumedInTheWeingartenAcquisitionMembersrt:MinimumMember2021-08-03 0000879101kim:MortgageDebtAssumedInTheWeingartenAcquisitionMembersrt:MaximumMember2021-08-03 0000879101kim:MortgageDebtEncumberedOperatingPropertyMember2020-01-01</w:t>
      </w:r>
      <w:r>
        <w:rPr>
          <w:rFonts w:eastAsia="Times New Roman"/>
          <w:vanish/>
          <w:sz w:val="20"/>
          <w:szCs w:val="20"/>
        </w:rPr>
        <w:t>2020-12-31 0000879101kim:MortgageDebtEncumberedOperatingPropertyMember2020-12-31 0000879101kim:MortgagesPayableAndConstructionLoansMember2021-12-31 0000879101country:PR2021-12-31 0000879101kim:NonconvertibleUnitsMembercountry:PR2021-01-012021-12-31 0000879</w:t>
      </w:r>
      <w:r>
        <w:rPr>
          <w:rFonts w:eastAsia="Times New Roman"/>
          <w:vanish/>
          <w:sz w:val="20"/>
          <w:szCs w:val="20"/>
        </w:rPr>
        <w:t>101kim:ConvertibleUnitsMembercountry:PR2021-01-012021-12-31 0000879101country:PR2021-01-012021-12-31 0000879101kim:PremiumsMembercountry:PR2021-01-012021-12-31 0000879101kim:FairMarketValueAdjustmentsMembercountry:PR2021-01-012021-12-31 0000879101country:P</w:t>
      </w:r>
      <w:r>
        <w:rPr>
          <w:rFonts w:eastAsia="Times New Roman"/>
          <w:vanish/>
          <w:sz w:val="20"/>
          <w:szCs w:val="20"/>
        </w:rPr>
        <w:t>R2020-12-31 0000879101kim:ClassB1PreferredUnitsMember2021-12-31 0000879101kim:ClassB1PreferredUnitsMember2021-01-012021-12-31 0000879101kim:ClassB2PreferredUnitsMember2021-12-31 0000879101kim:ClassB2PreferredUnitsMember2021-01-012021-12-31 0000879101kim:Cl</w:t>
      </w:r>
      <w:r>
        <w:rPr>
          <w:rFonts w:eastAsia="Times New Roman"/>
          <w:vanish/>
          <w:sz w:val="20"/>
          <w:szCs w:val="20"/>
        </w:rPr>
        <w:t>assCDownreitUnitsMember2021-12-31 0000879101kim:ClassCDownreitUnitsMember2021-01-012021-12-31 0000879101kim:CapitalUnitsClassBMember2006-01-012006-12-31 0000879101kim:CapitalUnitsClassBMember2006-12-31 0000879101kim:CapitalUnitsClassBMember2007-01-012007-1</w:t>
      </w:r>
      <w:r>
        <w:rPr>
          <w:rFonts w:eastAsia="Times New Roman"/>
          <w:vanish/>
          <w:sz w:val="20"/>
          <w:szCs w:val="20"/>
        </w:rPr>
        <w:t>2-31 0000879101kim:CapitalUnitsClassBMember2019-01-012019-12-31 0000879101kim:CapitalUnitsClassBMember2018-01-012018-12-31 0000879101kim:CapitalUnitsClassBMember2020-12-31 0000879101kim:CapitalUnitsClassBMember2021-12-31 0000879101kim:ConvertibleUnitsMembe</w:t>
      </w:r>
      <w:r>
        <w:rPr>
          <w:rFonts w:eastAsia="Times New Roman"/>
          <w:vanish/>
          <w:sz w:val="20"/>
          <w:szCs w:val="20"/>
        </w:rPr>
        <w:t>r2006-12-31 0000879101kim:ConvertibleUnitsMember2006-01-012006-12-31 0000879101kim:FairMarketValueAdjustmentsMemberkim:ConvertibleUnitsMember2006-01-012006-12-31 0000879101kim:WeingartenRealtyInvestorsMemberkim:ConsolidatedJointVenturesStructuredAsDownREIT</w:t>
      </w:r>
      <w:r>
        <w:rPr>
          <w:rFonts w:eastAsia="Times New Roman"/>
          <w:vanish/>
          <w:sz w:val="20"/>
          <w:szCs w:val="20"/>
        </w:rPr>
        <w:t>PartnershipsMember2021-08-032021-08-03 0000879101kim:WeingartenRealtyInvestorsMemberkim:RaleighLimitedPartnershipMember2021-08-03 0000879101kim:WeingartenRealtyInvestorsMemberkim:MadisonVillageLimitedPartnershipMember2021-08-03 0000879101kim:WeingartenReal</w:t>
      </w:r>
      <w:r>
        <w:rPr>
          <w:rFonts w:eastAsia="Times New Roman"/>
          <w:vanish/>
          <w:sz w:val="20"/>
          <w:szCs w:val="20"/>
        </w:rPr>
        <w:t>tyInvestorsMemberkim:ConsolidatedJointVenturesStructuredAsDownREITPartnershipsMember2021-08-03 0000879101kim:ConsolidatedJointVenturesStructuredAsDownREITPartnershipsMember2021-01-012021-12-31 0000879101kim:ConsolidatedJointVenturesStructuredAsDownREITPart</w:t>
      </w:r>
      <w:r>
        <w:rPr>
          <w:rFonts w:eastAsia="Times New Roman"/>
          <w:vanish/>
          <w:sz w:val="20"/>
          <w:szCs w:val="20"/>
        </w:rPr>
        <w:t>nershipsMemberus-gaap:NoncontrollingInterestMember2021-01-012021-12-31 0000879101kim:ConsolidatedJointVenturesStructuredAsDownREITPartnershipsMemberus-gaap:AdditionalPaidInCapitalMember2021-01-012021-12-31 0000879101kim:WeingartenRealtyInvestorsMemberkim:C</w:t>
      </w:r>
      <w:r>
        <w:rPr>
          <w:rFonts w:eastAsia="Times New Roman"/>
          <w:vanish/>
          <w:sz w:val="20"/>
          <w:szCs w:val="20"/>
        </w:rPr>
        <w:t>onsolidatedJointVenturesOtherThanDownreitPartnershipsMember2021-12-31 0000879101kim:WeingartenRealtyInvestorsMemberkim:ConsolidatedJointVenturesOtherThanDownreitPartnershipsMember2021-08-032021-08-03 0000879101kim:WeingartenRealtyInvestorsMemberkim:Consoli</w:t>
      </w:r>
      <w:r>
        <w:rPr>
          <w:rFonts w:eastAsia="Times New Roman"/>
          <w:vanish/>
          <w:sz w:val="20"/>
          <w:szCs w:val="20"/>
        </w:rPr>
        <w:t>datedJointVenturesOtherThanDownreitPartnershipsMember2021-08-03 0000879101kim:KIMRDCLLCMemberkim:JointVentureWithKpLancewoodMember2021-01-31 0000879101kim:OperatingPropertiesMemberus-gaap:VariableInterestEntityPrimaryBeneficiaryMemberkim:KIMRDCLLCMember202</w:t>
      </w:r>
      <w:r>
        <w:rPr>
          <w:rFonts w:eastAsia="Times New Roman"/>
          <w:vanish/>
          <w:sz w:val="20"/>
          <w:szCs w:val="20"/>
        </w:rPr>
        <w:t>1-01-012021-01-31 0000879101us-gaap:VariableInterestEntityPrimaryBeneficiaryMemberus-gaap:DiscontinuedOperationsDisposedOfBySaleMemberkim:DisposalOfTwoOperatingPropertiesMemberkim:KIMRDCLLCMember2021-06-012021-06-30 0000879101us-gaap:VariableInterestEntity</w:t>
      </w:r>
      <w:r>
        <w:rPr>
          <w:rFonts w:eastAsia="Times New Roman"/>
          <w:vanish/>
          <w:sz w:val="20"/>
          <w:szCs w:val="20"/>
        </w:rPr>
        <w:t>PrimaryBeneficiaryMemberus-gaap:DiscontinuedOperationsDisposedOfBySaleMemberkim:DisposalOfTwoOperatingPropertiesMemberkim:KIMRDCLLCMember2021-06-30 0000879101us-gaap:DiscontinuedOperationsDisposedOfBySaleMemberkim:DisposalOfTwoOperatingPropertiesMemberkim:</w:t>
      </w:r>
      <w:r>
        <w:rPr>
          <w:rFonts w:eastAsia="Times New Roman"/>
          <w:vanish/>
          <w:sz w:val="20"/>
          <w:szCs w:val="20"/>
        </w:rPr>
        <w:t>KPRMember2021-06-012021-06-30 0000879101us-gaap:MeasurementInputCapRateMember2021-01-012021-12-31 0000879101us-gaap:MeasurementInputDiscountRateMember2021-01-012021-12-31 0000879101us-gaap:CarryingReportedAmountFairValueDisclosureMember2021-12-31 000087910</w:t>
      </w:r>
      <w:r>
        <w:rPr>
          <w:rFonts w:eastAsia="Times New Roman"/>
          <w:vanish/>
          <w:sz w:val="20"/>
          <w:szCs w:val="20"/>
        </w:rPr>
        <w:t>1us-gaap:EstimateOfFairValueFairValueDisclosureMember2021-12-31 0000879101us-gaap:CarryingReportedAmountFairValueDisclosureMember2020-12-31 0000879101us-gaap:EstimateOfFairValueFairValueDisclosureMember2020-12-31 0000879101us-gaap:CarryingReportedAmountFai</w:t>
      </w:r>
      <w:r>
        <w:rPr>
          <w:rFonts w:eastAsia="Times New Roman"/>
          <w:vanish/>
          <w:sz w:val="20"/>
          <w:szCs w:val="20"/>
        </w:rPr>
        <w:t>rValueDisclosureMemberus-gaap:MortgagesMember2021-12-31 0000879101us-gaap:EstimateOfFairValueFairValueDisclosureMemberus-gaap:MortgagesMember2021-12-31 0000879101us-gaap:CarryingReportedAmountFairValueDisclosureMemberus-gaap:MortgagesMember2020-12-31 00008</w:t>
      </w:r>
      <w:r>
        <w:rPr>
          <w:rFonts w:eastAsia="Times New Roman"/>
          <w:vanish/>
          <w:sz w:val="20"/>
          <w:szCs w:val="20"/>
        </w:rPr>
        <w:t>79101us-gaap:EstimateOfFairValueFairValueDisclosureMemberus-gaap:MortgagesMember2020-12-31 0000879101us-gaap:FairValueInputsLevel2Memberus-gaap:EstimateOfFairValueFairValueDisclosureMember2021-12-31 0000879101us-gaap:FairValueInputsLevel2Memberus-gaap:Esti</w:t>
      </w:r>
      <w:r>
        <w:rPr>
          <w:rFonts w:eastAsia="Times New Roman"/>
          <w:vanish/>
          <w:sz w:val="20"/>
          <w:szCs w:val="20"/>
        </w:rPr>
        <w:t>mateOfFairValueFairValueDisclosureMember2020-12-31 0000879101us-gaap:FairValueMeasurementsRecurringMember2021-12-31 0000879101us-gaap:FairValueInputsLevel1Memberus-gaap:FairValueMeasurementsRecurringMember2021-12-31 0000879101us-gaap:FairValueInputsLevel2M</w:t>
      </w:r>
      <w:r>
        <w:rPr>
          <w:rFonts w:eastAsia="Times New Roman"/>
          <w:vanish/>
          <w:sz w:val="20"/>
          <w:szCs w:val="20"/>
        </w:rPr>
        <w:t>emberus-gaap:FairValueMeasurementsRecurringMember2021-12-31 0000879101us-gaap:FairValueMeasurementsRecurringMember2020-12-31 0000879101us-gaap:FairValueInputsLevel1Memberus-gaap:FairValueMeasurementsRecurringMember2020-12-31 0000879101us-gaap:FairValueInpu</w:t>
      </w:r>
      <w:r>
        <w:rPr>
          <w:rFonts w:eastAsia="Times New Roman"/>
          <w:vanish/>
          <w:sz w:val="20"/>
          <w:szCs w:val="20"/>
        </w:rPr>
        <w:t>tsLevel3Memberus-gaap:FairValueMeasurementsRecurringMember2020-12-31 0000879101us-gaap:FairValueMeasurementsNonrecurringMember2021-12-31 0000879101us-gaap:FairValueInputsLevel1Memberus-gaap:FairValueMeasurementsNonrecurringMember2021-12-31 0000879101us-gaa</w:t>
      </w:r>
      <w:r>
        <w:rPr>
          <w:rFonts w:eastAsia="Times New Roman"/>
          <w:vanish/>
          <w:sz w:val="20"/>
          <w:szCs w:val="20"/>
        </w:rPr>
        <w:t>p:FairValueInputsLevel2Memberus-gaap:FairValueMeasurementsNonrecurringMember2021-12-31 0000879101us-gaap:FairValueInputsLevel3Memberus-gaap:FairValueMeasurementsNonrecurringMember2021-12-31 0000879101us-gaap:FairValueMeasurementsNonrecurringMember2020-12-3</w:t>
      </w:r>
      <w:r>
        <w:rPr>
          <w:rFonts w:eastAsia="Times New Roman"/>
          <w:vanish/>
          <w:sz w:val="20"/>
          <w:szCs w:val="20"/>
        </w:rPr>
        <w:t>1 0000879101us-gaap:FairValueInputsLevel1Memberus-gaap:FairValueMeasurementsNonrecurringMember2020-12-31 0000879101us-gaap:FairValueInputsLevel2Memberus-gaap:FairValueMeasurementsNonrecurringMember2020-12-31 0000879101us-gaap:FairValueInputsLevel3Memberus-</w:t>
      </w:r>
      <w:r>
        <w:rPr>
          <w:rFonts w:eastAsia="Times New Roman"/>
          <w:vanish/>
          <w:sz w:val="20"/>
          <w:szCs w:val="20"/>
        </w:rPr>
        <w:t>gaap:FairValueMeasurementsNonrecurringMember2020-12-31 0000879101kim:SeriesLPreferredStockMember2021-12-31 0000879101kim:SeriesLPreferredStockMember2021-01-012021-12-31 0000879101kim:SeriesMPreferredStockMember2021-12-31 0000879101kim:SeriesMPreferredStock</w:t>
      </w:r>
      <w:r>
        <w:rPr>
          <w:rFonts w:eastAsia="Times New Roman"/>
          <w:vanish/>
          <w:sz w:val="20"/>
          <w:szCs w:val="20"/>
        </w:rPr>
        <w:t>Member2021-01-012021-12-31 0000879101us-gaap:RedeemablePreferredStockMember2021-12-31 0000879101kim:SeriesIJKLOrMPreferredStockMember2021-12-31 0000879101kim:SeriesIPreferredStockMember2021-12-31 0000879101kim:SeriesJPreferredStockMember2021-12-31 00008791</w:t>
      </w:r>
      <w:r>
        <w:rPr>
          <w:rFonts w:eastAsia="Times New Roman"/>
          <w:vanish/>
          <w:sz w:val="20"/>
          <w:szCs w:val="20"/>
        </w:rPr>
        <w:t>01kim:DepositaryShareMember2021-12-31 0000879101kim:ATMProgramMember2019-09-30 0000879101kim:ATMProgramMember2019-09-012019-09-30 0000879101kim:ATMProgramMember2021-01-012021-12-31 0000879101kim:ATMProgramMember2021-12-31 0000879101kim:ShareRepurchaseProgr</w:t>
      </w:r>
      <w:r>
        <w:rPr>
          <w:rFonts w:eastAsia="Times New Roman"/>
          <w:vanish/>
          <w:sz w:val="20"/>
          <w:szCs w:val="20"/>
        </w:rPr>
        <w:t>amMember2021-12-31 0000879101kim:ShareRepurchaseProgramMember2021-01-012021-12-31 0000879101kim:ShareRepurchaseProgramMember2020-01-012020-12-31 0000879101kim:ConvertibleUnitsMember2021-12-31 0000879101kim:SeriesIPreferredStockMember2021-01-012021-12-31 00</w:t>
      </w:r>
      <w:r>
        <w:rPr>
          <w:rFonts w:eastAsia="Times New Roman"/>
          <w:vanish/>
          <w:sz w:val="20"/>
          <w:szCs w:val="20"/>
        </w:rPr>
        <w:t>00879101kim:SeriesIPreferredStockMember2020-01-012020-12-31 0000879101kim:SeriesIPreferredStockMember2019-01-012019-12-31 0000879101kim:SeriesJPreferredStockMember2021-01-012021-12-31 0000879101kim:SeriesJPreferredStockMember2020-01-012020-12-31 0000879101</w:t>
      </w:r>
      <w:r>
        <w:rPr>
          <w:rFonts w:eastAsia="Times New Roman"/>
          <w:vanish/>
          <w:sz w:val="20"/>
          <w:szCs w:val="20"/>
        </w:rPr>
        <w:t>kim:SeriesJPreferredStockMember2019-01-012019-12-31 0000879101kim:SeriesKPreferredStockMember2021-01-012021-12-31 0000879101kim:SeriesKPreferredStockMember2020-01-012020-12-31 0000879101kim:SeriesKPreferredStockMember2019-01-012019-12-31 0000879101kim:Seri</w:t>
      </w:r>
      <w:r>
        <w:rPr>
          <w:rFonts w:eastAsia="Times New Roman"/>
          <w:vanish/>
          <w:sz w:val="20"/>
          <w:szCs w:val="20"/>
        </w:rPr>
        <w:t>esLPreferredStockMember2020-01-012020-12-31 0000879101kim:SeriesLPreferredStockMember2019-01-012019-12-31 0000879101kim:SeriesMPreferredStockMember2020-01-012020-12-31 0000879101kim:SeriesMPreferredStockMember2019-01-012019-12-31 0000879101kim:WeingartenRe</w:t>
      </w:r>
      <w:r>
        <w:rPr>
          <w:rFonts w:eastAsia="Times New Roman"/>
          <w:vanish/>
          <w:sz w:val="20"/>
          <w:szCs w:val="20"/>
        </w:rPr>
        <w:t>altyInvestorsMember2020-12-31 0000879101kim:WeingartenRealtyInvestorsMember2019-12-31 0000879101kim:WeingartenRealtyInvestorsMember2019-01-012019-12-31 0000879101kim:RipcoMembersrt:OfficerMember2021-12-31 0000879101kim:RipcoMember2021-01-012021-12-31 00008</w:t>
      </w:r>
      <w:r>
        <w:rPr>
          <w:rFonts w:eastAsia="Times New Roman"/>
          <w:vanish/>
          <w:sz w:val="20"/>
          <w:szCs w:val="20"/>
        </w:rPr>
        <w:t>79101kim:RipcoMember2020-01-012020-12-31 0000879101kim:RipcoMember2019-01-012019-12-31 0000879101kim:FifthWallsClimateTechnologyFundMember2021-09-30 0000879101kim:FifthWallsClimateTechnologyFundMember2021-09-012021-09-30 0000879101kim:TwoInvestmentsWithFun</w:t>
      </w:r>
      <w:r>
        <w:rPr>
          <w:rFonts w:eastAsia="Times New Roman"/>
          <w:vanish/>
          <w:sz w:val="20"/>
          <w:szCs w:val="20"/>
        </w:rPr>
        <w:t>dingCommitmentsMember2021-12-31 0000879101kim:TwoInvestmentsWithFundingCommitmentsMember2021-01-012021-12-31 0000879101kim:SeriesABondMember2021-12-31 0000879101kim:The2020EquityParticipationPlanMember2020-05-31 0000879101kim:The2020EquityParticipationPlan</w:t>
      </w:r>
      <w:r>
        <w:rPr>
          <w:rFonts w:eastAsia="Times New Roman"/>
          <w:vanish/>
          <w:sz w:val="20"/>
          <w:szCs w:val="20"/>
        </w:rPr>
        <w:t>Member2021-12-31 0000879101us-gaap:RestrictedStockMember2020-12-31 0000879101us-gaap:RestrictedStockMember2019-12-31 0000879101us-gaap:RestrictedStockMember2018-12-31 0000879101us-gaap:RestrictedStockMember2021-01-012021-12-31 0000879101us-gaap:RestrictedS</w:t>
      </w:r>
      <w:r>
        <w:rPr>
          <w:rFonts w:eastAsia="Times New Roman"/>
          <w:vanish/>
          <w:sz w:val="20"/>
          <w:szCs w:val="20"/>
        </w:rPr>
        <w:t>tockMember2020-01-012020-12-31 0000879101us-gaap:RestrictedStockMember2019-01-012019-12-31 0000879101us-gaap:RestrictedStockMember2021-12-31 0000879101us-gaap:PerformanceSharesMember2020-12-31 0000879101us-gaap:PerformanceSharesMember2019-12-31 0000879101u</w:t>
      </w:r>
      <w:r>
        <w:rPr>
          <w:rFonts w:eastAsia="Times New Roman"/>
          <w:vanish/>
          <w:sz w:val="20"/>
          <w:szCs w:val="20"/>
        </w:rPr>
        <w:t>s-gaap:PerformanceSharesMember2018-12-31 0000879101us-gaap:PerformanceSharesMember2021-01-012021-12-31 0000879101us-gaap:PerformanceSharesMember2020-01-012020-12-31 0000879101us-gaap:PerformanceSharesMember2019-01-012019-12-31 0000879101us-gaap:Performance</w:t>
      </w:r>
      <w:r>
        <w:rPr>
          <w:rFonts w:eastAsia="Times New Roman"/>
          <w:vanish/>
          <w:sz w:val="20"/>
          <w:szCs w:val="20"/>
        </w:rPr>
        <w:t>SharesMember2021-12-31 0000879101kim:EmployeeMember2021-01-012021-12-31 0000879101kim:MergerChargesMemberkim:EmployeeMember2021-01-012021-12-31 0000879101kim:EmployeeMember2020-01-012020-12-31 0000879101kim:EmployeeMember2019-01-012019-12-31 0000879101kim:</w:t>
      </w:r>
      <w:r>
        <w:rPr>
          <w:rFonts w:eastAsia="Times New Roman"/>
          <w:vanish/>
          <w:sz w:val="20"/>
          <w:szCs w:val="20"/>
        </w:rPr>
        <w:t>TheWeingartenRealtyNoncontributoryQualifiedCashBalanceRetirementPlanMember2021-01-012021-12-31 00008791012021-08-03 00008791012021-08-042021-12-31 0000879101kim:TheWeingartenRealtyNoncontributoryQualifiedCashBalanceRetirementPlanMember2021-12-31 0000879101</w:t>
      </w:r>
      <w:r>
        <w:rPr>
          <w:rFonts w:eastAsia="Times New Roman"/>
          <w:vanish/>
          <w:sz w:val="20"/>
          <w:szCs w:val="20"/>
        </w:rPr>
        <w:t>us-gaap:DefinedBenefitPlanCashMember2021-12-31 0000879101kim:LargeCompanyFundsMember2021-12-31 0000879101kim:MidCompanyFundsMember2021-12-31 0000879101kim:SmallCompanyFundsMember2021-12-31 0000879101kim:InternationalFundsMember2021-12-31 0000879101us-gaap:</w:t>
      </w:r>
      <w:r>
        <w:rPr>
          <w:rFonts w:eastAsia="Times New Roman"/>
          <w:vanish/>
          <w:sz w:val="20"/>
          <w:szCs w:val="20"/>
        </w:rPr>
        <w:t>FixedIncomeFundsMember2021-12-31 0000879101kim:GrowthFundsMember2021-12-31 0000879101us-gaap:TechnologySectorMember2021-12-31 0000879101us-gaap:HealthcareSectorMember2021-12-31 0000879101kim:ConsumerCyclicalGoodMember2021-12-31 0000879101us-gaap:FinancialS</w:t>
      </w:r>
      <w:r>
        <w:rPr>
          <w:rFonts w:eastAsia="Times New Roman"/>
          <w:vanish/>
          <w:sz w:val="20"/>
          <w:szCs w:val="20"/>
        </w:rPr>
        <w:t>ervicesSectorMember2021-12-31 0000879101kim:CommunicationMember2021-12-31 0000879101kim:GAAPNetLossincomeOfTaxableREITSubsidiariesMember2021-01-012021-12-31 0000879101kim:GAAPNetLossincomeOfTaxableREITSubsidiariesMember2020-01-012020-12-31 0000879101kim:GA</w:t>
      </w:r>
      <w:r>
        <w:rPr>
          <w:rFonts w:eastAsia="Times New Roman"/>
          <w:vanish/>
          <w:sz w:val="20"/>
          <w:szCs w:val="20"/>
        </w:rPr>
        <w:t>APNetLossincomeOfTaxableREITSubsidiariesMember2019-01-012019-12-31 0000879101kim:GAAPNetIncomeFromREITOperationsMember2021-01-012021-12-31 0000879101kim:GAAPNetIncomeFromREITOperationsMember2020-01-012020-12-31 0000879101kim:GAAPNetIncomeFromREITOperations</w:t>
      </w:r>
      <w:r>
        <w:rPr>
          <w:rFonts w:eastAsia="Times New Roman"/>
          <w:vanish/>
          <w:sz w:val="20"/>
          <w:szCs w:val="20"/>
        </w:rPr>
        <w:t>Member2019-01-012019-12-31 0000879101us-gaap:EmployeeStockOptionMember2021-01-012021-12-31 0000879101us-gaap:EmployeeStockOptionMember2020-01-012020-12-31 0000879101us-gaap:EmployeeStockOptionMember2019-01-012019-12-31 0000879101kim:CommonStock1Member2021-</w:t>
      </w:r>
      <w:r>
        <w:rPr>
          <w:rFonts w:eastAsia="Times New Roman"/>
          <w:vanish/>
          <w:sz w:val="20"/>
          <w:szCs w:val="20"/>
        </w:rPr>
        <w:t>01-012021-12-31 0000879101kim:CommonStock1Member2020-01-012020-12-31 0000879101kim:CommonStock1Member2019-01-012019-12-31 0000879101kim:TaxableReitSubsidiariesMember2021-01-012021-12-31 0000879101kim:TaxableReitSubsidiariesMember2020-01-012020-12-31 000087</w:t>
      </w:r>
      <w:r>
        <w:rPr>
          <w:rFonts w:eastAsia="Times New Roman"/>
          <w:vanish/>
          <w:sz w:val="20"/>
          <w:szCs w:val="20"/>
        </w:rPr>
        <w:t>9101kim:TaxableReitSubsidiariesMember2019-01-012019-12-31 0000879101us-gaap:StateAndLocalJurisdictionMember2021-01-012021-12-31 0000879101us-gaap:StateAndLocalJurisdictionMember2020-01-012020-12-31 0000879101us-gaap:DomesticCountryMember2021-12-31 00008791</w:t>
      </w:r>
      <w:r>
        <w:rPr>
          <w:rFonts w:eastAsia="Times New Roman"/>
          <w:vanish/>
          <w:sz w:val="20"/>
          <w:szCs w:val="20"/>
        </w:rPr>
        <w:t>01us-gaap:DomesticCountryMember2020-12-31 0000879101us-gaap:MexicanTaxAuthorityMemberus-gaap:TaxYear2010Member2016-08-012016-08-31 0000879101us-gaap:MexicanTaxAuthorityMember2016-08-012016-08-31 0000879101us-gaap:MexicanTaxAuthorityMember2019-11-012019-12-</w:t>
      </w:r>
      <w:r>
        <w:rPr>
          <w:rFonts w:eastAsia="Times New Roman"/>
          <w:vanish/>
          <w:sz w:val="20"/>
          <w:szCs w:val="20"/>
        </w:rPr>
        <w:t>31 0000879101us-gaap:MexicanTaxAuthorityMember2021-10-012021-12-31 0000879101kim:KimcoInsuranceCompanyMember2021-12-31 0000879101kim:KimcoInsuranceCompanyMembersrt:MinimumMember2021-01-012021-12-31 0000879101kim:KimcoInsuranceCompanyMembersrt:MaximumMember</w:t>
      </w:r>
      <w:r>
        <w:rPr>
          <w:rFonts w:eastAsia="Times New Roman"/>
          <w:vanish/>
          <w:sz w:val="20"/>
          <w:szCs w:val="20"/>
        </w:rPr>
        <w:t>2021-01-012021-12-31 0000879101kim:UsFireIndemnityCompanyMemberkim:AllPerilsExceptFloodsWindstormOrEarthquakeMember2021-12-31 0000879101kim:UsFireIndemnityCompanyMemberkim:FloodsWindstormsOrEarthquakeMember2021-01-012021-12-31 0000879101kim:ThirdPartyReins</w:t>
      </w:r>
      <w:r>
        <w:rPr>
          <w:rFonts w:eastAsia="Times New Roman"/>
          <w:vanish/>
          <w:sz w:val="20"/>
          <w:szCs w:val="20"/>
        </w:rPr>
        <w:t>urerMemberkim:UsFireIndemnityCompanyMember2021-12-31 0000879101kim:ThirdPartyReinsurerMemberkim:UsFireIndemnityCompanyMember2021-01-012021-12-31 0000879101kim:KimcoInsuranceCompanyMember2021-01-012021-12-31 0000879101kim:KimcoInsuranceCompanyMember2020-01-</w:t>
      </w:r>
      <w:r>
        <w:rPr>
          <w:rFonts w:eastAsia="Times New Roman"/>
          <w:vanish/>
          <w:sz w:val="20"/>
          <w:szCs w:val="20"/>
        </w:rPr>
        <w:t>012020-12-31 0000879101us-gaap:AccumulatedDefinedBenefitPlansAdjustmentIncludingPortionAttributableToNoncontrollingInterestMember2020-12-31 0000879101us-gaap:AccumulatedDefinedBenefitPlansAdjustmentIncludingPortionAttributableToNoncontrollingInterestMember</w:t>
      </w:r>
      <w:r>
        <w:rPr>
          <w:rFonts w:eastAsia="Times New Roman"/>
          <w:vanish/>
          <w:sz w:val="20"/>
          <w:szCs w:val="20"/>
        </w:rPr>
        <w:t>2021-01-012021-12-31 0000879101us-gaap:AccumulatedDefinedBenefitPlansAdjustmentIncludingPortionAttributableToNoncontrollingInterestMember2021-12-31 0000879101us-gaap:EmployeeStockOptionMember2021-01-012021-12-31 0000879101us-gaap:EmployeeStockOptionMember2</w:t>
      </w:r>
      <w:r>
        <w:rPr>
          <w:rFonts w:eastAsia="Times New Roman"/>
          <w:vanish/>
          <w:sz w:val="20"/>
          <w:szCs w:val="20"/>
        </w:rPr>
        <w:t>020-01-012020-12-31 0000879101us-gaap:EmployeeStockOptionMember2019-01-012019-12-31 0000879101us-gaap:AllowanceForCreditLossMember2020-12-31 0000879101us-gaap:AllowanceForCreditLossMember2021-01-012021-12-31 0000879101us-gaap:AllowanceForCreditLossMember20</w:t>
      </w:r>
      <w:r>
        <w:rPr>
          <w:rFonts w:eastAsia="Times New Roman"/>
          <w:vanish/>
          <w:sz w:val="20"/>
          <w:szCs w:val="20"/>
        </w:rPr>
        <w:t>21-12-31 0000879101us-gaap:ValuationAllowanceOfDeferredTaxAssetsMember2020-12-31 0000879101us-gaap:ValuationAllowanceOfDeferredTaxAssetsMember2021-01-012021-12-31 0000879101us-gaap:ValuationAllowanceOfDeferredTaxAssetsMember2021-12-31 0000879101us-gaap:All</w:t>
      </w:r>
      <w:r>
        <w:rPr>
          <w:rFonts w:eastAsia="Times New Roman"/>
          <w:vanish/>
          <w:sz w:val="20"/>
          <w:szCs w:val="20"/>
        </w:rPr>
        <w:t>owanceForCreditLossMember2019-12-31 0000879101us-gaap:AllowanceForCreditLossMember2020-01-012020-12-31 0000879101us-gaap:ValuationAllowanceOfDeferredTaxAssetsMember2019-12-31 0000879101us-gaap:ValuationAllowanceOfDeferredTaxAssetsMember2020-01-012020-12-31</w:t>
      </w:r>
      <w:r>
        <w:rPr>
          <w:rFonts w:eastAsia="Times New Roman"/>
          <w:vanish/>
          <w:sz w:val="20"/>
          <w:szCs w:val="20"/>
        </w:rPr>
        <w:t xml:space="preserve"> 0000879101us-gaap:ValuationAllowanceOfDeferredTaxAssetsMember2018-12-31 0000879101us-gaap:ValuationAllowanceOfDeferredTaxAssetsMember2019-01-012019-12-31 0000879101kim:ShoppingCenterMemberkim:ArcadiaBiltmorePlazaMember2021-12-31 0000879101kim:ShoppingCent</w:t>
      </w:r>
      <w:r>
        <w:rPr>
          <w:rFonts w:eastAsia="Times New Roman"/>
          <w:vanish/>
          <w:sz w:val="20"/>
          <w:szCs w:val="20"/>
        </w:rPr>
        <w:t>erMemberkim:ArcadiaBiltmorePlazaMember2021-01-012021-12-31 0000879101kim:ShoppingCenterMemberkim:BellCaminoCenterMember2021-12-31 0000879101kim:ShoppingCenterMemberkim:BellCaminoCenterMember2021-01-012021-12-31 0000879101kim:ShoppingCenterMemberkim:BellCam</w:t>
      </w:r>
      <w:r>
        <w:rPr>
          <w:rFonts w:eastAsia="Times New Roman"/>
          <w:vanish/>
          <w:sz w:val="20"/>
          <w:szCs w:val="20"/>
        </w:rPr>
        <w:t>inosafewayParcelMember2021-12-31 0000879101kim:ShoppingCenterMemberkim:BellCaminosafewayParcelMember2021-01-012021-12-31 0000879101kim:ShoppingCenterMemberkim:BroadwayMarketplaceMember2021-12-31 0000879101kim:ShoppingCenterMemberkim:BroadwayMarketplaceMemb</w:t>
      </w:r>
      <w:r>
        <w:rPr>
          <w:rFonts w:eastAsia="Times New Roman"/>
          <w:vanish/>
          <w:sz w:val="20"/>
          <w:szCs w:val="20"/>
        </w:rPr>
        <w:t>er2021-01-012021-12-31 0000879101kim:ShoppingCenterMemberkim:CamelbackMillerPlazaMember2021-12-31 0000879101kim:ShoppingCenterMemberkim:CamelbackMillerPlazaMember2021-01-012021-12-31 0000879101kim:ShoppingCenterMemberkim:CamelbackVillageSquareMember2021-12</w:t>
      </w:r>
      <w:r>
        <w:rPr>
          <w:rFonts w:eastAsia="Times New Roman"/>
          <w:vanish/>
          <w:sz w:val="20"/>
          <w:szCs w:val="20"/>
        </w:rPr>
        <w:t>-31 0000879101kim:ShoppingCenterMemberkim:CamelbackVillageSquareMember2021-01-012021-12-31 0000879101kim:ShoppingCenterMemberkim:ChristownSpectrumMallMember2021-12-31 0000879101kim:ShoppingCenterMemberkim:ChristownSpectrumMallMember2021-01-012021-12-31 000</w:t>
      </w:r>
      <w:r>
        <w:rPr>
          <w:rFonts w:eastAsia="Times New Roman"/>
          <w:vanish/>
          <w:sz w:val="20"/>
          <w:szCs w:val="20"/>
        </w:rPr>
        <w:t>0879101kim:ShoppingCenterMemberkim:CollegeParkShoppingCenterMember2021-12-31 0000879101kim:ShoppingCenterMemberkim:CollegeParkShoppingCenterMember2021-01-012021-12-31 0000879101kim:ShoppingCenterMemberkim:DesertVillageMember2021-12-31 0000879101kim:Shoppin</w:t>
      </w:r>
      <w:r>
        <w:rPr>
          <w:rFonts w:eastAsia="Times New Roman"/>
          <w:vanish/>
          <w:sz w:val="20"/>
          <w:szCs w:val="20"/>
        </w:rPr>
        <w:t>gCenterMemberkim:DesertVillageMember2021-01-012021-12-31 0000879101kim:ShoppingCenterMemberkim:EntradaDeOroPlazaMember2021-12-31 0000879101kim:ShoppingCenterMemberkim:EntradaDeOroPlazaMember2021-01-012021-12-31 0000879101kim:ShoppingCenterMemberkim:Fountai</w:t>
      </w:r>
      <w:r>
        <w:rPr>
          <w:rFonts w:eastAsia="Times New Roman"/>
          <w:vanish/>
          <w:sz w:val="20"/>
          <w:szCs w:val="20"/>
        </w:rPr>
        <w:t>nPlazaMember2021-12-31 0000879101kim:ShoppingCenterMemberkim:FountainPlazaMember2021-01-012021-12-31 0000879101kim:ShoppingCenterMemberkim:MaderaVillageMember2021-12-31 0000879101kim:ShoppingCenterMemberkim:MaderaVillageMember2021-01-012021-12-31 000087910</w:t>
      </w:r>
      <w:r>
        <w:rPr>
          <w:rFonts w:eastAsia="Times New Roman"/>
          <w:vanish/>
          <w:sz w:val="20"/>
          <w:szCs w:val="20"/>
        </w:rPr>
        <w:t>1kim:ShoppingCenterMemberkim:MadisonVillageMarketplaceMember2021-12-31 0000879101kim:ShoppingCenterMemberkim:MadisonVillageMarketplaceMember2021-01-012021-12-31 0000879101kim:ShoppingCenterMemberkim:MesaRiverviewMember2021-12-31 0000879101kim:ShoppingCente</w:t>
      </w:r>
      <w:r>
        <w:rPr>
          <w:rFonts w:eastAsia="Times New Roman"/>
          <w:vanish/>
          <w:sz w:val="20"/>
          <w:szCs w:val="20"/>
        </w:rPr>
        <w:t>rMemberkim:MesaRiverviewMember2021-01-012021-12-31 0000879101kim:ShoppingCenterMemberkim:MetroSquareMember2021-12-31 0000879101kim:ShoppingCenterMemberkim:MetroSquareMember2021-01-012021-12-31 0000879101kim:ShoppingCenterMemberkim:MonteVistaVillageCenterMe</w:t>
      </w:r>
      <w:r>
        <w:rPr>
          <w:rFonts w:eastAsia="Times New Roman"/>
          <w:vanish/>
          <w:sz w:val="20"/>
          <w:szCs w:val="20"/>
        </w:rPr>
        <w:t>mber2021-12-31 0000879101kim:ShoppingCenterMemberkim:MonteVistaVillageCenterMember2021-01-012021-12-31 0000879101kim:ShoppingCenterMemberkim:NorthValleyMember2021-12-31 0000879101kim:ShoppingCenterMemberkim:NorthValleyMember2021-01-012021-12-31 0000879101k</w:t>
      </w:r>
      <w:r>
        <w:rPr>
          <w:rFonts w:eastAsia="Times New Roman"/>
          <w:vanish/>
          <w:sz w:val="20"/>
          <w:szCs w:val="20"/>
        </w:rPr>
        <w:t>im:ShoppingCenterMemberkim:PlazaAtMountainsideMember2021-12-31 0000879101kim:ShoppingCenterMemberkim:PlazaAtMountainsideMember2021-01-012021-12-31 0000879101kim:ShoppingCenterMemberkim:PlazaDelSolMember2021-12-31 0000879101kim:ShoppingCenterMemberkim:Plaza</w:t>
      </w:r>
      <w:r>
        <w:rPr>
          <w:rFonts w:eastAsia="Times New Roman"/>
          <w:vanish/>
          <w:sz w:val="20"/>
          <w:szCs w:val="20"/>
        </w:rPr>
        <w:t>DelSolMember2021-01-012021-12-31 0000879101kim:ShoppingCenterMemberkim:PuebloAnoziraMember2021-12-31 0000879101kim:ShoppingCenterMemberkim:PuebloAnoziraMember2021-01-012021-12-31 0000879101kim:ShoppingCenterMemberkim:RaintreeRanchCenterMember2021-12-31 000</w:t>
      </w:r>
      <w:r>
        <w:rPr>
          <w:rFonts w:eastAsia="Times New Roman"/>
          <w:vanish/>
          <w:sz w:val="20"/>
          <w:szCs w:val="20"/>
        </w:rPr>
        <w:t>0879101kim:ShoppingCenterMemberkim:RaintreeRanchCenterMember2021-01-012021-12-31 0000879101kim:ShoppingCenterMemberkim:RedMountainGatewayMember2021-12-31 0000879101kim:ShoppingCenterMemberkim:RedMountainGatewayMember2021-01-012021-12-31 0000879101kim:Shopp</w:t>
      </w:r>
      <w:r>
        <w:rPr>
          <w:rFonts w:eastAsia="Times New Roman"/>
          <w:vanish/>
          <w:sz w:val="20"/>
          <w:szCs w:val="20"/>
        </w:rPr>
        <w:t>ingCenterMemberkim:ScottsdaleHorizonMember2021-12-31 0000879101kim:ShoppingCenterMemberkim:ScottsdaleHorizonMember2021-01-012021-12-31 0000879101kim:ShoppingCenterMemberkim:ScottsdaleWaterfrontMember2021-12-31 0000879101kim:ShoppingCenterMemberkim:Scottsda</w:t>
      </w:r>
      <w:r>
        <w:rPr>
          <w:rFonts w:eastAsia="Times New Roman"/>
          <w:vanish/>
          <w:sz w:val="20"/>
          <w:szCs w:val="20"/>
        </w:rPr>
        <w:t>leWaterfrontMember2021-01-012021-12-31 0000879101kim:ShoppingCenterMemberkim:ShoppesAtBearsPathMember2021-12-31 0000879101kim:ShoppingCenterMemberkim:ShoppesAtBearsPathMember2021-01-012021-12-31 0000879101kim:ShoppingCenterMemberkim:SquawPeakPlazaMember202</w:t>
      </w:r>
      <w:r>
        <w:rPr>
          <w:rFonts w:eastAsia="Times New Roman"/>
          <w:vanish/>
          <w:sz w:val="20"/>
          <w:szCs w:val="20"/>
        </w:rPr>
        <w:t>1-12-31 0000879101kim:ShoppingCenterMemberkim:SquawPeakPlazaMember2021-01-012021-12-31 0000879101kim:ShoppingCenterMemberkim:VillageCrossroadsMember2021-12-31 0000879101kim:ShoppingCenterMemberkim:VillageCrossroadsMember2021-01-012021-12-31 0000879101kim:S</w:t>
      </w:r>
      <w:r>
        <w:rPr>
          <w:rFonts w:eastAsia="Times New Roman"/>
          <w:vanish/>
          <w:sz w:val="20"/>
          <w:szCs w:val="20"/>
        </w:rPr>
        <w:t>hoppingCenterMemberkim:The280MetroCenterMember2021-12-31 0000879101kim:ShoppingCenterMemberkim:The280MetroCenterMember2021-01-012021-12-31 0000879101kim:ShoppingCenterMemberkim:The580MarketplaceMember2021-12-31 0000879101kim:ShoppingCenterMemberkim:The580M</w:t>
      </w:r>
      <w:r>
        <w:rPr>
          <w:rFonts w:eastAsia="Times New Roman"/>
          <w:vanish/>
          <w:sz w:val="20"/>
          <w:szCs w:val="20"/>
        </w:rPr>
        <w:t>arketplaceMember2021-01-012021-12-31 0000879101kim:ShoppingCenterMemberkim:The800SunsetStripSCMember2021-12-31 0000879101kim:ShoppingCenterMemberkim:The800SunsetStripSCMember2021-01-012021-12-31 0000879101kim:ShoppingCenterMemberkim:AAABuildingAtStevensCre</w:t>
      </w:r>
      <w:r>
        <w:rPr>
          <w:rFonts w:eastAsia="Times New Roman"/>
          <w:vanish/>
          <w:sz w:val="20"/>
          <w:szCs w:val="20"/>
        </w:rPr>
        <w:t>ekMember2021-12-31 0000879101kim:ShoppingCenterMemberkim:AAABuildingAtStevensCreekMember2021-01-012021-12-31 0000879101kim:ShoppingCenterMemberkim:AnaheimPlazaMember2021-12-31 0000879101kim:ShoppingCenterMemberkim:AnaheimPlazaMember2021-01-012021-12-31 000</w:t>
      </w:r>
      <w:r>
        <w:rPr>
          <w:rFonts w:eastAsia="Times New Roman"/>
          <w:vanish/>
          <w:sz w:val="20"/>
          <w:szCs w:val="20"/>
        </w:rPr>
        <w:t>0879101kim:ShoppingCenterMemberkim:BlackMountainVillageMember2021-12-31 0000879101kim:ShoppingCenterMemberkim:BlackMountainVillageMember2021-01-012021-12-31 0000879101kim:ShoppingCenterMemberkim:BrookhurstCenterMember2021-12-31 0000879101kim:ShoppingCenter</w:t>
      </w:r>
      <w:r>
        <w:rPr>
          <w:rFonts w:eastAsia="Times New Roman"/>
          <w:vanish/>
          <w:sz w:val="20"/>
          <w:szCs w:val="20"/>
        </w:rPr>
        <w:t>Memberkim:BrookhurstCenterMember2021-01-012021-12-31 0000879101kim:ShoppingCenterMemberkim:BrookvaleShoppingCenterMember2021-12-31 0000879101kim:ShoppingCenterMemberkim:BrookvaleShoppingCenterMember2021-01-012021-12-31 0000879101kim:ShoppingCenterMemberkim</w:t>
      </w:r>
      <w:r>
        <w:rPr>
          <w:rFonts w:eastAsia="Times New Roman"/>
          <w:vanish/>
          <w:sz w:val="20"/>
          <w:szCs w:val="20"/>
        </w:rPr>
        <w:t>:CambrianParkPlazaMember2021-12-31 0000879101kim:ShoppingCenterMemberkim:CambrianParkPlazaMember2021-01-012021-12-31 0000879101kim:ShoppingCenterMemberkim:CenterwoodPlazaMember2021-12-31 0000879101kim:ShoppingCenterMemberkim:CenterwoodPlazaMember2021-01-01</w:t>
      </w:r>
      <w:r>
        <w:rPr>
          <w:rFonts w:eastAsia="Times New Roman"/>
          <w:vanish/>
          <w:sz w:val="20"/>
          <w:szCs w:val="20"/>
        </w:rPr>
        <w:t>2021-12-31 0000879101kim:ShoppingCenterMemberkim:ChicoCrossroadsMember2021-12-31 0000879101kim:ShoppingCenterMemberkim:ChicoCrossroadsMember2021-01-012021-12-31 0000879101kim:ShoppingCenterMemberkim:ChinoHillsMarketplaceMember2021-12-31 0000879101kim:Shopp</w:t>
      </w:r>
      <w:r>
        <w:rPr>
          <w:rFonts w:eastAsia="Times New Roman"/>
          <w:vanish/>
          <w:sz w:val="20"/>
          <w:szCs w:val="20"/>
        </w:rPr>
        <w:t>ingCenterMemberkim:ChinoHillsMarketplaceMember2021-01-012021-12-31 0000879101kim:ShoppingCenterMemberkim:CityHeightsMember2021-12-31 0000879101kim:ShoppingCenterMemberkim:CityHeightsMember2021-01-012021-12-31 0000879101kim:ShoppingCenterMemberkim:CoronaHil</w:t>
      </w:r>
      <w:r>
        <w:rPr>
          <w:rFonts w:eastAsia="Times New Roman"/>
          <w:vanish/>
          <w:sz w:val="20"/>
          <w:szCs w:val="20"/>
        </w:rPr>
        <w:t>lsPlazaMember2021-12-31 0000879101kim:ShoppingCenterMemberkim:CoronaHillsPlazaMember2021-01-012021-12-31 0000879101kim:ShoppingCenterMemberkim:CostcoPlaza541Member2021-12-31 0000879101kim:ShoppingCenterMemberkim:CostcoPlaza541Member2021-01-012021-12-31 000</w:t>
      </w:r>
      <w:r>
        <w:rPr>
          <w:rFonts w:eastAsia="Times New Roman"/>
          <w:vanish/>
          <w:sz w:val="20"/>
          <w:szCs w:val="20"/>
        </w:rPr>
        <w:t>0879101kim:ShoppingCenterMemberkim:CreeksideCenterMember2021-12-31 0000879101kim:ShoppingCenterMemberkim:CreeksideCenterMember2021-01-012021-12-31 0000879101kim:ShoppingCenterMemberkim:CrockerRanchMember2021-12-31 0000879101kim:ShoppingCenterMemberkim:Croc</w:t>
      </w:r>
      <w:r>
        <w:rPr>
          <w:rFonts w:eastAsia="Times New Roman"/>
          <w:vanish/>
          <w:sz w:val="20"/>
          <w:szCs w:val="20"/>
        </w:rPr>
        <w:t>kerRanchMember2021-01-012021-12-31 0000879101kim:ShoppingCenterMemberkim:CupertinoVillageMember2021-12-31 0000879101kim:ShoppingCenterMemberkim:CupertinoVillageMember2021-01-012021-12-31 0000879101kim:ShoppingCenterMemberkim:ElCaminoPromenadeMember2021-12-</w:t>
      </w:r>
      <w:r>
        <w:rPr>
          <w:rFonts w:eastAsia="Times New Roman"/>
          <w:vanish/>
          <w:sz w:val="20"/>
          <w:szCs w:val="20"/>
        </w:rPr>
        <w:t>31 0000879101kim:ShoppingCenterMemberkim:ElCaminoPromenadeMember2021-01-012021-12-31 0000879101kim:ShoppingCenterMemberkim:FreedomCentreMember2021-12-31 0000879101kim:ShoppingCenterMemberkim:FreedomCentreMember2021-01-012021-12-31 0000879101kim:ShoppingCen</w:t>
      </w:r>
      <w:r>
        <w:rPr>
          <w:rFonts w:eastAsia="Times New Roman"/>
          <w:vanish/>
          <w:sz w:val="20"/>
          <w:szCs w:val="20"/>
        </w:rPr>
        <w:t>terMemberkim:FultonMarketPlaceMember2021-12-31 0000879101kim:ShoppingCenterMemberkim:FultonMarketPlaceMember2021-01-012021-12-31 0000879101kim:ShoppingCenterMemberkim:GatewayAtDonnerPassMember2021-12-31 0000879101kim:ShoppingCenterMemberkim:GatewayAtDonner</w:t>
      </w:r>
      <w:r>
        <w:rPr>
          <w:rFonts w:eastAsia="Times New Roman"/>
          <w:vanish/>
          <w:sz w:val="20"/>
          <w:szCs w:val="20"/>
        </w:rPr>
        <w:t>PassMember2021-01-012021-12-31 0000879101kim:ShoppingCenterMemberkim:GatewayPlazaMember2021-12-31 0000879101kim:ShoppingCenterMemberkim:GatewayPlazaMember2021-01-012021-12-31 0000879101kim:ShoppingCenterMemberkim:GreenhouseMarketplaceMember2021-12-31 00008</w:t>
      </w:r>
      <w:r>
        <w:rPr>
          <w:rFonts w:eastAsia="Times New Roman"/>
          <w:vanish/>
          <w:sz w:val="20"/>
          <w:szCs w:val="20"/>
        </w:rPr>
        <w:t>79101kim:ShoppingCenterMemberkim:GreenhouseMarketplaceMember2021-01-012021-12-31 0000879101kim:ShoppingCenterMemberkim:GreenhouseMarketplaceIIMember2021-12-31 0000879101kim:ShoppingCenterMemberkim:GreenhouseMarketplaceIIMember2021-01-012021-12-31 000087910</w:t>
      </w:r>
      <w:r>
        <w:rPr>
          <w:rFonts w:eastAsia="Times New Roman"/>
          <w:vanish/>
          <w:sz w:val="20"/>
          <w:szCs w:val="20"/>
        </w:rPr>
        <w:t>1kim:ShoppingCenterMemberkim:HomeDepotPlazaMember2021-12-31 0000879101kim:ShoppingCenterMemberkim:HomeDepotPlazaMember2021-01-012021-12-31 0000879101kim:ShoppingCenterMemberkim:KennethHahnPlazaMember2021-12-31 0000879101kim:ShoppingCenterMemberkim:KennethH</w:t>
      </w:r>
      <w:r>
        <w:rPr>
          <w:rFonts w:eastAsia="Times New Roman"/>
          <w:vanish/>
          <w:sz w:val="20"/>
          <w:szCs w:val="20"/>
        </w:rPr>
        <w:t>ahnPlazaMember2021-01-012021-12-31 0000879101kim:ShoppingCenterMemberkim:LaMiradaTheatreCenterMember2021-12-31 0000879101kim:ShoppingCenterMemberkim:LaMiradaTheatreCenterMember2021-01-012021-12-31 0000879101kim:ShoppingCenterMemberkim:LaVerneTownCenterMemb</w:t>
      </w:r>
      <w:r>
        <w:rPr>
          <w:rFonts w:eastAsia="Times New Roman"/>
          <w:vanish/>
          <w:sz w:val="20"/>
          <w:szCs w:val="20"/>
        </w:rPr>
        <w:t>er2021-12-31 0000879101kim:ShoppingCenterMemberkim:LaVerneTownCenterMember2021-01-012021-12-31 0000879101kim:ShoppingCenterMemberkim:LabandVillageShoppingCenterMember2021-12-31 0000879101kim:ShoppingCenterMemberkim:LabandVillageShoppingCenterMember2021-01-</w:t>
      </w:r>
      <w:r>
        <w:rPr>
          <w:rFonts w:eastAsia="Times New Roman"/>
          <w:vanish/>
          <w:sz w:val="20"/>
          <w:szCs w:val="20"/>
        </w:rPr>
        <w:t>012021-12-31 0000879101kim:ShoppingCenterMemberkim:LakewoodPlazaMember2021-12-31 0000879101kim:ShoppingCenterMemberkim:LakewoodPlazaMember2021-01-012021-12-31 0000879101kim:ShoppingCenterMemberkim:LakewoodVillageMember2021-12-31 0000879101kim:ShoppingCente</w:t>
      </w:r>
      <w:r>
        <w:rPr>
          <w:rFonts w:eastAsia="Times New Roman"/>
          <w:vanish/>
          <w:sz w:val="20"/>
          <w:szCs w:val="20"/>
        </w:rPr>
        <w:t>rMemberkim:LakewoodVillageMember2021-01-012021-12-31 0000879101kim:ShoppingCenterMemberkim:LincolnHillsTownCenterMember2021-12-31 0000879101kim:ShoppingCenterMemberkim:LincolnHillsTownCenterMember2021-01-012021-12-31 0000879101kim:ShoppingCenterMemberkim:L</w:t>
      </w:r>
      <w:r>
        <w:rPr>
          <w:rFonts w:eastAsia="Times New Roman"/>
          <w:vanish/>
          <w:sz w:val="20"/>
          <w:szCs w:val="20"/>
        </w:rPr>
        <w:t>indaMarShippingCenterMember2021-12-31 0000879101kim:ShoppingCenterMemberkim:LindaMarShippingCenterMember2021-01-012021-12-31 0000879101kim:ShoppingCenterMemberkim:MadisonPlazaMember2021-12-31 0000879101kim:ShoppingCenterMemberkim:MadisonPlazaMember2021-01-</w:t>
      </w:r>
      <w:r>
        <w:rPr>
          <w:rFonts w:eastAsia="Times New Roman"/>
          <w:vanish/>
          <w:sz w:val="20"/>
          <w:szCs w:val="20"/>
        </w:rPr>
        <w:t>012021-12-31 0000879101kim:ShoppingCenterMemberkim:NorthCountyPlazaMember2021-12-31 0000879101kim:ShoppingCenterMemberkim:NorthCountyPlazaMember2021-01-012021-12-31 0000879101kim:ShoppingCenterMemberkim:NovatoFairSCMember2021-12-31 0000879101kim:ShoppingCe</w:t>
      </w:r>
      <w:r>
        <w:rPr>
          <w:rFonts w:eastAsia="Times New Roman"/>
          <w:vanish/>
          <w:sz w:val="20"/>
          <w:szCs w:val="20"/>
        </w:rPr>
        <w:t>nterMemberkim:NovatoFairSCMember2021-01-012021-12-31 0000879101kim:ShoppingCenterMemberkim:OnTheCornerAtStevensCreekMember2021-12-31 0000879101kim:ShoppingCenterMemberkim:OnTheCornerAtStevensCreekMember2021-01-012021-12-31 0000879101kim:ShoppingCenterMembe</w:t>
      </w:r>
      <w:r>
        <w:rPr>
          <w:rFonts w:eastAsia="Times New Roman"/>
          <w:vanish/>
          <w:sz w:val="20"/>
          <w:szCs w:val="20"/>
        </w:rPr>
        <w:t>rkim:PlazaDiNorthridgeMember2021-12-31 0000879101kim:ShoppingCenterMemberkim:PlazaDiNorthridgeMember2021-01-012021-12-31 0000879101kim:ShoppingCenterMemberkim:PowayCityCentreMember2021-12-31 0000879101kim:ShoppingCenterMemberkim:PowayCityCentreMember2021-0</w:t>
      </w:r>
      <w:r>
        <w:rPr>
          <w:rFonts w:eastAsia="Times New Roman"/>
          <w:vanish/>
          <w:sz w:val="20"/>
          <w:szCs w:val="20"/>
        </w:rPr>
        <w:t>1-012021-12-31 0000879101kim:ShoppingCenterMemberkim:RanchoPenasquitosTowneCtrIMember2021-12-31 0000879101kim:ShoppingCenterMemberkim:RanchoPenasquitosTowneCtrIMember2021-01-012021-12-31 0000879101kim:ShoppingCenterMemberkim:RanchoPenasquitosTowneCtrIIMemb</w:t>
      </w:r>
      <w:r>
        <w:rPr>
          <w:rFonts w:eastAsia="Times New Roman"/>
          <w:vanish/>
          <w:sz w:val="20"/>
          <w:szCs w:val="20"/>
        </w:rPr>
        <w:t>er2021-12-31 0000879101kim:ShoppingCenterMemberkim:RanchoPenasquitosTowneCtrIIMember2021-01-012021-12-31 0000879101kim:ShoppingCenterMemberkim:RanchoPenasquitosvonsPropMember2021-12-31 0000879101kim:ShoppingCenterMemberkim:RanchoPenasquitosvonsPropMember20</w:t>
      </w:r>
      <w:r>
        <w:rPr>
          <w:rFonts w:eastAsia="Times New Roman"/>
          <w:vanish/>
          <w:sz w:val="20"/>
          <w:szCs w:val="20"/>
        </w:rPr>
        <w:t>21-01-012021-12-31 0000879101kim:ShoppingCenterMemberkim:RanchoSanMarcosVillageMember2021-12-31 0000879101kim:ShoppingCenterMemberkim:RanchoSanMarcosVillageMember2021-01-012021-12-31 0000879101kim:ShoppingCenterMemberkim:RedwoodCityPlazaMember2021-12-31 00</w:t>
      </w:r>
      <w:r>
        <w:rPr>
          <w:rFonts w:eastAsia="Times New Roman"/>
          <w:vanish/>
          <w:sz w:val="20"/>
          <w:szCs w:val="20"/>
        </w:rPr>
        <w:t>00879101kim:ShoppingCenterMemberkim:RedwoodCityPlazaMember2021-01-012021-12-31 0000879101kim:ShoppingCenterMemberkim:SanDiegoCarmelMountainMember2021-12-31 0000879101kim:ShoppingCenterMemberkim:SanDiegoCarmelMountainMember2021-01-012021-12-31 0000879101kim</w:t>
      </w:r>
      <w:r>
        <w:rPr>
          <w:rFonts w:eastAsia="Times New Roman"/>
          <w:vanish/>
          <w:sz w:val="20"/>
          <w:szCs w:val="20"/>
        </w:rPr>
        <w:t>:ShoppingCenterMemberkim:SanMarcosPlazaMember2021-12-31 0000879101kim:ShoppingCenterMemberkim:SanMarcosPlazaMember2021-01-012021-12-31 0000879101kim:ShoppingCenterMemberkim:SanteeTrolleySquareMember2021-12-31 0000879101kim:ShoppingCenterMemberkim:SanteeTro</w:t>
      </w:r>
      <w:r>
        <w:rPr>
          <w:rFonts w:eastAsia="Times New Roman"/>
          <w:vanish/>
          <w:sz w:val="20"/>
          <w:szCs w:val="20"/>
        </w:rPr>
        <w:t>lleySquareMember2021-01-012021-12-31 0000879101kim:ShoppingCenterMemberkim:SilverCreekPlazaMember2021-12-31 0000879101kim:ShoppingCenterMemberkim:SilverCreekPlazaMember2021-01-012021-12-31 0000879101kim:ShoppingCenterMemberkim:SouthNapaMarketPlaceMember202</w:t>
      </w:r>
      <w:r>
        <w:rPr>
          <w:rFonts w:eastAsia="Times New Roman"/>
          <w:vanish/>
          <w:sz w:val="20"/>
          <w:szCs w:val="20"/>
        </w:rPr>
        <w:t>1-12-31 0000879101kim:ShoppingCenterMemberkim:SouthNapaMarketPlaceMember2021-01-012021-12-31 0000879101kim:ShoppingCenterMemberkim:SouthamptonCenterMember2021-12-31 0000879101kim:ShoppingCenterMemberkim:SouthamptonCenterMember2021-01-012021-12-31 000087910</w:t>
      </w:r>
      <w:r>
        <w:rPr>
          <w:rFonts w:eastAsia="Times New Roman"/>
          <w:vanish/>
          <w:sz w:val="20"/>
          <w:szCs w:val="20"/>
        </w:rPr>
        <w:t>1kim:ShoppingCenterMemberkim:StanfordRanchMember2021-12-31 0000879101kim:ShoppingCenterMemberkim:StanfordRanchMember2021-01-012021-12-31 0000879101kim:ShoppingCenterMemberkim:StevensCreekCentralSCMember2021-12-31 0000879101kim:ShoppingCenterMemberkim:Steve</w:t>
      </w:r>
      <w:r>
        <w:rPr>
          <w:rFonts w:eastAsia="Times New Roman"/>
          <w:vanish/>
          <w:sz w:val="20"/>
          <w:szCs w:val="20"/>
        </w:rPr>
        <w:t>nsCreekCentralSCMember2021-01-012021-12-31 0000879101kim:ShoppingCenterMemberkim:StonyPointPlazaMember2021-12-31 0000879101kim:ShoppingCenterMemberkim:StonyPointPlazaMember2021-01-012021-12-31 0000879101kim:ShoppingCenterMemberkim:TruckeeCrossroadsMember20</w:t>
      </w:r>
      <w:r>
        <w:rPr>
          <w:rFonts w:eastAsia="Times New Roman"/>
          <w:vanish/>
          <w:sz w:val="20"/>
          <w:szCs w:val="20"/>
        </w:rPr>
        <w:t>21-12-31 0000879101kim:ShoppingCenterMemberkim:TruckeeCrossroadsMember2021-01-012021-12-31 0000879101kim:ShoppingCenterMemberkim:WestlakeShoppingCenterMember2021-12-31 0000879101kim:ShoppingCenterMemberkim:WestlakeShoppingCenterMember2021-01-012021-12-31 0</w:t>
      </w:r>
      <w:r>
        <w:rPr>
          <w:rFonts w:eastAsia="Times New Roman"/>
          <w:vanish/>
          <w:sz w:val="20"/>
          <w:szCs w:val="20"/>
        </w:rPr>
        <w:t>000879101kim:ShoppingCenterMemberkim:WestminsterCenterMember2021-12-31 0000879101kim:ShoppingCenterMemberkim:WestminsterCenterMember2021-01-012021-12-31 0000879101kim:ShoppingCenterMemberkim:WhittwoodTownCenterMember2021-12-31 0000879101kim:ShoppingCenterM</w:t>
      </w:r>
      <w:r>
        <w:rPr>
          <w:rFonts w:eastAsia="Times New Roman"/>
          <w:vanish/>
          <w:sz w:val="20"/>
          <w:szCs w:val="20"/>
        </w:rPr>
        <w:t>emberkim:WhittwoodTownCenterMember2021-01-012021-12-31 0000879101kim:ShoppingCenterMemberkim:CrossingAtStonegateMember2021-12-31 0000879101kim:ShoppingCenterMemberkim:CrossingAtStonegateMember2021-01-012021-12-31 0000879101kim:ShoppingCenterMemberkim:Denve</w:t>
      </w:r>
      <w:r>
        <w:rPr>
          <w:rFonts w:eastAsia="Times New Roman"/>
          <w:vanish/>
          <w:sz w:val="20"/>
          <w:szCs w:val="20"/>
        </w:rPr>
        <w:t>rWest38thStreetMember2021-12-31 0000879101kim:ShoppingCenterMemberkim:DenverWest38thStreetMember2021-01-012021-12-31 0000879101kim:ShoppingCenterMemberkim:EastBankSCMember2021-12-31 0000879101kim:ShoppingCenterMemberkim:EastBankSCMember2021-01-012021-12-31</w:t>
      </w:r>
      <w:r>
        <w:rPr>
          <w:rFonts w:eastAsia="Times New Roman"/>
          <w:vanish/>
          <w:sz w:val="20"/>
          <w:szCs w:val="20"/>
        </w:rPr>
        <w:t xml:space="preserve"> 0000879101kim:ShoppingCenterMemberkim:EdgewaterMarketplaceMember2021-12-31 0000879101kim:ShoppingCenterMemberkim:EdgewaterMarketplaceMember2021-01-012021-12-31 0000879101kim:ShoppingCenterMemberkim:EnglewoodPlazaMember2021-12-31 0000879101kim:ShoppingCent</w:t>
      </w:r>
      <w:r>
        <w:rPr>
          <w:rFonts w:eastAsia="Times New Roman"/>
          <w:vanish/>
          <w:sz w:val="20"/>
          <w:szCs w:val="20"/>
        </w:rPr>
        <w:t>erMemberkim:EnglewoodPlazaMember2021-01-012021-12-31 0000879101kim:ShoppingCenterMemberkim:GreeleyCommonsMember2021-12-31 0000879101kim:ShoppingCenterMemberkim:GreeleyCommonsMember2021-01-012021-12-31 0000879101kim:ShoppingCenterMemberkim:HeritageWestSCMem</w:t>
      </w:r>
      <w:r>
        <w:rPr>
          <w:rFonts w:eastAsia="Times New Roman"/>
          <w:vanish/>
          <w:sz w:val="20"/>
          <w:szCs w:val="20"/>
        </w:rPr>
        <w:t>ber2021-12-31 0000879101kim:ShoppingCenterMemberkim:HeritageWestSCMember2021-01-012021-12-31 0000879101kim:ShoppingCenterMemberkim:HighlandsRanchIIMember2021-12-31 0000879101kim:ShoppingCenterMemberkim:HighlandsRanchIIMember2021-01-012021-12-31 0000879101k</w:t>
      </w:r>
      <w:r>
        <w:rPr>
          <w:rFonts w:eastAsia="Times New Roman"/>
          <w:vanish/>
          <w:sz w:val="20"/>
          <w:szCs w:val="20"/>
        </w:rPr>
        <w:t>im:ShoppingCenterMemberkim:HighlandsRanchVillageSCMember2021-12-31 0000879101kim:ShoppingCenterMemberkim:HighlandsRanchVillageSCMember2021-01-012021-12-31 0000879101kim:ShoppingCenterMemberkim:LowryTownCenterMember2021-12-31 0000879101kim:ShoppingCenterMem</w:t>
      </w:r>
      <w:r>
        <w:rPr>
          <w:rFonts w:eastAsia="Times New Roman"/>
          <w:vanish/>
          <w:sz w:val="20"/>
          <w:szCs w:val="20"/>
        </w:rPr>
        <w:t>berkim:LowryTownCenterMember2021-01-012021-12-31 0000879101kim:ShoppingCenterMemberkim:MarketAtSouthparkMember2021-12-31 0000879101kim:ShoppingCenterMemberkim:MarketAtSouthparkMember2021-01-012021-12-31 0000879101kim:ShoppingCenterMemberkim:NorthridgeShopp</w:t>
      </w:r>
      <w:r>
        <w:rPr>
          <w:rFonts w:eastAsia="Times New Roman"/>
          <w:vanish/>
          <w:sz w:val="20"/>
          <w:szCs w:val="20"/>
        </w:rPr>
        <w:t>ingCenterMember2021-12-31 0000879101kim:ShoppingCenterMemberkim:NorthridgeShoppingCenterMember2021-01-012021-12-31 0000879101kim:ShoppingCenterMemberkim:QuincyPlaceSCMember2021-12-31 0000879101kim:ShoppingCenterMemberkim:QuincyPlaceSCMember2021-01-012021-1</w:t>
      </w:r>
      <w:r>
        <w:rPr>
          <w:rFonts w:eastAsia="Times New Roman"/>
          <w:vanish/>
          <w:sz w:val="20"/>
          <w:szCs w:val="20"/>
        </w:rPr>
        <w:t>2-31 0000879101kim:ShoppingCenterMemberkim:RiverPointAtSheridanMember2021-12-31 0000879101kim:ShoppingCenterMemberkim:RiverPointAtSheridanMember2021-01-012021-12-31 0000879101kim:ShoppingCenterMemberkim:RiverPointAtSheridanIIMember2021-12-31 0000879101kim:</w:t>
      </w:r>
      <w:r>
        <w:rPr>
          <w:rFonts w:eastAsia="Times New Roman"/>
          <w:vanish/>
          <w:sz w:val="20"/>
          <w:szCs w:val="20"/>
        </w:rPr>
        <w:t>ShoppingCenterMemberkim:RiverPointAtSheridanIIMember2021-01-012021-12-31 0000879101kim:ShoppingCenterMemberkim:VillageCenterHighlandRanchMember2021-12-31 0000879101kim:ShoppingCenterMemberkim:VillageCenterHighlandRanchMember2021-01-012021-12-31 0000879101k</w:t>
      </w:r>
      <w:r>
        <w:rPr>
          <w:rFonts w:eastAsia="Times New Roman"/>
          <w:vanish/>
          <w:sz w:val="20"/>
          <w:szCs w:val="20"/>
        </w:rPr>
        <w:t>im:ShoppingCenterMemberkim:VillageCenterWestMember2021-12-31 0000879101kim:ShoppingCenterMemberkim:VillageCenterWestMember2021-01-012021-12-31 0000879101kim:ShoppingCenterMemberkim:VillageOnTheParkMember2021-12-31 0000879101kim:ShoppingCenterMemberkim:Vill</w:t>
      </w:r>
      <w:r>
        <w:rPr>
          <w:rFonts w:eastAsia="Times New Roman"/>
          <w:vanish/>
          <w:sz w:val="20"/>
          <w:szCs w:val="20"/>
        </w:rPr>
        <w:t>ageOnTheParkMember2021-01-012021-12-31 0000879101kim:ShoppingCenterMemberkim:BrightHorizonsMember2021-12-31 0000879101kim:ShoppingCenterMemberkim:BrightHorizonsMember2021-01-012021-12-31 0000879101kim:ShoppingCenterMemberkim:HamdenMartMember2021-12-31 0000</w:t>
      </w:r>
      <w:r>
        <w:rPr>
          <w:rFonts w:eastAsia="Times New Roman"/>
          <w:vanish/>
          <w:sz w:val="20"/>
          <w:szCs w:val="20"/>
        </w:rPr>
        <w:t>879101kim:ShoppingCenterMemberkim:HamdenMartMember2021-01-012021-12-31 0000879101kim:ShoppingCenterMemberkim:HomeDepotPlaza2Member2021-12-31 0000879101kim:ShoppingCenterMemberkim:HomeDepotPlaza2Member2021-01-012021-12-31 0000879101kim:ShoppingCenterMemberk</w:t>
      </w:r>
      <w:r>
        <w:rPr>
          <w:rFonts w:eastAsia="Times New Roman"/>
          <w:vanish/>
          <w:sz w:val="20"/>
          <w:szCs w:val="20"/>
        </w:rPr>
        <w:t>im:NewtownSCMember2021-12-31 0000879101kim:ShoppingCenterMemberkim:NewtownSCMember2021-01-012021-12-31 0000879101kim:ShoppingCenterMemberkim:WestFarmShoppingCenterMember2021-12-31 0000879101kim:ShoppingCenterMemberkim:WestFarmShoppingCenterMember2021-01-01</w:t>
      </w:r>
      <w:r>
        <w:rPr>
          <w:rFonts w:eastAsia="Times New Roman"/>
          <w:vanish/>
          <w:sz w:val="20"/>
          <w:szCs w:val="20"/>
        </w:rPr>
        <w:t>2021-12-31 0000879101kim:ShoppingCenterMemberkim:WiltonCampusMember2021-12-31 0000879101kim:ShoppingCenterMemberkim:WiltonCampusMember2021-01-012021-12-31 0000879101kim:ShoppingCenterMemberkim:WiltonRiverParkShoppingCtrMember2021-12-31 0000879101kim:Shoppi</w:t>
      </w:r>
      <w:r>
        <w:rPr>
          <w:rFonts w:eastAsia="Times New Roman"/>
          <w:vanish/>
          <w:sz w:val="20"/>
          <w:szCs w:val="20"/>
        </w:rPr>
        <w:t>ngCenterMemberkim:WiltonRiverParkShoppingCtrMember2021-01-012021-12-31 0000879101kim:ShoppingCenterMemberkim:BrandywineCommonsMember2021-12-31 0000879101kim:ShoppingCenterMemberkim:BrandywineCommonsMember2021-01-012021-12-31 0000879101kim:ShoppingCenterMem</w:t>
      </w:r>
      <w:r>
        <w:rPr>
          <w:rFonts w:eastAsia="Times New Roman"/>
          <w:vanish/>
          <w:sz w:val="20"/>
          <w:szCs w:val="20"/>
        </w:rPr>
        <w:t>berkim:CamdenSquareMember2021-12-31 0000879101kim:ShoppingCenterMemberkim:CamdenSquareMember2021-01-012021-12-31 0000879101kim:ShoppingCenterMemberkim:PromenadeAtChristianaMember2021-12-31 0000879101kim:ShoppingCenterMemberkim:PromenadeAtChristianaMember20</w:t>
      </w:r>
      <w:r>
        <w:rPr>
          <w:rFonts w:eastAsia="Times New Roman"/>
          <w:vanish/>
          <w:sz w:val="20"/>
          <w:szCs w:val="20"/>
        </w:rPr>
        <w:t>21-01-012021-12-31 0000879101kim:ShoppingCenterMemberkim:ArgyleVillageMember2021-12-31 0000879101kim:ShoppingCenterMemberkim:ArgyleVillageMember2021-01-012021-12-31 0000879101kim:ShoppingCenterMemberkim:BelmartPlazaMember2021-12-31 0000879101kim:ShoppingCe</w:t>
      </w:r>
      <w:r>
        <w:rPr>
          <w:rFonts w:eastAsia="Times New Roman"/>
          <w:vanish/>
          <w:sz w:val="20"/>
          <w:szCs w:val="20"/>
        </w:rPr>
        <w:t>nterMemberkim:BelmartPlazaMember2021-01-012021-12-31 0000879101kim:ShoppingCenterMemberkim:BocaLyonsPlazaMember2021-12-31 0000879101kim:ShoppingCenterMemberkim:BocaLyonsPlazaMember2021-01-012021-12-31 0000879101kim:ShoppingCenterMemberkim:CaminoSquareMembe</w:t>
      </w:r>
      <w:r>
        <w:rPr>
          <w:rFonts w:eastAsia="Times New Roman"/>
          <w:vanish/>
          <w:sz w:val="20"/>
          <w:szCs w:val="20"/>
        </w:rPr>
        <w:t>r2021-12-31 0000879101kim:ShoppingCenterMemberkim:CaminoSquareMember2021-01-012021-12-31 0000879101kim:ShoppingCenterMemberkim:CarrollwoodCommonsMember2021-12-31 0000879101kim:ShoppingCenterMemberkim:CarrollwoodCommonsMember2021-01-012021-12-31 0000879101k</w:t>
      </w:r>
      <w:r>
        <w:rPr>
          <w:rFonts w:eastAsia="Times New Roman"/>
          <w:vanish/>
          <w:sz w:val="20"/>
          <w:szCs w:val="20"/>
        </w:rPr>
        <w:t>im:ShoppingCenterMemberkim:CenterAtMissouriAvenueMember2021-12-31 0000879101kim:ShoppingCenterMemberkim:CenterAtMissouriAvenueMember2021-01-012021-12-31 0000879101kim:ShoppingCenterMemberkim:ChevronOutparcelMember2021-12-31 0000879101kim:ShoppingCenterMemb</w:t>
      </w:r>
      <w:r>
        <w:rPr>
          <w:rFonts w:eastAsia="Times New Roman"/>
          <w:vanish/>
          <w:sz w:val="20"/>
          <w:szCs w:val="20"/>
        </w:rPr>
        <w:t>erkim:ChevronOutparcelMember2021-01-012021-12-31 0000879101kim:ShoppingCenterMemberkim:ColonialPlazaMember2021-12-31 0000879101kim:ShoppingCenterMemberkim:ColonialPlazaMember2021-01-012021-12-31 0000879101kim:ShoppingCenterMemberkim:CoralPointeSCMember2021</w:t>
      </w:r>
      <w:r>
        <w:rPr>
          <w:rFonts w:eastAsia="Times New Roman"/>
          <w:vanish/>
          <w:sz w:val="20"/>
          <w:szCs w:val="20"/>
        </w:rPr>
        <w:t>-12-31 0000879101kim:ShoppingCenterMemberkim:CoralPointeSCMember2021-01-012021-12-31 0000879101kim:ShoppingCenterMemberkim:CoralSquarePromenadeMember2021-12-31 0000879101kim:ShoppingCenterMemberkim:CoralSquarePromenadeMember2021-01-012021-12-31 0000879101k</w:t>
      </w:r>
      <w:r>
        <w:rPr>
          <w:rFonts w:eastAsia="Times New Roman"/>
          <w:vanish/>
          <w:sz w:val="20"/>
          <w:szCs w:val="20"/>
        </w:rPr>
        <w:t>im:ShoppingCenterMemberkim:CorsicaSquareSCMember2021-12-31 0000879101kim:ShoppingCenterMemberkim:CorsicaSquareSCMember2021-01-012021-12-31 0000879101kim:ShoppingCenterMemberkim:CountrysideCentreMember2021-12-31 0000879101kim:ShoppingCenterMemberkim:Country</w:t>
      </w:r>
      <w:r>
        <w:rPr>
          <w:rFonts w:eastAsia="Times New Roman"/>
          <w:vanish/>
          <w:sz w:val="20"/>
          <w:szCs w:val="20"/>
        </w:rPr>
        <w:t>sideCentreMember2021-01-012021-12-31 0000879101kim:ShoppingCenterMemberkim:CurlewCrossingShoppingCtrMember2021-12-31 0000879101kim:ShoppingCenterMemberkim:CurlewCrossingShoppingCtrMember2021-01-012021-12-31 0000879101kim:ShoppingCenterMemberkim:DaniaPointe</w:t>
      </w:r>
      <w:r>
        <w:rPr>
          <w:rFonts w:eastAsia="Times New Roman"/>
          <w:vanish/>
          <w:sz w:val="20"/>
          <w:szCs w:val="20"/>
        </w:rPr>
        <w:t>Member2021-12-31 0000879101kim:ShoppingCenterMemberkim:DaniaPointeMember2021-01-012021-12-31 0000879101kim:ShoppingCenterMemberkim:DaniaPointePhaseIIMember2021-12-31 0000879101kim:ShoppingCenterMemberkim:DaniaPointePhaseIIMember2021-01-012021-12-31 0000879</w:t>
      </w:r>
      <w:r>
        <w:rPr>
          <w:rFonts w:eastAsia="Times New Roman"/>
          <w:vanish/>
          <w:sz w:val="20"/>
          <w:szCs w:val="20"/>
        </w:rPr>
        <w:t>101kim:ShoppingCenterMemberkim:EmbassyLakesMember2021-12-31 0000879101kim:ShoppingCenterMemberkim:EmbassyLakesMember2021-01-012021-12-31 0000879101kim:ShoppingCenterMemberkim:EpicVillageMember2021-12-31 0000879101kim:ShoppingCenterMemberkim:EpicVillageMemb</w:t>
      </w:r>
      <w:r>
        <w:rPr>
          <w:rFonts w:eastAsia="Times New Roman"/>
          <w:vanish/>
          <w:sz w:val="20"/>
          <w:szCs w:val="20"/>
        </w:rPr>
        <w:t>er2021-01-012021-12-31 0000879101kim:ShoppingCenterMemberkim:FtLauderdale1FLMember2021-12-31 0000879101kim:ShoppingCenterMemberkim:FtLauderdale1FLMember2021-01-012021-12-31 0000879101kim:ShoppingCenterMemberkim:FtLauderdaleCypressCreekMember2021-12-31 0000</w:t>
      </w:r>
      <w:r>
        <w:rPr>
          <w:rFonts w:eastAsia="Times New Roman"/>
          <w:vanish/>
          <w:sz w:val="20"/>
          <w:szCs w:val="20"/>
        </w:rPr>
        <w:t>879101kim:ShoppingCenterMemberkim:FtLauderdaleCypressCreekMember2021-01-012021-12-31 0000879101kim:ShoppingCenterMemberkim:GrandOaksVillageMember2021-12-31 0000879101kim:ShoppingCenterMemberkim:GrandOaksVillageMember2021-01-012021-12-31 0000879101kim:Shopp</w:t>
      </w:r>
      <w:r>
        <w:rPr>
          <w:rFonts w:eastAsia="Times New Roman"/>
          <w:vanish/>
          <w:sz w:val="20"/>
          <w:szCs w:val="20"/>
        </w:rPr>
        <w:t>ingCenterMemberkim:GroveGatesSCMember2021-12-31 0000879101kim:ShoppingCenterMemberkim:GroveGatesSCMember2021-01-012021-12-31 0000879101kim:ShoppingCenterMemberkim:HomesteadWachtelLandLeaseMember2021-12-31 0000879101kim:ShoppingCenterMemberkim:HomesteadWach</w:t>
      </w:r>
      <w:r>
        <w:rPr>
          <w:rFonts w:eastAsia="Times New Roman"/>
          <w:vanish/>
          <w:sz w:val="20"/>
          <w:szCs w:val="20"/>
        </w:rPr>
        <w:t>telLandLeaseMember2021-01-012021-12-31 0000879101kim:ShoppingCenterMemberkim:KendaleLakesPlazaMember2021-12-31 0000879101kim:ShoppingCenterMemberkim:KendaleLakesPlazaMember2021-01-012021-12-31 0000879101kim:ShoppingCenterMemberkim:LargoPlazaMember2021-12-3</w:t>
      </w:r>
      <w:r>
        <w:rPr>
          <w:rFonts w:eastAsia="Times New Roman"/>
          <w:vanish/>
          <w:sz w:val="20"/>
          <w:szCs w:val="20"/>
        </w:rPr>
        <w:t>1 0000879101kim:ShoppingCenterMemberkim:LargoPlazaMember2021-01-012021-12-31 0000879101kim:ShoppingCenterMemberkim:MaplewoodPlazaMember2021-12-31 0000879101kim:ShoppingCenterMemberkim:MaplewoodPlazaMember2021-01-012021-12-31 0000879101kim:ShoppingCenterMem</w:t>
      </w:r>
      <w:r>
        <w:rPr>
          <w:rFonts w:eastAsia="Times New Roman"/>
          <w:vanish/>
          <w:sz w:val="20"/>
          <w:szCs w:val="20"/>
        </w:rPr>
        <w:t>berkim:MarathonShoppingCenterMember2021-12-31 0000879101kim:ShoppingCenterMemberkim:MarathonShoppingCenterMember2021-01-012021-12-31 0000879101kim:ShoppingCenterMemberkim:MerchantsWalkMember2021-12-31 0000879101kim:ShoppingCenterMemberkim:MerchantsWalkMemb</w:t>
      </w:r>
      <w:r>
        <w:rPr>
          <w:rFonts w:eastAsia="Times New Roman"/>
          <w:vanish/>
          <w:sz w:val="20"/>
          <w:szCs w:val="20"/>
        </w:rPr>
        <w:t>er2021-01-012021-12-31 0000879101kim:ShoppingCenterMemberkim:MilleniaPlazaPhaseIIMember2021-12-31 0000879101kim:ShoppingCenterMemberkim:MilleniaPlazaPhaseIIMember2021-01-012021-12-31 0000879101kim:ShoppingCenterMemberkim:MillerRoadSCMember2021-12-31 000087</w:t>
      </w:r>
      <w:r>
        <w:rPr>
          <w:rFonts w:eastAsia="Times New Roman"/>
          <w:vanish/>
          <w:sz w:val="20"/>
          <w:szCs w:val="20"/>
        </w:rPr>
        <w:t>9101kim:ShoppingCenterMemberkim:MillerRoadSCMember2021-01-012021-12-31 0000879101kim:ShoppingCenterMemberkim:MillerWestPlazaMember2021-12-31 0000879101kim:ShoppingCenterMemberkim:MillerWestPlazaMember2021-01-012021-12-31 0000879101kim:ShoppingCenterMemberk</w:t>
      </w:r>
      <w:r>
        <w:rPr>
          <w:rFonts w:eastAsia="Times New Roman"/>
          <w:vanish/>
          <w:sz w:val="20"/>
          <w:szCs w:val="20"/>
        </w:rPr>
        <w:t>im:MissionBellShoppingCenterMember2021-12-31 0000879101kim:ShoppingCenterMemberkim:MissionBellShoppingCenterMember2021-01-012021-12-31 0000879101kim:ShoppingCenterMemberkim:NASAPlazaMember2021-12-31 0000879101kim:ShoppingCenterMemberkim:NASAPlazaMember2021</w:t>
      </w:r>
      <w:r>
        <w:rPr>
          <w:rFonts w:eastAsia="Times New Roman"/>
          <w:vanish/>
          <w:sz w:val="20"/>
          <w:szCs w:val="20"/>
        </w:rPr>
        <w:t>-01-012021-12-31 0000879101kim:ShoppingCenterMemberkim:OakTreePlazaMember2021-12-31 0000879101kim:ShoppingCenterMemberkim:OakTreePlazaMember2021-01-012021-12-31 0000879101kim:ShoppingCenterMemberkim:OakwoodBusinessCtrBDLG1Member2021-12-31 0000879101kim:Sho</w:t>
      </w:r>
      <w:r>
        <w:rPr>
          <w:rFonts w:eastAsia="Times New Roman"/>
          <w:vanish/>
          <w:sz w:val="20"/>
          <w:szCs w:val="20"/>
        </w:rPr>
        <w:t>ppingCenterMemberkim:OakwoodBusinessCtrBDLG1Member2021-01-012021-12-31 0000879101kim:ShoppingCenterMemberkim:OakwoodPlazaNorthMember2021-12-31 0000879101kim:ShoppingCenterMemberkim:OakwoodPlazaNorthMember2021-01-012021-12-31 0000879101kim:ShoppingCenterMem</w:t>
      </w:r>
      <w:r>
        <w:rPr>
          <w:rFonts w:eastAsia="Times New Roman"/>
          <w:vanish/>
          <w:sz w:val="20"/>
          <w:szCs w:val="20"/>
        </w:rPr>
        <w:t>berkim:OakwoodPlazaSouthMember2021-12-31 0000879101kim:ShoppingCenterMemberkim:OakwoodPlazaSouthMember2021-01-012021-12-31 0000879101kim:ShoppingCenterMemberkim:PalmsAtTownCountryMember2021-12-31 0000879101kim:ShoppingCenterMemberkim:PalmsAtTownCountryMemb</w:t>
      </w:r>
      <w:r>
        <w:rPr>
          <w:rFonts w:eastAsia="Times New Roman"/>
          <w:vanish/>
          <w:sz w:val="20"/>
          <w:szCs w:val="20"/>
        </w:rPr>
        <w:t>er2021-01-012021-12-31 0000879101kim:ShoppingCenterMemberkim:PalmsAtTownCountryLifestyleMember2021-12-31 0000879101kim:ShoppingCenterMemberkim:PalmsAtTownCountryLifestyleMember2021-01-012021-12-31 0000879101kim:ShoppingCenterMemberkim:ParkhillPlazaMember20</w:t>
      </w:r>
      <w:r>
        <w:rPr>
          <w:rFonts w:eastAsia="Times New Roman"/>
          <w:vanish/>
          <w:sz w:val="20"/>
          <w:szCs w:val="20"/>
        </w:rPr>
        <w:t>21-12-31 0000879101kim:ShoppingCenterMemberkim:ParkhillPlazaMember2021-01-012021-12-31 0000879101kim:ShoppingCenterMemberkim:PhillipsCrossingMember2021-12-31 0000879101kim:ShoppingCenterMemberkim:PhillipsCrossingMember2021-01-012021-12-31 0000879101kim:Sho</w:t>
      </w:r>
      <w:r>
        <w:rPr>
          <w:rFonts w:eastAsia="Times New Roman"/>
          <w:vanish/>
          <w:sz w:val="20"/>
          <w:szCs w:val="20"/>
        </w:rPr>
        <w:t>ppingCenterMemberkim:PlantationCrossingMember2021-12-31 0000879101kim:ShoppingCenterMemberkim:PlantationCrossingMember2021-01-012021-12-31 0000879101kim:ShoppingCenterMemberkim:PompanoPointeSCMember2021-12-31 0000879101kim:ShoppingCenterMemberkim:PompanoPo</w:t>
      </w:r>
      <w:r>
        <w:rPr>
          <w:rFonts w:eastAsia="Times New Roman"/>
          <w:vanish/>
          <w:sz w:val="20"/>
          <w:szCs w:val="20"/>
        </w:rPr>
        <w:t>inteSCMember2021-01-012021-12-31 0000879101kim:ShoppingCenterMemberkim:RenaissanceCenterMember2021-12-31 0000879101kim:ShoppingCenterMemberkim:RenaissanceCenterMember2021-01-012021-12-31 0000879101kim:ShoppingCenterMemberkim:RiverplaceShoppingCtrMember2021</w:t>
      </w:r>
      <w:r>
        <w:rPr>
          <w:rFonts w:eastAsia="Times New Roman"/>
          <w:vanish/>
          <w:sz w:val="20"/>
          <w:szCs w:val="20"/>
        </w:rPr>
        <w:t>-12-31 0000879101kim:ShoppingCenterMemberkim:RiverplaceShoppingCtrMember2021-01-012021-12-31 0000879101kim:ShoppingCenterMemberkim:RiversideLandingsSCMember2021-12-31 0000879101kim:ShoppingCenterMemberkim:RiversideLandingsSCMember2021-01-012021-12-31 00008</w:t>
      </w:r>
      <w:r>
        <w:rPr>
          <w:rFonts w:eastAsia="Times New Roman"/>
          <w:vanish/>
          <w:sz w:val="20"/>
          <w:szCs w:val="20"/>
        </w:rPr>
        <w:t>79101kim:ShoppingCenterMemberkim:SeaRanchCentreMember2021-12-31 0000879101kim:ShoppingCenterMemberkim:SeaRanchCentreMember2021-01-012021-12-31 0000879101kim:ShoppingCenterMemberkim:ShoppesAtDeerfieldMember2021-12-31 0000879101kim:ShoppingCenterMemberkim:Sh</w:t>
      </w:r>
      <w:r>
        <w:rPr>
          <w:rFonts w:eastAsia="Times New Roman"/>
          <w:vanish/>
          <w:sz w:val="20"/>
          <w:szCs w:val="20"/>
        </w:rPr>
        <w:t>oppesAtDeerfieldMember2021-01-012021-12-31 0000879101kim:ShoppingCenterMemberkim:ShoppesAtDeerfieldIIMember2021-12-31 0000879101kim:ShoppingCenterMemberkim:ShoppesAtDeerfieldIIMember2021-01-012021-12-31 0000879101kim:ShoppingCenterMemberkim:ShopsAtSantaBar</w:t>
      </w:r>
      <w:r>
        <w:rPr>
          <w:rFonts w:eastAsia="Times New Roman"/>
          <w:vanish/>
          <w:sz w:val="20"/>
          <w:szCs w:val="20"/>
        </w:rPr>
        <w:t>baraPhase1Member2021-12-31 0000879101kim:ShoppingCenterMemberkim:ShopsAtSantaBarbaraPhase1Member2021-01-012021-12-31 0000879101kim:ShoppingCenterMemberkim:ShopsAtSantaBarbaraPhase2Member2021-12-31 0000879101kim:ShoppingCenterMemberkim:ShopsAtSantaBarbaraPh</w:t>
      </w:r>
      <w:r>
        <w:rPr>
          <w:rFonts w:eastAsia="Times New Roman"/>
          <w:vanish/>
          <w:sz w:val="20"/>
          <w:szCs w:val="20"/>
        </w:rPr>
        <w:t>ase2Member2021-01-012021-12-31 0000879101kim:ShoppingCenterMemberkim:ShopsAtSantaBarbaraPhase3Member2021-12-31 0000879101kim:ShoppingCenterMemberkim:ShopsAtSantaBarbaraPhase3Member2021-01-012021-12-31 0000879101kim:ShoppingCenterMemberkim:SodoSCMember2021-</w:t>
      </w:r>
      <w:r>
        <w:rPr>
          <w:rFonts w:eastAsia="Times New Roman"/>
          <w:vanish/>
          <w:sz w:val="20"/>
          <w:szCs w:val="20"/>
        </w:rPr>
        <w:t>12-31 0000879101kim:ShoppingCenterMemberkim:SodoSCMember2021-01-012021-12-31 0000879101kim:ShoppingCenterMemberkim:SouthMiamiSCMember2021-12-31 0000879101kim:ShoppingCenterMemberkim:SouthMiamiSCMember2021-01-012021-12-31 0000879101kim:ShoppingCenterMemberk</w:t>
      </w:r>
      <w:r>
        <w:rPr>
          <w:rFonts w:eastAsia="Times New Roman"/>
          <w:vanish/>
          <w:sz w:val="20"/>
          <w:szCs w:val="20"/>
        </w:rPr>
        <w:t>im:Sunset19ScMember2021-12-31 0000879101kim:ShoppingCenterMemberkim:Sunset19ScMember2021-01-012021-12-31 0000879101kim:ShoppingCenterMemberkim:TJMaxxPlazaMember2021-12-31 0000879101kim:ShoppingCenterMemberkim:TJMaxxPlazaMember2021-01-012021-12-31 000087910</w:t>
      </w:r>
      <w:r>
        <w:rPr>
          <w:rFonts w:eastAsia="Times New Roman"/>
          <w:vanish/>
          <w:sz w:val="20"/>
          <w:szCs w:val="20"/>
        </w:rPr>
        <w:t>1kim:ShoppingCenterMemberkim:TriCityPlazaMember2021-12-31 0000879101kim:ShoppingCenterMemberkim:TriCityPlazaMember2021-01-012021-12-31 0000879101kim:ShoppingCenterMemberkim:TuttlebeePlazaMember2021-12-31 0000879101kim:ShoppingCenterMemberkim:TuttlebeePlaza</w:t>
      </w:r>
      <w:r>
        <w:rPr>
          <w:rFonts w:eastAsia="Times New Roman"/>
          <w:vanish/>
          <w:sz w:val="20"/>
          <w:szCs w:val="20"/>
        </w:rPr>
        <w:t>Member2021-01-012021-12-31 0000879101kim:ShoppingCenterMemberkim:UniversityTownCenterMember2021-12-31 0000879101kim:ShoppingCenterMemberkim:UniversityTownCenterMember2021-01-012021-12-31 0000879101kim:ShoppingCenterMemberkim:VillageCommonsSCMember2021-12-3</w:t>
      </w:r>
      <w:r>
        <w:rPr>
          <w:rFonts w:eastAsia="Times New Roman"/>
          <w:vanish/>
          <w:sz w:val="20"/>
          <w:szCs w:val="20"/>
        </w:rPr>
        <w:t>1 0000879101kim:ShoppingCenterMemberkim:VillageCommonsSCMember2021-01-012021-12-31 0000879101kim:ShoppingCenterMemberkim:VillageCommonsShoppingCenterMember2021-12-31 0000879101kim:ShoppingCenterMemberkim:VillageCommonsShoppingCenterMember2021-01-012021-12-</w:t>
      </w:r>
      <w:r>
        <w:rPr>
          <w:rFonts w:eastAsia="Times New Roman"/>
          <w:vanish/>
          <w:sz w:val="20"/>
          <w:szCs w:val="20"/>
        </w:rPr>
        <w:t>31 0000879101kim:ShoppingCenterMemberkim:VillageGreenCenterMember2021-12-31 0000879101kim:ShoppingCenterMemberkim:VillageGreenCenterMember2021-01-012021-12-31 0000879101kim:ShoppingCenterMemberkim:VizcayaSquareMember2021-12-31 0000879101kim:ShoppingCenterM</w:t>
      </w:r>
      <w:r>
        <w:rPr>
          <w:rFonts w:eastAsia="Times New Roman"/>
          <w:vanish/>
          <w:sz w:val="20"/>
          <w:szCs w:val="20"/>
        </w:rPr>
        <w:t>emberkim:VizcayaSquareMember2021-01-012021-12-31 0000879101kim:ShoppingCenterMemberkim:WellingtonGreenCommonsMember2021-12-31 0000879101kim:ShoppingCenterMemberkim:WellingtonGreenCommonsMember2021-01-012021-12-31 0000879101kim:ShoppingCenterMemberkim:Welli</w:t>
      </w:r>
      <w:r>
        <w:rPr>
          <w:rFonts w:eastAsia="Times New Roman"/>
          <w:vanish/>
          <w:sz w:val="20"/>
          <w:szCs w:val="20"/>
        </w:rPr>
        <w:t>ngtonGreenPadSitesMember2021-12-31 0000879101kim:ShoppingCenterMemberkim:WellingtonGreenPadSitesMember2021-01-012021-12-31 0000879101kim:ShoppingCenterMemberkim:WinnDixieMiamiMember2021-12-31 0000879101kim:ShoppingCenterMemberkim:WinnDixieMiamiMember2021-0</w:t>
      </w:r>
      <w:r>
        <w:rPr>
          <w:rFonts w:eastAsia="Times New Roman"/>
          <w:vanish/>
          <w:sz w:val="20"/>
          <w:szCs w:val="20"/>
        </w:rPr>
        <w:t>1-012021-12-31 0000879101kim:ShoppingCenterMemberkim:WinterParkCornersMember2021-12-31 0000879101kim:ShoppingCenterMemberkim:WinterParkCornersMember2021-01-012021-12-31 0000879101kim:ShoppingCenterMemberkim:BraelinnVillageMember2021-12-31 0000879101kim:Sho</w:t>
      </w:r>
      <w:r>
        <w:rPr>
          <w:rFonts w:eastAsia="Times New Roman"/>
          <w:vanish/>
          <w:sz w:val="20"/>
          <w:szCs w:val="20"/>
        </w:rPr>
        <w:t>ppingCenterMemberkim:BraelinnVillageMember2021-01-012021-12-31 0000879101kim:ShoppingCenterMemberkim:BrownsvilleCommonsMember2021-12-31 0000879101kim:ShoppingCenterMemberkim:BrownsvilleCommonsMember2021-01-012021-12-31 0000879101kim:ShoppingCenterMemberkim</w:t>
      </w:r>
      <w:r>
        <w:rPr>
          <w:rFonts w:eastAsia="Times New Roman"/>
          <w:vanish/>
          <w:sz w:val="20"/>
          <w:szCs w:val="20"/>
        </w:rPr>
        <w:t>:CampCreekMarketplaceIIMember2021-12-31 0000879101kim:ShoppingCenterMemberkim:CampCreekMarketplaceIIMember2021-01-012021-12-31 0000879101kim:ShoppingCenterMemberkim:ChathamPlazaMember2021-12-31 0000879101kim:ShoppingCenterMemberkim:ChathamPlazaMember2021-0</w:t>
      </w:r>
      <w:r>
        <w:rPr>
          <w:rFonts w:eastAsia="Times New Roman"/>
          <w:vanish/>
          <w:sz w:val="20"/>
          <w:szCs w:val="20"/>
        </w:rPr>
        <w:t>1-012021-12-31 0000879101kim:ShoppingCenterMemberkim:EmbryVillageMember2021-12-31 0000879101kim:ShoppingCenterMemberkim:EmbryVillageMember2021-01-012021-12-31 0000879101kim:ShoppingCenterMemberkim:GraysonCommonsMember2021-12-31 0000879101kim:ShoppingCenter</w:t>
      </w:r>
      <w:r>
        <w:rPr>
          <w:rFonts w:eastAsia="Times New Roman"/>
          <w:vanish/>
          <w:sz w:val="20"/>
          <w:szCs w:val="20"/>
        </w:rPr>
        <w:t>Memberkim:GraysonCommonsMember2021-01-012021-12-31 0000879101kim:ShoppingCenterMemberkim:LakesideMarketplaceMember2021-12-31 0000879101kim:ShoppingCenterMemberkim:LakesideMarketplaceMember2021-01-012021-12-31 0000879101kim:ShoppingCenterMemberkim:Lawrencev</w:t>
      </w:r>
      <w:r>
        <w:rPr>
          <w:rFonts w:eastAsia="Times New Roman"/>
          <w:vanish/>
          <w:sz w:val="20"/>
          <w:szCs w:val="20"/>
        </w:rPr>
        <w:t>illeMarketMember2021-12-31 0000879101kim:ShoppingCenterMemberkim:LawrencevilleMarketMember2021-01-012021-12-31 0000879101kim:ShoppingCenterMemberkim:MarketAtHaynesBridgeMember2021-12-31 0000879101kim:ShoppingCenterMemberkim:MarketAtHaynesBridgeMember2021-0</w:t>
      </w:r>
      <w:r>
        <w:rPr>
          <w:rFonts w:eastAsia="Times New Roman"/>
          <w:vanish/>
          <w:sz w:val="20"/>
          <w:szCs w:val="20"/>
        </w:rPr>
        <w:t>1-012021-12-31 0000879101kim:ShoppingCenterMemberkim:PerimeterExpoPropertyMember2021-12-31 0000879101kim:ShoppingCenterMemberkim:PerimeterExpoPropertyMember2021-01-012021-12-31 0000879101kim:ShoppingCenterMemberkim:PerimeterVillageMember2021-12-31 00008791</w:t>
      </w:r>
      <w:r>
        <w:rPr>
          <w:rFonts w:eastAsia="Times New Roman"/>
          <w:vanish/>
          <w:sz w:val="20"/>
          <w:szCs w:val="20"/>
        </w:rPr>
        <w:t>01kim:ShoppingCenterMemberkim:PerimeterVillageMember2021-01-012021-12-31 0000879101kim:ShoppingCenterMemberkim:RiverwalkMarketplaceMember2021-12-31 0000879101kim:ShoppingCenterMemberkim:RiverwalkMarketplaceMember2021-01-012021-12-31 0000879101kim:ShoppingC</w:t>
      </w:r>
      <w:r>
        <w:rPr>
          <w:rFonts w:eastAsia="Times New Roman"/>
          <w:vanish/>
          <w:sz w:val="20"/>
          <w:szCs w:val="20"/>
        </w:rPr>
        <w:t>enterMemberkim:RoswellCornersMember2021-12-31 0000879101kim:ShoppingCenterMemberkim:RoswellCornersMember2021-01-012021-12-31 0000879101kim:ShoppingCenterMemberkim:RoswellCrossingMember2021-12-31 0000879101kim:ShoppingCenterMemberkim:RoswellCrossingMember20</w:t>
      </w:r>
      <w:r>
        <w:rPr>
          <w:rFonts w:eastAsia="Times New Roman"/>
          <w:vanish/>
          <w:sz w:val="20"/>
          <w:szCs w:val="20"/>
        </w:rPr>
        <w:t>21-01-012021-12-31 0000879101kim:ShoppingCenterMemberkim:SavannahCenterMember2021-12-31 0000879101kim:ShoppingCenterMemberkim:SavannahCenterMember2021-01-012021-12-31 0000879101kim:ShoppingCenterMemberkim:ThompsonBridgeCommonsMember2021-12-31 0000879101kim</w:t>
      </w:r>
      <w:r>
        <w:rPr>
          <w:rFonts w:eastAsia="Times New Roman"/>
          <w:vanish/>
          <w:sz w:val="20"/>
          <w:szCs w:val="20"/>
        </w:rPr>
        <w:t>:ShoppingCenterMemberkim:ThompsonBridgeCommonsMember2021-01-012021-12-31 0000879101kim:ShoppingCenterMemberkim:ClivePlazaMember2021-12-31 0000879101kim:ShoppingCenterMemberkim:ClivePlazaMember2021-01-012021-12-31 0000879101kim:ShoppingCenterMemberkim:Hawth</w:t>
      </w:r>
      <w:r>
        <w:rPr>
          <w:rFonts w:eastAsia="Times New Roman"/>
          <w:vanish/>
          <w:sz w:val="20"/>
          <w:szCs w:val="20"/>
        </w:rPr>
        <w:t>ornHillsSquareMember2021-12-31 0000879101kim:ShoppingCenterMemberkim:HawthornHillsSquareMember2021-01-012021-12-31 0000879101kim:ShoppingCenterMemberkim:PlazaDelPradoMember2021-12-31 0000879101kim:ShoppingCenterMemberkim:PlazaDelPradoMember2021-01-012021-1</w:t>
      </w:r>
      <w:r>
        <w:rPr>
          <w:rFonts w:eastAsia="Times New Roman"/>
          <w:vanish/>
          <w:sz w:val="20"/>
          <w:szCs w:val="20"/>
        </w:rPr>
        <w:t>2-31 0000879101kim:ShoppingCenterMemberkim:SkokiePointeMember2021-12-31 0000879101kim:ShoppingCenterMemberkim:SkokiePointeMember2021-01-012021-12-31 0000879101kim:ShoppingCenterMemberkim:GreenwoodSCMember2021-12-31 0000879101kim:ShoppingCenterMemberkim:Gre</w:t>
      </w:r>
      <w:r>
        <w:rPr>
          <w:rFonts w:eastAsia="Times New Roman"/>
          <w:vanish/>
          <w:sz w:val="20"/>
          <w:szCs w:val="20"/>
        </w:rPr>
        <w:t>enwoodSCMember2021-01-012021-12-31 0000879101kim:ShoppingCenterMemberkim:LinwoodSquareMember2021-12-31 0000879101kim:ShoppingCenterMemberkim:LinwoodSquareMember2021-01-012021-12-31 0000879101kim:ShoppingCenterMemberkim:FestivalOnJeffersonCourtMember2021-12</w:t>
      </w:r>
      <w:r>
        <w:rPr>
          <w:rFonts w:eastAsia="Times New Roman"/>
          <w:vanish/>
          <w:sz w:val="20"/>
          <w:szCs w:val="20"/>
        </w:rPr>
        <w:t>-31 0000879101kim:ShoppingCenterMemberkim:FestivalOnJeffersonCourtMember2021-01-012021-12-31 0000879101kim:ShoppingCenterMemberkim:AdamsPlazaMember2021-12-31 0000879101kim:ShoppingCenterMemberkim:AdamsPlazaMember2021-01-012021-12-31 0000879101kim:ShoppingC</w:t>
      </w:r>
      <w:r>
        <w:rPr>
          <w:rFonts w:eastAsia="Times New Roman"/>
          <w:vanish/>
          <w:sz w:val="20"/>
          <w:szCs w:val="20"/>
        </w:rPr>
        <w:t>enterMemberkim:BroadwayPlazaMember2021-12-31 0000879101kim:ShoppingCenterMemberkim:BroadwayPlazaMember2021-01-012021-12-31 0000879101kim:ShoppingCenterMemberkim:FalmouthPlazaMember2021-12-31 0000879101kim:ShoppingCenterMemberkim:FalmouthPlazaMember2021-01-</w:t>
      </w:r>
      <w:r>
        <w:rPr>
          <w:rFonts w:eastAsia="Times New Roman"/>
          <w:vanish/>
          <w:sz w:val="20"/>
          <w:szCs w:val="20"/>
        </w:rPr>
        <w:t>012021-12-31 0000879101kim:ShoppingCenterMemberkim:FellswayPlazaMember2021-12-31 0000879101kim:ShoppingCenterMemberkim:FellswayPlazaMember2021-01-012021-12-31 0000879101kim:ShoppingCenterMemberkim:FestivalOfHyannisSCMember2021-12-31 0000879101kim:ShoppingC</w:t>
      </w:r>
      <w:r>
        <w:rPr>
          <w:rFonts w:eastAsia="Times New Roman"/>
          <w:vanish/>
          <w:sz w:val="20"/>
          <w:szCs w:val="20"/>
        </w:rPr>
        <w:t>enterMemberkim:FestivalOfHyannisSCMember2021-01-012021-12-31 0000879101kim:ShoppingCenterMemberkim:GlendaleSquareMember2021-12-31 0000879101kim:ShoppingCenterMemberkim:GlendaleSquareMember2021-01-012021-12-31 0000879101kim:ShoppingCenterMemberkim:LindenPla</w:t>
      </w:r>
      <w:r>
        <w:rPr>
          <w:rFonts w:eastAsia="Times New Roman"/>
          <w:vanish/>
          <w:sz w:val="20"/>
          <w:szCs w:val="20"/>
        </w:rPr>
        <w:t>zaMember2021-12-31 0000879101kim:ShoppingCenterMemberkim:LindenPlazaMember2021-01-012021-12-31 0000879101kim:ShoppingCenterMemberkim:MainStPlazaMember2021-12-31 0000879101kim:ShoppingCenterMemberkim:MainStPlazaMember2021-01-012021-12-31 0000879101kim:Shopp</w:t>
      </w:r>
      <w:r>
        <w:rPr>
          <w:rFonts w:eastAsia="Times New Roman"/>
          <w:vanish/>
          <w:sz w:val="20"/>
          <w:szCs w:val="20"/>
        </w:rPr>
        <w:t>ingCenterMemberkim:MemorialPlazaMember2021-12-31 0000879101kim:ShoppingCenterMemberkim:MemorialPlazaMember2021-01-012021-12-31 0000879101kim:ShoppingCenterMemberkim:MillStPlazaMember2021-12-31 0000879101kim:ShoppingCenterMemberkim:MillStPlazaMember2021-01-</w:t>
      </w:r>
      <w:r>
        <w:rPr>
          <w:rFonts w:eastAsia="Times New Roman"/>
          <w:vanish/>
          <w:sz w:val="20"/>
          <w:szCs w:val="20"/>
        </w:rPr>
        <w:t>012021-12-31 0000879101kim:ShoppingCenterMemberkim:MorrisseyPlazaMember2021-12-31 0000879101kim:ShoppingCenterMemberkim:MorrisseyPlazaMember2021-01-012021-12-31 0000879101kim:ShoppingCenterMemberkim:NorthAvePlazaMember2021-12-31 0000879101kim:ShoppingCente</w:t>
      </w:r>
      <w:r>
        <w:rPr>
          <w:rFonts w:eastAsia="Times New Roman"/>
          <w:vanish/>
          <w:sz w:val="20"/>
          <w:szCs w:val="20"/>
        </w:rPr>
        <w:t>rMemberkim:NorthAvePlazaMember2021-01-012021-12-31 0000879101kim:ShoppingCenterMemberkim:NorthQuincyPlazaMember2021-12-31 0000879101kim:ShoppingCenterMemberkim:NorthQuincyPlazaMember2021-01-012021-12-31 0000879101kim:ShoppingCenterMemberkim:ParadisePlazaMe</w:t>
      </w:r>
      <w:r>
        <w:rPr>
          <w:rFonts w:eastAsia="Times New Roman"/>
          <w:vanish/>
          <w:sz w:val="20"/>
          <w:szCs w:val="20"/>
        </w:rPr>
        <w:t>mber2021-12-31 0000879101kim:ShoppingCenterMemberkim:ParadisePlazaMember2021-01-012021-12-31 0000879101kim:ShoppingCenterMemberkim:VinninSquareInlineMember2021-12-31 0000879101kim:ShoppingCenterMemberkim:VinninSquareInlineMember2021-01-012021-12-31 0000879</w:t>
      </w:r>
      <w:r>
        <w:rPr>
          <w:rFonts w:eastAsia="Times New Roman"/>
          <w:vanish/>
          <w:sz w:val="20"/>
          <w:szCs w:val="20"/>
        </w:rPr>
        <w:t>101kim:ShoppingCenterMemberkim:VinninSquarePlazaMember2021-12-31 0000879101kim:ShoppingCenterMemberkim:VinninSquarePlazaMember2021-01-012021-12-31 0000879101kim:ShoppingCenterMemberkim:WashingtonStPlazaMember2021-12-31 0000879101kim:ShoppingCenterMemberkim</w:t>
      </w:r>
      <w:r>
        <w:rPr>
          <w:rFonts w:eastAsia="Times New Roman"/>
          <w:vanish/>
          <w:sz w:val="20"/>
          <w:szCs w:val="20"/>
        </w:rPr>
        <w:t>:WashingtonStPlazaMember2021-01-012021-12-31 0000879101kim:ShoppingCenterMemberkim:WashingtonStSCMember2021-12-31 0000879101kim:ShoppingCenterMemberkim:WashingtonStSCMember2021-01-012021-12-31 0000879101kim:ShoppingCenterMemberkim:WaverlyPlazaMember2021-12</w:t>
      </w:r>
      <w:r>
        <w:rPr>
          <w:rFonts w:eastAsia="Times New Roman"/>
          <w:vanish/>
          <w:sz w:val="20"/>
          <w:szCs w:val="20"/>
        </w:rPr>
        <w:t>-31 0000879101kim:ShoppingCenterMemberkim:WaverlyPlazaMember2021-01-012021-12-31 0000879101kim:ShoppingCenterMemberkim:CentreCourtGiantMember2021-12-31 0000879101kim:ShoppingCenterMemberkim:CentreCourtGiantMember2021-01-012021-12-31 0000879101kim:ShoppingC</w:t>
      </w:r>
      <w:r>
        <w:rPr>
          <w:rFonts w:eastAsia="Times New Roman"/>
          <w:vanish/>
          <w:sz w:val="20"/>
          <w:szCs w:val="20"/>
        </w:rPr>
        <w:t>enterMemberkim:CentreCourtOldCourtCourtyardMember2021-12-31 0000879101kim:ShoppingCenterMemberkim:CentreCourtOldCourtCourtyardMember2021-01-012021-12-31 0000879101kim:ShoppingCenterMemberkim:CentreCourtRetailBankMember2021-12-31 0000879101kim:ShoppingCente</w:t>
      </w:r>
      <w:r>
        <w:rPr>
          <w:rFonts w:eastAsia="Times New Roman"/>
          <w:vanish/>
          <w:sz w:val="20"/>
          <w:szCs w:val="20"/>
        </w:rPr>
        <w:t>rMemberkim:CentreCourtRetailBankMember2021-01-012021-12-31 0000879101kim:ShoppingCenterMemberkim:ColumbiaCrossingMember2021-12-31 0000879101kim:ShoppingCenterMemberkim:ColumbiaCrossingMember2021-01-012021-12-31 0000879101kim:ShoppingCenterMemberkim:Columbi</w:t>
      </w:r>
      <w:r>
        <w:rPr>
          <w:rFonts w:eastAsia="Times New Roman"/>
          <w:vanish/>
          <w:sz w:val="20"/>
          <w:szCs w:val="20"/>
        </w:rPr>
        <w:t>aCrossingIIShopCtrMember2021-12-31 0000879101kim:ShoppingCenterMemberkim:ColumbiaCrossingIIShopCtrMember2021-01-012021-12-31 0000879101kim:ShoppingCenterMemberkim:ColumbiaCrossingOutparcelsMember2021-12-31 0000879101kim:ShoppingCenterMemberkim:ColumbiaCros</w:t>
      </w:r>
      <w:r>
        <w:rPr>
          <w:rFonts w:eastAsia="Times New Roman"/>
          <w:vanish/>
          <w:sz w:val="20"/>
          <w:szCs w:val="20"/>
        </w:rPr>
        <w:t>singOutparcelsMember2021-01-012021-12-31 0000879101kim:ShoppingCenterMemberkim:DorseysSearchVillageCenterMember2021-12-31 0000879101kim:ShoppingCenterMemberkim:DorseysSearchVillageCenterMember2021-01-012021-12-31 0000879101kim:ShoppingCenterMemberkim:Encha</w:t>
      </w:r>
      <w:r>
        <w:rPr>
          <w:rFonts w:eastAsia="Times New Roman"/>
          <w:vanish/>
          <w:sz w:val="20"/>
          <w:szCs w:val="20"/>
        </w:rPr>
        <w:t>ntedForestSCMember2021-12-31 0000879101kim:ShoppingCenterMemberkim:EnchantedForestSCMember2021-01-012021-12-31 0000879101kim:ShoppingCenterMemberkim:FullertonPlazaMember2021-12-31 0000879101kim:ShoppingCenterMemberkim:FullertonPlazaMember2021-01-012021-12-</w:t>
      </w:r>
      <w:r>
        <w:rPr>
          <w:rFonts w:eastAsia="Times New Roman"/>
          <w:vanish/>
          <w:sz w:val="20"/>
          <w:szCs w:val="20"/>
        </w:rPr>
        <w:t>31 0000879101kim:ShoppingCenterMemberkim:GaithersburgSCMember2021-12-31 0000879101kim:ShoppingCenterMemberkim:GaithersburgSCMember2021-01-012021-12-31 0000879101kim:ShoppingCenterMemberkim:GreenbrierSCMember2021-12-31 0000879101kim:ShoppingCenterMemberkim:</w:t>
      </w:r>
      <w:r>
        <w:rPr>
          <w:rFonts w:eastAsia="Times New Roman"/>
          <w:vanish/>
          <w:sz w:val="20"/>
          <w:szCs w:val="20"/>
        </w:rPr>
        <w:t>GreenbrierSCMember2021-01-012021-12-31 0000879101kim:ShoppingCenterMemberkim:HarpersChoiceMember2021-12-31 0000879101kim:ShoppingCenterMemberkim:HarpersChoiceMember2021-01-012021-12-31 0000879101kim:ShoppingCenterMemberkim:HickoryRidgeMember2021-12-31 0000</w:t>
      </w:r>
      <w:r>
        <w:rPr>
          <w:rFonts w:eastAsia="Times New Roman"/>
          <w:vanish/>
          <w:sz w:val="20"/>
          <w:szCs w:val="20"/>
        </w:rPr>
        <w:t>879101kim:ShoppingCenterMemberkim:HickoryRidgeMember2021-01-012021-12-31 0000879101kim:ShoppingCenterMemberkim:HickoryRidgeSunocoMember2021-12-31 0000879101kim:ShoppingCenterMemberkim:HickoryRidgeSunocoMember2021-01-012021-12-31 0000879101kim:ShoppingCente</w:t>
      </w:r>
      <w:r>
        <w:rPr>
          <w:rFonts w:eastAsia="Times New Roman"/>
          <w:vanish/>
          <w:sz w:val="20"/>
          <w:szCs w:val="20"/>
        </w:rPr>
        <w:t>rMemberkim:InglesideSCMember2021-12-31 0000879101kim:ShoppingCenterMemberkim:InglesideSCMember2021-01-012021-12-31 0000879101kim:ShoppingCenterMemberkim:KentlandsMarketSquareMember2021-12-31 0000879101kim:ShoppingCenterMemberkim:KentlandsMarketSquareMember</w:t>
      </w:r>
      <w:r>
        <w:rPr>
          <w:rFonts w:eastAsia="Times New Roman"/>
          <w:vanish/>
          <w:sz w:val="20"/>
          <w:szCs w:val="20"/>
        </w:rPr>
        <w:t>2021-01-012021-12-31 0000879101kim:ShoppingCenterMemberkim:KingsContrivanceMember2021-12-31 0000879101kim:ShoppingCenterMemberkim:KingsContrivanceMember2021-01-012021-12-31 0000879101kim:ShoppingCenterMemberkim:LaurelPlazaMember2021-12-31 0000879101kim:Sho</w:t>
      </w:r>
      <w:r>
        <w:rPr>
          <w:rFonts w:eastAsia="Times New Roman"/>
          <w:vanish/>
          <w:sz w:val="20"/>
          <w:szCs w:val="20"/>
        </w:rPr>
        <w:t>ppingCenterMemberkim:LaurelPlazaMember2021-01-012021-12-31 0000879101kim:ShoppingCenterMemberkim:LaurelPlaza2Member2021-12-31 0000879101kim:ShoppingCenterMemberkim:LaurelPlaza2Member2021-01-012021-12-31 0000879101kim:ShoppingCenterMemberkim:MillStationMemb</w:t>
      </w:r>
      <w:r>
        <w:rPr>
          <w:rFonts w:eastAsia="Times New Roman"/>
          <w:vanish/>
          <w:sz w:val="20"/>
          <w:szCs w:val="20"/>
        </w:rPr>
        <w:t>er2021-12-31 0000879101kim:ShoppingCenterMemberkim:MillStationMember2021-01-012021-12-31 0000879101kim:ShoppingCenterMemberkim:MillStationTheaterRestaurantsMember2021-12-31 0000879101kim:ShoppingCenterMemberkim:MillStationTheaterRestaurantsMember2021-01-01</w:t>
      </w:r>
      <w:r>
        <w:rPr>
          <w:rFonts w:eastAsia="Times New Roman"/>
          <w:vanish/>
          <w:sz w:val="20"/>
          <w:szCs w:val="20"/>
        </w:rPr>
        <w:t>2021-12-31 0000879101kim:ShoppingCenterMemberkim:PikeCenterMember2021-12-31 0000879101kim:ShoppingCenterMemberkim:PikeCenterMember2021-01-012021-12-31 0000879101kim:ShoppingCenterMemberkim:PuttyHillPlazaMember2021-12-31 0000879101kim:ShoppingCenterMemberki</w:t>
      </w:r>
      <w:r>
        <w:rPr>
          <w:rFonts w:eastAsia="Times New Roman"/>
          <w:vanish/>
          <w:sz w:val="20"/>
          <w:szCs w:val="20"/>
        </w:rPr>
        <w:t>m:PuttyHillPlazaMember2021-01-012021-12-31 0000879101kim:ShoppingCenterMemberkim:RadcliffeCenterMember2021-12-31 0000879101kim:ShoppingCenterMemberkim:RadcliffeCenterMember2021-01-012021-12-31 0000879101kim:ShoppingCenterMemberkim:RiverhillVillageCenterMem</w:t>
      </w:r>
      <w:r>
        <w:rPr>
          <w:rFonts w:eastAsia="Times New Roman"/>
          <w:vanish/>
          <w:sz w:val="20"/>
          <w:szCs w:val="20"/>
        </w:rPr>
        <w:t>ber2021-12-31 0000879101kim:ShoppingCenterMemberkim:RiverhillVillageCenterMember2021-01-012021-12-31 0000879101kim:ShoppingCenterMemberkim:ShawanPlazaMember2021-12-31 0000879101kim:ShoppingCenterMemberkim:ShawanPlazaMember2021-01-012021-12-31 0000879101kim</w:t>
      </w:r>
      <w:r>
        <w:rPr>
          <w:rFonts w:eastAsia="Times New Roman"/>
          <w:vanish/>
          <w:sz w:val="20"/>
          <w:szCs w:val="20"/>
        </w:rPr>
        <w:t>:ShoppingCenterMemberkim:ShoppesAtEastonMember2021-12-31 0000879101kim:ShoppingCenterMemberkim:ShoppesAtEastonMember2021-01-012021-12-31 0000879101kim:ShoppingCenterMemberkim:ShopsAtDistrictHeightsMember2021-12-31 0000879101kim:ShoppingCenterMemberkim:Shop</w:t>
      </w:r>
      <w:r>
        <w:rPr>
          <w:rFonts w:eastAsia="Times New Roman"/>
          <w:vanish/>
          <w:sz w:val="20"/>
          <w:szCs w:val="20"/>
        </w:rPr>
        <w:t>sAtDistrictHeightsMember2021-01-012021-12-31 0000879101kim:ShoppingCenterMemberkim:SnowdenSquareSCMember2021-12-31 0000879101kim:ShoppingCenterMemberkim:SnowdenSquareSCMember2021-01-012021-12-31 0000879101kim:ShoppingCenterMemberkim:TimoniumCrossingMember2</w:t>
      </w:r>
      <w:r>
        <w:rPr>
          <w:rFonts w:eastAsia="Times New Roman"/>
          <w:vanish/>
          <w:sz w:val="20"/>
          <w:szCs w:val="20"/>
        </w:rPr>
        <w:t>021-12-31 0000879101kim:ShoppingCenterMemberkim:TimoniumCrossingMember2021-01-012021-12-31 0000879101kim:ShoppingCenterMemberkim:TimoniumSquareMember2021-12-31 0000879101kim:ShoppingCenterMemberkim:TimoniumSquareMember2021-01-012021-12-31 0000879101kim:Sho</w:t>
      </w:r>
      <w:r>
        <w:rPr>
          <w:rFonts w:eastAsia="Times New Roman"/>
          <w:vanish/>
          <w:sz w:val="20"/>
          <w:szCs w:val="20"/>
        </w:rPr>
        <w:t>ppingCenterMemberkim:TowsonPlaceMember2021-12-31 0000879101kim:ShoppingCenterMemberkim:TowsonPlaceMember2021-01-012021-12-31 0000879101kim:ShoppingCenterMemberkim:VillagesAtUrbanaMember2021-12-31 0000879101kim:ShoppingCenterMemberkim:VillagesAtUrbanaMember</w:t>
      </w:r>
      <w:r>
        <w:rPr>
          <w:rFonts w:eastAsia="Times New Roman"/>
          <w:vanish/>
          <w:sz w:val="20"/>
          <w:szCs w:val="20"/>
        </w:rPr>
        <w:t>2021-01-012021-12-31 0000879101kim:ShoppingCenterMemberkim:WildeLakeMember2021-12-31 0000879101kim:ShoppingCenterMemberkim:WildeLakeMember2021-01-012021-12-31 0000879101kim:ShoppingCenterMemberkim:WilkensBeltwayPlazaMember2021-12-31 0000879101kim:ShoppingC</w:t>
      </w:r>
      <w:r>
        <w:rPr>
          <w:rFonts w:eastAsia="Times New Roman"/>
          <w:vanish/>
          <w:sz w:val="20"/>
          <w:szCs w:val="20"/>
        </w:rPr>
        <w:t>enterMemberkim:WilkensBeltwayPlazaMember2021-01-012021-12-31 0000879101kim:ShoppingCenterMemberkim:YorkRoadPlazaMember2021-12-31 0000879101kim:ShoppingCenterMemberkim:YorkRoadPlazaMember2021-01-012021-12-31 0000879101kim:ShoppingCenterMemberkim:CenturyPlaz</w:t>
      </w:r>
      <w:r>
        <w:rPr>
          <w:rFonts w:eastAsia="Times New Roman"/>
          <w:vanish/>
          <w:sz w:val="20"/>
          <w:szCs w:val="20"/>
        </w:rPr>
        <w:t>aMember2021-12-31 0000879101kim:ShoppingCenterMemberkim:CenturyPlazaMember2021-01-012021-12-31 0000879101kim:ShoppingCenterMemberkim:TheFountainsAtArborLakesMember2021-12-31 0000879101kim:ShoppingCenterMemberkim:TheFountainsAtArborLakesMember2021-01-012021</w:t>
      </w:r>
      <w:r>
        <w:rPr>
          <w:rFonts w:eastAsia="Times New Roman"/>
          <w:vanish/>
          <w:sz w:val="20"/>
          <w:szCs w:val="20"/>
        </w:rPr>
        <w:t>-12-31 0000879101kim:ShoppingCenterMemberkim:CenterPointSCMember2021-12-31 0000879101kim:ShoppingCenterMemberkim:CenterPointSCMember2021-01-012021-12-31 0000879101kim:ShoppingCenterMemberkim:BrennanStationMember2021-12-31 0000879101kim:ShoppingCenterMember</w:t>
      </w:r>
      <w:r>
        <w:rPr>
          <w:rFonts w:eastAsia="Times New Roman"/>
          <w:vanish/>
          <w:sz w:val="20"/>
          <w:szCs w:val="20"/>
        </w:rPr>
        <w:t>kim:BrennanStationMember2021-01-012021-12-31 0000879101kim:ShoppingCenterMemberkim:BrennanStationOutparcelMember2021-12-31 0000879101kim:ShoppingCenterMemberkim:BrennanStationOutparcelMember2021-01-012021-12-31 0000879101kim:ShoppingCenterMemberkim:Capital</w:t>
      </w:r>
      <w:r>
        <w:rPr>
          <w:rFonts w:eastAsia="Times New Roman"/>
          <w:vanish/>
          <w:sz w:val="20"/>
          <w:szCs w:val="20"/>
        </w:rPr>
        <w:t>SquareMember2021-12-31 0000879101kim:ShoppingCenterMemberkim:CapitalSquareMember2021-01-012021-12-31 0000879101kim:ShoppingCenterMemberkim:CloverdalePlazaMember2021-12-31 0000879101kim:ShoppingCenterMemberkim:CloverdalePlazaMember2021-01-012021-12-31 00008</w:t>
      </w:r>
      <w:r>
        <w:rPr>
          <w:rFonts w:eastAsia="Times New Roman"/>
          <w:vanish/>
          <w:sz w:val="20"/>
          <w:szCs w:val="20"/>
        </w:rPr>
        <w:t>79101kim:ShoppingCenterMemberkim:CrossroadsPlazaMember2021-12-31 0000879101kim:ShoppingCenterMemberkim:CrossroadsPlazaMember2021-01-012021-12-31 0000879101kim:ShoppingCenterMemberkim:CrossroadsPlaza2Member2021-12-31 0000879101kim:ShoppingCenterMemberkim:Cr</w:t>
      </w:r>
      <w:r>
        <w:rPr>
          <w:rFonts w:eastAsia="Times New Roman"/>
          <w:vanish/>
          <w:sz w:val="20"/>
          <w:szCs w:val="20"/>
        </w:rPr>
        <w:t>ossroadsPlaza2Member2021-01-012021-12-31 0000879101kim:ShoppingCenterMemberkim:DavidsonCommonsMember2021-12-31 0000879101kim:ShoppingCenterMemberkim:DavidsonCommonsMember2021-01-012021-12-31 0000879101kim:ShoppingCenterMemberkim:FallsPointeMember2021-12-31</w:t>
      </w:r>
      <w:r>
        <w:rPr>
          <w:rFonts w:eastAsia="Times New Roman"/>
          <w:vanish/>
          <w:sz w:val="20"/>
          <w:szCs w:val="20"/>
        </w:rPr>
        <w:t xml:space="preserve"> 0000879101kim:ShoppingCenterMemberkim:FallsPointeMember2021-01-012021-12-31 0000879101kim:ShoppingCenterMemberkim:HighHouseCrossingMember2021-12-31 0000879101kim:ShoppingCenterMemberkim:HighHouseCrossingMember2021-01-012021-12-31 0000879101kim:ShoppingCen</w:t>
      </w:r>
      <w:r>
        <w:rPr>
          <w:rFonts w:eastAsia="Times New Roman"/>
          <w:vanish/>
          <w:sz w:val="20"/>
          <w:szCs w:val="20"/>
        </w:rPr>
        <w:t>terMemberkim:HopeValleyCommonsMember2021-12-31 0000879101kim:ShoppingCenterMemberkim:HopeValleyCommonsMember2021-01-012021-12-31 0000879101kim:ShoppingCenterMemberkim:JettonVillageShoppesMember2021-12-31 0000879101kim:ShoppingCenterMemberkim:JettonVillageS</w:t>
      </w:r>
      <w:r>
        <w:rPr>
          <w:rFonts w:eastAsia="Times New Roman"/>
          <w:vanish/>
          <w:sz w:val="20"/>
          <w:szCs w:val="20"/>
        </w:rPr>
        <w:t>hoppesMember2021-01-012021-12-31 0000879101kim:ShoppingCenterMemberkim:LeesvilleTowneCentreMember2021-12-31 0000879101kim:ShoppingCenterMemberkim:LeesvilleTowneCentreMember2021-01-012021-12-31 0000879101kim:ShoppingCenterMemberkim:MooresvilleCrossingMember</w:t>
      </w:r>
      <w:r>
        <w:rPr>
          <w:rFonts w:eastAsia="Times New Roman"/>
          <w:vanish/>
          <w:sz w:val="20"/>
          <w:szCs w:val="20"/>
        </w:rPr>
        <w:t>2021-12-31 0000879101kim:ShoppingCenterMemberkim:MooresvilleCrossingMember2021-01-012021-12-31 0000879101kim:ShoppingCenterMemberkim:NorthwoodsScMember2021-12-31 0000879101kim:ShoppingCenterMemberkim:NorthwoodsScMember2021-01-012021-12-31 0000879101kim:Sho</w:t>
      </w:r>
      <w:r>
        <w:rPr>
          <w:rFonts w:eastAsia="Times New Roman"/>
          <w:vanish/>
          <w:sz w:val="20"/>
          <w:szCs w:val="20"/>
        </w:rPr>
        <w:t>ppingCenterMemberkim:ParkPlaceSCMember2021-12-31 0000879101kim:ShoppingCenterMemberkim:ParkPlaceSCMember2021-01-012021-12-31 0000879101kim:ShoppingCenterMemberkim:PleasantValleyPromenadeMember2021-12-31 0000879101kim:ShoppingCenterMemberkim:PleasantValleyP</w:t>
      </w:r>
      <w:r>
        <w:rPr>
          <w:rFonts w:eastAsia="Times New Roman"/>
          <w:vanish/>
          <w:sz w:val="20"/>
          <w:szCs w:val="20"/>
        </w:rPr>
        <w:t>romenadeMember2021-01-012021-12-31 0000879101kim:ShoppingCenterMemberkim:QuailCornersMember2021-12-31 0000879101kim:ShoppingCenterMemberkim:QuailCornersMember2021-01-012021-12-31 0000879101kim:ShoppingCenterMemberkim:SixForksScMember2021-12-31 0000879101ki</w:t>
      </w:r>
      <w:r>
        <w:rPr>
          <w:rFonts w:eastAsia="Times New Roman"/>
          <w:vanish/>
          <w:sz w:val="20"/>
          <w:szCs w:val="20"/>
        </w:rPr>
        <w:t>m:ShoppingCenterMemberkim:SixForksScMember2021-01-012021-12-31 0000879101kim:ShoppingCenterMemberkim:StonehengeMarketMember2021-12-31 0000879101kim:ShoppingCenterMemberkim:StonehengeMarketMember2021-01-012021-12-31 0000879101kim:ShoppingCenterMemberkim:Tyv</w:t>
      </w:r>
      <w:r>
        <w:rPr>
          <w:rFonts w:eastAsia="Times New Roman"/>
          <w:vanish/>
          <w:sz w:val="20"/>
          <w:szCs w:val="20"/>
        </w:rPr>
        <w:t>olaMallMember2021-12-31 0000879101kim:ShoppingCenterMemberkim:TyvolaMallMember2021-01-012021-12-31 0000879101kim:ShoppingCenterMemberkim:WoodlawnMarketplaceMember2021-12-31 0000879101kim:ShoppingCenterMemberkim:WoodlawnMarketplaceMember2021-01-012021-12-31</w:t>
      </w:r>
      <w:r>
        <w:rPr>
          <w:rFonts w:eastAsia="Times New Roman"/>
          <w:vanish/>
          <w:sz w:val="20"/>
          <w:szCs w:val="20"/>
        </w:rPr>
        <w:t xml:space="preserve"> 0000879101kim:ShoppingCenterMemberkim:WoodlawnShoppingCenterMember2021-12-31 0000879101kim:ShoppingCenterMemberkim:WoodlawnShoppingCenterMember2021-01-012021-12-31 0000879101kim:ShoppingCenterMemberkim:RockinghamPlazaMember2021-12-31 0000879101kim:Shoppin</w:t>
      </w:r>
      <w:r>
        <w:rPr>
          <w:rFonts w:eastAsia="Times New Roman"/>
          <w:vanish/>
          <w:sz w:val="20"/>
          <w:szCs w:val="20"/>
        </w:rPr>
        <w:t>gCenterMemberkim:RockinghamPlazaMember2021-01-012021-12-31 0000879101kim:ShoppingCenterMemberkim:WebsterSquareMember2021-12-31 0000879101kim:ShoppingCenterMemberkim:WebsterSquareMember2021-01-012021-12-31 0000879101kim:ShoppingCenterMemberkim:WebsterSquare</w:t>
      </w:r>
      <w:r>
        <w:rPr>
          <w:rFonts w:eastAsia="Times New Roman"/>
          <w:vanish/>
          <w:sz w:val="20"/>
          <w:szCs w:val="20"/>
        </w:rPr>
        <w:t>DSWMember2021-12-31 0000879101kim:ShoppingCenterMemberkim:WebsterSquareDSWMember2021-01-012021-12-31 0000879101kim:ShoppingCenterMemberkim:WebsterSquareNorthMember2021-12-31 0000879101kim:ShoppingCenterMemberkim:WebsterSquareNorthMember2021-01-012021-12-31</w:t>
      </w:r>
      <w:r>
        <w:rPr>
          <w:rFonts w:eastAsia="Times New Roman"/>
          <w:vanish/>
          <w:sz w:val="20"/>
          <w:szCs w:val="20"/>
        </w:rPr>
        <w:t xml:space="preserve"> 0000879101kim:ShoppingCenterMemberkim:CentralPlazaMember2021-12-31 0000879101kim:ShoppingCenterMemberkim:CentralPlazaMember2021-01-012021-12-31 0000879101kim:ShoppingCenterMemberkim:ClarkShoprite70CentralAveMember2021-12-31 0000879101kim:ShoppingCenterMem</w:t>
      </w:r>
      <w:r>
        <w:rPr>
          <w:rFonts w:eastAsia="Times New Roman"/>
          <w:vanish/>
          <w:sz w:val="20"/>
          <w:szCs w:val="20"/>
        </w:rPr>
        <w:t>berkim:ClarkShoprite70CentralAveMember2021-01-012021-12-31 0000879101kim:ShoppingCenterMemberkim:CommerceCenterEastMember2021-12-31 0000879101kim:ShoppingCenterMemberkim:CommerceCenterEastMember2021-01-012021-12-31 0000879101kim:ShoppingCenterMemberkim:Com</w:t>
      </w:r>
      <w:r>
        <w:rPr>
          <w:rFonts w:eastAsia="Times New Roman"/>
          <w:vanish/>
          <w:sz w:val="20"/>
          <w:szCs w:val="20"/>
        </w:rPr>
        <w:t>merceCenterWestMember2021-12-31 0000879101kim:ShoppingCenterMemberkim:CommerceCenterWestMember2021-01-012021-12-31 0000879101kim:ShoppingCenterMemberkim:CommonsAtHolmdelMember2021-12-31 0000879101kim:ShoppingCenterMemberkim:CommonsAtHolmdelMember2021-01-01</w:t>
      </w:r>
      <w:r>
        <w:rPr>
          <w:rFonts w:eastAsia="Times New Roman"/>
          <w:vanish/>
          <w:sz w:val="20"/>
          <w:szCs w:val="20"/>
        </w:rPr>
        <w:t>2021-12-31 0000879101kim:ShoppingCenterMemberkim:EastWindsorVillageMember2021-12-31 0000879101kim:ShoppingCenterMemberkim:EastWindsorVillageMember2021-01-012021-12-31 0000879101kim:ShoppingCenterMemberkim:GardenStatePavilionsMember2021-12-31 0000879101kim:</w:t>
      </w:r>
      <w:r>
        <w:rPr>
          <w:rFonts w:eastAsia="Times New Roman"/>
          <w:vanish/>
          <w:sz w:val="20"/>
          <w:szCs w:val="20"/>
        </w:rPr>
        <w:t>ShoppingCenterMemberkim:GardenStatePavilionsMember2021-01-012021-12-31 0000879101kim:ShoppingCenterMemberkim:HillviewShoppingCenterMember2021-12-31 0000879101kim:ShoppingCenterMemberkim:HillviewShoppingCenterMember2021-01-012021-12-31 0000879101kim:Shoppin</w:t>
      </w:r>
      <w:r>
        <w:rPr>
          <w:rFonts w:eastAsia="Times New Roman"/>
          <w:vanish/>
          <w:sz w:val="20"/>
          <w:szCs w:val="20"/>
        </w:rPr>
        <w:t>gCenterMemberkim:HolmdelTowneCenterMember2021-12-31 0000879101kim:ShoppingCenterMemberkim:HolmdelTowneCenterMember2021-01-012021-12-31 0000879101kim:ShoppingCenterMemberkim:MapleShadeMember2021-12-31 0000879101kim:ShoppingCenterMemberkim:MapleShadeMember20</w:t>
      </w:r>
      <w:r>
        <w:rPr>
          <w:rFonts w:eastAsia="Times New Roman"/>
          <w:vanish/>
          <w:sz w:val="20"/>
          <w:szCs w:val="20"/>
        </w:rPr>
        <w:t>21-01-012021-12-31 0000879101kim:ShoppingCenterMemberkim:MarltonPlazaMember2021-12-31 0000879101kim:ShoppingCenterMemberkim:MarltonPlazaMember2021-01-012021-12-31 0000879101kim:ShoppingCenterMemberkim:NorthBrunswickPlazaMember2021-12-31 0000879101kim:Shopp</w:t>
      </w:r>
      <w:r>
        <w:rPr>
          <w:rFonts w:eastAsia="Times New Roman"/>
          <w:vanish/>
          <w:sz w:val="20"/>
          <w:szCs w:val="20"/>
        </w:rPr>
        <w:t>ingCenterMemberkim:NorthBrunswickPlazaMember2021-01-012021-12-31 0000879101kim:ShoppingCenterMemberkim:PiscatawayTownCenterMember2021-12-31 0000879101kim:ShoppingCenterMemberkim:PiscatawayTownCenterMember2021-01-012021-12-31 0000879101kim:ShoppingCenterMem</w:t>
      </w:r>
      <w:r>
        <w:rPr>
          <w:rFonts w:eastAsia="Times New Roman"/>
          <w:vanish/>
          <w:sz w:val="20"/>
          <w:szCs w:val="20"/>
        </w:rPr>
        <w:t>berkim:PlazaAtHillsdaleMember2021-12-31 0000879101kim:ShoppingCenterMemberkim:PlazaAtHillsdaleMember2021-01-012021-12-31 0000879101kim:ShoppingCenterMemberkim:PlazaAtShortHillsMember2021-12-31 0000879101kim:ShoppingCenterMemberkim:PlazaAtShortHillsMember20</w:t>
      </w:r>
      <w:r>
        <w:rPr>
          <w:rFonts w:eastAsia="Times New Roman"/>
          <w:vanish/>
          <w:sz w:val="20"/>
          <w:szCs w:val="20"/>
        </w:rPr>
        <w:t>21-01-012021-12-31 0000879101kim:ShoppingCenterMemberkim:RidgewoodSCMember2021-12-31 0000879101kim:ShoppingCenterMemberkim:RidgewoodSCMember2021-01-012021-12-31 0000879101kim:ShoppingCenterMemberkim:ShopRitePlazaMember2021-12-31 0000879101kim:ShoppingCente</w:t>
      </w:r>
      <w:r>
        <w:rPr>
          <w:rFonts w:eastAsia="Times New Roman"/>
          <w:vanish/>
          <w:sz w:val="20"/>
          <w:szCs w:val="20"/>
        </w:rPr>
        <w:t>rMemberkim:ShopRitePlazaMember2021-01-012021-12-31 0000879101kim:ShoppingCenterMemberkim:UnionCrescentIIIMember2021-12-31 0000879101kim:ShoppingCenterMemberkim:UnionCrescentIIIMember2021-01-012021-12-31 0000879101kim:ShoppingCenterMemberkim:WestmontPlazaMe</w:t>
      </w:r>
      <w:r>
        <w:rPr>
          <w:rFonts w:eastAsia="Times New Roman"/>
          <w:vanish/>
          <w:sz w:val="20"/>
          <w:szCs w:val="20"/>
        </w:rPr>
        <w:t>mber2021-12-31 0000879101kim:ShoppingCenterMemberkim:WestmontPlazaMember2021-01-012021-12-31 0000879101kim:ShoppingCenterMemberkim:WillowbrookPlazaMember2021-12-31 0000879101kim:ShoppingCenterMemberkim:WillowbrookPlazaMember2021-01-012021-12-31 0000879101k</w:t>
      </w:r>
      <w:r>
        <w:rPr>
          <w:rFonts w:eastAsia="Times New Roman"/>
          <w:vanish/>
          <w:sz w:val="20"/>
          <w:szCs w:val="20"/>
        </w:rPr>
        <w:t>im:ShoppingCenterMemberkim:NorthTownePlazaAlbuquerqueMember2021-12-31 0000879101kim:ShoppingCenterMemberkim:NorthTownePlazaAlbuquerqueMember2021-01-012021-12-31 0000879101kim:ShoppingCenterMemberkim:CharlestonCommonsMember2021-12-31 0000879101kim:ShoppingC</w:t>
      </w:r>
      <w:r>
        <w:rPr>
          <w:rFonts w:eastAsia="Times New Roman"/>
          <w:vanish/>
          <w:sz w:val="20"/>
          <w:szCs w:val="20"/>
        </w:rPr>
        <w:t>enterMemberkim:CharlestonCommonsMember2021-01-012021-12-31 0000879101kim:ShoppingCenterMemberkim:CollegeParkScNLasVegasMember2021-12-31 0000879101kim:ShoppingCenterMemberkim:CollegeParkScNLasVegasMember2021-01-012021-12-31 0000879101kim:ShoppingCenterMembe</w:t>
      </w:r>
      <w:r>
        <w:rPr>
          <w:rFonts w:eastAsia="Times New Roman"/>
          <w:vanish/>
          <w:sz w:val="20"/>
          <w:szCs w:val="20"/>
        </w:rPr>
        <w:t>rkim:DAndreaMarketplaceMember2021-12-31 0000879101kim:ShoppingCenterMemberkim:DAndreaMarketplaceMember2021-01-012021-12-31 0000879101kim:ShoppingCenterMemberkim:DelMontePlazaMember2021-12-31 0000879101kim:ShoppingCenterMemberkim:DelMontePlazaMember2021-01-</w:t>
      </w:r>
      <w:r>
        <w:rPr>
          <w:rFonts w:eastAsia="Times New Roman"/>
          <w:vanish/>
          <w:sz w:val="20"/>
          <w:szCs w:val="20"/>
        </w:rPr>
        <w:t>012021-12-31 0000879101kim:ShoppingCenterMemberkim:DelMontePlazaAnchorParcelMember2021-12-31 0000879101kim:ShoppingCenterMemberkim:DelMontePlazaAnchorParcelMember2021-01-012021-12-31 0000879101kim:ShoppingCenterMemberkim:FranciscoCenterMember2021-12-31 000</w:t>
      </w:r>
      <w:r>
        <w:rPr>
          <w:rFonts w:eastAsia="Times New Roman"/>
          <w:vanish/>
          <w:sz w:val="20"/>
          <w:szCs w:val="20"/>
        </w:rPr>
        <w:t>0879101kim:ShoppingCenterMemberkim:FranciscoCenterMember2021-01-012021-12-31 0000879101kim:ShoppingCenterMemberkim:GalenaJunctionMember2021-12-31 0000879101kim:ShoppingCenterMemberkim:GalenaJunctionMember2021-01-012021-12-31 0000879101kim:ShoppingCenterMem</w:t>
      </w:r>
      <w:r>
        <w:rPr>
          <w:rFonts w:eastAsia="Times New Roman"/>
          <w:vanish/>
          <w:sz w:val="20"/>
          <w:szCs w:val="20"/>
        </w:rPr>
        <w:t>berkim:McQueenCrossingsMember2021-12-31 0000879101kim:ShoppingCenterMemberkim:McQueenCrossingsMember2021-01-012021-12-31 0000879101kim:ShoppingCenterMemberkim:RanchoTowneCountryMember2021-12-31 0000879101kim:ShoppingCenterMemberkim:RanchoTowneCountryMember</w:t>
      </w:r>
      <w:r>
        <w:rPr>
          <w:rFonts w:eastAsia="Times New Roman"/>
          <w:vanish/>
          <w:sz w:val="20"/>
          <w:szCs w:val="20"/>
        </w:rPr>
        <w:t>2021-01-012021-12-31 0000879101kim:ShoppingCenterMemberkim:RedfieldPromenadeMember2021-12-31 0000879101kim:ShoppingCenterMemberkim:RedfieldPromenadeMember2021-01-012021-12-31 0000879101kim:ShoppingCenterMemberkim:SparksMercantileMember2021-12-31 0000879101</w:t>
      </w:r>
      <w:r>
        <w:rPr>
          <w:rFonts w:eastAsia="Times New Roman"/>
          <w:vanish/>
          <w:sz w:val="20"/>
          <w:szCs w:val="20"/>
        </w:rPr>
        <w:t>kim:ShoppingCenterMemberkim:SparksMercantileMember2021-01-012021-12-31 0000879101kim:ShoppingCenterMemberkim:NorthBroadway501Member2021-12-31 0000879101kim:ShoppingCenterMemberkim:NorthBroadway501Member2021-01-012021-12-31 0000879101kim:ShoppingCenterMembe</w:t>
      </w:r>
      <w:r>
        <w:rPr>
          <w:rFonts w:eastAsia="Times New Roman"/>
          <w:vanish/>
          <w:sz w:val="20"/>
          <w:szCs w:val="20"/>
        </w:rPr>
        <w:t>rkim:AirportPlazaMember2021-12-31 0000879101kim:ShoppingCenterMemberkim:AirportPlazaMember2021-01-012021-12-31 0000879101kim:ShoppingCenterMemberkim:BellmoreSCMember2021-12-31 0000879101kim:ShoppingCenterMemberkim:BellmoreSCMember2021-01-012021-12-31 00008</w:t>
      </w:r>
      <w:r>
        <w:rPr>
          <w:rFonts w:eastAsia="Times New Roman"/>
          <w:vanish/>
          <w:sz w:val="20"/>
          <w:szCs w:val="20"/>
        </w:rPr>
        <w:t>79101kim:ShoppingCenterMemberkim:BirchwoodPlazaCommackMember2021-12-31 0000879101kim:ShoppingCenterMemberkim:BirchwoodPlazaCommackMember2021-01-012021-12-31 0000879101kim:ShoppingCenterMemberkim:BridgehamptonCommonsWESideMember2021-12-31 0000879101kim:Shop</w:t>
      </w:r>
      <w:r>
        <w:rPr>
          <w:rFonts w:eastAsia="Times New Roman"/>
          <w:vanish/>
          <w:sz w:val="20"/>
          <w:szCs w:val="20"/>
        </w:rPr>
        <w:t>pingCenterMemberkim:BridgehamptonCommonsWESideMember2021-01-012021-12-31 0000879101kim:ShoppingCenterMemberkim:ChampionFoodSupermarketMember2021-12-31 0000879101kim:ShoppingCenterMemberkim:ChampionFoodSupermarketMember2021-01-012021-12-31 0000879101kim:Sho</w:t>
      </w:r>
      <w:r>
        <w:rPr>
          <w:rFonts w:eastAsia="Times New Roman"/>
          <w:vanish/>
          <w:sz w:val="20"/>
          <w:szCs w:val="20"/>
        </w:rPr>
        <w:t>ppingCenterMemberkim:ElmontSCMember2021-12-31 0000879101kim:ShoppingCenterMemberkim:ElmontSCMember2021-01-012021-12-31 0000879101kim:ShoppingCenterMemberkim:ElmsfordCenter1Member2021-12-31 0000879101kim:ShoppingCenterMemberkim:ElmsfordCenter1Member2021-01-</w:t>
      </w:r>
      <w:r>
        <w:rPr>
          <w:rFonts w:eastAsia="Times New Roman"/>
          <w:vanish/>
          <w:sz w:val="20"/>
          <w:szCs w:val="20"/>
        </w:rPr>
        <w:t>012021-12-31 0000879101kim:ShoppingCenterMemberkim:ElmsfordCenter2Member2021-12-31 0000879101kim:ShoppingCenterMemberkim:ElmsfordCenter2Member2021-01-012021-12-31 0000879101kim:ShoppingCenterMemberkim:FamilyDollarUnionTurnpikeMember2021-12-31 0000879101kim</w:t>
      </w:r>
      <w:r>
        <w:rPr>
          <w:rFonts w:eastAsia="Times New Roman"/>
          <w:vanish/>
          <w:sz w:val="20"/>
          <w:szCs w:val="20"/>
        </w:rPr>
        <w:t>:ShoppingCenterMemberkim:FamilyDollarUnionTurnpikeMember2021-01-012021-12-31 0000879101kim:ShoppingCenterMemberkim:ForestAvenuePlazaMember2021-12-31 0000879101kim:ShoppingCenterMemberkim:ForestAvenuePlazaMember2021-01-012021-12-31 0000879101kim:ShoppingCen</w:t>
      </w:r>
      <w:r>
        <w:rPr>
          <w:rFonts w:eastAsia="Times New Roman"/>
          <w:vanish/>
          <w:sz w:val="20"/>
          <w:szCs w:val="20"/>
        </w:rPr>
        <w:t>terMemberkim:FranklinSquareSCMember2021-12-31 0000879101kim:ShoppingCenterMemberkim:FranklinSquareSCMember2021-01-012021-12-31 0000879101kim:ShoppingCenterMemberkim:GreenridgePlazaMember2021-12-31 0000879101kim:ShoppingCenterMemberkim:GreenridgePlazaMember</w:t>
      </w:r>
      <w:r>
        <w:rPr>
          <w:rFonts w:eastAsia="Times New Roman"/>
          <w:vanish/>
          <w:sz w:val="20"/>
          <w:szCs w:val="20"/>
        </w:rPr>
        <w:t>2021-01-012021-12-31 0000879101kim:ShoppingCenterMemberkim:HamptonBaysPlazaMember2021-12-31 0000879101kim:ShoppingCenterMemberkim:HamptonBaysPlazaMember2021-01-012021-12-31 0000879101kim:ShoppingCenterMemberkim:HicksvillePlazaMember2021-12-31 0000879101kim</w:t>
      </w:r>
      <w:r>
        <w:rPr>
          <w:rFonts w:eastAsia="Times New Roman"/>
          <w:vanish/>
          <w:sz w:val="20"/>
          <w:szCs w:val="20"/>
        </w:rPr>
        <w:t>:ShoppingCenterMemberkim:HicksvillePlazaMember2021-01-012021-12-31 0000879101kim:ShoppingCenterMemberkim:IndependencePlazaMember2021-12-31 0000879101kim:ShoppingCenterMemberkim:IndependencePlazaMember2021-01-012021-12-31 0000879101kim:ShoppingCenterMemberk</w:t>
      </w:r>
      <w:r>
        <w:rPr>
          <w:rFonts w:eastAsia="Times New Roman"/>
          <w:vanish/>
          <w:sz w:val="20"/>
          <w:szCs w:val="20"/>
        </w:rPr>
        <w:t>im:JerichoCommonsSouthMember2021-12-31 0000879101kim:ShoppingCenterMemberkim:JerichoCommonsSouthMember2021-01-012021-12-31 0000879101kim:ShoppingCenterMemberkim:KeyFood21stStreetMember2021-12-31 0000879101kim:ShoppingCenterMemberkim:KeyFood21stStreetMember</w:t>
      </w:r>
      <w:r>
        <w:rPr>
          <w:rFonts w:eastAsia="Times New Roman"/>
          <w:vanish/>
          <w:sz w:val="20"/>
          <w:szCs w:val="20"/>
        </w:rPr>
        <w:t>2021-01-012021-12-31 0000879101kim:ShoppingCenterMemberkim:KeyFoodAtlanticAveMember2021-12-31 0000879101kim:ShoppingCenterMemberkim:KeyFoodAtlanticAveMember2021-01-012021-12-31 0000879101kim:ShoppingCenterMemberkim:KeyFoodCentralAveMember2021-12-31 0000879</w:t>
      </w:r>
      <w:r>
        <w:rPr>
          <w:rFonts w:eastAsia="Times New Roman"/>
          <w:vanish/>
          <w:sz w:val="20"/>
          <w:szCs w:val="20"/>
        </w:rPr>
        <w:t>101kim:ShoppingCenterMemberkim:KeyFoodCentralAveMember2021-01-012021-12-31 0000879101kim:ShoppingCenterMemberkim:KingsHighwayMember2021-12-31 0000879101kim:ShoppingCenterMemberkim:KingsHighwayMember2021-01-012021-12-31 0000879101kim:ShoppingCenterMemberkim</w:t>
      </w:r>
      <w:r>
        <w:rPr>
          <w:rFonts w:eastAsia="Times New Roman"/>
          <w:vanish/>
          <w:sz w:val="20"/>
          <w:szCs w:val="20"/>
        </w:rPr>
        <w:t>:KissenaBoulevardShoppingCtrMember2021-12-31 0000879101kim:ShoppingCenterMemberkim:KissenaBoulevardShoppingCtrMember2021-01-012021-12-31 0000879101kim:ShoppingCenterMemberkim:LittleNeckPlazaMember2021-12-31 0000879101kim:ShoppingCenterMemberkim:LittleNeckP</w:t>
      </w:r>
      <w:r>
        <w:rPr>
          <w:rFonts w:eastAsia="Times New Roman"/>
          <w:vanish/>
          <w:sz w:val="20"/>
          <w:szCs w:val="20"/>
        </w:rPr>
        <w:t>lazaMember2021-01-012021-12-31 0000879101kim:ShoppingCenterMemberkim:ManettoHillPlazaMember2021-12-31 0000879101kim:ShoppingCenterMemberkim:ManettoHillPlazaMember2021-01-012021-12-31 0000879101kim:ShoppingCenterMemberkim:ManhassetCenterMember2021-12-31 000</w:t>
      </w:r>
      <w:r>
        <w:rPr>
          <w:rFonts w:eastAsia="Times New Roman"/>
          <w:vanish/>
          <w:sz w:val="20"/>
          <w:szCs w:val="20"/>
        </w:rPr>
        <w:t>0879101kim:ShoppingCenterMemberkim:ManhassetCenterMember2021-01-012021-12-31 0000879101kim:ShoppingCenterMemberkim:MarketAtBayShoreMember2021-12-31 0000879101kim:ShoppingCenterMemberkim:MarketAtBayShoreMember2021-01-012021-12-31 0000879101kim:ShoppingCente</w:t>
      </w:r>
      <w:r>
        <w:rPr>
          <w:rFonts w:eastAsia="Times New Roman"/>
          <w:vanish/>
          <w:sz w:val="20"/>
          <w:szCs w:val="20"/>
        </w:rPr>
        <w:t>rMemberkim:MaspethQueensduaneReadeMember2021-12-31 0000879101kim:ShoppingCenterMemberkim:MaspethQueensduaneReadeMember2021-01-012021-12-31 0000879101kim:ShoppingCenterMemberkim:MilleridgeInnMember2021-12-31 0000879101kim:ShoppingCenterMemberkim:MilleridgeI</w:t>
      </w:r>
      <w:r>
        <w:rPr>
          <w:rFonts w:eastAsia="Times New Roman"/>
          <w:vanish/>
          <w:sz w:val="20"/>
          <w:szCs w:val="20"/>
        </w:rPr>
        <w:t>nnMember2021-01-012021-12-31 0000879101kim:ShoppingCenterMemberkim:MineolaCrossingsMember2021-12-31 0000879101kim:ShoppingCenterMemberkim:MineolaCrossingsMember2021-01-012021-12-31 0000879101kim:ShoppingCenterMemberkim:NorthMassapequaSCMember2021-12-31 000</w:t>
      </w:r>
      <w:r>
        <w:rPr>
          <w:rFonts w:eastAsia="Times New Roman"/>
          <w:vanish/>
          <w:sz w:val="20"/>
          <w:szCs w:val="20"/>
        </w:rPr>
        <w:t>0879101kim:ShoppingCenterMemberkim:NorthMassapequaSCMember2021-01-012021-12-31 0000879101kim:ShoppingCenterMemberkim:OceanPlazaMember2021-12-31 0000879101kim:ShoppingCenterMemberkim:OceanPlazaMember2021-01-012021-12-31 0000879101kim:ShoppingCenterMemberkim</w:t>
      </w:r>
      <w:r>
        <w:rPr>
          <w:rFonts w:eastAsia="Times New Roman"/>
          <w:vanish/>
          <w:sz w:val="20"/>
          <w:szCs w:val="20"/>
        </w:rPr>
        <w:t>:RalphAvenuePlazaMember2021-12-31 0000879101kim:ShoppingCenterMemberkim:RalphAvenuePlazaMember2021-01-012021-12-31 0000879101kim:ShoppingCenterMemberkim:RichmondSCMember2021-12-31 0000879101kim:ShoppingCenterMemberkim:RichmondSCMember2021-01-012021-12-31 0</w:t>
      </w:r>
      <w:r>
        <w:rPr>
          <w:rFonts w:eastAsia="Times New Roman"/>
          <w:vanish/>
          <w:sz w:val="20"/>
          <w:szCs w:val="20"/>
        </w:rPr>
        <w:t>000879101kim:ShoppingCenterMemberkim:RomainePlazaMember2021-12-31 0000879101kim:ShoppingCenterMemberkim:RomainePlazaMember2021-01-012021-12-31 0000879101kim:ShoppingCenterMemberkim:ShopriteSCMember2021-12-31 0000879101kim:ShoppingCenterMemberkim:ShopriteSC</w:t>
      </w:r>
      <w:r>
        <w:rPr>
          <w:rFonts w:eastAsia="Times New Roman"/>
          <w:vanish/>
          <w:sz w:val="20"/>
          <w:szCs w:val="20"/>
        </w:rPr>
        <w:t>Member2021-01-012021-12-31 0000879101kim:ShoppingCenterMemberkim:SmithtownPlazaMember2021-12-31 0000879101kim:ShoppingCenterMemberkim:SmithtownPlazaMember2021-01-012021-12-31 0000879101kim:ShoppingCenterMemberkim:SyossetSCMember2021-12-31 0000879101kim:Sho</w:t>
      </w:r>
      <w:r>
        <w:rPr>
          <w:rFonts w:eastAsia="Times New Roman"/>
          <w:vanish/>
          <w:sz w:val="20"/>
          <w:szCs w:val="20"/>
        </w:rPr>
        <w:t>ppingCenterMemberkim:SyossetSCMember2021-01-012021-12-31 0000879101kim:ShoppingCenterMemberkim:TheBoulevardMember2021-12-31 0000879101kim:ShoppingCenterMemberkim:TheBoulevardMember2021-01-012021-12-31 0000879101kim:ShoppingCenterMemberkim:TurnpikePlazaMemb</w:t>
      </w:r>
      <w:r>
        <w:rPr>
          <w:rFonts w:eastAsia="Times New Roman"/>
          <w:vanish/>
          <w:sz w:val="20"/>
          <w:szCs w:val="20"/>
        </w:rPr>
        <w:t>er2021-12-31 0000879101kim:ShoppingCenterMemberkim:TurnpikePlazaMember2021-01-012021-12-31 0000879101kim:ShoppingCenterMemberkim:VeteransMemorialPlazaMember2021-12-31 0000879101kim:ShoppingCenterMemberkim:VeteransMemorialPlazaMember2021-01-012021-12-31 000</w:t>
      </w:r>
      <w:r>
        <w:rPr>
          <w:rFonts w:eastAsia="Times New Roman"/>
          <w:vanish/>
          <w:sz w:val="20"/>
          <w:szCs w:val="20"/>
        </w:rPr>
        <w:t>0879101kim:ShoppingCenterMemberkim:WhitePlainsSCMember2021-12-31 0000879101kim:ShoppingCenterMemberkim:WhitePlainsSCMember2021-01-012021-12-31 0000879101kim:ShoppingCenterMemberkim:JantzenBeachCenterMember2021-12-31 0000879101kim:ShoppingCenterMemberkim:Ja</w:t>
      </w:r>
      <w:r>
        <w:rPr>
          <w:rFonts w:eastAsia="Times New Roman"/>
          <w:vanish/>
          <w:sz w:val="20"/>
          <w:szCs w:val="20"/>
        </w:rPr>
        <w:t>ntzenBeachCenterMember2021-01-012021-12-31 0000879101kim:ShoppingCenterMemberkim:OregonTrailCenterMember2021-12-31 0000879101kim:ShoppingCenterMemberkim:OregonTrailCenterMember2021-01-012021-12-31 0000879101kim:ShoppingCenterMemberkim:CenterSquareShoppingC</w:t>
      </w:r>
      <w:r>
        <w:rPr>
          <w:rFonts w:eastAsia="Times New Roman"/>
          <w:vanish/>
          <w:sz w:val="20"/>
          <w:szCs w:val="20"/>
        </w:rPr>
        <w:t>enterMember2021-12-31 0000879101kim:ShoppingCenterMemberkim:CenterSquareShoppingCenterMember2021-01-012021-12-31 0000879101kim:ShoppingCenterMemberkim:CranberryTownshipParcel1And2Member2021-12-31 0000879101kim:ShoppingCenterMemberkim:CranberryTownshipParce</w:t>
      </w:r>
      <w:r>
        <w:rPr>
          <w:rFonts w:eastAsia="Times New Roman"/>
          <w:vanish/>
          <w:sz w:val="20"/>
          <w:szCs w:val="20"/>
        </w:rPr>
        <w:t>l1And2Member2021-01-012021-12-31 0000879101kim:ShoppingCenterMemberkim:CrossroadsPlaza3Member2021-12-31 0000879101kim:ShoppingCenterMemberkim:CrossroadsPlaza3Member2021-01-012021-12-31 0000879101kim:ShoppingCenterMemberkim:DevonVillageMember2021-12-31 0000</w:t>
      </w:r>
      <w:r>
        <w:rPr>
          <w:rFonts w:eastAsia="Times New Roman"/>
          <w:vanish/>
          <w:sz w:val="20"/>
          <w:szCs w:val="20"/>
        </w:rPr>
        <w:t>879101kim:ShoppingCenterMemberkim:DevonVillageMember2021-01-012021-12-31 0000879101kim:ShoppingCenterMemberkim:FrankfordAvenueScMember2021-12-31 0000879101kim:ShoppingCenterMemberkim:FrankfordAvenueScMember2021-01-012021-12-31 0000879101kim:ShoppingCenterM</w:t>
      </w:r>
      <w:r>
        <w:rPr>
          <w:rFonts w:eastAsia="Times New Roman"/>
          <w:vanish/>
          <w:sz w:val="20"/>
          <w:szCs w:val="20"/>
        </w:rPr>
        <w:t>emberkim:HarrisburgEastShoppingCtrMember2021-12-31 0000879101kim:ShoppingCenterMemberkim:HarrisburgEastShoppingCtrMember2021-01-012021-12-31 0000879101kim:ShoppingCenterMemberkim:HolidayCenterMember2021-12-31 0000879101kim:ShoppingCenterMemberkim:HolidayCe</w:t>
      </w:r>
      <w:r>
        <w:rPr>
          <w:rFonts w:eastAsia="Times New Roman"/>
          <w:vanish/>
          <w:sz w:val="20"/>
          <w:szCs w:val="20"/>
        </w:rPr>
        <w:t>nterMember2021-01-012021-12-31 0000879101kim:ShoppingCenterMemberkim:HorshamPointMember2021-12-31 0000879101kim:ShoppingCenterMemberkim:HorshamPointMember2021-01-012021-12-31 0000879101kim:ShoppingCenterMemberkim:LincolnSquareMember2021-12-31 0000879101kim</w:t>
      </w:r>
      <w:r>
        <w:rPr>
          <w:rFonts w:eastAsia="Times New Roman"/>
          <w:vanish/>
          <w:sz w:val="20"/>
          <w:szCs w:val="20"/>
        </w:rPr>
        <w:t>:ShoppingCenterMemberkim:LincolnSquareMember2021-01-012021-12-31 0000879101kim:ShoppingCenterMemberkim:NorritonSquareMember2021-12-31 0000879101kim:ShoppingCenterMemberkim:NorritonSquareMember2021-01-012021-12-31 0000879101kim:ShoppingCenterMemberkim:Pocon</w:t>
      </w:r>
      <w:r>
        <w:rPr>
          <w:rFonts w:eastAsia="Times New Roman"/>
          <w:vanish/>
          <w:sz w:val="20"/>
          <w:szCs w:val="20"/>
        </w:rPr>
        <w:t>oPlazaMember2021-12-31 0000879101kim:ShoppingCenterMemberkim:PoconoPlazaMember2021-01-012021-12-31 0000879101kim:ShoppingCenterMemberkim:ShoppesAtWynnewoodMember2021-12-31 0000879101kim:ShoppingCenterMemberkim:ShoppesAtWynnewoodMember2021-01-012021-12-31 0</w:t>
      </w:r>
      <w:r>
        <w:rPr>
          <w:rFonts w:eastAsia="Times New Roman"/>
          <w:vanish/>
          <w:sz w:val="20"/>
          <w:szCs w:val="20"/>
        </w:rPr>
        <w:t>000879101kim:ShoppingCenterMemberkim:ShrewsburySquareSCMember2021-12-31 0000879101kim:ShoppingCenterMemberkim:ShrewsburySquareSCMember2021-01-012021-12-31 0000879101kim:ShoppingCenterMemberkim:SpringfieldSCMember2021-12-31 0000879101kim:ShoppingCenterMembe</w:t>
      </w:r>
      <w:r>
        <w:rPr>
          <w:rFonts w:eastAsia="Times New Roman"/>
          <w:vanish/>
          <w:sz w:val="20"/>
          <w:szCs w:val="20"/>
        </w:rPr>
        <w:t>rkim:SpringfieldSCMember2021-01-012021-12-31 0000879101kim:ShoppingCenterMemberkim:SuburbanSquareMember2021-12-31 0000879101kim:ShoppingCenterMemberkim:SuburbanSquareMember2021-01-012021-12-31 0000879101kim:ShoppingCenterMemberkim:TownshipLineScMember2021-</w:t>
      </w:r>
      <w:r>
        <w:rPr>
          <w:rFonts w:eastAsia="Times New Roman"/>
          <w:vanish/>
          <w:sz w:val="20"/>
          <w:szCs w:val="20"/>
        </w:rPr>
        <w:t>12-31 0000879101kim:ShoppingCenterMemberkim:TownshipLineScMember2021-01-012021-12-31 0000879101kim:ShoppingCenterMemberkim:WaynePlazaMember2021-12-31 0000879101kim:ShoppingCenterMemberkim:WaynePlazaMember2021-01-012021-12-31 0000879101kim:ShoppingCenterMem</w:t>
      </w:r>
      <w:r>
        <w:rPr>
          <w:rFonts w:eastAsia="Times New Roman"/>
          <w:vanish/>
          <w:sz w:val="20"/>
          <w:szCs w:val="20"/>
        </w:rPr>
        <w:t>berkim:WexfordPlazaMember2021-12-31 0000879101kim:ShoppingCenterMemberkim:WexfordPlazaMember2021-01-012021-12-31 0000879101kim:ShoppingCenterMemberkim:WhitehallMallMember2021-12-31 0000879101kim:ShoppingCenterMemberkim:WhitehallMallMember2021-01-012021-12-</w:t>
      </w:r>
      <w:r>
        <w:rPr>
          <w:rFonts w:eastAsia="Times New Roman"/>
          <w:vanish/>
          <w:sz w:val="20"/>
          <w:szCs w:val="20"/>
        </w:rPr>
        <w:t>31 0000879101kim:ShoppingCenterMemberkim:WhitelandTownCenterMember2021-12-31 0000879101kim:ShoppingCenterMemberkim:WhitelandTownCenterMember2021-01-012021-12-31 0000879101kim:ShoppingCenterMemberkim:WholeFoodsAtWynnewoodMember2021-12-31 0000879101kim:Shopp</w:t>
      </w:r>
      <w:r>
        <w:rPr>
          <w:rFonts w:eastAsia="Times New Roman"/>
          <w:vanish/>
          <w:sz w:val="20"/>
          <w:szCs w:val="20"/>
        </w:rPr>
        <w:t>ingCenterMemberkim:WholeFoodsAtWynnewoodMember2021-01-012021-12-31 0000879101kim:ShoppingCenterMemberkim:LosColobosKmartMember2021-12-31 0000879101kim:ShoppingCenterMemberkim:LosColobosKmartMember2021-01-012021-12-31 0000879101kim:ShoppingCenterMemberkim:L</w:t>
      </w:r>
      <w:r>
        <w:rPr>
          <w:rFonts w:eastAsia="Times New Roman"/>
          <w:vanish/>
          <w:sz w:val="20"/>
          <w:szCs w:val="20"/>
        </w:rPr>
        <w:t>osColobosIMember2021-12-31 0000879101kim:ShoppingCenterMemberkim:LosColobosIMember2021-01-012021-12-31 0000879101kim:ShoppingCenterMemberkim:LosColobosIIMember2021-12-31 0000879101kim:ShoppingCenterMemberkim:LosColobosIIMember2021-01-012021-12-31 000087910</w:t>
      </w:r>
      <w:r>
        <w:rPr>
          <w:rFonts w:eastAsia="Times New Roman"/>
          <w:vanish/>
          <w:sz w:val="20"/>
          <w:szCs w:val="20"/>
        </w:rPr>
        <w:t>1kim:ShoppingCenterMemberkim:ManatiVillaMariaSCMember2021-12-31 0000879101kim:ShoppingCenterMemberkim:ManatiVillaMariaSCMember2021-01-012021-12-31 0000879101kim:ShoppingCenterMemberkim:PlazaCentroCostcoMember2021-12-31 0000879101kim:ShoppingCenterMemberkim</w:t>
      </w:r>
      <w:r>
        <w:rPr>
          <w:rFonts w:eastAsia="Times New Roman"/>
          <w:vanish/>
          <w:sz w:val="20"/>
          <w:szCs w:val="20"/>
        </w:rPr>
        <w:t>:PlazaCentroCostcoMember2021-01-012021-12-31 0000879101kim:ShoppingCenterMemberkim:PlazaCentroMallMember2021-12-31 0000879101kim:ShoppingCenterMemberkim:PlazaCentroMallMember2021-01-012021-12-31 0000879101kim:ShoppingCenterMemberkim:PlazaCentroRetailMember</w:t>
      </w:r>
      <w:r>
        <w:rPr>
          <w:rFonts w:eastAsia="Times New Roman"/>
          <w:vanish/>
          <w:sz w:val="20"/>
          <w:szCs w:val="20"/>
        </w:rPr>
        <w:t>2021-12-31 0000879101kim:ShoppingCenterMemberkim:PlazaCentroRetailMember2021-01-012021-12-31 0000879101kim:ShoppingCenterMemberkim:PlazaCentroSamsClubMember2021-12-31 0000879101kim:ShoppingCenterMemberkim:PlazaCentroSamsClubMember2021-01-012021-12-31 00008</w:t>
      </w:r>
      <w:r>
        <w:rPr>
          <w:rFonts w:eastAsia="Times New Roman"/>
          <w:vanish/>
          <w:sz w:val="20"/>
          <w:szCs w:val="20"/>
        </w:rPr>
        <w:t>79101kim:ShoppingCenterMemberkim:PonceTownCenterMember2021-12-31 0000879101kim:ShoppingCenterMemberkim:PonceTownCenterMember2021-01-012021-12-31 0000879101kim:ShoppingCenterMemberkim:RexvilleTownCenterMember2021-12-31 0000879101kim:ShoppingCenterMemberkim:</w:t>
      </w:r>
      <w:r>
        <w:rPr>
          <w:rFonts w:eastAsia="Times New Roman"/>
          <w:vanish/>
          <w:sz w:val="20"/>
          <w:szCs w:val="20"/>
        </w:rPr>
        <w:t>RexvilleTownCenterMember2021-01-012021-12-31 0000879101kim:ShoppingCenterMemberkim:TrujilloAltoPlazaMember2021-12-31 0000879101kim:ShoppingCenterMemberkim:TrujilloAltoPlazaMember2021-01-012021-12-31 0000879101kim:ShoppingCenterMemberkim:WesternPlazaMayaque</w:t>
      </w:r>
      <w:r>
        <w:rPr>
          <w:rFonts w:eastAsia="Times New Roman"/>
          <w:vanish/>
          <w:sz w:val="20"/>
          <w:szCs w:val="20"/>
        </w:rPr>
        <w:t>zOneMember2021-12-31 0000879101kim:ShoppingCenterMemberkim:WesternPlazaMayaquezOneMember2021-01-012021-12-31 0000879101kim:ShoppingCenterMemberkim:WesternPlazaMayaguezTwoMember2021-12-31 0000879101kim:ShoppingCenterMemberkim:WesternPlazaMayaguezTwoMember20</w:t>
      </w:r>
      <w:r>
        <w:rPr>
          <w:rFonts w:eastAsia="Times New Roman"/>
          <w:vanish/>
          <w:sz w:val="20"/>
          <w:szCs w:val="20"/>
        </w:rPr>
        <w:t>21-01-012021-12-31 0000879101kim:ShoppingCenterMemberkim:ForestParkMember2021-12-31 0000879101kim:ShoppingCenterMemberkim:ForestParkMember2021-01-012021-12-31 0000879101kim:ShoppingCenterMemberkim:StAndrewsCenterMember2021-12-31 0000879101kim:ShoppingCente</w:t>
      </w:r>
      <w:r>
        <w:rPr>
          <w:rFonts w:eastAsia="Times New Roman"/>
          <w:vanish/>
          <w:sz w:val="20"/>
          <w:szCs w:val="20"/>
        </w:rPr>
        <w:t>rMemberkim:StAndrewsCenterMember2021-01-012021-12-31 0000879101kim:ShoppingCenterMemberkim:WestwoodPlazaMember2021-12-31 0000879101kim:ShoppingCenterMemberkim:WestwoodPlazaMember2021-01-012021-12-31 0000879101kim:ShoppingCenterMemberkim:WoodruffShoppingCen</w:t>
      </w:r>
      <w:r>
        <w:rPr>
          <w:rFonts w:eastAsia="Times New Roman"/>
          <w:vanish/>
          <w:sz w:val="20"/>
          <w:szCs w:val="20"/>
        </w:rPr>
        <w:t>terMember2021-12-31 0000879101kim:ShoppingCenterMemberkim:WoodruffShoppingCenterMember2021-01-012021-12-31 0000879101kim:ShoppingCenterMemberkim:HighlandSquareMember2021-12-31 0000879101kim:ShoppingCenterMemberkim:HighlandSquareMember2021-01-012021-12-31 0</w:t>
      </w:r>
      <w:r>
        <w:rPr>
          <w:rFonts w:eastAsia="Times New Roman"/>
          <w:vanish/>
          <w:sz w:val="20"/>
          <w:szCs w:val="20"/>
        </w:rPr>
        <w:t>000879101kim:ShoppingCenterMemberkim:MendenhallCommonsMember2021-12-31 0000879101kim:ShoppingCenterMemberkim:MendenhallCommonsMember2021-01-012021-12-31 0000879101kim:ShoppingCenterMemberkim:OldTowneVillageMember2021-12-31 0000879101kim:ShoppingCenterMembe</w:t>
      </w:r>
      <w:r>
        <w:rPr>
          <w:rFonts w:eastAsia="Times New Roman"/>
          <w:vanish/>
          <w:sz w:val="20"/>
          <w:szCs w:val="20"/>
        </w:rPr>
        <w:t>rkim:OldTowneVillageMember2021-01-012021-12-31 0000879101kim:ShoppingCenterMemberkim:TheCommonsAtDexterLakeMember2021-12-31 0000879101kim:ShoppingCenterMemberkim:TheCommonsAtDexterLakeMember2021-01-012021-12-31 0000879101kim:ShoppingCenterMemberkim:TheComm</w:t>
      </w:r>
      <w:r>
        <w:rPr>
          <w:rFonts w:eastAsia="Times New Roman"/>
          <w:vanish/>
          <w:sz w:val="20"/>
          <w:szCs w:val="20"/>
        </w:rPr>
        <w:t>onsAtDexterLakeIIMember2021-12-31 0000879101kim:ShoppingCenterMemberkim:TheCommonsAtDexterLakeIIMember2021-01-012021-12-31 0000879101kim:ShoppingCenterMemberkim:The10FederalScMember2021-12-31 0000879101kim:ShoppingCenterMemberkim:The10FederalScMember2021-0</w:t>
      </w:r>
      <w:r>
        <w:rPr>
          <w:rFonts w:eastAsia="Times New Roman"/>
          <w:vanish/>
          <w:sz w:val="20"/>
          <w:szCs w:val="20"/>
        </w:rPr>
        <w:t>1-012021-12-31 0000879101kim:ShoppingCenterMemberkim:The1934WestGrayMember2021-12-31 0000879101kim:ShoppingCenterMemberkim:The1934WestGrayMember2021-01-012021-12-31 0000879101kim:ShoppingCenterMemberkim:The1939WestGrayMember2021-12-31 0000879101kim:Shoppin</w:t>
      </w:r>
      <w:r>
        <w:rPr>
          <w:rFonts w:eastAsia="Times New Roman"/>
          <w:vanish/>
          <w:sz w:val="20"/>
          <w:szCs w:val="20"/>
        </w:rPr>
        <w:t>gCenterMemberkim:The1939WestGrayMember2021-01-012021-12-31 0000879101kim:ShoppingCenterMemberkim:The43rdStreetChaseBankBldgMember2021-12-31 0000879101kim:ShoppingCenterMemberkim:The43rdStreetChaseBankBldgMember2021-01-012021-12-31 0000879101kim:ShoppingCen</w:t>
      </w:r>
      <w:r>
        <w:rPr>
          <w:rFonts w:eastAsia="Times New Roman"/>
          <w:vanish/>
          <w:sz w:val="20"/>
          <w:szCs w:val="20"/>
        </w:rPr>
        <w:t>terMemberkim:AccentPlazaMember2021-12-31 0000879101kim:ShoppingCenterMemberkim:AccentPlazaMember2021-01-012021-12-31 0000879101kim:ShoppingCenterMemberkim:CenterOfTheHillsMember2021-12-31 0000879101kim:ShoppingCenterMemberkim:AlabamaShepherdScMember2021-12</w:t>
      </w:r>
      <w:r>
        <w:rPr>
          <w:rFonts w:eastAsia="Times New Roman"/>
          <w:vanish/>
          <w:sz w:val="20"/>
          <w:szCs w:val="20"/>
        </w:rPr>
        <w:t>-31 0000879101kim:ShoppingCenterMemberkim:AlabamaShepherdScMember2021-01-012021-12-31 0000879101kim:ShoppingCenterMemberkim:AtascocitaCommonsShopCtrMember2021-12-31 0000879101kim:ShoppingCenterMemberkim:AtascocitaCommonsShopCtrMember2021-01-012021-12-31 00</w:t>
      </w:r>
      <w:r>
        <w:rPr>
          <w:rFonts w:eastAsia="Times New Roman"/>
          <w:vanish/>
          <w:sz w:val="20"/>
          <w:szCs w:val="20"/>
        </w:rPr>
        <w:t>00879101kim:ShoppingCenterMemberkim:BaybrookGatewayMember2021-12-31 0000879101kim:ShoppingCenterMemberkim:BaybrookGatewayMember2021-01-012021-12-31 0000879101kim:ShoppingCenterMemberkim:BellaireBlvdScMember2021-12-31 0000879101kim:ShoppingCenterMemberkim:B</w:t>
      </w:r>
      <w:r>
        <w:rPr>
          <w:rFonts w:eastAsia="Times New Roman"/>
          <w:vanish/>
          <w:sz w:val="20"/>
          <w:szCs w:val="20"/>
        </w:rPr>
        <w:t>ellaireBlvdScMember2021-01-012021-12-31 0000879101kim:ShoppingCenterMemberkim:BlalockMarketMember2021-12-31 0000879101kim:ShoppingCenterMemberkim:BlalockMarketMember2021-01-012021-12-31 0000879101kim:ShoppingCenterMemberkim:CenterAtBaybrookMember2021-12-31</w:t>
      </w:r>
      <w:r>
        <w:rPr>
          <w:rFonts w:eastAsia="Times New Roman"/>
          <w:vanish/>
          <w:sz w:val="20"/>
          <w:szCs w:val="20"/>
        </w:rPr>
        <w:t xml:space="preserve"> 0000879101kim:ShoppingCenterMemberkim:CenterAtBaybrookMember2021-01-012021-12-31 0000879101kim:ShoppingCenterMemberkim:CenterOfTheHillsMember2021-01-012021-12-31 0000879101kim:ShoppingCenterMemberkim:CitadelBuildingMember2021-12-31 0000879101kim:ShoppingC</w:t>
      </w:r>
      <w:r>
        <w:rPr>
          <w:rFonts w:eastAsia="Times New Roman"/>
          <w:vanish/>
          <w:sz w:val="20"/>
          <w:szCs w:val="20"/>
        </w:rPr>
        <w:t>enterMemberkim:CitadelBuildingMember2021-01-012021-12-31 0000879101kim:ShoppingCenterMemberkim:ConroeMarketplaceMember2021-12-31 0000879101kim:ShoppingCenterMemberkim:ConroeMarketplaceMember2021-01-012021-12-31 0000879101kim:ShoppingCenterMemberkim:Copperf</w:t>
      </w:r>
      <w:r>
        <w:rPr>
          <w:rFonts w:eastAsia="Times New Roman"/>
          <w:vanish/>
          <w:sz w:val="20"/>
          <w:szCs w:val="20"/>
        </w:rPr>
        <w:t>ieldVillageShopCtrMember2021-12-31 0000879101kim:ShoppingCenterMemberkim:CopperfieldVillageShopCtrMember2021-01-012021-12-31 0000879101kim:ShoppingCenterMemberkim:CopperwoodVillageMember2021-12-31 0000879101kim:ShoppingCenterMemberkim:CopperwoodVillageMemb</w:t>
      </w:r>
      <w:r>
        <w:rPr>
          <w:rFonts w:eastAsia="Times New Roman"/>
          <w:vanish/>
          <w:sz w:val="20"/>
          <w:szCs w:val="20"/>
        </w:rPr>
        <w:t>er2021-01-012021-12-31 0000879101kim:ShoppingCenterMemberkim:CypressTowneCenterMember2021-12-31 0000879101kim:ShoppingCenterMemberkim:CypressTowneCenterMember2021-01-012021-12-31 0000879101kim:ShoppingCenterMemberkim:CypressTowneCenter2Member2021-12-31 000</w:t>
      </w:r>
      <w:r>
        <w:rPr>
          <w:rFonts w:eastAsia="Times New Roman"/>
          <w:vanish/>
          <w:sz w:val="20"/>
          <w:szCs w:val="20"/>
        </w:rPr>
        <w:t>0879101kim:ShoppingCenterMemberkim:CypressTowneCenter2Member2021-01-012021-12-31 0000879101kim:ShoppingCenterMemberkim:CypressTowneCenterPhaseIIMember2021-12-31 0000879101kim:ShoppingCenterMemberkim:CypressTowneCenterPhaseIIMember2021-01-012021-12-31 00008</w:t>
      </w:r>
      <w:r>
        <w:rPr>
          <w:rFonts w:eastAsia="Times New Roman"/>
          <w:vanish/>
          <w:sz w:val="20"/>
          <w:szCs w:val="20"/>
        </w:rPr>
        <w:t>79101kim:ShoppingCenterMemberkim:DriscollAtRiverOaksResiMember2021-12-31 0000879101kim:ShoppingCenterMemberkim:DriscollAtRiverOaksResiMember2021-01-012021-12-31 0000879101kim:ShoppingCenterMemberkim:FiestaTargetMember2021-12-31 0000879101kim:ShoppingCenter</w:t>
      </w:r>
      <w:r>
        <w:rPr>
          <w:rFonts w:eastAsia="Times New Roman"/>
          <w:vanish/>
          <w:sz w:val="20"/>
          <w:szCs w:val="20"/>
        </w:rPr>
        <w:t>Memberkim:FiestaTargetMember2021-01-012021-12-31 0000879101kim:ShoppingCenterMemberkim:FiestaTrailsMember2021-12-31 0000879101kim:ShoppingCenterMemberkim:FiestaTrailsMember2021-01-012021-12-31 0000879101kim:ShoppingCenterMemberkim:GalvestonPlaceMember2021-</w:t>
      </w:r>
      <w:r>
        <w:rPr>
          <w:rFonts w:eastAsia="Times New Roman"/>
          <w:vanish/>
          <w:sz w:val="20"/>
          <w:szCs w:val="20"/>
        </w:rPr>
        <w:t>12-31 0000879101kim:ShoppingCenterMemberkim:GalvestonPlaceMember2021-01-012021-12-31 0000879101kim:ShoppingCenterMemberkim:GatewayStationMember2021-12-31 0000879101kim:ShoppingCenterMemberkim:GatewayStationMember2021-01-012021-12-31 0000879101kim:ShoppingC</w:t>
      </w:r>
      <w:r>
        <w:rPr>
          <w:rFonts w:eastAsia="Times New Roman"/>
          <w:vanish/>
          <w:sz w:val="20"/>
          <w:szCs w:val="20"/>
        </w:rPr>
        <w:t>enterMemberkim:GatewayStationPhaseIIMember2021-12-31 0000879101kim:ShoppingCenterMemberkim:GatewayStationPhaseIIMember2021-01-012021-12-31 0000879101kim:ShoppingCenterMemberkim:GrandParkwayMarketplaceIIMember2021-12-31 0000879101kim:ShoppingCenterMemberkim</w:t>
      </w:r>
      <w:r>
        <w:rPr>
          <w:rFonts w:eastAsia="Times New Roman"/>
          <w:vanish/>
          <w:sz w:val="20"/>
          <w:szCs w:val="20"/>
        </w:rPr>
        <w:t>:GrandParkwayMarketplaceIIMember2021-01-012021-12-31 0000879101kim:ShoppingCenterMemberkim:GrandParkwayMarketplaceMember2021-12-31 0000879101kim:ShoppingCenterMemberkim:GrandParkwayMarketplaceMember2021-01-012021-12-31 0000879101kim:ShoppingCenterMemberkim</w:t>
      </w:r>
      <w:r>
        <w:rPr>
          <w:rFonts w:eastAsia="Times New Roman"/>
          <w:vanish/>
          <w:sz w:val="20"/>
          <w:szCs w:val="20"/>
        </w:rPr>
        <w:t>:HarrisburgPlazaMember2021-12-31 0000879101kim:ShoppingCenterMemberkim:HarrisburgPlazaMember2021-01-012021-12-31 0000879101kim:ShoppingCenterMemberkim:HebDairyAshfordMemorialMember2021-12-31 0000879101kim:ShoppingCenterMemberkim:HebDairyAshfordMemorialMemb</w:t>
      </w:r>
      <w:r>
        <w:rPr>
          <w:rFonts w:eastAsia="Times New Roman"/>
          <w:vanish/>
          <w:sz w:val="20"/>
          <w:szCs w:val="20"/>
        </w:rPr>
        <w:t>er2021-01-012021-12-31 0000879101kim:ShoppingCenterMemberkim:HeightsPlazaMember2021-12-31 0000879101kim:ShoppingCenterMemberkim:HeightsPlazaMember2021-01-012021-12-31 0000879101kim:ShoppingCenterMemberkim:I45TelephoneRdMember2021-12-31 0000879101kim:Shoppi</w:t>
      </w:r>
      <w:r>
        <w:rPr>
          <w:rFonts w:eastAsia="Times New Roman"/>
          <w:vanish/>
          <w:sz w:val="20"/>
          <w:szCs w:val="20"/>
        </w:rPr>
        <w:t>ngCenterMemberkim:I45TelephoneRdMember2021-01-012021-12-31 0000879101kim:ShoppingCenterMemberkim:IndependencePlazaLaredoMember2021-12-31 0000879101kim:ShoppingCenterMemberkim:IndependencePlazaLaredoMember2021-01-012021-12-31 0000879101kim:ShoppingCenterMem</w:t>
      </w:r>
      <w:r>
        <w:rPr>
          <w:rFonts w:eastAsia="Times New Roman"/>
          <w:vanish/>
          <w:sz w:val="20"/>
          <w:szCs w:val="20"/>
        </w:rPr>
        <w:t>berkim:IndependencePlazaIILaredoMember2021-12-31 0000879101kim:ShoppingCenterMemberkim:IndependencePlazaIILaredoMember2021-01-012021-12-31 0000879101kim:ShoppingCenterMemberkim:KrogerPlazaMember2021-12-31 0000879101kim:ShoppingCenterMemberkim:KrogerPlazaMe</w:t>
      </w:r>
      <w:r>
        <w:rPr>
          <w:rFonts w:eastAsia="Times New Roman"/>
          <w:vanish/>
          <w:sz w:val="20"/>
          <w:szCs w:val="20"/>
        </w:rPr>
        <w:t>mber2021-01-012021-12-31 0000879101kim:ShoppingCenterMemberkim:LakePrairieTownCrossingMember2021-12-31 0000879101kim:ShoppingCenterMemberkim:LakePrairieTownCrossingMember2021-01-012021-12-31 0000879101kim:ShoppingCenterMemberkim:LasTiendasPlazaMember2021-1</w:t>
      </w:r>
      <w:r>
        <w:rPr>
          <w:rFonts w:eastAsia="Times New Roman"/>
          <w:vanish/>
          <w:sz w:val="20"/>
          <w:szCs w:val="20"/>
        </w:rPr>
        <w:t>2-31 0000879101kim:ShoppingCenterMemberkim:LasTiendasPlazaMember2021-01-012021-12-31 0000879101kim:ShoppingCenterMemberkim:MontgomeryPlazaMember2021-12-31 0000879101kim:ShoppingCenterMemberkim:MontgomeryPlazaMember2021-01-012021-12-31 0000879101kim:Shoppin</w:t>
      </w:r>
      <w:r>
        <w:rPr>
          <w:rFonts w:eastAsia="Times New Roman"/>
          <w:vanish/>
          <w:sz w:val="20"/>
          <w:szCs w:val="20"/>
        </w:rPr>
        <w:t>gCenterMemberkim:MeullerOutparcelMember2021-12-31 0000879101kim:ShoppingCenterMemberkim:MeullerOutparcelMember2021-01-012021-12-31 0000879101kim:ShoppingCenterMemberkim:MeullerRegionalRetailCenterMember2021-12-31 0000879101kim:ShoppingCenterMemberkim:Meull</w:t>
      </w:r>
      <w:r>
        <w:rPr>
          <w:rFonts w:eastAsia="Times New Roman"/>
          <w:vanish/>
          <w:sz w:val="20"/>
          <w:szCs w:val="20"/>
        </w:rPr>
        <w:t>erRegionalRetailCenterMember2021-01-012021-12-31 0000879101kim:ShoppingCenterMemberkim:NorthCreekPlazaMember2021-12-31 0000879101kim:ShoppingCenterMemberkim:NorthCreekPlazaMember2021-01-012021-12-31 0000879101kim:ShoppingCenterMemberkim:OakForestMember2021</w:t>
      </w:r>
      <w:r>
        <w:rPr>
          <w:rFonts w:eastAsia="Times New Roman"/>
          <w:vanish/>
          <w:sz w:val="20"/>
          <w:szCs w:val="20"/>
        </w:rPr>
        <w:t>-12-31 0000879101kim:ShoppingCenterMemberkim:OakForestMember2021-01-012021-12-31 0000879101kim:ShoppingCenterMemberkim:PlantationCentreMember2021-12-31 0000879101kim:ShoppingCenterMemberkim:PlantationCentreMember2021-01-012021-12-31 0000879101kim:ShoppingC</w:t>
      </w:r>
      <w:r>
        <w:rPr>
          <w:rFonts w:eastAsia="Times New Roman"/>
          <w:vanish/>
          <w:sz w:val="20"/>
          <w:szCs w:val="20"/>
        </w:rPr>
        <w:t>enterMemberkim:PrestonLebanonCrossingMember2021-12-31 0000879101kim:ShoppingCenterMemberkim:PrestonLebanonCrossingMember2021-01-012021-12-31 0000879101kim:ShoppingCenterMemberkim:RandallsCenterKingsCrossingMember2021-12-31 0000879101kim:ShoppingCenterMembe</w:t>
      </w:r>
      <w:r>
        <w:rPr>
          <w:rFonts w:eastAsia="Times New Roman"/>
          <w:vanish/>
          <w:sz w:val="20"/>
          <w:szCs w:val="20"/>
        </w:rPr>
        <w:t>rkim:RandallsCenterKingsCrossingMember2021-01-012021-12-31 0000879101kim:ShoppingCenterMemberkim:RichmondSquareMember2021-12-31 0000879101kim:ShoppingCenterMemberkim:RichmondSquareMember2021-01-012021-12-31 0000879101kim:ShoppingCenterMemberkim:RiverOaksSC</w:t>
      </w:r>
      <w:r>
        <w:rPr>
          <w:rFonts w:eastAsia="Times New Roman"/>
          <w:vanish/>
          <w:sz w:val="20"/>
          <w:szCs w:val="20"/>
        </w:rPr>
        <w:t>EastMember2021-12-31 0000879101kim:ShoppingCenterMemberkim:RiverOaksSCEastMember2021-01-012021-12-31 0000879101kim:ShoppingCenterMemberkim:RiverOaksScWestMember2021-12-31 0000879101kim:ShoppingCenterMemberkim:RiverOaksScWestMember2021-01-012021-12-31 00008</w:t>
      </w:r>
      <w:r>
        <w:rPr>
          <w:rFonts w:eastAsia="Times New Roman"/>
          <w:vanish/>
          <w:sz w:val="20"/>
          <w:szCs w:val="20"/>
        </w:rPr>
        <w:t>79101kim:ShoppingCenterMemberkim:RockPrairieMarketplaceMember2021-12-31 0000879101kim:ShoppingCenterMemberkim:RockPrairieMarketplaceMember2021-01-012021-12-31 0000879101kim:ShoppingCenterMemberkim:ShoppesAtMemorialVillagesMember2021-12-31 0000879101kim:Sho</w:t>
      </w:r>
      <w:r>
        <w:rPr>
          <w:rFonts w:eastAsia="Times New Roman"/>
          <w:vanish/>
          <w:sz w:val="20"/>
          <w:szCs w:val="20"/>
        </w:rPr>
        <w:t>ppingCenterMemberkim:ShoppesAtMemorialVillagesMember2021-01-012021-12-31 0000879101kim:ShoppingCenterMemberkim:ShopsAtHilshireVillageMember2021-12-31 0000879101kim:ShoppingCenterMemberkim:ShopsAtHilshireVillageMember2021-01-012021-12-31 0000879101kim:Shopp</w:t>
      </w:r>
      <w:r>
        <w:rPr>
          <w:rFonts w:eastAsia="Times New Roman"/>
          <w:vanish/>
          <w:sz w:val="20"/>
          <w:szCs w:val="20"/>
        </w:rPr>
        <w:t>ingCenterMemberkim:ShopsAtKirbyDriveMember2021-12-31 0000879101kim:ShoppingCenterMemberkim:ShopsAtKirbyDriveMember2021-01-012021-12-31 0000879101kim:ShoppingCenterMemberkim:ShopsAtThreeCornersMember2021-12-31 0000879101kim:ShoppingCenterMemberkim:ShopsAtTh</w:t>
      </w:r>
      <w:r>
        <w:rPr>
          <w:rFonts w:eastAsia="Times New Roman"/>
          <w:vanish/>
          <w:sz w:val="20"/>
          <w:szCs w:val="20"/>
        </w:rPr>
        <w:t>reeCornersMember2021-01-012021-12-31 0000879101kim:ShoppingCenterMemberkim:SouthgateSSMember2021-12-31 0000879101kim:ShoppingCenterMemberkim:SouthgateSSMember2021-01-012021-12-31 0000879101kim:ShoppingCenterMemberkim:StevensRanchMember2021-12-31 0000879101</w:t>
      </w:r>
      <w:r>
        <w:rPr>
          <w:rFonts w:eastAsia="Times New Roman"/>
          <w:vanish/>
          <w:sz w:val="20"/>
          <w:szCs w:val="20"/>
        </w:rPr>
        <w:t>kim:ShoppingCenterMemberkim:StevensRanchMember2021-01-012021-12-31 0000879101kim:ShoppingCenterMemberkim:TheCentreAtCopperfieldMember2021-12-31 0000879101kim:ShoppingCenterMemberkim:TheCentreAtCopperfieldMember2021-01-012021-12-31 0000879101kim:ShoppingCen</w:t>
      </w:r>
      <w:r>
        <w:rPr>
          <w:rFonts w:eastAsia="Times New Roman"/>
          <w:vanish/>
          <w:sz w:val="20"/>
          <w:szCs w:val="20"/>
        </w:rPr>
        <w:t>terMemberkim:TheCentreAtPostOakMember2021-12-31 0000879101kim:ShoppingCenterMemberkim:TheCentreAtPostOakMember2021-01-012021-12-31 0000879101kim:ShoppingCenterMemberkim:TheShoppesAtWildernessOaksMember2021-12-31 0000879101kim:ShoppingCenterMemberkim:TheSho</w:t>
      </w:r>
      <w:r>
        <w:rPr>
          <w:rFonts w:eastAsia="Times New Roman"/>
          <w:vanish/>
          <w:sz w:val="20"/>
          <w:szCs w:val="20"/>
        </w:rPr>
        <w:t>ppesAtWildernessOaksMember2021-01-012021-12-31 0000879101kim:ShoppingCenterMemberkim:ThousandOaksScMember2021-12-31 0000879101kim:ShoppingCenterMemberkim:ThousandOaksScMember2021-01-012021-12-31 0000879101kim:ShoppingCenterMemberkim:TomballCrossingsMember2</w:t>
      </w:r>
      <w:r>
        <w:rPr>
          <w:rFonts w:eastAsia="Times New Roman"/>
          <w:vanish/>
          <w:sz w:val="20"/>
          <w:szCs w:val="20"/>
        </w:rPr>
        <w:t>021-12-31 0000879101kim:ShoppingCenterMemberkim:TomballCrossingsMember2021-01-012021-12-31 0000879101kim:ShoppingCenterMemberkim:TomballMarketplaceMember2021-12-31 0000879101kim:ShoppingCenterMemberkim:TomballMarketplaceMember2021-01-012021-12-31 000087910</w:t>
      </w:r>
      <w:r>
        <w:rPr>
          <w:rFonts w:eastAsia="Times New Roman"/>
          <w:vanish/>
          <w:sz w:val="20"/>
          <w:szCs w:val="20"/>
        </w:rPr>
        <w:t>1kim:ShoppingCenterMemberkim:TrentonCrossingNorthMcallenMember2021-12-31 0000879101kim:ShoppingCenterMemberkim:TrentonCrossingNorthMcallenMember2021-01-012021-12-31 0000879101kim:ShoppingCenterMemberkim:VillagePlazaAtBunkerHillMember2021-12-31 0000879101ki</w:t>
      </w:r>
      <w:r>
        <w:rPr>
          <w:rFonts w:eastAsia="Times New Roman"/>
          <w:vanish/>
          <w:sz w:val="20"/>
          <w:szCs w:val="20"/>
        </w:rPr>
        <w:t>m:ShoppingCenterMemberkim:VillagePlazaAtBunkerHillMember2021-01-012021-12-31 0000879101kim:ShoppingCenterMemberkim:WestchaseScMember2021-12-31 0000879101kim:ShoppingCenterMemberkim:WestchaseScMember2021-01-012021-12-31 0000879101kim:ShoppingCenterMemberkim</w:t>
      </w:r>
      <w:r>
        <w:rPr>
          <w:rFonts w:eastAsia="Times New Roman"/>
          <w:vanish/>
          <w:sz w:val="20"/>
          <w:szCs w:val="20"/>
        </w:rPr>
        <w:t>:WesthillVillageMember2021-12-31 0000879101kim:ShoppingCenterMemberkim:WesthillVillageMember2021-01-012021-12-31 0000879101kim:ShoppingCenterMemberkim:WoodbridgeShoppingCenterMember2021-12-31 0000879101kim:ShoppingCenterMemberkim:WoodbridgeShoppingCenterMe</w:t>
      </w:r>
      <w:r>
        <w:rPr>
          <w:rFonts w:eastAsia="Times New Roman"/>
          <w:vanish/>
          <w:sz w:val="20"/>
          <w:szCs w:val="20"/>
        </w:rPr>
        <w:t>mber2021-01-012021-12-31 0000879101kim:ShoppingCenterMemberkim:CentroArlingtonMember2021-12-31 0000879101kim:ShoppingCenterMemberkim:CentroArlingtonMember2021-01-012021-12-31 0000879101kim:ShoppingCenterMemberkim:CentroArlingtonResiMember2021-12-31 0000879</w:t>
      </w:r>
      <w:r>
        <w:rPr>
          <w:rFonts w:eastAsia="Times New Roman"/>
          <w:vanish/>
          <w:sz w:val="20"/>
          <w:szCs w:val="20"/>
        </w:rPr>
        <w:t>101kim:ShoppingCenterMemberkim:CentroArlingtonResiMember2021-01-012021-12-31 0000879101kim:ShoppingCenterMemberkim:DocstoneCommonsMember2021-12-31 0000879101kim:ShoppingCenterMemberkim:DocstoneCommonsMember2021-01-012021-12-31 0000879101kim:ShoppingCenterM</w:t>
      </w:r>
      <w:r>
        <w:rPr>
          <w:rFonts w:eastAsia="Times New Roman"/>
          <w:vanish/>
          <w:sz w:val="20"/>
          <w:szCs w:val="20"/>
        </w:rPr>
        <w:t>emberkim:DocstoneOPStaplesMember2021-12-31 0000879101kim:ShoppingCenterMemberkim:DocstoneOPStaplesMember2021-01-012021-12-31 0000879101kim:ShoppingCenterMemberkim:DullesTownCrossingMember2021-12-31 0000879101kim:ShoppingCenterMemberkim:DullesTownCrossingMe</w:t>
      </w:r>
      <w:r>
        <w:rPr>
          <w:rFonts w:eastAsia="Times New Roman"/>
          <w:vanish/>
          <w:sz w:val="20"/>
          <w:szCs w:val="20"/>
        </w:rPr>
        <w:t>mber2021-01-012021-12-31 0000879101kim:ShoppingCenterMemberkim:GordonPlazaMember2021-12-31 0000879101kim:ShoppingCenterMemberkim:GordonPlazaMember2021-01-012021-12-31 0000879101kim:ShoppingCenterMemberkim:HilltopVillageCenterMember2021-12-31 0000879101kim:</w:t>
      </w:r>
      <w:r>
        <w:rPr>
          <w:rFonts w:eastAsia="Times New Roman"/>
          <w:vanish/>
          <w:sz w:val="20"/>
          <w:szCs w:val="20"/>
        </w:rPr>
        <w:t>ShoppingCenterMemberkim:HilltopVillageCenterMember2021-01-012021-12-31 0000879101kim:ShoppingCenterMemberkim:OldTownPlazaMember2021-12-31 0000879101kim:ShoppingCenterMemberkim:OldTownPlazaMember2021-01-012021-12-31 0000879101kim:ShoppingCenterMemberkim:Pot</w:t>
      </w:r>
      <w:r>
        <w:rPr>
          <w:rFonts w:eastAsia="Times New Roman"/>
          <w:vanish/>
          <w:sz w:val="20"/>
          <w:szCs w:val="20"/>
        </w:rPr>
        <w:t>omacRunPlazaMember2021-12-31 0000879101kim:ShoppingCenterMemberkim:PotomacRunPlazaMember2021-01-012021-12-31 0000879101kim:ShoppingCenterMemberkim:StaffordMarketplaceMember2021-12-31 0000879101kim:ShoppingCenterMemberkim:StaffordMarketplaceMember2021-01-01</w:t>
      </w:r>
      <w:r>
        <w:rPr>
          <w:rFonts w:eastAsia="Times New Roman"/>
          <w:vanish/>
          <w:sz w:val="20"/>
          <w:szCs w:val="20"/>
        </w:rPr>
        <w:t>2021-12-31 0000879101kim:ShoppingCenterMemberkim:WestAlexRetailMember2021-12-31 0000879101kim:ShoppingCenterMemberkim:WestAlexRetailMember2021-01-012021-12-31 0000879101kim:ShoppingCenterMemberkim:WestAlexOfficeMember2021-12-31 0000879101kim:ShoppingCenter</w:t>
      </w:r>
      <w:r>
        <w:rPr>
          <w:rFonts w:eastAsia="Times New Roman"/>
          <w:vanish/>
          <w:sz w:val="20"/>
          <w:szCs w:val="20"/>
        </w:rPr>
        <w:t>Memberkim:WestAlexOfficeMember2021-01-012021-12-31 0000879101kim:ShoppingCenterMemberkim:WestAlexResiMember2021-12-31 0000879101kim:ShoppingCenterMemberkim:WestAlexResiMember2021-01-012021-12-31 0000879101kim:ShoppingCenterMemberkim:AuburnNorthMember2021-1</w:t>
      </w:r>
      <w:r>
        <w:rPr>
          <w:rFonts w:eastAsia="Times New Roman"/>
          <w:vanish/>
          <w:sz w:val="20"/>
          <w:szCs w:val="20"/>
        </w:rPr>
        <w:t>2-31 0000879101kim:ShoppingCenterMemberkim:AuburnNorthMember2021-01-012021-12-31 0000879101kim:ShoppingCenterMemberkim:CovingtonEsplanadeMember2021-12-31 0000879101kim:ShoppingCenterMemberkim:CovingtonEsplanadeMember2021-01-012021-12-31 0000879101kim:Shopp</w:t>
      </w:r>
      <w:r>
        <w:rPr>
          <w:rFonts w:eastAsia="Times New Roman"/>
          <w:vanish/>
          <w:sz w:val="20"/>
          <w:szCs w:val="20"/>
        </w:rPr>
        <w:t>ingCenterMemberkim:FranklinParkCommonsMember2021-12-31 0000879101kim:ShoppingCenterMemberkim:FranklinParkCommonsMember2021-01-012021-12-31 0000879101kim:ShoppingCenterMemberkim:FrontierVillageShoppingCtrMember2021-12-31 0000879101kim:ShoppingCenterMemberki</w:t>
      </w:r>
      <w:r>
        <w:rPr>
          <w:rFonts w:eastAsia="Times New Roman"/>
          <w:vanish/>
          <w:sz w:val="20"/>
          <w:szCs w:val="20"/>
        </w:rPr>
        <w:t>m:FrontierVillageShoppingCtrMember2021-01-012021-12-31 0000879101kim:ShoppingCenterMemberkim:GatewayShoppingCenterMember2021-12-31 0000879101kim:ShoppingCenterMemberkim:GatewayShoppingCenterMember2021-01-012021-12-31 0000879101kim:ShoppingCenterMemberkim:O</w:t>
      </w:r>
      <w:r>
        <w:rPr>
          <w:rFonts w:eastAsia="Times New Roman"/>
          <w:vanish/>
          <w:sz w:val="20"/>
          <w:szCs w:val="20"/>
        </w:rPr>
        <w:t>lympiaWestOutparcelMember2021-12-31 0000879101kim:ShoppingCenterMemberkim:OlympiaWestOutparcelMember2021-01-012021-12-31 0000879101kim:ShoppingCenterMemberkim:SilverdalePlazaMember2021-12-31 0000879101kim:ShoppingCenterMemberkim:SilverdalePlazaMember2021-0</w:t>
      </w:r>
      <w:r>
        <w:rPr>
          <w:rFonts w:eastAsia="Times New Roman"/>
          <w:vanish/>
          <w:sz w:val="20"/>
          <w:szCs w:val="20"/>
        </w:rPr>
        <w:t>1-012021-12-31 0000879101kim:ShoppingCenterMemberkim:TheMarketplaceAtFactoriaMember2021-12-31 0000879101kim:ShoppingCenterMemberkim:TheMarketplaceAtFactoriaMember2021-01-012021-12-31 0000879101kim:ShoppingCenterMemberkim:TheWhittakerMember2021-12-31 000087</w:t>
      </w:r>
      <w:r>
        <w:rPr>
          <w:rFonts w:eastAsia="Times New Roman"/>
          <w:vanish/>
          <w:sz w:val="20"/>
          <w:szCs w:val="20"/>
        </w:rPr>
        <w:t>9101kim:ShoppingCenterMemberkim:TheWhittakerMember2021-01-012021-12-31 0000879101srt:OtherPropertyMemberkim:AsanteRetailCenterMember2021-12-31 0000879101srt:OtherPropertyMemberkim:AsanteRetailCenterMember2021-01-012021-12-31 0000879101srt:OtherPropertyMemb</w:t>
      </w:r>
      <w:r>
        <w:rPr>
          <w:rFonts w:eastAsia="Times New Roman"/>
          <w:vanish/>
          <w:sz w:val="20"/>
          <w:szCs w:val="20"/>
        </w:rPr>
        <w:t>erkim:GladdenFarmsMember2021-12-31 0000879101srt:OtherPropertyMemberkim:GladdenFarmsMember2021-01-012021-12-31 0000879101srt:OtherPropertyMemberkim:EpicVillageMember2021-12-31 0000879101srt:OtherPropertyMemberkim:EpicVillageMember2021-01-012021-12-31 00008</w:t>
      </w:r>
      <w:r>
        <w:rPr>
          <w:rFonts w:eastAsia="Times New Roman"/>
          <w:vanish/>
          <w:sz w:val="20"/>
          <w:szCs w:val="20"/>
        </w:rPr>
        <w:t>79101srt:OtherPropertyMemberkim:HomesteadWachtelLandLeaseMember2021-12-31 0000879101srt:OtherPropertyMemberkim:HomesteadWachtelLandLeaseMember2021-01-012021-12-31 0000879101srt:OtherPropertyMemberkim:PalmCoastLandingOutparcelsMember2021-12-31 0000879101srt</w:t>
      </w:r>
      <w:r>
        <w:rPr>
          <w:rFonts w:eastAsia="Times New Roman"/>
          <w:vanish/>
          <w:sz w:val="20"/>
          <w:szCs w:val="20"/>
        </w:rPr>
        <w:t>:OtherPropertyMemberkim:PalmCoastLandingOutparcelsMember2021-01-012021-12-31 0000879101srt:OtherPropertyMemberkim:LakeWalesSCMember2021-12-31 0000879101srt:OtherPropertyMemberkim:LakeWalesSCMember2021-01-012021-12-31 0000879101srt:OtherPropertyMemberkim:Tr</w:t>
      </w:r>
      <w:r>
        <w:rPr>
          <w:rFonts w:eastAsia="Times New Roman"/>
          <w:vanish/>
          <w:sz w:val="20"/>
          <w:szCs w:val="20"/>
        </w:rPr>
        <w:t>easureValleyMember2021-12-31 0000879101srt:OtherPropertyMemberkim:TreasureValleyMember2021-01-012021-12-31 0000879101srt:OtherPropertyMemberkim:LinwoodIndianapolisMember2021-12-31 0000879101srt:OtherPropertyMemberkim:LinwoodIndianapolisMember2021-01-012021</w:t>
      </w:r>
      <w:r>
        <w:rPr>
          <w:rFonts w:eastAsia="Times New Roman"/>
          <w:vanish/>
          <w:sz w:val="20"/>
          <w:szCs w:val="20"/>
        </w:rPr>
        <w:t>-12-31 0000879101srt:OtherPropertyMemberkim:FlintVacantLandMember2021-12-31 0000879101srt:OtherPropertyMemberkim:FlintVacantLandMember2021-01-012021-12-31 0000879101srt:OtherPropertyMemberkim:CharlotteSportsFitnessCTRMember2021-12-31 0000879101srt:OtherPro</w:t>
      </w:r>
      <w:r>
        <w:rPr>
          <w:rFonts w:eastAsia="Times New Roman"/>
          <w:vanish/>
          <w:sz w:val="20"/>
          <w:szCs w:val="20"/>
        </w:rPr>
        <w:t>pertyMemberkim:CharlotteSportsFitnessCTRMember2021-01-012021-12-31 0000879101srt:OtherPropertyMemberkim:SurfCityCrossingMember2021-12-31 0000879101srt:OtherPropertyMemberkim:SurfCityCrossingMember2021-01-012021-12-31 0000879101srt:OtherPropertyMemberkim:Th</w:t>
      </w:r>
      <w:r>
        <w:rPr>
          <w:rFonts w:eastAsia="Times New Roman"/>
          <w:vanish/>
          <w:sz w:val="20"/>
          <w:szCs w:val="20"/>
        </w:rPr>
        <w:t>eShoppesAtCavenessFarmsMember2021-12-31 0000879101srt:OtherPropertyMemberkim:TheShoppesAtCavenessFarmsMember2021-01-012021-12-31 0000879101srt:OtherPropertyMemberkim:WakeForestCrossingIiLandOnlyMember2021-12-31 0000879101srt:OtherPropertyMemberkim:WakeFore</w:t>
      </w:r>
      <w:r>
        <w:rPr>
          <w:rFonts w:eastAsia="Times New Roman"/>
          <w:vanish/>
          <w:sz w:val="20"/>
          <w:szCs w:val="20"/>
        </w:rPr>
        <w:t>stCrossingIiLandOnlyMember2021-01-012021-12-31 0000879101srt:OtherPropertyMemberkim:WakefieldCommonsIIIMember2021-12-31 0000879101srt:OtherPropertyMemberkim:WakefieldCommonsIIIMember2021-01-012021-12-31 0000879101srt:OtherPropertyMemberkim:WakefieldCrossin</w:t>
      </w:r>
      <w:r>
        <w:rPr>
          <w:rFonts w:eastAsia="Times New Roman"/>
          <w:vanish/>
          <w:sz w:val="20"/>
          <w:szCs w:val="20"/>
        </w:rPr>
        <w:t>gsMember2021-12-31 0000879101srt:OtherPropertyMemberkim:WakefieldCrossingsMember2021-01-012021-12-31 0000879101srt:OtherPropertyMemberkim:HillsboroughPromenadeMember2021-12-31 0000879101srt:OtherPropertyMemberkim:HillsboroughPromenadeMember2021-01-012021-1</w:t>
      </w:r>
      <w:r>
        <w:rPr>
          <w:rFonts w:eastAsia="Times New Roman"/>
          <w:vanish/>
          <w:sz w:val="20"/>
          <w:szCs w:val="20"/>
        </w:rPr>
        <w:t>2-31 0000879101srt:OtherPropertyMemberkim:JerichoAtriumMember2021-12-31 0000879101srt:OtherPropertyMemberkim:JerichoAtriumMember2021-01-012021-12-31 0000879101srt:OtherPropertyMemberkim:KeyBankBuildingMember2021-12-31 0000879101srt:OtherPropertyMemberkim:K</w:t>
      </w:r>
      <w:r>
        <w:rPr>
          <w:rFonts w:eastAsia="Times New Roman"/>
          <w:vanish/>
          <w:sz w:val="20"/>
          <w:szCs w:val="20"/>
        </w:rPr>
        <w:t>eyBankBuildingMember2021-01-012021-12-31 0000879101srt:OtherPropertyMemberkim:ManhassetCenterResidentialMember2021-12-31 0000879101srt:OtherPropertyMemberkim:ManhassetCenterResidentialMember2021-01-012021-12-31 0000879101srt:OtherPropertyMemberkim:MerryLan</w:t>
      </w:r>
      <w:r>
        <w:rPr>
          <w:rFonts w:eastAsia="Times New Roman"/>
          <w:vanish/>
          <w:sz w:val="20"/>
          <w:szCs w:val="20"/>
        </w:rPr>
        <w:t>eParkingLotMember2021-12-31 0000879101srt:OtherPropertyMemberkim:MerryLaneParkingLotMember2021-01-012021-12-31 0000879101srt:OtherPropertyMemberkim:NorthportLandParcelMember2021-12-31 0000879101srt:OtherPropertyMemberkim:NorthportLandParcelMember2021-01-01</w:t>
      </w:r>
      <w:r>
        <w:rPr>
          <w:rFonts w:eastAsia="Times New Roman"/>
          <w:vanish/>
          <w:sz w:val="20"/>
          <w:szCs w:val="20"/>
        </w:rPr>
        <w:t>2021-12-31 0000879101srt:OtherPropertyMemberkim:McMinnvillePlazaMember2021-12-31 0000879101srt:OtherPropertyMemberkim:McMinnvillePlazaMember2021-01-012021-12-31 0000879101srt:OtherPropertyMemberkim:CoulterAvenueParcelMember2021-12-31 0000879101srt:OtherPro</w:t>
      </w:r>
      <w:r>
        <w:rPr>
          <w:rFonts w:eastAsia="Times New Roman"/>
          <w:vanish/>
          <w:sz w:val="20"/>
          <w:szCs w:val="20"/>
        </w:rPr>
        <w:t>pertyMemberkim:CoulterAvenueParcelMember2021-01-012021-12-31 0000879101srt:OtherPropertyMemberkim:The1935WestGrayMember2021-12-31 0000879101srt:OtherPropertyMemberkim:The1935WestGrayMember2021-01-012021-12-31 0000879101srt:OtherPropertyMemberkim:The2503Mcc</w:t>
      </w:r>
      <w:r>
        <w:rPr>
          <w:rFonts w:eastAsia="Times New Roman"/>
          <w:vanish/>
          <w:sz w:val="20"/>
          <w:szCs w:val="20"/>
        </w:rPr>
        <w:t>ueLLCMember2021-12-31 0000879101srt:OtherPropertyMemberkim:The2503MccueLLCMember2021-01-012021-12-31 0000879101srt:OtherPropertyMemberkim:CullenBlvdAndEastOremDrMember2021-12-31 0000879101srt:OtherPropertyMemberkim:CullenBlvdAndEastOremDrMember2021-01-0120</w:t>
      </w:r>
      <w:r>
        <w:rPr>
          <w:rFonts w:eastAsia="Times New Roman"/>
          <w:vanish/>
          <w:sz w:val="20"/>
          <w:szCs w:val="20"/>
        </w:rPr>
        <w:t>21-12-31 0000879101srt:OtherPropertyMemberkim:NorthTownePlazaBrownsvilleMember2021-12-31 0000879101srt:OtherPropertyMemberkim:NorthTownePlazaBrownsvilleMember2021-01-012021-12-31 0000879101srt:OtherPropertyMemberkim:NWFreewayAtGessnerMember2021-12-31 00008</w:t>
      </w:r>
      <w:r>
        <w:rPr>
          <w:rFonts w:eastAsia="Times New Roman"/>
          <w:vanish/>
          <w:sz w:val="20"/>
          <w:szCs w:val="20"/>
        </w:rPr>
        <w:t>79101srt:OtherPropertyMemberkim:NWFreewayAtGessnerMember2021-01-012021-12-31 0000879101srt:OtherPropertyMemberkim:RichmondSquarePadMember2021-12-31 0000879101srt:OtherPropertyMemberkim:RichmondSquarePadMember2021-01-012021-12-31 0000879101srt:OtherProperty</w:t>
      </w:r>
      <w:r>
        <w:rPr>
          <w:rFonts w:eastAsia="Times New Roman"/>
          <w:vanish/>
          <w:sz w:val="20"/>
          <w:szCs w:val="20"/>
        </w:rPr>
        <w:t>Memberkim:TexasCityLandMember2021-12-31 0000879101srt:OtherPropertyMemberkim:TexasCityLandMember2021-01-012021-12-31 0000879101srt:OtherPropertyMemberkim:WestoverSquareMember2021-12-31 0000879101srt:OtherPropertyMemberkim:WestoverSquareMember2021-01-012021</w:t>
      </w:r>
      <w:r>
        <w:rPr>
          <w:rFonts w:eastAsia="Times New Roman"/>
          <w:vanish/>
          <w:sz w:val="20"/>
          <w:szCs w:val="20"/>
        </w:rPr>
        <w:t>-12-31 0000879101srt:OtherPropertyMemberkim:WestwoodCenterLandOnlyMember2021-12-31 0000879101srt:OtherPropertyMemberkim:WestwoodCenterLandOnlyMember2021-01-012021-12-31 0000879101srt:OtherPropertyMemberkim:BlueRidgeMember2021-12-31 0000879101srt:OtherPrope</w:t>
      </w:r>
      <w:r>
        <w:rPr>
          <w:rFonts w:eastAsia="Times New Roman"/>
          <w:vanish/>
          <w:sz w:val="20"/>
          <w:szCs w:val="20"/>
        </w:rPr>
        <w:t>rtyMemberkim:BlueRidgeMember2021-01-012021-12-31 0000879101srt:OtherPropertyMemberkim:BalanceOfPortfolioMember2021-12-31 0000879101srt:OtherPropertyMemberkim:BalanceOfPortfolioMember2021-01-012021-12-31 0000879101kim:BuildingsAndBuildingImprovementsHeldFor</w:t>
      </w:r>
      <w:r>
        <w:rPr>
          <w:rFonts w:eastAsia="Times New Roman"/>
          <w:vanish/>
          <w:sz w:val="20"/>
          <w:szCs w:val="20"/>
        </w:rPr>
        <w:t>InvestmentsMembersrt:MinimumMember2021-01-012021-12-31 0000879101kim:BuildingsAndBuildingImprovementsHeldForInvestmentsMembersrt:MaximumMember2021-01-012021-12-31 0000879101kim:FixturesBuildingAndLeaseholdImprovementsIncludingCertainIdentifiedIntangibleAss</w:t>
      </w:r>
      <w:r>
        <w:rPr>
          <w:rFonts w:eastAsia="Times New Roman"/>
          <w:vanish/>
          <w:sz w:val="20"/>
          <w:szCs w:val="20"/>
        </w:rPr>
        <w:t>etsMember2021-01-012021-12-31 0000879101kim:BorrowerAMemberkim:MortgageLoansMembersrt:RetailSiteMemberkim:MesaAZMember2021-01-012021-12-31 0000879101kim:BorrowerAMemberkim:MortgageLoansMembersrt:RetailSiteMemberkim:MesaAZMember2021-12-31 0000879101kim:Borr</w:t>
      </w:r>
      <w:r>
        <w:rPr>
          <w:rFonts w:eastAsia="Times New Roman"/>
          <w:vanish/>
          <w:sz w:val="20"/>
          <w:szCs w:val="20"/>
        </w:rPr>
        <w:t>owerCMemberkim:MortgageLoansMembersrt:RetailSiteMemberkim:PompanoFLMember2021-01-012021-12-31 0000879101kim:BorrowerCMemberkim:MortgageLoansMembersrt:RetailSiteMemberkim:PompanoFLMember2021-12-31 0000879101kim:BorrowerDMemberkim:MortgageLoansMembersrt:Reta</w:t>
      </w:r>
      <w:r>
        <w:rPr>
          <w:rFonts w:eastAsia="Times New Roman"/>
          <w:vanish/>
          <w:sz w:val="20"/>
          <w:szCs w:val="20"/>
        </w:rPr>
        <w:t>ilSiteMemberkim:JacksonvilleFLMember2021-01-012021-12-31 0000879101kim:BorrowerDMemberkim:MortgageLoansMembersrt:RetailSiteMemberkim:JacksonvilleFLMember2021-12-31 0000879101kim:BorrowerEMemberkim:MortgageLoansMembersrt:RetailSiteMemberkim:SanAntonioTexasM</w:t>
      </w:r>
      <w:r>
        <w:rPr>
          <w:rFonts w:eastAsia="Times New Roman"/>
          <w:vanish/>
          <w:sz w:val="20"/>
          <w:szCs w:val="20"/>
        </w:rPr>
        <w:t>ember2021-01-012021-12-31 0000879101kim:BorrowerEMemberkim:MortgageLoansMembersrt:RetailSiteMemberkim:SanAntonioTexasMember2021-12-31 0000879101kim:BorrowerFMemberkim:MortgageLoansMembersrt:RetailSiteMemberkim:LasVegasNVMember2021-01-012021-12-31 000087910</w:t>
      </w:r>
      <w:r>
        <w:rPr>
          <w:rFonts w:eastAsia="Times New Roman"/>
          <w:vanish/>
          <w:sz w:val="20"/>
          <w:szCs w:val="20"/>
        </w:rPr>
        <w:t>1kim:BorrowerFMemberkim:MortgageLoansMembersrt:RetailSiteMemberkim:LasVegasNVMember2021-12-31 0000879101kim:BorrowerGMemberkim:MortgageLoansMembersrt:RetailSiteMemberkim:LasVegasNVMember2021-01-012021-12-31 0000879101kim:BorrowerGMemberkim:MortgageLoansMem</w:t>
      </w:r>
      <w:r>
        <w:rPr>
          <w:rFonts w:eastAsia="Times New Roman"/>
          <w:vanish/>
          <w:sz w:val="20"/>
          <w:szCs w:val="20"/>
        </w:rPr>
        <w:t>bersrt:RetailSiteMemberkim:LasVegasNVMember2021-12-31 0000879101kim:BorrowerAMemberkim:MortgageLoansMemberkim:NonretailMemberkim:CommackNYMember2021-01-012021-12-31 0000879101kim:BorrowerAMemberkim:MortgageLoansMemberkim:NonretailMemberkim:CommackNYMember2</w:t>
      </w:r>
      <w:r>
        <w:rPr>
          <w:rFonts w:eastAsia="Times New Roman"/>
          <w:vanish/>
          <w:sz w:val="20"/>
          <w:szCs w:val="20"/>
        </w:rPr>
        <w:t>021-12-31 0000879101kim:BorrowerBMemberkim:MortgageLoansMemberkim:NonretailMemberkim:MelbourneFLMember2021-01-012021-12-31 0000879101kim:BorrowerBMemberkim:MortgageLoansMemberkim:NonretailMemberkim:MelbourneFLMember2021-12-31 0000879101kim:BorrowerAMemberk</w:t>
      </w:r>
      <w:r>
        <w:rPr>
          <w:rFonts w:eastAsia="Times New Roman"/>
          <w:vanish/>
          <w:sz w:val="20"/>
          <w:szCs w:val="20"/>
        </w:rPr>
        <w:t>im:OtherFinancingLoansMemberkim:NonretailMember2021-01-012021-12-31 0000879101kim:BorrowerAMemberkim:OtherFinancingLoansMemberkim:NonretailMember2021-12-31 0000879101kim:BorrowerBMemberkim:OtherFinancingLoansMemberkim:NonretailMember2021-01-012021-12-31 00</w:t>
      </w:r>
      <w:r>
        <w:rPr>
          <w:rFonts w:eastAsia="Times New Roman"/>
          <w:vanish/>
          <w:sz w:val="20"/>
          <w:szCs w:val="20"/>
        </w:rPr>
        <w:t>00879101kim:BorrowerBMemberkim:OtherFinancingLoansMemberkim:NonretailMember2021-12-31 0000879101kim:BorrowerCMemberkim:OtherFinancingLoansMemberkim:NonretailMember2021-01-012021-12-31 0000879101kim:BorrowerCMemberkim:OtherFinancingLoansMemberkim:NonretailM</w:t>
      </w:r>
      <w:r>
        <w:rPr>
          <w:rFonts w:eastAsia="Times New Roman"/>
          <w:vanish/>
          <w:sz w:val="20"/>
          <w:szCs w:val="20"/>
        </w:rPr>
        <w:t xml:space="preserve">ember2021-12-31 0000879101kim:MortgageLoansMember2021-12-31 0000879101kim:IncomeMember2021-01-012021-12-31 0000879101us-gaap:MortgagesMember2021-01-012021-12-31 </w:t>
      </w:r>
    </w:p>
    <w:p w:rsidR="00000000" w:rsidRDefault="001D2166">
      <w:pPr>
        <w:divId w:val="1769615122"/>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divId w:val="397633548"/>
        <w:rPr>
          <w:sz w:val="20"/>
          <w:szCs w:val="20"/>
        </w:rPr>
      </w:pPr>
      <w:hyperlink w:anchor="toc" w:history="1">
        <w:r>
          <w:rPr>
            <w:rStyle w:val="a4"/>
            <w:sz w:val="20"/>
            <w:szCs w:val="20"/>
          </w:rPr>
          <w:t>Table of Contents</w:t>
        </w:r>
      </w:hyperlink>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spacing w:before="60" w:after="60"/>
        <w:divId w:val="397633548"/>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1D2166">
      <w:pPr>
        <w:spacing w:after="60"/>
        <w:divId w:val="397633548"/>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pPr>
      <w:r>
        <w:rPr>
          <w:b/>
          <w:bCs/>
        </w:rPr>
        <w:t xml:space="preserve">UNITED STATES </w:t>
      </w:r>
    </w:p>
    <w:p w:rsidR="00000000" w:rsidRDefault="001D2166">
      <w:pPr>
        <w:pStyle w:val="a3"/>
        <w:spacing w:before="0" w:beforeAutospacing="0" w:after="0" w:afterAutospacing="0"/>
        <w:jc w:val="center"/>
        <w:divId w:val="397633548"/>
      </w:pPr>
      <w:r>
        <w:rPr>
          <w:b/>
          <w:bCs/>
        </w:rPr>
        <w:t>SECURITIES AND EXCHANGE COMMISSION</w:t>
      </w:r>
    </w:p>
    <w:p w:rsidR="00000000" w:rsidRDefault="001D2166">
      <w:pPr>
        <w:pStyle w:val="a3"/>
        <w:spacing w:before="0" w:beforeAutospacing="0" w:after="0" w:afterAutospacing="0"/>
        <w:jc w:val="center"/>
        <w:divId w:val="397633548"/>
        <w:rPr>
          <w:sz w:val="20"/>
          <w:szCs w:val="20"/>
        </w:rPr>
      </w:pPr>
      <w:r>
        <w:rPr>
          <w:b/>
          <w:bCs/>
          <w:sz w:val="20"/>
          <w:szCs w:val="20"/>
        </w:rPr>
        <w:t>Washington, D.C. 20549</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pPr>
      <w:r>
        <w:rPr>
          <w:b/>
          <w:bCs/>
        </w:rPr>
        <w:t>FORM 10-K</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ind w:left="720"/>
        <w:jc w:val="center"/>
        <w:divId w:val="397633548"/>
        <w:rPr>
          <w:sz w:val="20"/>
          <w:szCs w:val="20"/>
        </w:rPr>
      </w:pPr>
      <w:r>
        <w:rPr>
          <w:rFonts w:ascii="Segoe UI Emoji" w:hAnsi="Segoe UI Emoji" w:cs="Segoe UI Emoji"/>
          <w:b/>
          <w:bCs/>
          <w:sz w:val="20"/>
          <w:szCs w:val="20"/>
        </w:rPr>
        <w:t>☑</w:t>
      </w:r>
      <w:r>
        <w:rPr>
          <w:b/>
          <w:bCs/>
          <w:sz w:val="20"/>
          <w:szCs w:val="20"/>
        </w:rPr>
        <w:t>         ANNUAL REPORT PUR</w:t>
      </w:r>
      <w:r>
        <w:rPr>
          <w:b/>
          <w:bCs/>
          <w:sz w:val="20"/>
          <w:szCs w:val="20"/>
        </w:rPr>
        <w:t>SUANT TO SECTION 13 OR 15(d) OF THE SECURITIES EXCHANGE ACT OF 1934</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b/>
          <w:bCs/>
          <w:sz w:val="20"/>
          <w:szCs w:val="20"/>
        </w:rPr>
        <w:t>For the fiscal year ended December 31, 2021</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b/>
          <w:bCs/>
          <w:sz w:val="20"/>
          <w:szCs w:val="20"/>
        </w:rPr>
        <w:t>OR</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ind w:left="720"/>
        <w:jc w:val="center"/>
        <w:divId w:val="397633548"/>
        <w:rPr>
          <w:sz w:val="20"/>
          <w:szCs w:val="20"/>
        </w:rPr>
      </w:pPr>
      <w:r>
        <w:rPr>
          <w:rFonts w:ascii="Segoe UI Symbol" w:hAnsi="Segoe UI Symbol" w:cs="Segoe UI Symbol"/>
          <w:b/>
          <w:bCs/>
          <w:sz w:val="20"/>
          <w:szCs w:val="20"/>
        </w:rPr>
        <w:t>☐</w:t>
      </w:r>
      <w:r>
        <w:rPr>
          <w:b/>
          <w:bCs/>
          <w:sz w:val="20"/>
          <w:szCs w:val="20"/>
        </w:rPr>
        <w:t>         TRANSITION REPORT PURSUANT TO SECTION 13 OR 15(d) OF THE SECURITIES EXCHANGE ACT OF 1934</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b/>
          <w:bCs/>
          <w:sz w:val="20"/>
          <w:szCs w:val="20"/>
        </w:rPr>
        <w:t>For the transition period from ___</w:t>
      </w:r>
      <w:r>
        <w:rPr>
          <w:b/>
          <w:bCs/>
          <w:sz w:val="20"/>
          <w:szCs w:val="20"/>
        </w:rPr>
        <w:t>_______ to __________</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b/>
          <w:bCs/>
          <w:sz w:val="20"/>
          <w:szCs w:val="20"/>
        </w:rPr>
        <w:t xml:space="preserve">Commission file number </w:t>
      </w:r>
      <w:r>
        <w:rPr>
          <w:b/>
          <w:bCs/>
          <w:sz w:val="20"/>
          <w:szCs w:val="20"/>
          <w:u w:val="single"/>
        </w:rPr>
        <w:t>1-10899</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8"/>
          <w:szCs w:val="28"/>
        </w:rPr>
      </w:pPr>
      <w:r>
        <w:rPr>
          <w:b/>
          <w:bCs/>
          <w:sz w:val="28"/>
          <w:szCs w:val="28"/>
          <w:u w:val="single"/>
        </w:rPr>
        <w:t>KIMCO REALTY CORPORATION</w:t>
      </w:r>
    </w:p>
    <w:p w:rsidR="00000000" w:rsidRDefault="001D2166">
      <w:pPr>
        <w:pStyle w:val="a3"/>
        <w:spacing w:before="0" w:beforeAutospacing="0" w:after="0" w:afterAutospacing="0"/>
        <w:jc w:val="center"/>
        <w:divId w:val="397633548"/>
        <w:rPr>
          <w:sz w:val="20"/>
          <w:szCs w:val="20"/>
        </w:rPr>
      </w:pPr>
      <w:r>
        <w:rPr>
          <w:sz w:val="20"/>
          <w:szCs w:val="20"/>
        </w:rPr>
        <w:t>(Exact name of registrant as specified in its charter)</w:t>
      </w:r>
    </w:p>
    <w:p w:rsidR="00000000" w:rsidRDefault="001D2166">
      <w:pPr>
        <w:pStyle w:val="a3"/>
        <w:spacing w:before="0" w:beforeAutospacing="0" w:after="0" w:afterAutospacing="0"/>
        <w:divId w:val="397633548"/>
        <w:rPr>
          <w:sz w:val="20"/>
          <w:szCs w:val="20"/>
        </w:rPr>
      </w:pPr>
      <w:r>
        <w:rPr>
          <w:sz w:val="20"/>
          <w:szCs w:val="20"/>
        </w:rPr>
        <w:t> </w:t>
      </w:r>
    </w:p>
    <w:tbl>
      <w:tblPr>
        <w:tblW w:w="3650" w:type="pct"/>
        <w:tblCellSpacing w:w="0" w:type="dxa"/>
        <w:tblCellMar>
          <w:left w:w="0" w:type="dxa"/>
          <w:right w:w="0" w:type="dxa"/>
        </w:tblCellMar>
        <w:tblLook w:val="04A0" w:firstRow="1" w:lastRow="0" w:firstColumn="1" w:lastColumn="0" w:noHBand="0" w:noVBand="1"/>
      </w:tblPr>
      <w:tblGrid>
        <w:gridCol w:w="2552"/>
        <w:gridCol w:w="758"/>
        <w:gridCol w:w="2753"/>
      </w:tblGrid>
      <w:tr w:rsidR="00000000">
        <w:trPr>
          <w:divId w:val="397633548"/>
          <w:tblCellSpacing w:w="0" w:type="dxa"/>
        </w:trPr>
        <w:tc>
          <w:tcPr>
            <w:tcW w:w="210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sz w:val="20"/>
                <w:szCs w:val="20"/>
              </w:rPr>
              <w:t>Maryland</w:t>
            </w:r>
          </w:p>
        </w:tc>
        <w:tc>
          <w:tcPr>
            <w:tcW w:w="625" w:type="pct"/>
            <w:vAlign w:val="bottom"/>
            <w:hideMark/>
          </w:tcPr>
          <w:p w:rsidR="00000000" w:rsidRDefault="001D2166">
            <w:pPr>
              <w:rPr>
                <w:rFonts w:eastAsia="Times New Roman"/>
                <w:sz w:val="20"/>
                <w:szCs w:val="20"/>
              </w:rPr>
            </w:pPr>
            <w:r>
              <w:rPr>
                <w:rFonts w:eastAsia="Times New Roman"/>
                <w:sz w:val="20"/>
                <w:szCs w:val="20"/>
              </w:rPr>
              <w:t> </w:t>
            </w:r>
          </w:p>
        </w:tc>
        <w:tc>
          <w:tcPr>
            <w:tcW w:w="24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sz w:val="20"/>
                <w:szCs w:val="20"/>
              </w:rPr>
              <w:t>13-2744380</w:t>
            </w:r>
          </w:p>
        </w:tc>
      </w:tr>
      <w:tr w:rsidR="00000000">
        <w:trPr>
          <w:divId w:val="397633548"/>
          <w:tblCellSpacing w:w="0" w:type="dxa"/>
        </w:trPr>
        <w:tc>
          <w:tcPr>
            <w:tcW w:w="2105" w:type="pct"/>
            <w:hideMark/>
          </w:tcPr>
          <w:p w:rsidR="00000000" w:rsidRDefault="001D2166">
            <w:pPr>
              <w:pStyle w:val="a3"/>
              <w:spacing w:before="0" w:beforeAutospacing="0" w:after="0" w:afterAutospacing="0"/>
              <w:jc w:val="center"/>
              <w:rPr>
                <w:sz w:val="20"/>
                <w:szCs w:val="20"/>
              </w:rPr>
            </w:pPr>
            <w:r>
              <w:rPr>
                <w:sz w:val="20"/>
                <w:szCs w:val="20"/>
              </w:rPr>
              <w:t>(State or other jurisdiction of</w:t>
            </w:r>
          </w:p>
          <w:p w:rsidR="00000000" w:rsidRDefault="001D2166">
            <w:pPr>
              <w:pStyle w:val="a3"/>
              <w:spacing w:before="0" w:beforeAutospacing="0" w:after="0" w:afterAutospacing="0"/>
              <w:jc w:val="center"/>
              <w:rPr>
                <w:sz w:val="20"/>
                <w:szCs w:val="20"/>
              </w:rPr>
            </w:pPr>
            <w:r>
              <w:rPr>
                <w:sz w:val="20"/>
                <w:szCs w:val="20"/>
              </w:rPr>
              <w:t>incorporation or organization)</w:t>
            </w:r>
          </w:p>
        </w:tc>
        <w:tc>
          <w:tcPr>
            <w:tcW w:w="625" w:type="pct"/>
            <w:vAlign w:val="bottom"/>
            <w:hideMark/>
          </w:tcPr>
          <w:p w:rsidR="00000000" w:rsidRDefault="001D2166">
            <w:pPr>
              <w:rPr>
                <w:rFonts w:eastAsia="Times New Roman"/>
                <w:sz w:val="20"/>
                <w:szCs w:val="20"/>
              </w:rPr>
            </w:pPr>
            <w:r>
              <w:rPr>
                <w:rFonts w:eastAsia="Times New Roman"/>
                <w:sz w:val="20"/>
                <w:szCs w:val="20"/>
              </w:rPr>
              <w:t> </w:t>
            </w:r>
          </w:p>
        </w:tc>
        <w:tc>
          <w:tcPr>
            <w:tcW w:w="2400" w:type="pct"/>
            <w:hideMark/>
          </w:tcPr>
          <w:p w:rsidR="00000000" w:rsidRDefault="001D2166">
            <w:pPr>
              <w:pStyle w:val="a3"/>
              <w:spacing w:before="0" w:beforeAutospacing="0" w:after="0" w:afterAutospacing="0"/>
              <w:jc w:val="center"/>
              <w:rPr>
                <w:sz w:val="20"/>
                <w:szCs w:val="20"/>
              </w:rPr>
            </w:pPr>
            <w:r>
              <w:rPr>
                <w:sz w:val="20"/>
                <w:szCs w:val="20"/>
              </w:rPr>
              <w:t>(I.R.S. Employer Identification No.)</w:t>
            </w:r>
          </w:p>
        </w:tc>
      </w:tr>
    </w:tbl>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b/>
          <w:bCs/>
          <w:sz w:val="20"/>
          <w:szCs w:val="20"/>
          <w:u w:val="single"/>
        </w:rPr>
        <w:t>500 North Broadway, Suite 201, Jericho, NY 11753</w:t>
      </w:r>
    </w:p>
    <w:p w:rsidR="00000000" w:rsidRDefault="001D2166">
      <w:pPr>
        <w:pStyle w:val="a3"/>
        <w:spacing w:before="0" w:beforeAutospacing="0" w:after="0" w:afterAutospacing="0"/>
        <w:jc w:val="center"/>
        <w:divId w:val="397633548"/>
        <w:rPr>
          <w:sz w:val="20"/>
          <w:szCs w:val="20"/>
        </w:rPr>
      </w:pPr>
      <w:r>
        <w:rPr>
          <w:sz w:val="20"/>
          <w:szCs w:val="20"/>
        </w:rPr>
        <w:t>(Address of principal executive offices)     (Zip Code)</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b/>
          <w:bCs/>
          <w:sz w:val="20"/>
          <w:szCs w:val="20"/>
          <w:u w:val="single"/>
        </w:rPr>
        <w:t>(516) 869-9000</w:t>
      </w:r>
    </w:p>
    <w:p w:rsidR="00000000" w:rsidRDefault="001D2166">
      <w:pPr>
        <w:pStyle w:val="a3"/>
        <w:spacing w:before="0" w:beforeAutospacing="0" w:after="0" w:afterAutospacing="0"/>
        <w:jc w:val="center"/>
        <w:divId w:val="397633548"/>
        <w:rPr>
          <w:sz w:val="20"/>
          <w:szCs w:val="20"/>
        </w:rPr>
      </w:pPr>
      <w:r>
        <w:rPr>
          <w:sz w:val="20"/>
          <w:szCs w:val="20"/>
        </w:rPr>
        <w:t>(Registrant’s telephone number, including area code)</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sz w:val="20"/>
          <w:szCs w:val="20"/>
        </w:rPr>
        <w:t>Securities registered pursuant to Section 12(b) of the Act:</w:t>
      </w:r>
    </w:p>
    <w:p w:rsidR="00000000" w:rsidRDefault="001D2166">
      <w:pPr>
        <w:pStyle w:val="a3"/>
        <w:spacing w:before="0" w:beforeAutospacing="0" w:after="0" w:afterAutospacing="0"/>
        <w:jc w:val="center"/>
        <w:divId w:val="39763354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4"/>
        <w:gridCol w:w="884"/>
        <w:gridCol w:w="2818"/>
      </w:tblGrid>
      <w:tr w:rsidR="00000000">
        <w:trPr>
          <w:divId w:val="397633548"/>
          <w:tblCellSpacing w:w="0" w:type="dxa"/>
        </w:trPr>
        <w:tc>
          <w:tcPr>
            <w:tcW w:w="2720" w:type="pct"/>
            <w:hideMark/>
          </w:tcPr>
          <w:p w:rsidR="00000000" w:rsidRDefault="001D2166">
            <w:pPr>
              <w:jc w:val="center"/>
              <w:rPr>
                <w:rFonts w:eastAsia="Times New Roman"/>
                <w:sz w:val="20"/>
                <w:szCs w:val="20"/>
              </w:rPr>
            </w:pPr>
            <w:r>
              <w:rPr>
                <w:rFonts w:eastAsia="Times New Roman"/>
                <w:sz w:val="20"/>
                <w:szCs w:val="20"/>
                <w:u w:val="single"/>
              </w:rPr>
              <w:t>Title of each class</w:t>
            </w:r>
          </w:p>
        </w:tc>
        <w:tc>
          <w:tcPr>
            <w:tcW w:w="500" w:type="pct"/>
            <w:hideMark/>
          </w:tcPr>
          <w:p w:rsidR="00000000" w:rsidRDefault="001D2166">
            <w:pPr>
              <w:pStyle w:val="a3"/>
              <w:spacing w:before="0" w:beforeAutospacing="0" w:after="0" w:afterAutospacing="0"/>
              <w:jc w:val="center"/>
              <w:rPr>
                <w:sz w:val="20"/>
                <w:szCs w:val="20"/>
              </w:rPr>
            </w:pPr>
            <w:r>
              <w:rPr>
                <w:sz w:val="20"/>
                <w:szCs w:val="20"/>
                <w:u w:val="single"/>
              </w:rPr>
              <w:t>Trading</w:t>
            </w:r>
          </w:p>
          <w:p w:rsidR="00000000" w:rsidRDefault="001D2166">
            <w:pPr>
              <w:pStyle w:val="a3"/>
              <w:spacing w:before="0" w:beforeAutospacing="0" w:after="0" w:afterAutospacing="0"/>
              <w:jc w:val="center"/>
              <w:rPr>
                <w:sz w:val="20"/>
                <w:szCs w:val="20"/>
              </w:rPr>
            </w:pPr>
            <w:r>
              <w:rPr>
                <w:sz w:val="20"/>
                <w:szCs w:val="20"/>
                <w:u w:val="single"/>
              </w:rPr>
              <w:t> Symbol(s)</w:t>
            </w:r>
          </w:p>
        </w:tc>
        <w:tc>
          <w:tcPr>
            <w:tcW w:w="1685" w:type="pct"/>
            <w:vAlign w:val="center"/>
            <w:hideMark/>
          </w:tcPr>
          <w:p w:rsidR="00000000" w:rsidRDefault="001D2166">
            <w:pPr>
              <w:pStyle w:val="a3"/>
              <w:spacing w:before="0" w:beforeAutospacing="0" w:after="0" w:afterAutospacing="0"/>
              <w:jc w:val="center"/>
              <w:rPr>
                <w:sz w:val="20"/>
                <w:szCs w:val="20"/>
              </w:rPr>
            </w:pPr>
            <w:r>
              <w:rPr>
                <w:sz w:val="20"/>
                <w:szCs w:val="20"/>
                <w:u w:val="single"/>
              </w:rPr>
              <w:t>Name of each exchange on</w:t>
            </w:r>
          </w:p>
          <w:p w:rsidR="00000000" w:rsidRDefault="001D2166">
            <w:pPr>
              <w:pStyle w:val="a3"/>
              <w:spacing w:before="0" w:beforeAutospacing="0" w:after="0" w:afterAutospacing="0"/>
              <w:jc w:val="center"/>
              <w:rPr>
                <w:sz w:val="20"/>
                <w:szCs w:val="20"/>
              </w:rPr>
            </w:pPr>
            <w:r>
              <w:rPr>
                <w:sz w:val="20"/>
                <w:szCs w:val="20"/>
                <w:u w:val="single"/>
              </w:rPr>
              <w:t>which registered</w:t>
            </w:r>
          </w:p>
        </w:tc>
      </w:tr>
      <w:tr w:rsidR="00000000">
        <w:trPr>
          <w:divId w:val="397633548"/>
          <w:tblCellSpacing w:w="0" w:type="dxa"/>
        </w:trPr>
        <w:tc>
          <w:tcPr>
            <w:tcW w:w="272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hideMark/>
          </w:tcPr>
          <w:p w:rsidR="00000000" w:rsidRDefault="001D2166">
            <w:pPr>
              <w:rPr>
                <w:rFonts w:eastAsia="Times New Roman"/>
                <w:sz w:val="20"/>
                <w:szCs w:val="20"/>
              </w:rPr>
            </w:pPr>
            <w:r>
              <w:rPr>
                <w:rFonts w:eastAsia="Times New Roman"/>
                <w:sz w:val="20"/>
                <w:szCs w:val="20"/>
              </w:rPr>
              <w:t> </w:t>
            </w:r>
          </w:p>
        </w:tc>
        <w:tc>
          <w:tcPr>
            <w:tcW w:w="1685"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397633548"/>
          <w:tblCellSpacing w:w="0" w:type="dxa"/>
        </w:trPr>
        <w:tc>
          <w:tcPr>
            <w:tcW w:w="2745" w:type="pct"/>
            <w:shd w:val="clear" w:color="auto" w:fill="CCEEFF"/>
            <w:vAlign w:val="center"/>
            <w:hideMark/>
          </w:tcPr>
          <w:p w:rsidR="00000000" w:rsidRDefault="001D2166">
            <w:pPr>
              <w:pStyle w:val="a3"/>
              <w:spacing w:before="0" w:beforeAutospacing="0" w:after="0" w:afterAutospacing="0"/>
              <w:rPr>
                <w:sz w:val="20"/>
                <w:szCs w:val="20"/>
              </w:rPr>
            </w:pPr>
            <w:r>
              <w:rPr>
                <w:sz w:val="20"/>
                <w:szCs w:val="20"/>
              </w:rPr>
              <w:t>Common Stock, par value $.01 per share.</w:t>
            </w:r>
          </w:p>
        </w:tc>
        <w:tc>
          <w:tcPr>
            <w:tcW w:w="405" w:type="pct"/>
            <w:shd w:val="clear" w:color="auto" w:fill="CCEEFF"/>
            <w:hideMark/>
          </w:tcPr>
          <w:p w:rsidR="00000000" w:rsidRDefault="001D2166">
            <w:pPr>
              <w:pStyle w:val="a3"/>
              <w:spacing w:before="0" w:beforeAutospacing="0" w:after="0" w:afterAutospacing="0"/>
              <w:jc w:val="center"/>
              <w:rPr>
                <w:sz w:val="20"/>
                <w:szCs w:val="20"/>
              </w:rPr>
            </w:pPr>
            <w:r>
              <w:rPr>
                <w:sz w:val="20"/>
                <w:szCs w:val="20"/>
              </w:rPr>
              <w:t>KIM</w:t>
            </w:r>
          </w:p>
        </w:tc>
        <w:tc>
          <w:tcPr>
            <w:tcW w:w="1685" w:type="pct"/>
            <w:shd w:val="clear" w:color="auto" w:fill="CCEEFF"/>
            <w:vAlign w:val="center"/>
            <w:hideMark/>
          </w:tcPr>
          <w:p w:rsidR="00000000" w:rsidRDefault="001D2166">
            <w:pPr>
              <w:pStyle w:val="a3"/>
              <w:spacing w:before="0" w:beforeAutospacing="0" w:after="0" w:afterAutospacing="0"/>
              <w:jc w:val="center"/>
              <w:rPr>
                <w:sz w:val="20"/>
                <w:szCs w:val="20"/>
              </w:rPr>
            </w:pPr>
            <w:r>
              <w:rPr>
                <w:sz w:val="20"/>
                <w:szCs w:val="20"/>
              </w:rPr>
              <w:t>New York Stock Exchange</w:t>
            </w:r>
          </w:p>
        </w:tc>
      </w:tr>
      <w:tr w:rsidR="00000000">
        <w:trPr>
          <w:divId w:val="397633548"/>
          <w:tblCellSpacing w:w="0" w:type="dxa"/>
        </w:trPr>
        <w:tc>
          <w:tcPr>
            <w:tcW w:w="2745" w:type="pct"/>
            <w:shd w:val="clear" w:color="auto" w:fill="FFFFFF"/>
            <w:vAlign w:val="center"/>
            <w:hideMark/>
          </w:tcPr>
          <w:p w:rsidR="00000000" w:rsidRDefault="001D2166">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405" w:type="pct"/>
            <w:shd w:val="clear" w:color="auto" w:fill="FFFFFF"/>
            <w:hideMark/>
          </w:tcPr>
          <w:p w:rsidR="00000000" w:rsidRDefault="001D2166">
            <w:pPr>
              <w:pStyle w:val="a3"/>
              <w:spacing w:before="0" w:beforeAutospacing="0" w:after="0" w:afterAutospacing="0"/>
              <w:jc w:val="center"/>
              <w:rPr>
                <w:sz w:val="20"/>
                <w:szCs w:val="20"/>
              </w:rPr>
            </w:pPr>
            <w:r>
              <w:rPr>
                <w:sz w:val="20"/>
                <w:szCs w:val="20"/>
              </w:rPr>
              <w:t>KIMprL</w:t>
            </w:r>
          </w:p>
        </w:tc>
        <w:tc>
          <w:tcPr>
            <w:tcW w:w="1685" w:type="pct"/>
            <w:shd w:val="clear" w:color="auto" w:fill="FFFFFF"/>
            <w:vAlign w:val="center"/>
            <w:hideMark/>
          </w:tcPr>
          <w:p w:rsidR="00000000" w:rsidRDefault="001D2166">
            <w:pPr>
              <w:pStyle w:val="a3"/>
              <w:spacing w:before="0" w:beforeAutospacing="0" w:after="0" w:afterAutospacing="0"/>
              <w:jc w:val="center"/>
              <w:rPr>
                <w:sz w:val="20"/>
                <w:szCs w:val="20"/>
              </w:rPr>
            </w:pPr>
            <w:r>
              <w:rPr>
                <w:sz w:val="20"/>
                <w:szCs w:val="20"/>
              </w:rPr>
              <w:t>New York Stock Exchange</w:t>
            </w:r>
          </w:p>
        </w:tc>
      </w:tr>
      <w:tr w:rsidR="00000000">
        <w:trPr>
          <w:divId w:val="397633548"/>
          <w:tblCellSpacing w:w="0" w:type="dxa"/>
        </w:trPr>
        <w:tc>
          <w:tcPr>
            <w:tcW w:w="2745" w:type="pct"/>
            <w:shd w:val="clear" w:color="auto" w:fill="CCEEFF"/>
            <w:vAlign w:val="center"/>
            <w:hideMark/>
          </w:tcPr>
          <w:p w:rsidR="00000000" w:rsidRDefault="001D2166">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405" w:type="pct"/>
            <w:shd w:val="clear" w:color="auto" w:fill="CCEEFF"/>
            <w:hideMark/>
          </w:tcPr>
          <w:p w:rsidR="00000000" w:rsidRDefault="001D2166">
            <w:pPr>
              <w:pStyle w:val="a3"/>
              <w:spacing w:before="0" w:beforeAutospacing="0" w:after="0" w:afterAutospacing="0"/>
              <w:jc w:val="center"/>
              <w:rPr>
                <w:sz w:val="20"/>
                <w:szCs w:val="20"/>
              </w:rPr>
            </w:pPr>
            <w:r>
              <w:rPr>
                <w:sz w:val="20"/>
                <w:szCs w:val="20"/>
              </w:rPr>
              <w:t>KIMprM</w:t>
            </w:r>
          </w:p>
        </w:tc>
        <w:tc>
          <w:tcPr>
            <w:tcW w:w="1685" w:type="pct"/>
            <w:shd w:val="clear" w:color="auto" w:fill="CCEEFF"/>
            <w:vAlign w:val="center"/>
            <w:hideMark/>
          </w:tcPr>
          <w:p w:rsidR="00000000" w:rsidRDefault="001D2166">
            <w:pPr>
              <w:pStyle w:val="a3"/>
              <w:spacing w:before="0" w:beforeAutospacing="0" w:after="0" w:afterAutospacing="0"/>
              <w:jc w:val="center"/>
              <w:rPr>
                <w:sz w:val="20"/>
                <w:szCs w:val="20"/>
              </w:rPr>
            </w:pPr>
            <w:r>
              <w:rPr>
                <w:sz w:val="20"/>
                <w:szCs w:val="20"/>
              </w:rPr>
              <w:t>New York Stock Exchange</w:t>
            </w:r>
          </w:p>
        </w:tc>
      </w:tr>
    </w:tbl>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Securities registered pursuant to section 12(g) of the Act:          None</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Indicate by check mark if the registrant is a well-known seasoned issuer, a</w:t>
      </w:r>
      <w:r>
        <w:rPr>
          <w:sz w:val="20"/>
          <w:szCs w:val="20"/>
        </w:rPr>
        <w:t xml:space="preserve">s defined in Rule 405 of the Securities Act.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lastRenderedPageBreak/>
        <w:t xml:space="preserve">Indicate by check mark if the registrant is not required to file reports pursuant to Section 13 or Section 15(d) of the Act.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 xml:space="preserve">Indicate by check mark whether the registrant (1) has filed </w:t>
      </w:r>
      <w:r>
        <w:rPr>
          <w:sz w:val="20"/>
          <w:szCs w:val="20"/>
        </w:rPr>
        <w:t>all reports required to be filed by Section 13 or 15(d) of the Securities Exchange Act of 1934 during the preceding 12 months (or for such shorter period that the registrant was required to file such reports), and (2) has been subject to such filing requir</w:t>
      </w:r>
      <w:r>
        <w:rPr>
          <w:sz w:val="20"/>
          <w:szCs w:val="20"/>
        </w:rPr>
        <w:t xml:space="preserve">ements for the past 90 days.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Indicate by check mark whether the registrant has submitted electronically every Interactive Data File required to be submitted pursuant to Rule 405 of Regulation S-T (§ 232.405 of this chapter) during the precedin</w:t>
      </w:r>
      <w:r>
        <w:rPr>
          <w:sz w:val="20"/>
          <w:szCs w:val="20"/>
        </w:rPr>
        <w:t xml:space="preserve">g 12 months (or for such shorter period that the registrant was required to submit such files).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Indicate by check mark whether the registrant is a large accelerated filer, an accelerated filer, a non-accelerated filer, a smaller reporting comp</w:t>
      </w:r>
      <w:r>
        <w:rPr>
          <w:sz w:val="20"/>
          <w:szCs w:val="20"/>
        </w:rPr>
        <w:t>any, or an emerging growth company. See the definitions of “large accelerated filer,” “accelerated filer,” “smaller reporting company,” and “emerging growth company” in Rule 12b-2 of the Exchange Act.</w:t>
      </w:r>
    </w:p>
    <w:p w:rsidR="00000000" w:rsidRDefault="001D2166">
      <w:pPr>
        <w:pStyle w:val="a3"/>
        <w:spacing w:before="0" w:beforeAutospacing="0" w:after="0" w:afterAutospacing="0"/>
        <w:divId w:val="39763354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12"/>
        <w:gridCol w:w="1412"/>
        <w:gridCol w:w="2077"/>
        <w:gridCol w:w="1412"/>
        <w:gridCol w:w="1412"/>
        <w:gridCol w:w="581"/>
      </w:tblGrid>
      <w:tr w:rsidR="00000000">
        <w:trPr>
          <w:divId w:val="397633548"/>
          <w:tblCellSpacing w:w="0" w:type="dxa"/>
        </w:trPr>
        <w:tc>
          <w:tcPr>
            <w:tcW w:w="850" w:type="pct"/>
            <w:vAlign w:val="center"/>
            <w:hideMark/>
          </w:tcPr>
          <w:p w:rsidR="00000000" w:rsidRDefault="001D2166">
            <w:pPr>
              <w:rPr>
                <w:rFonts w:eastAsia="Times New Roman"/>
                <w:sz w:val="20"/>
                <w:szCs w:val="20"/>
              </w:rPr>
            </w:pPr>
            <w:r>
              <w:rPr>
                <w:rFonts w:eastAsia="Times New Roman"/>
                <w:sz w:val="20"/>
                <w:szCs w:val="20"/>
              </w:rPr>
              <w:t> </w:t>
            </w:r>
          </w:p>
        </w:tc>
        <w:tc>
          <w:tcPr>
            <w:tcW w:w="850" w:type="pct"/>
            <w:vAlign w:val="center"/>
            <w:hideMark/>
          </w:tcPr>
          <w:p w:rsidR="00000000" w:rsidRDefault="001D2166">
            <w:pPr>
              <w:rPr>
                <w:rFonts w:eastAsia="Times New Roman"/>
                <w:sz w:val="20"/>
                <w:szCs w:val="20"/>
              </w:rPr>
            </w:pPr>
            <w:r>
              <w:rPr>
                <w:rFonts w:eastAsia="Times New Roman"/>
                <w:sz w:val="20"/>
                <w:szCs w:val="20"/>
              </w:rPr>
              <w:t>Large accelerated filer</w:t>
            </w:r>
          </w:p>
        </w:tc>
        <w:tc>
          <w:tcPr>
            <w:tcW w:w="1250" w:type="pct"/>
            <w:vAlign w:val="center"/>
            <w:hideMark/>
          </w:tcPr>
          <w:p w:rsidR="00000000" w:rsidRDefault="001D2166">
            <w:pPr>
              <w:rPr>
                <w:rFonts w:eastAsia="Times New Roman"/>
                <w:sz w:val="20"/>
                <w:szCs w:val="20"/>
              </w:rPr>
            </w:pPr>
            <w:r>
              <w:rPr>
                <w:rFonts w:ascii="Segoe UI Emoji" w:eastAsia="Times New Roman" w:hAnsi="Segoe UI Emoji" w:cs="Segoe UI Emoji"/>
                <w:sz w:val="20"/>
                <w:szCs w:val="20"/>
              </w:rPr>
              <w:t>☑</w:t>
            </w:r>
          </w:p>
        </w:tc>
        <w:tc>
          <w:tcPr>
            <w:tcW w:w="850" w:type="pct"/>
            <w:vAlign w:val="center"/>
            <w:hideMark/>
          </w:tcPr>
          <w:p w:rsidR="00000000" w:rsidRDefault="001D2166">
            <w:pPr>
              <w:rPr>
                <w:rFonts w:eastAsia="Times New Roman"/>
                <w:sz w:val="20"/>
                <w:szCs w:val="20"/>
              </w:rPr>
            </w:pPr>
            <w:r>
              <w:rPr>
                <w:rFonts w:eastAsia="Times New Roman"/>
                <w:sz w:val="20"/>
                <w:szCs w:val="20"/>
              </w:rPr>
              <w:t>Accelerated filer</w:t>
            </w:r>
          </w:p>
        </w:tc>
        <w:tc>
          <w:tcPr>
            <w:tcW w:w="850" w:type="pct"/>
            <w:vAlign w:val="center"/>
            <w:hideMark/>
          </w:tcPr>
          <w:p w:rsidR="00000000" w:rsidRDefault="001D2166">
            <w:pPr>
              <w:rPr>
                <w:rFonts w:eastAsia="Times New Roman"/>
                <w:sz w:val="20"/>
                <w:szCs w:val="20"/>
              </w:rPr>
            </w:pPr>
            <w:r>
              <w:rPr>
                <w:rFonts w:ascii="Segoe UI Symbol" w:eastAsia="Times New Roman" w:hAnsi="Segoe UI Symbol" w:cs="Segoe UI Symbol"/>
                <w:sz w:val="20"/>
                <w:szCs w:val="20"/>
              </w:rPr>
              <w:t>☐</w:t>
            </w:r>
          </w:p>
        </w:tc>
        <w:tc>
          <w:tcPr>
            <w:tcW w:w="35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397633548"/>
          <w:tblCellSpacing w:w="0" w:type="dxa"/>
        </w:trPr>
        <w:tc>
          <w:tcPr>
            <w:tcW w:w="850" w:type="pct"/>
            <w:vAlign w:val="center"/>
            <w:hideMark/>
          </w:tcPr>
          <w:p w:rsidR="00000000" w:rsidRDefault="001D2166">
            <w:pPr>
              <w:rPr>
                <w:rFonts w:eastAsia="Times New Roman"/>
                <w:sz w:val="20"/>
                <w:szCs w:val="20"/>
              </w:rPr>
            </w:pPr>
            <w:r>
              <w:rPr>
                <w:rFonts w:eastAsia="Times New Roman"/>
                <w:sz w:val="20"/>
                <w:szCs w:val="20"/>
              </w:rPr>
              <w:t> </w:t>
            </w:r>
          </w:p>
        </w:tc>
        <w:tc>
          <w:tcPr>
            <w:tcW w:w="850" w:type="pct"/>
            <w:vAlign w:val="center"/>
            <w:hideMark/>
          </w:tcPr>
          <w:p w:rsidR="00000000" w:rsidRDefault="001D2166">
            <w:pPr>
              <w:rPr>
                <w:rFonts w:eastAsia="Times New Roman"/>
                <w:sz w:val="20"/>
                <w:szCs w:val="20"/>
              </w:rPr>
            </w:pPr>
            <w:r>
              <w:rPr>
                <w:rFonts w:eastAsia="Times New Roman"/>
                <w:sz w:val="20"/>
                <w:szCs w:val="20"/>
              </w:rPr>
              <w:t>Non-accelerated filer</w:t>
            </w:r>
          </w:p>
        </w:tc>
        <w:tc>
          <w:tcPr>
            <w:tcW w:w="1250" w:type="pct"/>
            <w:vAlign w:val="center"/>
            <w:hideMark/>
          </w:tcPr>
          <w:p w:rsidR="00000000" w:rsidRDefault="001D2166">
            <w:pPr>
              <w:rPr>
                <w:rFonts w:eastAsia="Times New Roman"/>
                <w:sz w:val="20"/>
                <w:szCs w:val="20"/>
              </w:rPr>
            </w:pPr>
            <w:r>
              <w:rPr>
                <w:rFonts w:ascii="Segoe UI Symbol" w:eastAsia="Times New Roman" w:hAnsi="Segoe UI Symbol" w:cs="Segoe UI Symbol"/>
                <w:sz w:val="20"/>
                <w:szCs w:val="20"/>
              </w:rPr>
              <w:t>☐</w:t>
            </w:r>
          </w:p>
        </w:tc>
        <w:tc>
          <w:tcPr>
            <w:tcW w:w="850" w:type="pct"/>
            <w:vAlign w:val="center"/>
            <w:hideMark/>
          </w:tcPr>
          <w:p w:rsidR="00000000" w:rsidRDefault="001D2166">
            <w:pPr>
              <w:rPr>
                <w:rFonts w:eastAsia="Times New Roman"/>
                <w:sz w:val="20"/>
                <w:szCs w:val="20"/>
              </w:rPr>
            </w:pPr>
            <w:r>
              <w:rPr>
                <w:rFonts w:eastAsia="Times New Roman"/>
                <w:sz w:val="20"/>
                <w:szCs w:val="20"/>
              </w:rPr>
              <w:t>Smaller reporting company</w:t>
            </w:r>
          </w:p>
        </w:tc>
        <w:tc>
          <w:tcPr>
            <w:tcW w:w="850" w:type="pct"/>
            <w:vAlign w:val="center"/>
            <w:hideMark/>
          </w:tcPr>
          <w:p w:rsidR="00000000" w:rsidRDefault="001D2166">
            <w:pPr>
              <w:rPr>
                <w:rFonts w:eastAsia="Times New Roman"/>
                <w:sz w:val="20"/>
                <w:szCs w:val="20"/>
              </w:rPr>
            </w:pPr>
            <w:r>
              <w:rPr>
                <w:rFonts w:ascii="Segoe UI Symbol" w:eastAsia="Times New Roman" w:hAnsi="Segoe UI Symbol" w:cs="Segoe UI Symbol"/>
                <w:sz w:val="20"/>
                <w:szCs w:val="20"/>
              </w:rPr>
              <w:t>☐</w:t>
            </w:r>
          </w:p>
        </w:tc>
        <w:tc>
          <w:tcPr>
            <w:tcW w:w="35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397633548"/>
          <w:tblCellSpacing w:w="0" w:type="dxa"/>
        </w:trPr>
        <w:tc>
          <w:tcPr>
            <w:tcW w:w="850" w:type="pct"/>
            <w:vAlign w:val="center"/>
            <w:hideMark/>
          </w:tcPr>
          <w:p w:rsidR="00000000" w:rsidRDefault="001D2166">
            <w:pPr>
              <w:rPr>
                <w:rFonts w:eastAsia="Times New Roman"/>
                <w:sz w:val="20"/>
                <w:szCs w:val="20"/>
              </w:rPr>
            </w:pPr>
            <w:r>
              <w:rPr>
                <w:rFonts w:eastAsia="Times New Roman"/>
                <w:sz w:val="20"/>
                <w:szCs w:val="20"/>
              </w:rPr>
              <w:t> </w:t>
            </w:r>
          </w:p>
        </w:tc>
        <w:tc>
          <w:tcPr>
            <w:tcW w:w="850" w:type="pct"/>
            <w:vAlign w:val="center"/>
            <w:hideMark/>
          </w:tcPr>
          <w:p w:rsidR="00000000" w:rsidRDefault="001D2166">
            <w:pPr>
              <w:rPr>
                <w:rFonts w:eastAsia="Times New Roman"/>
                <w:sz w:val="20"/>
                <w:szCs w:val="20"/>
              </w:rPr>
            </w:pPr>
            <w:r>
              <w:rPr>
                <w:rFonts w:eastAsia="Times New Roman"/>
                <w:sz w:val="20"/>
                <w:szCs w:val="20"/>
              </w:rPr>
              <w:t>Emerging growth company</w:t>
            </w:r>
          </w:p>
        </w:tc>
        <w:tc>
          <w:tcPr>
            <w:tcW w:w="1250" w:type="pct"/>
            <w:vAlign w:val="center"/>
            <w:hideMark/>
          </w:tcPr>
          <w:p w:rsidR="00000000" w:rsidRDefault="001D2166">
            <w:pPr>
              <w:rPr>
                <w:rFonts w:eastAsia="Times New Roman"/>
                <w:sz w:val="20"/>
                <w:szCs w:val="20"/>
              </w:rPr>
            </w:pPr>
            <w:r>
              <w:rPr>
                <w:rFonts w:ascii="Segoe UI Symbol" w:eastAsia="Times New Roman" w:hAnsi="Segoe UI Symbol" w:cs="Segoe UI Symbol"/>
                <w:sz w:val="20"/>
                <w:szCs w:val="20"/>
              </w:rPr>
              <w:t>☐</w:t>
            </w:r>
          </w:p>
        </w:tc>
        <w:tc>
          <w:tcPr>
            <w:tcW w:w="850" w:type="pct"/>
            <w:vAlign w:val="center"/>
            <w:hideMark/>
          </w:tcPr>
          <w:p w:rsidR="00000000" w:rsidRDefault="001D2166">
            <w:pPr>
              <w:rPr>
                <w:rFonts w:eastAsia="Times New Roman"/>
                <w:sz w:val="20"/>
                <w:szCs w:val="20"/>
              </w:rPr>
            </w:pPr>
            <w:r>
              <w:rPr>
                <w:rFonts w:eastAsia="Times New Roman"/>
                <w:sz w:val="20"/>
                <w:szCs w:val="20"/>
              </w:rPr>
              <w:t> </w:t>
            </w:r>
          </w:p>
        </w:tc>
        <w:tc>
          <w:tcPr>
            <w:tcW w:w="850" w:type="pct"/>
            <w:vAlign w:val="center"/>
            <w:hideMark/>
          </w:tcPr>
          <w:p w:rsidR="00000000" w:rsidRDefault="001D2166">
            <w:pPr>
              <w:rPr>
                <w:rFonts w:eastAsia="Times New Roman"/>
                <w:sz w:val="20"/>
                <w:szCs w:val="20"/>
              </w:rPr>
            </w:pPr>
            <w:r>
              <w:rPr>
                <w:rFonts w:eastAsia="Times New Roman"/>
                <w:sz w:val="20"/>
                <w:szCs w:val="20"/>
              </w:rPr>
              <w:t> </w:t>
            </w:r>
          </w:p>
        </w:tc>
        <w:tc>
          <w:tcPr>
            <w:tcW w:w="350" w:type="pct"/>
            <w:vAlign w:val="center"/>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jc w:val="center"/>
        <w:divId w:val="1349138797"/>
        <w:rPr>
          <w:rFonts w:eastAsia="Times New Roman"/>
          <w:sz w:val="20"/>
          <w:szCs w:val="20"/>
        </w:rPr>
      </w:pPr>
      <w:r>
        <w:rPr>
          <w:rFonts w:eastAsia="Times New Roman"/>
          <w:sz w:val="20"/>
          <w:szCs w:val="20"/>
        </w:rPr>
        <w:t> </w:t>
      </w:r>
      <w:r>
        <w:rPr>
          <w:rFonts w:eastAsia="Times New Roman"/>
          <w:sz w:val="20"/>
          <w:szCs w:val="20"/>
        </w:rPr>
        <w:t xml:space="preserve"> </w:t>
      </w:r>
    </w:p>
    <w:p w:rsidR="00000000" w:rsidRDefault="001D2166">
      <w:pPr>
        <w:divId w:val="991174390"/>
        <w:rPr>
          <w:rFonts w:eastAsia="Times New Roman"/>
          <w:sz w:val="20"/>
          <w:szCs w:val="20"/>
        </w:rPr>
      </w:pPr>
      <w:r>
        <w:rPr>
          <w:rFonts w:eastAsia="Times New Roman"/>
          <w:sz w:val="20"/>
          <w:szCs w:val="20"/>
        </w:rPr>
        <w:pict>
          <v:rect id="_x0000_i1027" style="width:415.3pt;height:1.5pt" o:hralign="center" o:hrstd="t" o:hrnoshade="t" o:hr="t" fillcolor="black" stroked="f"/>
        </w:pict>
      </w:r>
    </w:p>
    <w:p w:rsidR="00000000" w:rsidRDefault="001D2166">
      <w:pPr>
        <w:divId w:val="8932001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 xml:space="preserve">Indicate by check mark whether the registrant has filed a report </w:t>
      </w:r>
      <w:r>
        <w:rPr>
          <w:sz w:val="20"/>
          <w:szCs w:val="20"/>
        </w:rPr>
        <w:t xml:space="preserve">on and attestation to its management’s assessment of the effectiveness of its internal control over financial reporting under Section 404(b) of the Sarbanes-Oxley Act (15 U.S.C. 7262(b)) by the registered public accounting firm that prepared or issued its </w:t>
      </w:r>
      <w:r>
        <w:rPr>
          <w:sz w:val="20"/>
          <w:szCs w:val="20"/>
        </w:rPr>
        <w:t xml:space="preserve">audit report. </w:t>
      </w:r>
      <w:r>
        <w:rPr>
          <w:rFonts w:ascii="Segoe UI Emoji" w:hAnsi="Segoe UI Emoji" w:cs="Segoe UI Emoji"/>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The aggregate market value of the voting and non-voting common equity held by non-affiliates of the registrant was approx</w:t>
      </w:r>
      <w:r>
        <w:rPr>
          <w:sz w:val="20"/>
          <w:szCs w:val="20"/>
        </w:rPr>
        <w:t>imately $8.8 billion based upon the closing price on the New York Stock Exchange for such equity on June 30, 2021.</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sz w:val="20"/>
          <w:szCs w:val="20"/>
        </w:rPr>
        <w:t>(APPLICABLE ONLY TO CORPORATE REGISTRANTS)</w:t>
      </w:r>
    </w:p>
    <w:p w:rsidR="00000000" w:rsidRDefault="001D2166">
      <w:pPr>
        <w:pStyle w:val="a3"/>
        <w:spacing w:before="0" w:beforeAutospacing="0" w:after="0" w:afterAutospacing="0"/>
        <w:divId w:val="397633548"/>
        <w:rPr>
          <w:sz w:val="20"/>
          <w:szCs w:val="20"/>
        </w:rPr>
      </w:pPr>
      <w:r>
        <w:rPr>
          <w:sz w:val="20"/>
          <w:szCs w:val="20"/>
        </w:rPr>
        <w:t>Indicate the number of shares outstanding of each of the registrant's classes of common stock, a</w:t>
      </w:r>
      <w:r>
        <w:rPr>
          <w:sz w:val="20"/>
          <w:szCs w:val="20"/>
        </w:rPr>
        <w:t>s of the latest practicable date.</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sz w:val="20"/>
          <w:szCs w:val="20"/>
        </w:rPr>
        <w:t>As of February 10, 2022, the registrant had 616,719,061 shares of common stock outstanding.</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jc w:val="center"/>
        <w:divId w:val="397633548"/>
        <w:rPr>
          <w:sz w:val="20"/>
          <w:szCs w:val="20"/>
        </w:rPr>
      </w:pPr>
      <w:r>
        <w:rPr>
          <w:sz w:val="20"/>
          <w:szCs w:val="20"/>
        </w:rPr>
        <w:t>DOCUMENTS INCORPORATED BY REFERENCE</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r>
        <w:rPr>
          <w:sz w:val="20"/>
          <w:szCs w:val="20"/>
        </w:rPr>
        <w:t>Part III incorporates certain information by reference to the Registrant's definitive pr</w:t>
      </w:r>
      <w:r>
        <w:rPr>
          <w:sz w:val="20"/>
          <w:szCs w:val="20"/>
        </w:rPr>
        <w:t>oxy statement to be filed with respect to the Annual Meeting of Stockholders expected to be held on April 26, 2022.</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pStyle w:val="a3"/>
        <w:spacing w:before="0" w:beforeAutospacing="0" w:after="0" w:afterAutospacing="0"/>
        <w:divId w:val="397633548"/>
        <w:rPr>
          <w:sz w:val="20"/>
          <w:szCs w:val="20"/>
        </w:rPr>
      </w:pPr>
      <w:hyperlink w:anchor="index_exhibits" w:history="1">
        <w:r>
          <w:rPr>
            <w:rStyle w:val="a4"/>
            <w:sz w:val="20"/>
            <w:szCs w:val="20"/>
          </w:rPr>
          <w:t>Index to Exhibits begins on page 45</w:t>
        </w:r>
      </w:hyperlink>
      <w:r>
        <w:rPr>
          <w:sz w:val="20"/>
          <w:szCs w:val="20"/>
        </w:rPr>
        <w:t>.</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spacing w:before="60" w:after="60"/>
        <w:divId w:val="397633548"/>
        <w:rPr>
          <w:rFonts w:eastAsia="Times New Roman"/>
          <w:sz w:val="20"/>
          <w:szCs w:val="20"/>
        </w:rPr>
      </w:pPr>
      <w:r>
        <w:rPr>
          <w:rFonts w:eastAsia="Times New Roman"/>
          <w:sz w:val="20"/>
          <w:szCs w:val="20"/>
        </w:rPr>
        <w:pict>
          <v:rect id="_x0000_i1028" style="width:415.3pt;height:.75pt" o:hralign="center" o:hrstd="t" o:hrnoshade="t" o:hr="t" fillcolor="black" stroked="f"/>
        </w:pict>
      </w:r>
    </w:p>
    <w:p w:rsidR="00000000" w:rsidRDefault="001D2166">
      <w:pPr>
        <w:spacing w:after="60"/>
        <w:divId w:val="397633548"/>
        <w:rPr>
          <w:rFonts w:eastAsia="Times New Roman"/>
          <w:sz w:val="20"/>
          <w:szCs w:val="20"/>
        </w:rPr>
      </w:pPr>
      <w:r>
        <w:rPr>
          <w:rFonts w:eastAsia="Times New Roman"/>
          <w:sz w:val="20"/>
          <w:szCs w:val="20"/>
        </w:rPr>
        <w:lastRenderedPageBreak/>
        <w:pict>
          <v:rect id="_x0000_i1029" style="width:415.3pt;height:2.25pt" o:hralign="center" o:hrstd="t" o:hrnoshade="t" o:hr="t" fillcolor="black" stroked="f"/>
        </w:pic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jc w:val="center"/>
        <w:divId w:val="1180894108"/>
        <w:rPr>
          <w:rFonts w:eastAsia="Times New Roman"/>
          <w:sz w:val="20"/>
          <w:szCs w:val="20"/>
        </w:rPr>
      </w:pPr>
      <w:r>
        <w:rPr>
          <w:rFonts w:eastAsia="Times New Roman"/>
          <w:sz w:val="20"/>
          <w:szCs w:val="20"/>
        </w:rPr>
        <w:t xml:space="preserve">  </w:t>
      </w:r>
    </w:p>
    <w:p w:rsidR="00000000" w:rsidRDefault="001D2166">
      <w:pPr>
        <w:divId w:val="2087652877"/>
        <w:rPr>
          <w:rFonts w:eastAsia="Times New Roman"/>
          <w:sz w:val="20"/>
          <w:szCs w:val="20"/>
        </w:rPr>
      </w:pPr>
      <w:r>
        <w:rPr>
          <w:rFonts w:eastAsia="Times New Roman"/>
          <w:sz w:val="20"/>
          <w:szCs w:val="20"/>
        </w:rPr>
        <w:pict>
          <v:rect id="_x0000_i1030" style="width:415.3pt;height:1.5pt" o:hralign="center" o:hrstd="t" o:hrnoshade="t" o:hr="t" fillcolor="black" stroked="f"/>
        </w:pict>
      </w:r>
    </w:p>
    <w:p w:rsidR="00000000" w:rsidRDefault="001D2166">
      <w:pPr>
        <w:divId w:val="19624929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divId w:val="397633548"/>
        <w:rPr>
          <w:sz w:val="20"/>
          <w:szCs w:val="20"/>
        </w:rPr>
      </w:pPr>
      <w:r>
        <w:rPr>
          <w:sz w:val="20"/>
          <w:szCs w:val="20"/>
        </w:rPr>
        <w:t> </w:t>
      </w:r>
    </w:p>
    <w:p w:rsidR="00000000" w:rsidRDefault="001D2166">
      <w:pPr>
        <w:divId w:val="1291589140"/>
        <w:rPr>
          <w:rFonts w:eastAsia="Times New Roman"/>
          <w:sz w:val="20"/>
          <w:szCs w:val="20"/>
        </w:rPr>
      </w:pPr>
      <w:r>
        <w:rPr>
          <w:rFonts w:eastAsia="Times New Roman"/>
          <w:sz w:val="20"/>
          <w:szCs w:val="20"/>
        </w:rPr>
        <w:t xml:space="preserve">  </w:t>
      </w:r>
    </w:p>
    <w:p w:rsidR="00000000" w:rsidRDefault="001D2166">
      <w:pPr>
        <w:divId w:val="482550484"/>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divId w:val="675302252"/>
        <w:rPr>
          <w:sz w:val="20"/>
          <w:szCs w:val="20"/>
        </w:rPr>
      </w:pPr>
      <w:r>
        <w:rPr>
          <w:sz w:val="20"/>
          <w:szCs w:val="20"/>
        </w:rPr>
        <w:t> </w:t>
      </w:r>
    </w:p>
    <w:p w:rsidR="00000000" w:rsidRDefault="001D2166">
      <w:pPr>
        <w:pStyle w:val="a3"/>
        <w:spacing w:before="0" w:beforeAutospacing="0" w:after="0" w:afterAutospacing="0"/>
        <w:jc w:val="center"/>
        <w:divId w:val="675302252"/>
        <w:rPr>
          <w:sz w:val="20"/>
          <w:szCs w:val="20"/>
        </w:rPr>
      </w:pPr>
      <w:r>
        <w:rPr>
          <w:sz w:val="20"/>
          <w:szCs w:val="20"/>
        </w:rPr>
        <w:t>TABLE OF CONTENTS</w:t>
      </w:r>
    </w:p>
    <w:p w:rsidR="00000000" w:rsidRDefault="001D2166">
      <w:pPr>
        <w:pStyle w:val="a3"/>
        <w:spacing w:before="0" w:beforeAutospacing="0" w:after="0" w:afterAutospacing="0"/>
        <w:divId w:val="67530225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75"/>
        <w:gridCol w:w="831"/>
      </w:tblGrid>
      <w:tr w:rsidR="00000000">
        <w:trPr>
          <w:divId w:val="675302252"/>
          <w:tblCellSpacing w:w="0" w:type="dxa"/>
        </w:trPr>
        <w:tc>
          <w:tcPr>
            <w:tcW w:w="4500" w:type="pct"/>
            <w:vAlign w:val="bottom"/>
            <w:hideMark/>
          </w:tcPr>
          <w:p w:rsidR="00000000" w:rsidRDefault="001D2166">
            <w:pPr>
              <w:rPr>
                <w:rFonts w:eastAsia="Times New Roman"/>
                <w:sz w:val="20"/>
                <w:szCs w:val="20"/>
              </w:rPr>
            </w:pPr>
            <w:r>
              <w:rPr>
                <w:rFonts w:eastAsia="Times New Roman"/>
                <w:sz w:val="20"/>
                <w:szCs w:val="20"/>
                <w:u w:val="single"/>
              </w:rPr>
              <w:t>Item No</w:t>
            </w:r>
            <w:r>
              <w:rPr>
                <w:rFonts w:eastAsia="Times New Roman"/>
                <w:sz w:val="20"/>
                <w:szCs w:val="20"/>
              </w:rPr>
              <w:t>.</w:t>
            </w:r>
          </w:p>
        </w:tc>
        <w:tc>
          <w:tcPr>
            <w:tcW w:w="500" w:type="pct"/>
            <w:vAlign w:val="center"/>
            <w:hideMark/>
          </w:tcPr>
          <w:p w:rsidR="00000000" w:rsidRDefault="001D2166">
            <w:pPr>
              <w:jc w:val="center"/>
              <w:rPr>
                <w:rFonts w:eastAsia="Times New Roman"/>
                <w:sz w:val="20"/>
                <w:szCs w:val="20"/>
              </w:rPr>
            </w:pPr>
            <w:r>
              <w:rPr>
                <w:rFonts w:eastAsia="Times New Roman"/>
                <w:sz w:val="20"/>
                <w:szCs w:val="20"/>
              </w:rPr>
              <w:t>Form 10-K</w:t>
            </w:r>
            <w:r>
              <w:rPr>
                <w:rFonts w:eastAsia="Times New Roman"/>
                <w:sz w:val="20"/>
                <w:szCs w:val="20"/>
              </w:rPr>
              <w:br/>
            </w:r>
            <w:r>
              <w:rPr>
                <w:rFonts w:eastAsia="Times New Roman"/>
                <w:sz w:val="20"/>
                <w:szCs w:val="20"/>
                <w:u w:val="single"/>
              </w:rPr>
              <w:t>Report Page</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jc w:val="right"/>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pone" w:history="1">
              <w:r>
                <w:rPr>
                  <w:rStyle w:val="a4"/>
                  <w:rFonts w:eastAsia="Times New Roman"/>
                  <w:sz w:val="20"/>
                  <w:szCs w:val="20"/>
                </w:rPr>
                <w:t>PART I</w:t>
              </w:r>
            </w:hyperlink>
          </w:p>
        </w:tc>
        <w:tc>
          <w:tcPr>
            <w:tcW w:w="500" w:type="pct"/>
            <w:vAlign w:val="center"/>
            <w:hideMark/>
          </w:tcPr>
          <w:p w:rsidR="00000000" w:rsidRDefault="001D2166">
            <w:pPr>
              <w:jc w:val="right"/>
              <w:rPr>
                <w:rFonts w:eastAsia="Times New Roman"/>
                <w:sz w:val="20"/>
                <w:szCs w:val="20"/>
              </w:rPr>
            </w:pPr>
            <w:hyperlink w:anchor="pone" w:history="1">
              <w:r>
                <w:rPr>
                  <w:rStyle w:val="a4"/>
                  <w:rFonts w:eastAsia="Times New Roman"/>
                  <w:sz w:val="20"/>
                  <w:szCs w:val="20"/>
                </w:rPr>
                <w:t>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biz" w:history="1">
              <w:r>
                <w:rPr>
                  <w:rStyle w:val="a4"/>
                  <w:rFonts w:eastAsia="Times New Roman"/>
                  <w:sz w:val="20"/>
                  <w:szCs w:val="20"/>
                </w:rPr>
                <w:t>Item 1. Business</w:t>
              </w:r>
            </w:hyperlink>
          </w:p>
        </w:tc>
        <w:tc>
          <w:tcPr>
            <w:tcW w:w="500" w:type="pct"/>
            <w:vAlign w:val="center"/>
            <w:hideMark/>
          </w:tcPr>
          <w:p w:rsidR="00000000" w:rsidRDefault="001D2166">
            <w:pPr>
              <w:jc w:val="right"/>
              <w:rPr>
                <w:rFonts w:eastAsia="Times New Roman"/>
                <w:sz w:val="20"/>
                <w:szCs w:val="20"/>
              </w:rPr>
            </w:pPr>
            <w:hyperlink w:anchor="biz" w:history="1">
              <w:r>
                <w:rPr>
                  <w:rStyle w:val="a4"/>
                  <w:rFonts w:eastAsia="Times New Roman"/>
                  <w:sz w:val="20"/>
                  <w:szCs w:val="20"/>
                </w:rPr>
                <w:t>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risk" w:history="1">
              <w:r>
                <w:rPr>
                  <w:rStyle w:val="a4"/>
                  <w:rFonts w:eastAsia="Times New Roman"/>
                  <w:sz w:val="20"/>
                  <w:szCs w:val="20"/>
                </w:rPr>
                <w:t>Item 1A. Risk Factors</w:t>
              </w:r>
            </w:hyperlink>
          </w:p>
        </w:tc>
        <w:tc>
          <w:tcPr>
            <w:tcW w:w="500" w:type="pct"/>
            <w:vAlign w:val="center"/>
            <w:hideMark/>
          </w:tcPr>
          <w:p w:rsidR="00000000" w:rsidRDefault="001D2166">
            <w:pPr>
              <w:jc w:val="right"/>
              <w:rPr>
                <w:rFonts w:eastAsia="Times New Roman"/>
                <w:sz w:val="20"/>
                <w:szCs w:val="20"/>
              </w:rPr>
            </w:pPr>
            <w:hyperlink w:anchor="risk" w:history="1">
              <w:r>
                <w:rPr>
                  <w:rStyle w:val="a4"/>
                  <w:rFonts w:eastAsia="Times New Roman"/>
                  <w:sz w:val="20"/>
                  <w:szCs w:val="20"/>
                </w:rPr>
                <w:t>10</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unres" w:history="1">
              <w:r>
                <w:rPr>
                  <w:rStyle w:val="a4"/>
                  <w:rFonts w:eastAsia="Times New Roman"/>
                  <w:sz w:val="20"/>
                  <w:szCs w:val="20"/>
                </w:rPr>
                <w:t>Item 1B. Unresolved Staff Comments</w:t>
              </w:r>
            </w:hyperlink>
          </w:p>
        </w:tc>
        <w:tc>
          <w:tcPr>
            <w:tcW w:w="500" w:type="pct"/>
            <w:vAlign w:val="center"/>
            <w:hideMark/>
          </w:tcPr>
          <w:p w:rsidR="00000000" w:rsidRDefault="001D2166">
            <w:pPr>
              <w:jc w:val="right"/>
              <w:rPr>
                <w:rFonts w:eastAsia="Times New Roman"/>
                <w:sz w:val="20"/>
                <w:szCs w:val="20"/>
              </w:rPr>
            </w:pPr>
            <w:hyperlink w:anchor="unres" w:history="1">
              <w:r>
                <w:rPr>
                  <w:rStyle w:val="a4"/>
                  <w:rFonts w:eastAsia="Times New Roman"/>
                  <w:sz w:val="20"/>
                  <w:szCs w:val="20"/>
                </w:rPr>
                <w:t>20</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props" w:history="1">
              <w:r>
                <w:rPr>
                  <w:rStyle w:val="a4"/>
                  <w:rFonts w:eastAsia="Times New Roman"/>
                  <w:sz w:val="20"/>
                  <w:szCs w:val="20"/>
                </w:rPr>
                <w:t>Item 2. Properties</w:t>
              </w:r>
            </w:hyperlink>
          </w:p>
        </w:tc>
        <w:tc>
          <w:tcPr>
            <w:tcW w:w="500" w:type="pct"/>
            <w:vAlign w:val="center"/>
            <w:hideMark/>
          </w:tcPr>
          <w:p w:rsidR="00000000" w:rsidRDefault="001D2166">
            <w:pPr>
              <w:jc w:val="right"/>
              <w:rPr>
                <w:rFonts w:eastAsia="Times New Roman"/>
                <w:sz w:val="20"/>
                <w:szCs w:val="20"/>
              </w:rPr>
            </w:pPr>
            <w:hyperlink w:anchor="props" w:history="1">
              <w:r>
                <w:rPr>
                  <w:rStyle w:val="a4"/>
                  <w:rFonts w:eastAsia="Times New Roman"/>
                  <w:sz w:val="20"/>
                  <w:szCs w:val="20"/>
                </w:rPr>
                <w:t>20</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legal" w:history="1">
              <w:r>
                <w:rPr>
                  <w:rStyle w:val="a4"/>
                  <w:rFonts w:eastAsia="Times New Roman"/>
                  <w:sz w:val="20"/>
                  <w:szCs w:val="20"/>
                </w:rPr>
                <w:t>Item 3. Legal Proceedings</w:t>
              </w:r>
            </w:hyperlink>
          </w:p>
        </w:tc>
        <w:tc>
          <w:tcPr>
            <w:tcW w:w="500" w:type="pct"/>
            <w:vAlign w:val="center"/>
            <w:hideMark/>
          </w:tcPr>
          <w:p w:rsidR="00000000" w:rsidRDefault="001D2166">
            <w:pPr>
              <w:jc w:val="right"/>
              <w:rPr>
                <w:rFonts w:eastAsia="Times New Roman"/>
                <w:sz w:val="20"/>
                <w:szCs w:val="20"/>
              </w:rPr>
            </w:pPr>
            <w:hyperlink w:anchor="legal" w:history="1">
              <w:r>
                <w:rPr>
                  <w:rStyle w:val="a4"/>
                  <w:rFonts w:eastAsia="Times New Roman"/>
                  <w:sz w:val="20"/>
                  <w:szCs w:val="20"/>
                </w:rPr>
                <w:t>22</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mine" w:history="1">
              <w:r>
                <w:rPr>
                  <w:rStyle w:val="a4"/>
                  <w:rFonts w:eastAsia="Times New Roman"/>
                  <w:sz w:val="20"/>
                  <w:szCs w:val="20"/>
                </w:rPr>
                <w:t>Item 4. Mine Safety Disclosures</w:t>
              </w:r>
            </w:hyperlink>
          </w:p>
        </w:tc>
        <w:tc>
          <w:tcPr>
            <w:tcW w:w="500" w:type="pct"/>
            <w:vAlign w:val="center"/>
            <w:hideMark/>
          </w:tcPr>
          <w:p w:rsidR="00000000" w:rsidRDefault="001D2166">
            <w:pPr>
              <w:jc w:val="right"/>
              <w:rPr>
                <w:rFonts w:eastAsia="Times New Roman"/>
                <w:sz w:val="20"/>
                <w:szCs w:val="20"/>
              </w:rPr>
            </w:pPr>
            <w:hyperlink w:anchor="mine" w:history="1">
              <w:r>
                <w:rPr>
                  <w:rStyle w:val="a4"/>
                  <w:rFonts w:eastAsia="Times New Roman"/>
                  <w:sz w:val="20"/>
                  <w:szCs w:val="20"/>
                </w:rPr>
                <w:t>22</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ptwo" w:history="1">
              <w:r>
                <w:rPr>
                  <w:rStyle w:val="a4"/>
                  <w:rFonts w:eastAsia="Times New Roman"/>
                  <w:sz w:val="20"/>
                  <w:szCs w:val="20"/>
                </w:rPr>
                <w:t>PART II</w:t>
              </w:r>
            </w:hyperlink>
          </w:p>
        </w:tc>
        <w:tc>
          <w:tcPr>
            <w:tcW w:w="500" w:type="pct"/>
            <w:vAlign w:val="center"/>
            <w:hideMark/>
          </w:tcPr>
          <w:p w:rsidR="00000000" w:rsidRDefault="001D2166">
            <w:pPr>
              <w:jc w:val="right"/>
              <w:rPr>
                <w:rFonts w:eastAsia="Times New Roman"/>
                <w:sz w:val="20"/>
                <w:szCs w:val="20"/>
              </w:rPr>
            </w:pPr>
            <w:hyperlink w:anchor="ptwo" w:history="1">
              <w:r>
                <w:rPr>
                  <w:rStyle w:val="a4"/>
                  <w:rFonts w:eastAsia="Times New Roman"/>
                  <w:sz w:val="20"/>
                  <w:szCs w:val="20"/>
                </w:rPr>
                <w:t>23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mrkt" w:history="1">
              <w:r>
                <w:rPr>
                  <w:rStyle w:val="a4"/>
                  <w:rFonts w:eastAsia="Times New Roman"/>
                  <w:sz w:val="20"/>
                  <w:szCs w:val="20"/>
                </w:rPr>
                <w:t>Item 5. Market for the Registrant's Common Equity, Related Stockholder Matters and Issuer Purchases of Equity Securities</w:t>
              </w:r>
            </w:hyperlink>
          </w:p>
        </w:tc>
        <w:tc>
          <w:tcPr>
            <w:tcW w:w="500" w:type="pct"/>
            <w:vAlign w:val="center"/>
            <w:hideMark/>
          </w:tcPr>
          <w:p w:rsidR="00000000" w:rsidRDefault="001D2166">
            <w:pPr>
              <w:jc w:val="right"/>
              <w:rPr>
                <w:rFonts w:eastAsia="Times New Roman"/>
                <w:sz w:val="20"/>
                <w:szCs w:val="20"/>
              </w:rPr>
            </w:pPr>
            <w:hyperlink w:anchor="mrkt" w:history="1">
              <w:r>
                <w:rPr>
                  <w:rStyle w:val="a4"/>
                  <w:rFonts w:eastAsia="Times New Roman"/>
                  <w:sz w:val="20"/>
                  <w:szCs w:val="20"/>
                </w:rPr>
                <w:t>23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res" w:history="1">
              <w:r>
                <w:rPr>
                  <w:rStyle w:val="a4"/>
                  <w:rFonts w:eastAsia="Times New Roman"/>
                  <w:sz w:val="20"/>
                  <w:szCs w:val="20"/>
                </w:rPr>
                <w:t>Item 6. Reserved</w:t>
              </w:r>
            </w:hyperlink>
          </w:p>
        </w:tc>
        <w:tc>
          <w:tcPr>
            <w:tcW w:w="500" w:type="pct"/>
            <w:vAlign w:val="center"/>
            <w:hideMark/>
          </w:tcPr>
          <w:p w:rsidR="00000000" w:rsidRDefault="001D2166">
            <w:pPr>
              <w:jc w:val="right"/>
              <w:rPr>
                <w:rFonts w:eastAsia="Times New Roman"/>
                <w:sz w:val="20"/>
                <w:szCs w:val="20"/>
              </w:rPr>
            </w:pPr>
            <w:hyperlink w:anchor="res" w:history="1">
              <w:r>
                <w:rPr>
                  <w:rStyle w:val="a4"/>
                  <w:rFonts w:eastAsia="Times New Roman"/>
                  <w:sz w:val="20"/>
                  <w:szCs w:val="20"/>
                </w:rPr>
                <w:t>24</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mgmt" w:history="1">
              <w:r>
                <w:rPr>
                  <w:rStyle w:val="a4"/>
                  <w:rFonts w:eastAsia="Times New Roman"/>
                  <w:sz w:val="20"/>
                  <w:szCs w:val="20"/>
                </w:rPr>
                <w:t>Item 7. Management's Discussion and Analysis of Financial Condition and Results of Operations</w:t>
              </w:r>
            </w:hyperlink>
          </w:p>
        </w:tc>
        <w:tc>
          <w:tcPr>
            <w:tcW w:w="500" w:type="pct"/>
            <w:vAlign w:val="center"/>
            <w:hideMark/>
          </w:tcPr>
          <w:p w:rsidR="00000000" w:rsidRDefault="001D2166">
            <w:pPr>
              <w:jc w:val="right"/>
              <w:rPr>
                <w:rFonts w:eastAsia="Times New Roman"/>
                <w:sz w:val="20"/>
                <w:szCs w:val="20"/>
              </w:rPr>
            </w:pPr>
            <w:hyperlink w:anchor="mgmt" w:history="1">
              <w:r>
                <w:rPr>
                  <w:rStyle w:val="a4"/>
                  <w:rFonts w:eastAsia="Times New Roman"/>
                  <w:sz w:val="20"/>
                  <w:szCs w:val="20"/>
                </w:rPr>
                <w:t>25</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qual" w:history="1">
              <w:r>
                <w:rPr>
                  <w:rStyle w:val="a4"/>
                  <w:rFonts w:eastAsia="Times New Roman"/>
                  <w:sz w:val="20"/>
                  <w:szCs w:val="20"/>
                </w:rPr>
                <w:t>Item 7A. Quantitative and Qualitative Disclosures About Market Risk</w:t>
              </w:r>
            </w:hyperlink>
          </w:p>
        </w:tc>
        <w:tc>
          <w:tcPr>
            <w:tcW w:w="500" w:type="pct"/>
            <w:vAlign w:val="center"/>
            <w:hideMark/>
          </w:tcPr>
          <w:p w:rsidR="00000000" w:rsidRDefault="001D2166">
            <w:pPr>
              <w:jc w:val="right"/>
              <w:rPr>
                <w:rFonts w:eastAsia="Times New Roman"/>
                <w:sz w:val="20"/>
                <w:szCs w:val="20"/>
              </w:rPr>
            </w:pPr>
            <w:hyperlink w:anchor="qual" w:history="1">
              <w:r>
                <w:rPr>
                  <w:rStyle w:val="a4"/>
                  <w:rFonts w:eastAsia="Times New Roman"/>
                  <w:sz w:val="20"/>
                  <w:szCs w:val="20"/>
                </w:rPr>
                <w:t>41</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finstat" w:history="1">
              <w:r>
                <w:rPr>
                  <w:rStyle w:val="a4"/>
                  <w:rFonts w:eastAsia="Times New Roman"/>
                  <w:sz w:val="20"/>
                  <w:szCs w:val="20"/>
                </w:rPr>
                <w:t>Item 8. Financial Statements and Supplementary Data</w:t>
              </w:r>
            </w:hyperlink>
          </w:p>
        </w:tc>
        <w:tc>
          <w:tcPr>
            <w:tcW w:w="500" w:type="pct"/>
            <w:vAlign w:val="center"/>
            <w:hideMark/>
          </w:tcPr>
          <w:p w:rsidR="00000000" w:rsidRDefault="001D2166">
            <w:pPr>
              <w:jc w:val="right"/>
              <w:rPr>
                <w:rFonts w:eastAsia="Times New Roman"/>
                <w:sz w:val="20"/>
                <w:szCs w:val="20"/>
              </w:rPr>
            </w:pPr>
            <w:hyperlink w:anchor="finstat" w:history="1">
              <w:r>
                <w:rPr>
                  <w:rStyle w:val="a4"/>
                  <w:rFonts w:eastAsia="Times New Roman"/>
                  <w:sz w:val="20"/>
                  <w:szCs w:val="20"/>
                </w:rPr>
                <w:t>41</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change" w:history="1">
              <w:r>
                <w:rPr>
                  <w:rStyle w:val="a4"/>
                  <w:rFonts w:eastAsia="Times New Roman"/>
                  <w:sz w:val="20"/>
                  <w:szCs w:val="20"/>
                </w:rPr>
                <w:t>Item 9. Changes in and Disagreements With Accountants on Accounting and Financial Disclosure</w:t>
              </w:r>
            </w:hyperlink>
          </w:p>
        </w:tc>
        <w:tc>
          <w:tcPr>
            <w:tcW w:w="500" w:type="pct"/>
            <w:vAlign w:val="center"/>
            <w:hideMark/>
          </w:tcPr>
          <w:p w:rsidR="00000000" w:rsidRDefault="001D2166">
            <w:pPr>
              <w:jc w:val="right"/>
              <w:rPr>
                <w:rFonts w:eastAsia="Times New Roman"/>
                <w:sz w:val="20"/>
                <w:szCs w:val="20"/>
              </w:rPr>
            </w:pPr>
            <w:hyperlink w:anchor="change" w:history="1">
              <w:r>
                <w:rPr>
                  <w:rStyle w:val="a4"/>
                  <w:rFonts w:eastAsia="Times New Roman"/>
                  <w:sz w:val="20"/>
                  <w:szCs w:val="20"/>
                </w:rPr>
                <w:t>41</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conpro" w:history="1">
              <w:r>
                <w:rPr>
                  <w:rStyle w:val="a4"/>
                  <w:rFonts w:eastAsia="Times New Roman"/>
                  <w:sz w:val="20"/>
                  <w:szCs w:val="20"/>
                </w:rPr>
                <w:t>Item 9A. Controls and Procedures</w:t>
              </w:r>
            </w:hyperlink>
          </w:p>
        </w:tc>
        <w:tc>
          <w:tcPr>
            <w:tcW w:w="500" w:type="pct"/>
            <w:vAlign w:val="center"/>
            <w:hideMark/>
          </w:tcPr>
          <w:p w:rsidR="00000000" w:rsidRDefault="001D2166">
            <w:pPr>
              <w:jc w:val="right"/>
              <w:rPr>
                <w:rFonts w:eastAsia="Times New Roman"/>
                <w:sz w:val="20"/>
                <w:szCs w:val="20"/>
              </w:rPr>
            </w:pPr>
            <w:hyperlink w:anchor="conpro" w:history="1">
              <w:r>
                <w:rPr>
                  <w:rStyle w:val="a4"/>
                  <w:rFonts w:eastAsia="Times New Roman"/>
                  <w:sz w:val="20"/>
                  <w:szCs w:val="20"/>
                </w:rPr>
                <w:t>41</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conpro" w:history="1">
              <w:r>
                <w:rPr>
                  <w:rStyle w:val="a4"/>
                  <w:rFonts w:eastAsia="Times New Roman"/>
                  <w:sz w:val="20"/>
                  <w:szCs w:val="20"/>
                </w:rPr>
                <w:t>Item 9B. Other Information</w:t>
              </w:r>
            </w:hyperlink>
          </w:p>
        </w:tc>
        <w:tc>
          <w:tcPr>
            <w:tcW w:w="500" w:type="pct"/>
            <w:vAlign w:val="center"/>
            <w:hideMark/>
          </w:tcPr>
          <w:p w:rsidR="00000000" w:rsidRDefault="001D2166">
            <w:pPr>
              <w:jc w:val="right"/>
              <w:rPr>
                <w:rFonts w:eastAsia="Times New Roman"/>
                <w:sz w:val="20"/>
                <w:szCs w:val="20"/>
              </w:rPr>
            </w:pPr>
            <w:hyperlink w:anchor="other" w:history="1">
              <w:r>
                <w:rPr>
                  <w:rStyle w:val="a4"/>
                  <w:rFonts w:eastAsia="Times New Roman"/>
                  <w:sz w:val="20"/>
                  <w:szCs w:val="20"/>
                </w:rPr>
                <w:t>42</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disc" w:history="1">
              <w:r>
                <w:rPr>
                  <w:rStyle w:val="a4"/>
                  <w:rFonts w:eastAsia="Times New Roman"/>
                  <w:sz w:val="20"/>
                  <w:szCs w:val="20"/>
                </w:rPr>
                <w:t>Item 9C. Disclosure Regarding Foreign Jurisdictions that Prevent Inspections</w:t>
              </w:r>
            </w:hyperlink>
          </w:p>
        </w:tc>
        <w:tc>
          <w:tcPr>
            <w:tcW w:w="500" w:type="pct"/>
            <w:vAlign w:val="center"/>
            <w:hideMark/>
          </w:tcPr>
          <w:p w:rsidR="00000000" w:rsidRDefault="001D2166">
            <w:pPr>
              <w:jc w:val="right"/>
              <w:rPr>
                <w:rFonts w:eastAsia="Times New Roman"/>
                <w:sz w:val="20"/>
                <w:szCs w:val="20"/>
              </w:rPr>
            </w:pPr>
            <w:hyperlink w:anchor="disc" w:history="1">
              <w:r>
                <w:rPr>
                  <w:rStyle w:val="a4"/>
                  <w:rFonts w:eastAsia="Times New Roman"/>
                  <w:sz w:val="20"/>
                  <w:szCs w:val="20"/>
                </w:rPr>
                <w:t>42</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ptre" w:history="1">
              <w:r>
                <w:rPr>
                  <w:rStyle w:val="a4"/>
                  <w:rFonts w:eastAsia="Times New Roman"/>
                  <w:sz w:val="20"/>
                  <w:szCs w:val="20"/>
                </w:rPr>
                <w:t>PART III</w:t>
              </w:r>
            </w:hyperlink>
          </w:p>
        </w:tc>
        <w:tc>
          <w:tcPr>
            <w:tcW w:w="500" w:type="pct"/>
            <w:vAlign w:val="center"/>
            <w:hideMark/>
          </w:tcPr>
          <w:p w:rsidR="00000000" w:rsidRDefault="001D2166">
            <w:pPr>
              <w:jc w:val="right"/>
              <w:rPr>
                <w:rFonts w:eastAsia="Times New Roman"/>
                <w:sz w:val="20"/>
                <w:szCs w:val="20"/>
              </w:rPr>
            </w:pPr>
            <w:hyperlink w:anchor="ptre" w:history="1">
              <w:r>
                <w:rPr>
                  <w:rStyle w:val="a4"/>
                  <w:rFonts w:eastAsia="Times New Roman"/>
                  <w:sz w:val="20"/>
                  <w:szCs w:val="20"/>
                </w:rPr>
                <w:t>43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direct" w:history="1">
              <w:r>
                <w:rPr>
                  <w:rStyle w:val="a4"/>
                  <w:rFonts w:eastAsia="Times New Roman"/>
                  <w:sz w:val="20"/>
                  <w:szCs w:val="20"/>
                </w:rPr>
                <w:t>Item 10. Directors, Executive Officers and Corporate Governance</w:t>
              </w:r>
            </w:hyperlink>
          </w:p>
        </w:tc>
        <w:tc>
          <w:tcPr>
            <w:tcW w:w="500" w:type="pct"/>
            <w:vAlign w:val="center"/>
            <w:hideMark/>
          </w:tcPr>
          <w:p w:rsidR="00000000" w:rsidRDefault="001D2166">
            <w:pPr>
              <w:jc w:val="right"/>
              <w:rPr>
                <w:rFonts w:eastAsia="Times New Roman"/>
                <w:sz w:val="20"/>
                <w:szCs w:val="20"/>
              </w:rPr>
            </w:pPr>
            <w:hyperlink w:anchor="direct" w:history="1">
              <w:r>
                <w:rPr>
                  <w:rStyle w:val="a4"/>
                  <w:rFonts w:eastAsia="Times New Roman"/>
                  <w:sz w:val="20"/>
                  <w:szCs w:val="20"/>
                </w:rPr>
                <w:t>43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exec" w:history="1">
              <w:r>
                <w:rPr>
                  <w:rStyle w:val="a4"/>
                  <w:rFonts w:eastAsia="Times New Roman"/>
                  <w:sz w:val="20"/>
                  <w:szCs w:val="20"/>
                </w:rPr>
                <w:t>Item 11. Executive Compensation</w:t>
              </w:r>
            </w:hyperlink>
          </w:p>
        </w:tc>
        <w:tc>
          <w:tcPr>
            <w:tcW w:w="500" w:type="pct"/>
            <w:vAlign w:val="center"/>
            <w:hideMark/>
          </w:tcPr>
          <w:p w:rsidR="00000000" w:rsidRDefault="001D2166">
            <w:pPr>
              <w:jc w:val="right"/>
              <w:rPr>
                <w:rFonts w:eastAsia="Times New Roman"/>
                <w:sz w:val="20"/>
                <w:szCs w:val="20"/>
              </w:rPr>
            </w:pPr>
            <w:hyperlink w:anchor="exec" w:history="1">
              <w:r>
                <w:rPr>
                  <w:rStyle w:val="a4"/>
                  <w:rFonts w:eastAsia="Times New Roman"/>
                  <w:sz w:val="20"/>
                  <w:szCs w:val="20"/>
                </w:rPr>
                <w:t>43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sec" w:history="1">
              <w:r>
                <w:rPr>
                  <w:rStyle w:val="a4"/>
                  <w:rFonts w:eastAsia="Times New Roman"/>
                  <w:sz w:val="20"/>
                  <w:szCs w:val="20"/>
                </w:rPr>
                <w:t>Item 12. Security Ownership of Ce</w:t>
              </w:r>
              <w:r>
                <w:rPr>
                  <w:rStyle w:val="a4"/>
                  <w:rFonts w:eastAsia="Times New Roman"/>
                  <w:sz w:val="20"/>
                  <w:szCs w:val="20"/>
                </w:rPr>
                <w:t>rtain Beneficial Owners and Management and Related Stockholder Matters</w:t>
              </w:r>
            </w:hyperlink>
          </w:p>
        </w:tc>
        <w:tc>
          <w:tcPr>
            <w:tcW w:w="500" w:type="pct"/>
            <w:vAlign w:val="center"/>
            <w:hideMark/>
          </w:tcPr>
          <w:p w:rsidR="00000000" w:rsidRDefault="001D2166">
            <w:pPr>
              <w:jc w:val="right"/>
              <w:rPr>
                <w:rFonts w:eastAsia="Times New Roman"/>
                <w:sz w:val="20"/>
                <w:szCs w:val="20"/>
              </w:rPr>
            </w:pPr>
            <w:hyperlink w:anchor="sec" w:history="1">
              <w:r>
                <w:rPr>
                  <w:rStyle w:val="a4"/>
                  <w:rFonts w:eastAsia="Times New Roman"/>
                  <w:sz w:val="20"/>
                  <w:szCs w:val="20"/>
                </w:rPr>
                <w:t>43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cert" w:history="1">
              <w:r>
                <w:rPr>
                  <w:rStyle w:val="a4"/>
                  <w:rFonts w:eastAsia="Times New Roman"/>
                  <w:sz w:val="20"/>
                  <w:szCs w:val="20"/>
                </w:rPr>
                <w:t>Item 13. Certain Relationships and Related Transactions, and Director Independence</w:t>
              </w:r>
            </w:hyperlink>
          </w:p>
        </w:tc>
        <w:tc>
          <w:tcPr>
            <w:tcW w:w="500" w:type="pct"/>
            <w:vAlign w:val="center"/>
            <w:hideMark/>
          </w:tcPr>
          <w:p w:rsidR="00000000" w:rsidRDefault="001D2166">
            <w:pPr>
              <w:jc w:val="right"/>
              <w:rPr>
                <w:rFonts w:eastAsia="Times New Roman"/>
                <w:sz w:val="20"/>
                <w:szCs w:val="20"/>
              </w:rPr>
            </w:pPr>
            <w:hyperlink w:anchor="cert" w:history="1">
              <w:r>
                <w:rPr>
                  <w:rStyle w:val="a4"/>
                  <w:rFonts w:eastAsia="Times New Roman"/>
                  <w:sz w:val="20"/>
                  <w:szCs w:val="20"/>
                </w:rPr>
                <w:t>43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prin" w:history="1">
              <w:r>
                <w:rPr>
                  <w:rStyle w:val="a4"/>
                  <w:rFonts w:eastAsia="Times New Roman"/>
                  <w:sz w:val="20"/>
                  <w:szCs w:val="20"/>
                </w:rPr>
                <w:t>Item 14. Principal Accountant Fees and Services</w:t>
              </w:r>
            </w:hyperlink>
          </w:p>
        </w:tc>
        <w:tc>
          <w:tcPr>
            <w:tcW w:w="500" w:type="pct"/>
            <w:vAlign w:val="center"/>
            <w:hideMark/>
          </w:tcPr>
          <w:p w:rsidR="00000000" w:rsidRDefault="001D2166">
            <w:pPr>
              <w:jc w:val="right"/>
              <w:rPr>
                <w:rFonts w:eastAsia="Times New Roman"/>
                <w:sz w:val="20"/>
                <w:szCs w:val="20"/>
              </w:rPr>
            </w:pPr>
            <w:hyperlink w:anchor="prin" w:history="1">
              <w:r>
                <w:rPr>
                  <w:rStyle w:val="a4"/>
                  <w:rFonts w:eastAsia="Times New Roman"/>
                  <w:sz w:val="20"/>
                  <w:szCs w:val="20"/>
                </w:rPr>
                <w:t>43</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pfour" w:history="1">
              <w:r>
                <w:rPr>
                  <w:rStyle w:val="a4"/>
                  <w:rFonts w:eastAsia="Times New Roman"/>
                  <w:sz w:val="20"/>
                  <w:szCs w:val="20"/>
                </w:rPr>
                <w:t>PART IV</w:t>
              </w:r>
            </w:hyperlink>
          </w:p>
        </w:tc>
        <w:tc>
          <w:tcPr>
            <w:tcW w:w="500" w:type="pct"/>
            <w:vAlign w:val="center"/>
            <w:hideMark/>
          </w:tcPr>
          <w:p w:rsidR="00000000" w:rsidRDefault="001D2166">
            <w:pPr>
              <w:jc w:val="right"/>
              <w:rPr>
                <w:rFonts w:eastAsia="Times New Roman"/>
                <w:sz w:val="20"/>
                <w:szCs w:val="20"/>
              </w:rPr>
            </w:pPr>
            <w:hyperlink w:anchor="pfour" w:history="1">
              <w:r>
                <w:rPr>
                  <w:rStyle w:val="a4"/>
                  <w:rFonts w:eastAsia="Times New Roman"/>
                  <w:sz w:val="20"/>
                  <w:szCs w:val="20"/>
                </w:rPr>
                <w:t>44</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exs" w:history="1">
              <w:r>
                <w:rPr>
                  <w:rStyle w:val="a4"/>
                  <w:rFonts w:eastAsia="Times New Roman"/>
                  <w:sz w:val="20"/>
                  <w:szCs w:val="20"/>
                </w:rPr>
                <w:t>Item 15. Exhibits and Financial Statement Schedules</w:t>
              </w:r>
            </w:hyperlink>
          </w:p>
        </w:tc>
        <w:tc>
          <w:tcPr>
            <w:tcW w:w="500" w:type="pct"/>
            <w:vAlign w:val="center"/>
            <w:hideMark/>
          </w:tcPr>
          <w:p w:rsidR="00000000" w:rsidRDefault="001D2166">
            <w:pPr>
              <w:jc w:val="right"/>
              <w:rPr>
                <w:rFonts w:eastAsia="Times New Roman"/>
                <w:sz w:val="20"/>
                <w:szCs w:val="20"/>
              </w:rPr>
            </w:pPr>
            <w:hyperlink w:anchor="exs" w:history="1">
              <w:r>
                <w:rPr>
                  <w:rStyle w:val="a4"/>
                  <w:rFonts w:eastAsia="Times New Roman"/>
                  <w:sz w:val="20"/>
                  <w:szCs w:val="20"/>
                </w:rPr>
                <w:t>44</w:t>
              </w:r>
            </w:hyperlink>
          </w:p>
        </w:tc>
      </w:tr>
      <w:tr w:rsidR="00000000">
        <w:trPr>
          <w:divId w:val="675302252"/>
          <w:tblCellSpacing w:w="0" w:type="dxa"/>
        </w:trPr>
        <w:tc>
          <w:tcPr>
            <w:tcW w:w="450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vAlign w:val="center"/>
            <w:hideMark/>
          </w:tcPr>
          <w:p w:rsidR="00000000" w:rsidRDefault="001D2166">
            <w:pPr>
              <w:rPr>
                <w:rFonts w:eastAsia="Times New Roman"/>
                <w:sz w:val="20"/>
                <w:szCs w:val="20"/>
              </w:rPr>
            </w:pPr>
            <w:r>
              <w:rPr>
                <w:rFonts w:eastAsia="Times New Roman"/>
                <w:sz w:val="20"/>
                <w:szCs w:val="20"/>
              </w:rPr>
              <w:t> </w:t>
            </w:r>
          </w:p>
        </w:tc>
      </w:tr>
      <w:tr w:rsidR="00000000">
        <w:trPr>
          <w:divId w:val="675302252"/>
          <w:tblCellSpacing w:w="0" w:type="dxa"/>
        </w:trPr>
        <w:tc>
          <w:tcPr>
            <w:tcW w:w="4500" w:type="pct"/>
            <w:vAlign w:val="center"/>
            <w:hideMark/>
          </w:tcPr>
          <w:p w:rsidR="00000000" w:rsidRDefault="001D2166">
            <w:pPr>
              <w:rPr>
                <w:rFonts w:eastAsia="Times New Roman"/>
                <w:sz w:val="20"/>
                <w:szCs w:val="20"/>
              </w:rPr>
            </w:pPr>
            <w:hyperlink w:anchor="summ" w:history="1">
              <w:r>
                <w:rPr>
                  <w:rStyle w:val="a4"/>
                  <w:rFonts w:eastAsia="Times New Roman"/>
                  <w:sz w:val="20"/>
                  <w:szCs w:val="20"/>
                </w:rPr>
                <w:t>Item 16. Form 10-K Summary</w:t>
              </w:r>
            </w:hyperlink>
          </w:p>
        </w:tc>
        <w:tc>
          <w:tcPr>
            <w:tcW w:w="500" w:type="pct"/>
            <w:vAlign w:val="center"/>
            <w:hideMark/>
          </w:tcPr>
          <w:p w:rsidR="00000000" w:rsidRDefault="001D2166">
            <w:pPr>
              <w:jc w:val="right"/>
              <w:rPr>
                <w:rFonts w:eastAsia="Times New Roman"/>
                <w:sz w:val="20"/>
                <w:szCs w:val="20"/>
              </w:rPr>
            </w:pPr>
            <w:hyperlink w:anchor="summ" w:history="1">
              <w:r>
                <w:rPr>
                  <w:rStyle w:val="a4"/>
                  <w:rFonts w:eastAsia="Times New Roman"/>
                  <w:sz w:val="20"/>
                  <w:szCs w:val="20"/>
                </w:rPr>
                <w:t>44</w:t>
              </w:r>
            </w:hyperlink>
          </w:p>
        </w:tc>
      </w:tr>
    </w:tbl>
    <w:p w:rsidR="00000000" w:rsidRDefault="001D2166">
      <w:pPr>
        <w:pStyle w:val="a3"/>
        <w:spacing w:before="0" w:beforeAutospacing="0" w:after="0" w:afterAutospacing="0"/>
        <w:jc w:val="center"/>
        <w:divId w:val="675302252"/>
        <w:rPr>
          <w:sz w:val="20"/>
          <w:szCs w:val="20"/>
        </w:rPr>
      </w:pPr>
      <w:r>
        <w:rPr>
          <w:sz w:val="20"/>
          <w:szCs w:val="20"/>
        </w:rPr>
        <w:t> </w:t>
      </w:r>
    </w:p>
    <w:p w:rsidR="00000000" w:rsidRDefault="001D2166">
      <w:pPr>
        <w:jc w:val="center"/>
        <w:divId w:val="340082183"/>
        <w:rPr>
          <w:rFonts w:eastAsia="Times New Roman"/>
          <w:sz w:val="20"/>
          <w:szCs w:val="20"/>
        </w:rPr>
      </w:pPr>
      <w:r>
        <w:rPr>
          <w:rFonts w:eastAsia="Times New Roman"/>
          <w:sz w:val="20"/>
          <w:szCs w:val="20"/>
        </w:rPr>
        <w:t xml:space="preserve">2 </w:t>
      </w:r>
    </w:p>
    <w:p w:rsidR="00000000" w:rsidRDefault="001D2166">
      <w:pPr>
        <w:divId w:val="693505678"/>
        <w:rPr>
          <w:rFonts w:eastAsia="Times New Roman"/>
          <w:sz w:val="20"/>
          <w:szCs w:val="20"/>
        </w:rPr>
      </w:pPr>
      <w:r>
        <w:rPr>
          <w:rFonts w:eastAsia="Times New Roman"/>
          <w:sz w:val="20"/>
          <w:szCs w:val="20"/>
        </w:rPr>
        <w:pict>
          <v:rect id="_x0000_i1031" style="width:415.3pt;height:1.5pt" o:hralign="center" o:hrstd="t" o:hrnoshade="t" o:hr="t" fillcolor="black" stroked="f"/>
        </w:pict>
      </w:r>
    </w:p>
    <w:p w:rsidR="00000000" w:rsidRDefault="001D2166">
      <w:pPr>
        <w:divId w:val="7701312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divId w:val="154293440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center"/>
        <w:rPr>
          <w:sz w:val="20"/>
          <w:szCs w:val="20"/>
        </w:rPr>
      </w:pPr>
      <w:r>
        <w:rPr>
          <w:b/>
          <w:bCs/>
          <w:sz w:val="20"/>
          <w:szCs w:val="20"/>
        </w:rPr>
        <w:t>FORWARD-LOOKING STATEMENTS</w:t>
      </w:r>
    </w:p>
    <w:p w:rsidR="00000000" w:rsidRDefault="001D2166">
      <w:pPr>
        <w:pStyle w:val="a3"/>
        <w:spacing w:before="0" w:beforeAutospacing="0" w:after="0" w:afterAutospacing="0"/>
        <w:jc w:val="center"/>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This annual report on Form 10-K (“Form 10-K”</w:t>
      </w:r>
      <w:r>
        <w:rPr>
          <w:sz w:val="20"/>
          <w:szCs w:val="20"/>
        </w:rPr>
        <w:t xml:space="preserve">), together with other statements and information publicly disseminated by Kimco Realty Corporation (the “Company”) contains certain forward-looking statements within the meaning of Section 27A of the Securities Act of 1933, as amended, and Section 21E of </w:t>
      </w:r>
      <w:r>
        <w:rPr>
          <w:sz w:val="20"/>
          <w:szCs w:val="20"/>
        </w:rPr>
        <w:t>the Securities Exchange Act of 1934, as amended. The Company intends such forward-looking statements to be covered by the safe harbor provisions for forward-looking statements contained in the Private Securities Litigation Reform Act of 1995 and includes t</w:t>
      </w:r>
      <w:r>
        <w:rPr>
          <w:sz w:val="20"/>
          <w:szCs w:val="20"/>
        </w:rPr>
        <w:t>his statement for purposes of complying with the safe harbor provisions. Forward-looking statements, which are based on certain assumptions and describe the Company’s future plans, strategies and expectations, are generally identifiable by use of the words</w:t>
      </w:r>
      <w:r>
        <w:rPr>
          <w:sz w:val="20"/>
          <w:szCs w:val="20"/>
        </w:rPr>
        <w:t xml:space="preserve"> “believe,” “expect,” “intend,” “commit,” “anticipate,” “estimate,” “project,” “will,” “target,” “forecast” or similar expressions. You should not rely on forward-looking statements since they involve known and unknown risks, uncertainties and other factor</w:t>
      </w:r>
      <w:r>
        <w:rPr>
          <w:sz w:val="20"/>
          <w:szCs w:val="20"/>
        </w:rPr>
        <w:t>s which, in some cases, are beyond the Company’s control and could materially affect actual results, performances or achievements. Factors which may cause actual results to differ materially from current expectations include, but are not limited to, (i) ge</w:t>
      </w:r>
      <w:r>
        <w:rPr>
          <w:sz w:val="20"/>
          <w:szCs w:val="20"/>
        </w:rPr>
        <w:t>neral adverse economic and local real estate conditions, (ii) the inability of major tenants to continue paying their rent obligations due to bankruptcy, insolvency or a general downturn in their business, (iii) the reduction in the Company’s income in the</w:t>
      </w:r>
      <w:r>
        <w:rPr>
          <w:sz w:val="20"/>
          <w:szCs w:val="20"/>
        </w:rPr>
        <w:t xml:space="preserve"> event of multiple lease terminations by tenants or a failure of multiple tenants to occupy their premises in a shopping center, (iv) the availability of suitable acquisition, disposition, development and redevelopment opportunities, and risks related to a</w:t>
      </w:r>
      <w:r>
        <w:rPr>
          <w:sz w:val="20"/>
          <w:szCs w:val="20"/>
        </w:rPr>
        <w:t>cquisitions not performing in accordance with our expectations, (v) the Company’s ability to raise capital by selling its assets, (vi) increases in operating costs, (vii) risks related to future opportunities and plans for the combined company, including t</w:t>
      </w:r>
      <w:r>
        <w:rPr>
          <w:sz w:val="20"/>
          <w:szCs w:val="20"/>
        </w:rPr>
        <w:t>he uncertainty of expected future financial performance and results of the combined company following the Merger (defined below), (viii) the possibility that, if the Company does not achieve the perceived benefits of the Merger (defined below) as rapidly o</w:t>
      </w:r>
      <w:r>
        <w:rPr>
          <w:sz w:val="20"/>
          <w:szCs w:val="20"/>
        </w:rPr>
        <w:t>r to the extent anticipated by financial analysts or investors, the market price of the Company’s common stock could decline, (ix) the risk of shareholder litigation in connection with the Merger, including any resulting expense, (x) changes in governmenta</w:t>
      </w:r>
      <w:r>
        <w:rPr>
          <w:sz w:val="20"/>
          <w:szCs w:val="20"/>
        </w:rPr>
        <w:t>l laws and regulations and management’s ability to estimate the impact of such changes, (xi) valuation and risks related to the Company’s joint venture and preferred equity investments, (xii) valuation of marketable securities and other investments, includ</w:t>
      </w:r>
      <w:r>
        <w:rPr>
          <w:sz w:val="20"/>
          <w:szCs w:val="20"/>
        </w:rPr>
        <w:t>ing the shares of Albertsons Companies, Inc. common stock held by the Company, (xiii) impairment charges, (xiv) pandemics or other health crises, such as coronavirus disease 2019 (“COVID-19”), (xv) financing risks, such as the inability to obtain equity, d</w:t>
      </w:r>
      <w:r>
        <w:rPr>
          <w:sz w:val="20"/>
          <w:szCs w:val="20"/>
        </w:rPr>
        <w:t>ebt or other sources of financing or refinancing on favorable terms to the Company, (xvi) the level and volatility of interest rates and management’s ability to estimate the impact thereof, (xvii) changes in the dividend policy for the Company’s common and</w:t>
      </w:r>
      <w:r>
        <w:rPr>
          <w:sz w:val="20"/>
          <w:szCs w:val="20"/>
        </w:rPr>
        <w:t xml:space="preserve"> preferred stock and the Company’s ability to pay dividends at current levels, (xviii) unanticipated changes in the Company’s intention or ability to prepay certain debt prior to maturity and/or hold certain securities until maturity, and (xix) the other r</w:t>
      </w:r>
      <w:r>
        <w:rPr>
          <w:sz w:val="20"/>
          <w:szCs w:val="20"/>
        </w:rPr>
        <w:t xml:space="preserve">isks and uncertainties identified under Item 1A, “Risk Factors” and elsewhere in this Form 10-K and in the Company’s other filings with the Securities and Exchange Commission (“SEC”). Accordingly, there is no assurance that the Company’s expectations will </w:t>
      </w:r>
      <w:r>
        <w:rPr>
          <w:sz w:val="20"/>
          <w:szCs w:val="20"/>
        </w:rPr>
        <w:t xml:space="preserve">be realized.  The Company disclaims any intention or obligation to update the forward-looking statements, whether as a result of new information, future events or otherwise.  You are advised to refer to any further </w:t>
      </w:r>
      <w:r>
        <w:rPr>
          <w:sz w:val="20"/>
          <w:szCs w:val="20"/>
        </w:rPr>
        <w:lastRenderedPageBreak/>
        <w:t xml:space="preserve">disclosures the Company makes or related </w:t>
      </w:r>
      <w:r>
        <w:rPr>
          <w:sz w:val="20"/>
          <w:szCs w:val="20"/>
        </w:rPr>
        <w:t>subjects in the Company’s quarterly reports on Form 10-Q and current reports on Form 8-K that the Company files with the SEC.</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u w:val="single"/>
        </w:rPr>
        <w:t>PART I</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 Business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Overview</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Kimco Realty Corporation, a Maryland</w:t>
      </w:r>
      <w:r>
        <w:rPr>
          <w:sz w:val="20"/>
          <w:szCs w:val="20"/>
        </w:rPr>
        <w:t xml:space="preserve"> corporation, is North America’s largest publicly traded owner and operator of open-air, grocery-anchored shopping centers, including mixed-use assets. The terms “Kimco,” the “Company,” “we,” “our” and “us” each refer to Kimco Realty Corporation and our su</w:t>
      </w:r>
      <w:r>
        <w:rPr>
          <w:sz w:val="20"/>
          <w:szCs w:val="20"/>
        </w:rPr>
        <w:t>bsidiaries, unless the context indicates otherwise. In statements regarding qualification as a real estate investment trust (“REIT”), such terms refer solely to Kimco Realty Corporation. The Company’s mission is to create destinations for everyday living t</w:t>
      </w:r>
      <w:r>
        <w:rPr>
          <w:sz w:val="20"/>
          <w:szCs w:val="20"/>
        </w:rPr>
        <w:t>hat inspire a sense of community and deliver value to our many stakeholders.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began operations through its predecessor, The Kimco Corporation, which was organized in 1966 upon the contribution of several shopping center properties owned by its principal stockholders. In 1973, these principals formed the Company as a Dela</w:t>
      </w:r>
      <w:r>
        <w:rPr>
          <w:sz w:val="20"/>
          <w:szCs w:val="20"/>
        </w:rPr>
        <w:t>ware corporation, and, in 1985, the operations of The Kimco Corporation were merged into the Company. The Company completed its initial public stock offering (the “IPO”) in November 1991, and, commencing with its taxable year which began January 1, 1992, e</w:t>
      </w:r>
      <w:r>
        <w:rPr>
          <w:sz w:val="20"/>
          <w:szCs w:val="20"/>
        </w:rPr>
        <w:t>lected to qualify as a REIT in accordance with Sections 856 through 860 of the Internal Revenue Code of 1986, as amended (the “Code”). If, as the Company believes, it is organized and operates in such a manner so as to qualify and remain qualified as a REI</w:t>
      </w:r>
      <w:r>
        <w:rPr>
          <w:sz w:val="20"/>
          <w:szCs w:val="20"/>
        </w:rPr>
        <w:t>T under the Code, the Company generally will not be subject to U.S. federal income tax, provided that distributions to its stockholders equal at least the amount of its REIT taxable income, as defined in the Code. The Company maintains certain subsidiaries</w:t>
      </w:r>
      <w:r>
        <w:rPr>
          <w:sz w:val="20"/>
          <w:szCs w:val="20"/>
        </w:rPr>
        <w:t xml:space="preserve"> that made joint elections with the Company to be treated as taxable REIT subsidiaries (“TRSs”), that permit the Company to engage through such TRSs in certain business activities that the REIT may not conduct directly. A TRS is subject to federal and stat</w:t>
      </w:r>
      <w:r>
        <w:rPr>
          <w:sz w:val="20"/>
          <w:szCs w:val="20"/>
        </w:rPr>
        <w:t>e taxes on its income, and the Company includes a provision for taxes in its consolidated financial statements. In 1994, the Company reorganized as a Maryland corporation. In March 2006, the Company was added to the S&amp;P 500 Index, an index containing the s</w:t>
      </w:r>
      <w:r>
        <w:rPr>
          <w:sz w:val="20"/>
          <w:szCs w:val="20"/>
        </w:rPr>
        <w:t>tock of 500 Large Cap companies, most of which are U.S. corporations. The Company's common stock, Class L Depositary Shares and Class M Depositary Shares are traded on the New York Stock Exchange (“NYSE”) under the trading symbols “KIM”, “KIMprL”, and “KIM</w:t>
      </w:r>
      <w:r>
        <w:rPr>
          <w:sz w:val="20"/>
          <w:szCs w:val="20"/>
        </w:rPr>
        <w:t>prM”,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is a self-administered REIT and has not engaged, nor does it expect to retain, any REIT advisors in connection with the operation of its properties. The Company’s ownership interests in real estate consist of its consolida</w:t>
      </w:r>
      <w:r>
        <w:rPr>
          <w:sz w:val="20"/>
          <w:szCs w:val="20"/>
        </w:rPr>
        <w:t>ted portfolio and portfolios where the Company owns an economic interest, such as properties in the Company’s investment real estate management programs, where the Company partners with institutional investors and also retains management.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beg</w:t>
      </w:r>
      <w:r>
        <w:rPr>
          <w:sz w:val="20"/>
          <w:szCs w:val="20"/>
        </w:rPr>
        <w:t>an to expand its operations through the development of real estate and the construction of shopping centers but revised its growth strategy to focus on the acquisition and redevelopment of existing shopping centers that include a grocery component. The Com</w:t>
      </w:r>
      <w:r>
        <w:rPr>
          <w:sz w:val="20"/>
          <w:szCs w:val="20"/>
        </w:rPr>
        <w:t>pany also expanded internationally within Canada, Mexico, Chile, Brazil and Peru, but has since exited all international investments. Additionally, the Company developed various residential and mixed-use operating properties and continues to obtain entitle</w:t>
      </w:r>
      <w:r>
        <w:rPr>
          <w:sz w:val="20"/>
          <w:szCs w:val="20"/>
        </w:rPr>
        <w:t>ments to embark on additional projects of this nature through re-development opportunities. More recently, in August 2021, the Company expanded through a merger with Weingarten Realty Investors (“Weingarten”) to further enhance its portfolio in coastal and</w:t>
      </w:r>
      <w:r>
        <w:rPr>
          <w:sz w:val="20"/>
          <w:szCs w:val="20"/>
        </w:rPr>
        <w:t xml:space="preserve"> sun belt regions, see further discussion below.</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implemented its investment real estate management format through the establishment of various institutional joint venture programs, in which the Company has noncontrolling interests. The Compan</w:t>
      </w:r>
      <w:r>
        <w:rPr>
          <w:sz w:val="20"/>
          <w:szCs w:val="20"/>
        </w:rPr>
        <w:t>y earns management fees, acquisition fees, disposition fees as well as promoted interests based on achieving certain performance metrics.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addition, the Company has capitalized on its established expertise in retail real estate by establishing other ve</w:t>
      </w:r>
      <w:r>
        <w:rPr>
          <w:sz w:val="20"/>
          <w:szCs w:val="20"/>
        </w:rPr>
        <w:t xml:space="preserve">ntures in which the Company owns a smaller equity interest and provides management, leasing </w:t>
      </w:r>
      <w:r>
        <w:rPr>
          <w:sz w:val="20"/>
          <w:szCs w:val="20"/>
        </w:rPr>
        <w:lastRenderedPageBreak/>
        <w:t>and operational support for those properties. The Company has also provided preferred equity capital to real estate professionals and, from time to time, provides r</w:t>
      </w:r>
      <w:r>
        <w:rPr>
          <w:sz w:val="20"/>
          <w:szCs w:val="20"/>
        </w:rPr>
        <w:t>eal estate capital and management services to both healthy and distressed retailers. The Company has also made selective investments in secondary market opportunities where a security or other investment is, in management’s judgment, priced below the value</w:t>
      </w:r>
      <w:r>
        <w:rPr>
          <w:sz w:val="20"/>
          <w:szCs w:val="20"/>
        </w:rPr>
        <w:t xml:space="preserve"> of the underlying assets, however these investments are subject to volatility within the equity and debt markets.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As of December 31, 2021, the Company had interests in 541 shopping center properties (the “Combined Shopping Center Portfolio”), aggregatin</w:t>
      </w:r>
      <w:r>
        <w:rPr>
          <w:sz w:val="20"/>
          <w:szCs w:val="20"/>
        </w:rPr>
        <w:t xml:space="preserve">g 93.3 million square feet of gross leasable area (“GLA”), located in 29 states. In addition, the Company had 50 other property interests, primarily through the Company’s preferred equity investments and other investments, totaling 6.3 million square feet </w:t>
      </w:r>
      <w:r>
        <w:rPr>
          <w:sz w:val="20"/>
          <w:szCs w:val="20"/>
        </w:rPr>
        <w:t>of GLA.</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14073995"/>
        <w:rPr>
          <w:rFonts w:eastAsia="Times New Roman"/>
          <w:sz w:val="20"/>
          <w:szCs w:val="20"/>
        </w:rPr>
      </w:pPr>
      <w:r>
        <w:rPr>
          <w:rFonts w:eastAsia="Times New Roman"/>
          <w:sz w:val="20"/>
          <w:szCs w:val="20"/>
        </w:rPr>
        <w:t xml:space="preserve">3 </w:t>
      </w:r>
    </w:p>
    <w:p w:rsidR="00000000" w:rsidRDefault="001D2166">
      <w:pPr>
        <w:divId w:val="238097688"/>
        <w:rPr>
          <w:rFonts w:eastAsia="Times New Roman"/>
          <w:sz w:val="20"/>
          <w:szCs w:val="20"/>
        </w:rPr>
      </w:pPr>
      <w:r>
        <w:rPr>
          <w:rFonts w:eastAsia="Times New Roman"/>
          <w:sz w:val="20"/>
          <w:szCs w:val="20"/>
        </w:rPr>
        <w:pict>
          <v:rect id="_x0000_i1032" style="width:415.3pt;height:1.5pt" o:hralign="center" o:hrstd="t" o:hrnoshade="t" o:hr="t" fillcolor="black" stroked="f"/>
        </w:pict>
      </w:r>
    </w:p>
    <w:p w:rsidR="00000000" w:rsidRDefault="001D2166">
      <w:pPr>
        <w:divId w:val="11874023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Weingarten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On August 3, 2021, Weingarten merged with and into the Company, with the Company continuing as the surviving public company (the “Merger”), pursuant to the definitive merger agreement (the </w:t>
      </w:r>
      <w:r>
        <w:rPr>
          <w:sz w:val="20"/>
          <w:szCs w:val="20"/>
        </w:rPr>
        <w:t>“Merger Agreement”) between the Company and Weingarten which was entered into on April 15, 2021. The Merger brought together two industry-leading retail real estate platforms with highly complementary portfolios and created the preeminent open-air shopping</w:t>
      </w:r>
      <w:r>
        <w:rPr>
          <w:sz w:val="20"/>
          <w:szCs w:val="20"/>
        </w:rPr>
        <w:t xml:space="preserve"> center and mixed-use real estate owner in the country. As a result of the Merger, the Company acquired 149 properties, including 30 held through joint venture programs.  The increased scale in targeted growth markets, coupled with a broader pipeline of re</w:t>
      </w:r>
      <w:r>
        <w:rPr>
          <w:sz w:val="20"/>
          <w:szCs w:val="20"/>
        </w:rPr>
        <w:t>development opportunities, has positioned the combined company to create significant value for its shareholders. Under the terms of the Merger Agreement, each Weingarten common share was entitled to 1.408 newly issued shares of the Company’s common stock p</w:t>
      </w:r>
      <w:r>
        <w:rPr>
          <w:sz w:val="20"/>
          <w:szCs w:val="20"/>
        </w:rPr>
        <w:t>lus $2.89 in cash, subject to certain adjustments specified in the Merger Agreement.</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On July 15, 2021, Weingarten’s Board of Trust Managers declared a special cash distribution of $0.69 per Weingarten common share (the “Special Distribution”) payable on </w:t>
      </w:r>
      <w:r>
        <w:rPr>
          <w:sz w:val="20"/>
          <w:szCs w:val="20"/>
        </w:rPr>
        <w:t>August 2, 2021, to shareholders of record on July 28, 2021.  The Special Distribution was paid in connection with the Merger and to satisfy REIT taxable income distribution requirements.  Under the terms of the Merger Agreement, Weingarten’s payment of the</w:t>
      </w:r>
      <w:r>
        <w:rPr>
          <w:sz w:val="20"/>
          <w:szCs w:val="20"/>
        </w:rPr>
        <w:t xml:space="preserve"> Special Distribution adjusted the cash consideration paid by the Company at the closing of the Merger from $2.89 per Weingarten common share to $2.20 per Weingarten common share and had no impact on the payment of the share consideration of 1.408 newly is</w:t>
      </w:r>
      <w:r>
        <w:rPr>
          <w:sz w:val="20"/>
          <w:szCs w:val="20"/>
        </w:rPr>
        <w:t>sued shares of Company common stock for each Weingarten common share owned immediately prior to the effective time of the Merger. In connection with the Merger the Company issued 179.9 million shares of common stock. See Footnote 2 to the Notes to the Comp</w:t>
      </w:r>
      <w:r>
        <w:rPr>
          <w:sz w:val="20"/>
          <w:szCs w:val="20"/>
        </w:rPr>
        <w:t>any’s Consolidated Financial Statements for additional discussion regarding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u w:val="single"/>
        </w:rPr>
        <w:t>COVID-19 Pandemic</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coronavirus disease 2019 (“COVID-19”</w:t>
      </w:r>
      <w:r>
        <w:rPr>
          <w:sz w:val="20"/>
          <w:szCs w:val="20"/>
        </w:rPr>
        <w:t>) pandemic continues to impact the retail real estate industry for both landlords and tenants. The extent to which the COVID-19 pandemic impacts the Company’s financial condition, results of operations and cash flows, in the near term, will continue to dep</w:t>
      </w:r>
      <w:r>
        <w:rPr>
          <w:sz w:val="20"/>
          <w:szCs w:val="20"/>
        </w:rPr>
        <w:t>end on future developments, which are uncertain at this time. The Company’s business, operations and financial results will depend on numerous evolving factors, including the duration and scope of the pandemic, governmental, business and individual actions</w:t>
      </w:r>
      <w:r>
        <w:rPr>
          <w:sz w:val="20"/>
          <w:szCs w:val="20"/>
        </w:rPr>
        <w:t xml:space="preserve"> that have been and continue to be taken in response to the pandemic, the distribution and effectiveness of vaccines, impacts on economic activity from the pandemic and actions taken in response, the effects of the pandemic on the Company’s tenants and the</w:t>
      </w:r>
      <w:r>
        <w:rPr>
          <w:sz w:val="20"/>
          <w:szCs w:val="20"/>
        </w:rPr>
        <w:t>ir businesses, the ability of tenants to make their rental payments, additional closures of tenants’ businesses and impacts of opening and reclosing of communities in response to the increase in positive COVID-19 cases. Any of these events could materially</w:t>
      </w:r>
      <w:r>
        <w:rPr>
          <w:sz w:val="20"/>
          <w:szCs w:val="20"/>
        </w:rPr>
        <w:t xml:space="preserve"> adversely impact the Company’s business, financial condition, results of operations or stock price. The Company will continue to monitor the economic, financial, and social conditions resulting from the COVID-19 pandemic and will assess its asset portfoli</w:t>
      </w:r>
      <w:r>
        <w:rPr>
          <w:sz w:val="20"/>
          <w:szCs w:val="20"/>
        </w:rPr>
        <w:t>o for any impairment indicators. In addition, the Company will continue to monitor for any material or adverse effects resulting from the COVID-19 pandemic. If the Company has determined that any of its assets are impaired, the Company would be required to</w:t>
      </w:r>
      <w:r>
        <w:rPr>
          <w:sz w:val="20"/>
          <w:szCs w:val="20"/>
        </w:rPr>
        <w:t xml:space="preserve"> take impairment charges, and such amounts could be material.</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development and distribution of COVID-19 vaccines has assisted in allowing many restrictions to be lifted, providing a path to recovery. The U.S. economy continues to build upon the reopen</w:t>
      </w:r>
      <w:r>
        <w:rPr>
          <w:sz w:val="20"/>
          <w:szCs w:val="20"/>
        </w:rPr>
        <w:t>ing trend as businesses reopen to full capacity and stimulus is flowing through to the consumer. The overall economy continues to recover but several issues including the lack of qualified employees, inflation risk, supply chain bottlenecks and COVID-19 va</w:t>
      </w:r>
      <w:r>
        <w:rPr>
          <w:sz w:val="20"/>
          <w:szCs w:val="20"/>
        </w:rPr>
        <w:t>riants have impacted the pace of the recovery.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Business Objective and Strategies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developed a strong nationally diversified portfolio of open-air, shopping centers located in drivable first-ring suburbs primarily within 20 major metropo</w:t>
      </w:r>
      <w:r>
        <w:rPr>
          <w:sz w:val="20"/>
          <w:szCs w:val="20"/>
        </w:rPr>
        <w:t>litan sun belt and coastal markets, which are supported by strong demographics, significant projected population growth, and where the Company perceives significant barriers to entry.  As of December 31, 2021, the Company derived 85% of its annualized base</w:t>
      </w:r>
      <w:r>
        <w:rPr>
          <w:sz w:val="20"/>
          <w:szCs w:val="20"/>
        </w:rPr>
        <w:t xml:space="preserve"> rent from these top major metro markets. The Company’s shopping centers provide essential, necessity-based goods and services to the local communities and are primarily anchored by grocery, home improvement, pharmacy and off-price tenants.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w:t>
      </w:r>
      <w:r>
        <w:rPr>
          <w:sz w:val="20"/>
          <w:szCs w:val="20"/>
        </w:rPr>
        <w:t xml:space="preserve"> focus on high-quality locations has led to significant opportunities for value creation through the reinvestment in its assets to add density, replace outdated shopping center concepts, and better meet changing consumer demands.  In order to add density t</w:t>
      </w:r>
      <w:r>
        <w:rPr>
          <w:sz w:val="20"/>
          <w:szCs w:val="20"/>
        </w:rPr>
        <w:t>o existing properties, the Company has obtained multi-family entitlements for 6,013 units of which 2,218 units have been constructed as of December 31, 2021. The Company continues to place strategic emphasis on live/work/play environments and in reinvestin</w:t>
      </w:r>
      <w:r>
        <w:rPr>
          <w:sz w:val="20"/>
          <w:szCs w:val="20"/>
        </w:rPr>
        <w:t>g in its existing assets, while building shareholder value. This philosophy is exemplified by the Company’s Signature Serie</w:t>
      </w:r>
      <w:r>
        <w:rPr>
          <w:sz w:val="20"/>
          <w:szCs w:val="20"/>
        </w:rPr>
        <w:t>s</w:t>
      </w:r>
      <w:r>
        <w:rPr>
          <w:sz w:val="20"/>
          <w:szCs w:val="20"/>
          <w:vertAlign w:val="superscript"/>
        </w:rPr>
        <w:t>TM</w:t>
      </w:r>
      <w:r>
        <w:rPr>
          <w:sz w:val="20"/>
          <w:szCs w:val="20"/>
        </w:rPr>
        <w:t xml:space="preserve"> properties Dania Pointe, Grand Parkway Marketplace, Kentlands Market Square, Lincoln Square, Mill Station, Pentagon Centre, Subur</w:t>
      </w:r>
      <w:r>
        <w:rPr>
          <w:sz w:val="20"/>
          <w:szCs w:val="20"/>
        </w:rPr>
        <w:t>ban Square, Cupertino Village, The Marketplace at Factoria, Westlake S.C. and The Boulevard.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strength and security of the Company’s balance sheet remains central to its strategy.  The Company’s strong balance sheet and liquidity position are evidence</w:t>
      </w:r>
      <w:r>
        <w:rPr>
          <w:sz w:val="20"/>
          <w:szCs w:val="20"/>
        </w:rPr>
        <w:t>d by its investment grade unsecured debt ratings (Baa1/BBB+) by two major ratings agencies.  The Company maintains one of the longest average debt maturity profiles in the REIT industry, now at 8.5 years.  The Company expects to continue to take steps to r</w:t>
      </w:r>
      <w:r>
        <w:rPr>
          <w:sz w:val="20"/>
          <w:szCs w:val="20"/>
        </w:rPr>
        <w:t>educe leverage, unencumber assets and improve its debt coverage metrics as mixed-use projects and redevelopments continue to come online and contribute additional cash flow growth.</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Business Objective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primary business objective is to be th</w:t>
      </w:r>
      <w:r>
        <w:rPr>
          <w:sz w:val="20"/>
          <w:szCs w:val="20"/>
        </w:rPr>
        <w:t>e premier owner and operator of open-air, grocery-anchored shopping centers, including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increasing the value of its existing portfolio of properties and generating high</w:t>
            </w:r>
            <w:r>
              <w:rPr>
                <w:sz w:val="20"/>
                <w:szCs w:val="20"/>
              </w:rPr>
              <w:t>er levels of portfolio growth;</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increasing cash flows for reinvestment and/or for distribution to shareholders while maintaining conservative payout ratios;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improving debt metrics and upgraded unsecured debt ratings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continuing growth in desirable demographic areas with succes</w:t>
            </w:r>
            <w:r>
              <w:rPr>
                <w:sz w:val="20"/>
                <w:szCs w:val="20"/>
              </w:rPr>
              <w:t>sful retailers, primarily focused on grocery anchors;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increasing the number of entitlements for residential use.</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692608779"/>
        <w:rPr>
          <w:rFonts w:eastAsia="Times New Roman"/>
          <w:sz w:val="20"/>
          <w:szCs w:val="20"/>
        </w:rPr>
      </w:pPr>
      <w:r>
        <w:rPr>
          <w:rFonts w:eastAsia="Times New Roman"/>
          <w:sz w:val="20"/>
          <w:szCs w:val="20"/>
        </w:rPr>
        <w:t xml:space="preserve">4 </w:t>
      </w:r>
    </w:p>
    <w:p w:rsidR="00000000" w:rsidRDefault="001D2166">
      <w:pPr>
        <w:divId w:val="248856234"/>
        <w:rPr>
          <w:rFonts w:eastAsia="Times New Roman"/>
          <w:sz w:val="20"/>
          <w:szCs w:val="20"/>
        </w:rPr>
      </w:pPr>
      <w:r>
        <w:rPr>
          <w:rFonts w:eastAsia="Times New Roman"/>
          <w:sz w:val="20"/>
          <w:szCs w:val="20"/>
        </w:rPr>
        <w:pict>
          <v:rect id="_x0000_i1033" style="width:415.3pt;height:1.5pt" o:hralign="center" o:hrstd="t" o:hrnoshade="t" o:hr="t" fillcolor="black" stroked="f"/>
        </w:pict>
      </w:r>
    </w:p>
    <w:p w:rsidR="00000000" w:rsidRDefault="001D2166">
      <w:pPr>
        <w:divId w:val="977222911"/>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i/>
          <w:iCs/>
          <w:sz w:val="20"/>
          <w:szCs w:val="20"/>
        </w:rPr>
        <w:t>Business Strategies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believes with its strong core portfolio and its recent acquisitions, it will continue to achieve higher occupancy levels, increased rental rates and rental growth in the future. To effectively execute the Company’s strategy and achieve its stra</w:t>
      </w:r>
      <w:r>
        <w:rPr>
          <w:sz w:val="20"/>
          <w:szCs w:val="20"/>
        </w:rPr>
        <w:t>tegic goals the Company identified the following growth components to focus 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Organic Growth</w:t>
      </w:r>
      <w:r>
        <w:rPr>
          <w:sz w:val="20"/>
          <w:szCs w:val="20"/>
        </w:rPr>
        <w:t xml:space="preserve"> – aim to incorporate annual rent increases for small shop leases and rental increases every five years for anchors.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Leasing and Mark to Market Opportunities</w:t>
      </w:r>
      <w:r>
        <w:rPr>
          <w:b/>
          <w:bCs/>
          <w:sz w:val="20"/>
          <w:szCs w:val="20"/>
        </w:rPr>
        <w:t xml:space="preserve"> </w:t>
      </w:r>
      <w:r>
        <w:rPr>
          <w:sz w:val="20"/>
          <w:szCs w:val="20"/>
        </w:rPr>
        <w:t>– focus on increasing occupancy across the entire portfolio including strong post-pandemic leasing volume. In addition, the Company will direct its attention on bringing historic below-market anchor leases closer to market rates.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(Re)development and Rep</w:t>
      </w:r>
      <w:r>
        <w:rPr>
          <w:b/>
          <w:bCs/>
          <w:i/>
          <w:iCs/>
          <w:sz w:val="20"/>
          <w:szCs w:val="20"/>
        </w:rPr>
        <w:t>ositioning Pipeline</w:t>
      </w:r>
      <w:r>
        <w:rPr>
          <w:b/>
          <w:bCs/>
          <w:sz w:val="20"/>
          <w:szCs w:val="20"/>
        </w:rPr>
        <w:t xml:space="preserve"> </w:t>
      </w:r>
      <w:r>
        <w:rPr>
          <w:sz w:val="20"/>
          <w:szCs w:val="20"/>
        </w:rPr>
        <w:t>– economic stabilization of its Signature Series projects and obtaining additional multi-family entitlements where opportunity presents itself.</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 xml:space="preserve">Accretive Capital Deployment (Acquisitions, </w:t>
      </w:r>
      <w:r>
        <w:rPr>
          <w:sz w:val="20"/>
          <w:szCs w:val="20"/>
        </w:rPr>
        <w:t>“</w:t>
      </w:r>
      <w:r>
        <w:rPr>
          <w:b/>
          <w:bCs/>
          <w:i/>
          <w:iCs/>
          <w:sz w:val="20"/>
          <w:szCs w:val="20"/>
        </w:rPr>
        <w:t>Plus</w:t>
      </w:r>
      <w:r>
        <w:rPr>
          <w:sz w:val="20"/>
          <w:szCs w:val="20"/>
        </w:rPr>
        <w:t>”</w:t>
      </w:r>
      <w:r>
        <w:rPr>
          <w:b/>
          <w:bCs/>
          <w:i/>
          <w:iCs/>
          <w:sz w:val="20"/>
          <w:szCs w:val="20"/>
        </w:rPr>
        <w:t>/Structured Investments)</w:t>
      </w:r>
      <w:r>
        <w:rPr>
          <w:sz w:val="20"/>
          <w:szCs w:val="20"/>
        </w:rPr>
        <w:t xml:space="preserve"> – opportunistic</w:t>
      </w:r>
      <w:r>
        <w:rPr>
          <w:sz w:val="20"/>
          <w:szCs w:val="20"/>
        </w:rPr>
        <w:t xml:space="preserve"> acquisition and structured investment platform focused on accretive unique opportunities.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Albertsons Monetization</w:t>
      </w:r>
      <w:r>
        <w:rPr>
          <w:sz w:val="20"/>
          <w:szCs w:val="20"/>
        </w:rPr>
        <w:t xml:space="preserve"> – monetize the Company’s marketable security investment while maintaining maximum optionality.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ESG</w:t>
      </w:r>
      <w:r>
        <w:rPr>
          <w:sz w:val="20"/>
          <w:szCs w:val="20"/>
        </w:rPr>
        <w:t xml:space="preserve"> – strong commitments in the areas of c</w:t>
      </w:r>
      <w:r>
        <w:rPr>
          <w:sz w:val="20"/>
          <w:szCs w:val="20"/>
        </w:rPr>
        <w:t>limate change, Diversity, Equity &amp; Inclusion (“DE&amp;I”) and small business support.</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believes it is well positioned for sustainable growth with its high quality portfolio, which was most recently enhanced with the Weingarten merger, accretive an</w:t>
      </w:r>
      <w:r>
        <w:rPr>
          <w:sz w:val="20"/>
          <w:szCs w:val="20"/>
        </w:rPr>
        <w:t>d opportunistic capital allocation, financial strength and environmental, social and governance leadership.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The Company has identified the following areas where it is well positioned for sustainable growth in the future.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High Quality Portfolio</w:t>
      </w:r>
      <w:r>
        <w:rPr>
          <w:sz w:val="20"/>
          <w:szCs w:val="20"/>
          <w:u w:val="single"/>
        </w:rPr>
        <w:t xml:space="preserve"> &amp; Operating Platform</w:t>
      </w:r>
    </w:p>
    <w:p w:rsidR="00000000" w:rsidRDefault="001D2166">
      <w:pPr>
        <w:pStyle w:val="a3"/>
        <w:spacing w:before="0" w:beforeAutospacing="0" w:after="0" w:afterAutospacing="0"/>
        <w:jc w:val="both"/>
        <w:rPr>
          <w:sz w:val="20"/>
          <w:szCs w:val="20"/>
        </w:rPr>
      </w:pPr>
      <w:r>
        <w:rPr>
          <w:sz w:val="20"/>
          <w:szCs w:val="20"/>
        </w:rPr>
        <w:t>Deliver consistent funds from operations (“FFO”) growth from a portfolio of well-located, essential-anchored shopping centers and mixed-use assets.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85% of the portfolio is anchored by grocery stores, home improvement and pharmacy </w:t>
            </w:r>
            <w:r>
              <w:rPr>
                <w:sz w:val="20"/>
                <w:szCs w:val="20"/>
              </w:rPr>
              <w:t>tenants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Located in the drivable first-ring suburbs of the Company’s top 20 major metropolitan sun belt and coastal markets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Accretive &amp; Opportunistic Capital Allocation</w:t>
      </w:r>
    </w:p>
    <w:p w:rsidR="00000000" w:rsidRDefault="001D2166">
      <w:pPr>
        <w:pStyle w:val="a3"/>
        <w:spacing w:before="0" w:beforeAutospacing="0" w:after="0" w:afterAutospacing="0"/>
        <w:jc w:val="both"/>
        <w:rPr>
          <w:sz w:val="20"/>
          <w:szCs w:val="20"/>
        </w:rPr>
      </w:pPr>
      <w:r>
        <w:rPr>
          <w:sz w:val="20"/>
          <w:szCs w:val="20"/>
        </w:rPr>
        <w:t>Generate additional internal and external growth through accretive acquisitions, (re)development and "Plus"/Structured investments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Opportunistic acquisition and structured investment platform ("Plus" business) focused on accretive unique opportunities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“Plus” business encompasses investment opportunities with retailers who have significant real estate holdings. The Company believes it can utilize its structured investment program to take advantage of opportunities resulting from market dislocat</w:t>
            </w:r>
            <w:r>
              <w:rPr>
                <w:sz w:val="20"/>
                <w:szCs w:val="20"/>
              </w:rPr>
              <w:t>ion in the form of preferred equity investments and/or mezzanine financing for qualified real estate owners in need of capital</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Operating Platform</w:t>
      </w:r>
    </w:p>
    <w:p w:rsidR="00000000" w:rsidRDefault="001D2166">
      <w:pPr>
        <w:pStyle w:val="a3"/>
        <w:spacing w:before="0" w:beforeAutospacing="0" w:after="0" w:afterAutospacing="0"/>
        <w:jc w:val="both"/>
        <w:rPr>
          <w:sz w:val="20"/>
          <w:szCs w:val="20"/>
        </w:rPr>
      </w:pPr>
      <w:r>
        <w:rPr>
          <w:sz w:val="20"/>
          <w:szCs w:val="20"/>
        </w:rPr>
        <w:t>Provide critical last-mile solutions to its diverse pool of tenants who continue to adapt and generate robu</w:t>
      </w:r>
      <w:r>
        <w:rPr>
          <w:sz w:val="20"/>
          <w:szCs w:val="20"/>
        </w:rPr>
        <w:t>st leasing demand.</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demand for physical stores by omni-channel retailers has continued to increase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Retail market recovery since the onset of COVID-19 has resulted in an increase in sales volume across most retail categories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Environmental, Social &amp; Governance (“ESG”) Leadership</w:t>
      </w:r>
    </w:p>
    <w:p w:rsidR="00000000" w:rsidRDefault="001D2166">
      <w:pPr>
        <w:pStyle w:val="a3"/>
        <w:spacing w:before="0" w:beforeAutospacing="0" w:after="0" w:afterAutospacing="0"/>
        <w:jc w:val="both"/>
        <w:rPr>
          <w:sz w:val="20"/>
          <w:szCs w:val="20"/>
        </w:rPr>
      </w:pPr>
      <w:r>
        <w:rPr>
          <w:sz w:val="20"/>
          <w:szCs w:val="20"/>
        </w:rPr>
        <w:t>With over 60-years of delivering value to investors, tenants, employees, a</w:t>
      </w:r>
      <w:r>
        <w:rPr>
          <w:sz w:val="20"/>
          <w:szCs w:val="20"/>
        </w:rPr>
        <w:t>nd communities.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ESG approach is aligned with core business strategy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Proactive approach to quantifying, disclosing and managing climate, reputational and other risks</w:t>
            </w:r>
          </w:p>
        </w:tc>
      </w:tr>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rPr>
                <w:rFonts w:eastAsia="Times New Roman"/>
                <w:sz w:val="20"/>
                <w:szCs w:val="20"/>
              </w:rPr>
            </w:pPr>
            <w:r>
              <w:rPr>
                <w:rFonts w:eastAsia="Times New Roman"/>
                <w:sz w:val="20"/>
                <w:szCs w:val="20"/>
              </w:rPr>
              <w:t>●</w:t>
            </w:r>
          </w:p>
        </w:tc>
        <w:tc>
          <w:tcPr>
            <w:tcW w:w="0" w:type="auto"/>
            <w:hideMark/>
          </w:tcPr>
          <w:p w:rsidR="00000000" w:rsidRDefault="001D2166">
            <w:pPr>
              <w:jc w:val="both"/>
              <w:rPr>
                <w:rFonts w:eastAsia="Times New Roman"/>
                <w:sz w:val="20"/>
                <w:szCs w:val="20"/>
              </w:rPr>
            </w:pPr>
            <w:r>
              <w:rPr>
                <w:rFonts w:eastAsia="Times New Roman"/>
                <w:sz w:val="20"/>
                <w:szCs w:val="20"/>
              </w:rPr>
              <w:t>Commitment to DE&amp;I, ethics and governance best practices at the Board, Manag</w:t>
            </w:r>
            <w:r>
              <w:rPr>
                <w:rFonts w:eastAsia="Times New Roman"/>
                <w:sz w:val="20"/>
                <w:szCs w:val="20"/>
              </w:rPr>
              <w:t>ement, and employee levels</w:t>
            </w:r>
          </w:p>
        </w:tc>
      </w:tr>
    </w:tbl>
    <w:p w:rsidR="00000000" w:rsidRDefault="001D2166">
      <w:pPr>
        <w:pStyle w:val="a3"/>
        <w:spacing w:before="0" w:beforeAutospacing="0" w:after="0" w:afterAutospacing="0"/>
        <w:ind w:left="72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Financial Strength</w:t>
      </w:r>
    </w:p>
    <w:p w:rsidR="00000000" w:rsidRDefault="001D2166">
      <w:pPr>
        <w:pStyle w:val="a3"/>
        <w:spacing w:before="0" w:beforeAutospacing="0" w:after="0" w:afterAutospacing="0"/>
        <w:jc w:val="both"/>
        <w:rPr>
          <w:sz w:val="20"/>
          <w:szCs w:val="20"/>
        </w:rPr>
      </w:pPr>
      <w:r>
        <w:rPr>
          <w:sz w:val="20"/>
          <w:szCs w:val="20"/>
        </w:rPr>
        <w:t>Maintain a strong balance sheet and liquidity position with an emphasis on reduced leverage and a sustainable and growing dividend.  The Company has: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Over $2.3 billion of immediate liquidity, including the Company’s $2.0 billion unsecured revolving cre</w:t>
            </w:r>
            <w:r>
              <w:rPr>
                <w:sz w:val="20"/>
                <w:szCs w:val="20"/>
              </w:rPr>
              <w:t>dit facility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Ownership of 39.8 million shares of Albertsons Companies, Inc. (valued at $1.2 billion at December 31, 2021)</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 8.5 years consolidated debt maturity profile, one of the longest in the REIT industry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Over 480 unencumbered properties, approximately 87% of the centers in the Company’s portfolio</w:t>
            </w:r>
          </w:p>
        </w:tc>
      </w:tr>
    </w:tbl>
    <w:p w:rsidR="00000000" w:rsidRDefault="001D2166">
      <w:pPr>
        <w:pStyle w:val="a3"/>
        <w:spacing w:before="0" w:beforeAutospacing="0" w:after="0" w:afterAutospacing="0"/>
        <w:ind w:firstLine="540"/>
        <w:jc w:val="center"/>
        <w:rPr>
          <w:sz w:val="20"/>
          <w:szCs w:val="20"/>
        </w:rPr>
      </w:pPr>
      <w:r>
        <w:rPr>
          <w:sz w:val="20"/>
          <w:szCs w:val="20"/>
        </w:rPr>
        <w:t> </w:t>
      </w:r>
    </w:p>
    <w:p w:rsidR="00000000" w:rsidRDefault="001D2166">
      <w:pPr>
        <w:jc w:val="center"/>
        <w:divId w:val="1811357597"/>
        <w:rPr>
          <w:rFonts w:eastAsia="Times New Roman"/>
          <w:sz w:val="20"/>
          <w:szCs w:val="20"/>
        </w:rPr>
      </w:pPr>
      <w:r>
        <w:rPr>
          <w:rFonts w:eastAsia="Times New Roman"/>
          <w:sz w:val="20"/>
          <w:szCs w:val="20"/>
        </w:rPr>
        <w:t xml:space="preserve">5 </w:t>
      </w:r>
    </w:p>
    <w:p w:rsidR="00000000" w:rsidRDefault="001D2166">
      <w:pPr>
        <w:divId w:val="2136177321"/>
        <w:rPr>
          <w:rFonts w:eastAsia="Times New Roman"/>
          <w:sz w:val="20"/>
          <w:szCs w:val="20"/>
        </w:rPr>
      </w:pPr>
      <w:r>
        <w:rPr>
          <w:rFonts w:eastAsia="Times New Roman"/>
          <w:sz w:val="20"/>
          <w:szCs w:val="20"/>
        </w:rPr>
        <w:pict>
          <v:rect id="_x0000_i1034" style="width:415.3pt;height:1.5pt" o:hralign="center" o:hrstd="t" o:hrnoshade="t" o:hr="t" fillcolor="black" stroked="f"/>
        </w:pict>
      </w:r>
    </w:p>
    <w:p w:rsidR="00000000" w:rsidRDefault="001D2166">
      <w:pPr>
        <w:divId w:val="12420651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reduces its opera</w:t>
      </w:r>
      <w:r>
        <w:rPr>
          <w:sz w:val="20"/>
          <w:szCs w:val="20"/>
        </w:rPr>
        <w:t>ting and leasing risks through diversification achieved by the geographic distribution of its properties and a large tenant base. As of December 31, 2021, no single open-air shopping center accounted for more than 2.0% of the Company's annualized base rent</w:t>
      </w:r>
      <w:r>
        <w:rPr>
          <w:sz w:val="20"/>
          <w:szCs w:val="20"/>
        </w:rPr>
        <w:t>al revenues, including the proportionate share of base rental revenues from properties in which the Company has less than a 100% economic interest, or more than 2.0% of the Company’s total shopping center GLA. Furthermore, at December 31, 2021, the Company</w:t>
      </w:r>
      <w:r>
        <w:rPr>
          <w:sz w:val="20"/>
          <w:szCs w:val="20"/>
        </w:rPr>
        <w:t>’s single largest tenant represented only 3.7%, and the Company’s five largest tenants aggregated less than 11.7%, of the Company’s annualized base rental revenues, including the proportionate share of base rental revenues from properties in which the Comp</w:t>
      </w:r>
      <w:r>
        <w:rPr>
          <w:sz w:val="20"/>
          <w:szCs w:val="20"/>
        </w:rPr>
        <w:t>any has less than a 100% economic interest.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As one of the original participants in the growth of the shopping center industry and the nation's largest owners and operators of open-air shopping centers, the Company has established close relationships with</w:t>
      </w:r>
      <w:r>
        <w:rPr>
          <w:sz w:val="20"/>
          <w:szCs w:val="20"/>
        </w:rPr>
        <w:t xml:space="preserve"> major national and regional retailers and maintains a broad network of industry contacts. Management is associated with and/or actively participates in many shopping center and REIT industry organizations. Notwithstanding these relationships, there are nu</w:t>
      </w:r>
      <w:r>
        <w:rPr>
          <w:sz w:val="20"/>
          <w:szCs w:val="20"/>
        </w:rPr>
        <w:t>merous regional and local commercial developers, real estate companies, financial institutions and other investors who compete with the Company for the acquisition of properties and other investment opportunities and in seeking tenants who will lease space</w:t>
      </w:r>
      <w:r>
        <w:rPr>
          <w:sz w:val="20"/>
          <w:szCs w:val="20"/>
        </w:rPr>
        <w:t xml:space="preserve"> in the Company’s properties.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u w:val="single"/>
        </w:rPr>
        <w:t>Government Regulation</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Compliance with various governmental regulations has an impact on our business, including our capital expenditures, earnings and competitive position, which can be material. We incur costs to monitor </w:t>
      </w:r>
      <w:r>
        <w:rPr>
          <w:sz w:val="20"/>
          <w:szCs w:val="20"/>
        </w:rPr>
        <w:t>and take actions to comply with governmental regulations that are applicable to our business, which include, among others, federal securities laws and regulations, applicable stock exchange requirements, REIT and other tax laws and regulations, environment</w:t>
      </w:r>
      <w:r>
        <w:rPr>
          <w:sz w:val="20"/>
          <w:szCs w:val="20"/>
        </w:rPr>
        <w:t>al and health and safety laws and regulations, local zoning, usage and other regulations relating to real property and the Americans with Disabilities Act of 1990.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In addition, see “Item 1A – Risk Factors” </w:t>
      </w:r>
      <w:r>
        <w:rPr>
          <w:sz w:val="20"/>
          <w:szCs w:val="20"/>
        </w:rPr>
        <w:t>for a discussion of material risks to us, including, to the extent material, to our competitive position, relating to governmental regulations, and see “Item 7. Management’s Discussion and Analysis of Financial Condition and Results of Operations” together</w:t>
      </w:r>
      <w:r>
        <w:rPr>
          <w:sz w:val="20"/>
          <w:szCs w:val="20"/>
        </w:rPr>
        <w:t xml:space="preserve"> with our audited consolidated financial statements and the related notes thereto for a discussion of material information relevant to an assessment of our financial condition and results of operations, including, to the extent material, the effects that c</w:t>
      </w:r>
      <w:r>
        <w:rPr>
          <w:sz w:val="20"/>
          <w:szCs w:val="20"/>
        </w:rPr>
        <w:t>ompliance with governmental regulations may have upon our capital expenditures and earnings.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u w:val="single"/>
        </w:rPr>
        <w:t>Human Capital Resources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believes that our employees are one of our strongest resources and that a variety of perspectives and experiences found in </w:t>
      </w:r>
      <w:r>
        <w:rPr>
          <w:sz w:val="20"/>
          <w:szCs w:val="20"/>
        </w:rPr>
        <w:t>a diverse workforce spark innovation and enrich company culture. The Company is committed to diversity, equity and inclusion best practices in all phases of the employee life cycle, including recruitment, training and development and promotion.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w:t>
      </w:r>
      <w:r>
        <w:rPr>
          <w:sz w:val="20"/>
          <w:szCs w:val="20"/>
        </w:rPr>
        <w:t>ny has been and will continue to be an equal opportunity employer committed to hiring, developing, and supporting a diverse equitable, and inclusive workplace.  To ensure full implementation of this equal employment policy, we will take steps to ensure tha</w:t>
      </w:r>
      <w:r>
        <w:rPr>
          <w:sz w:val="20"/>
          <w:szCs w:val="20"/>
        </w:rPr>
        <w:t>t persons are recruited, hired, assigned and promoted without regard to race, national origin, religion, age, color, sex, pregnancy, sexual orientation, gender identity and expression, disability, genetic information or protected veteran status, or any oth</w:t>
      </w:r>
      <w:r>
        <w:rPr>
          <w:sz w:val="20"/>
          <w:szCs w:val="20"/>
        </w:rPr>
        <w:t>er characteristic protected by local, state, or federal laws, rules, or regulations.  All of our employees must adhere to a Code of Business Conduct and Ethics that sets standards for appropriate behavior and includes required internal training on preventi</w:t>
      </w:r>
      <w:r>
        <w:rPr>
          <w:sz w:val="20"/>
          <w:szCs w:val="20"/>
        </w:rPr>
        <w:t>ng, identifying, reporting and stopping any type of discrimination and/or retaliation.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order to attract and retain high performing individuals, we are committed to partnering with our employees to provide opportunities for their professional developme</w:t>
      </w:r>
      <w:r>
        <w:rPr>
          <w:sz w:val="20"/>
          <w:szCs w:val="20"/>
        </w:rPr>
        <w:t>nt and promote their health and well-being.  We also offer our employees a broad range of company-paid benefits, and we believe our compensation package and benefits are competitive with others in our industry. Our benefits programs include a robust offeri</w:t>
      </w:r>
      <w:r>
        <w:rPr>
          <w:sz w:val="20"/>
          <w:szCs w:val="20"/>
        </w:rPr>
        <w:t>ng of medical, dental, vision, life, disability and other ancillary benefits requiring very low employee contributions. The Company has been recognized as a Great Place to Work® based on surveys and feedback collected from its employees for four consecutiv</w:t>
      </w:r>
      <w:r>
        <w:rPr>
          <w:sz w:val="20"/>
          <w:szCs w:val="20"/>
        </w:rPr>
        <w:t>e years. Additionally, the Company was designated a Best Place to Work for LGBTQ+ Equality and has achieved a perfect score on the Human Rights Campaign Foundation’s 2022 Corporate Equality Index, a nationally recognized benchmarking survey and report meas</w:t>
      </w:r>
      <w:r>
        <w:rPr>
          <w:sz w:val="20"/>
          <w:szCs w:val="20"/>
        </w:rPr>
        <w:t>uring corporate policies and practices related to LGBTQ+ workplace equality.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executive and management team promotes a true “open door” environment in which all feedback and suggestions are welcome. Whether it be through regular all employee</w:t>
      </w:r>
      <w:r>
        <w:rPr>
          <w:sz w:val="20"/>
          <w:szCs w:val="20"/>
        </w:rPr>
        <w:t xml:space="preserve"> calls, department meetings, frequent training sessions, Coffee Connections with the executive team, use of our BRAVO recognition program, awarding of iPads for Ideas, or participation in our flagship LABS (Leaders Advancing Business Strategy) program, ass</w:t>
      </w:r>
      <w:r>
        <w:rPr>
          <w:sz w:val="20"/>
          <w:szCs w:val="20"/>
        </w:rPr>
        <w:t>ociates are encouraged to be inquisitive and share ideas. Those ideas have resulted in a number of programs and benefit enhancements.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promotes physical health, including access to a national gym membership program for associates and their fam</w:t>
      </w:r>
      <w:r>
        <w:rPr>
          <w:sz w:val="20"/>
          <w:szCs w:val="20"/>
        </w:rPr>
        <w:t>ily members as well as host to regular wellness and nutrition seminars and health screenings. The Company also feels it is important that our associates are engaged and active in the community. At our headquarters and in each of our regions, a committee of</w:t>
      </w:r>
      <w:r>
        <w:rPr>
          <w:sz w:val="20"/>
          <w:szCs w:val="20"/>
        </w:rPr>
        <w:t xml:space="preserve"> employees host numerous volunteer and social activities that are derived from employee sentiment. Whether we’re participating in walks, runs, meal servings, food drives, toy drives, the Company promotes and supports associate volunteerism with two volunte</w:t>
      </w:r>
      <w:r>
        <w:rPr>
          <w:sz w:val="20"/>
          <w:szCs w:val="20"/>
        </w:rPr>
        <w:t>er days off per year and a company matching program in support of each associates charitable endeavors. In addition, each year, the Company provides $100,000 in education scholarships for children of our associates, which is managed by an independent third</w:t>
      </w:r>
      <w:r>
        <w:rPr>
          <w:sz w:val="20"/>
          <w:szCs w:val="20"/>
        </w:rPr>
        <w:t>-party.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executive offices are located at 500 North Broadway, Suite 201, Jericho, NY 11753, a mixed-use property that is wholly owned by the Company, and its telephone number is (516) 869-9000. Nearly all operating functions, including leasi</w:t>
      </w:r>
      <w:r>
        <w:rPr>
          <w:sz w:val="20"/>
          <w:szCs w:val="20"/>
        </w:rPr>
        <w:t>ng, legal, construction, data processing, maintenance, finance and accounting are administered by the Company from its executive offices in Jericho, New York and supported by the Company’s regional offices. As of December 31, 2021, a total of 606 persons w</w:t>
      </w:r>
      <w:r>
        <w:rPr>
          <w:sz w:val="20"/>
          <w:szCs w:val="20"/>
        </w:rPr>
        <w:t>ere employed by the Company of which 32% were located in our corporate office with the remainder located in 26 offices throughout the United States. The average tenure of our employees was 9.3 years.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179346353"/>
        <w:rPr>
          <w:rFonts w:eastAsia="Times New Roman"/>
          <w:sz w:val="20"/>
          <w:szCs w:val="20"/>
        </w:rPr>
      </w:pPr>
      <w:r>
        <w:rPr>
          <w:rFonts w:eastAsia="Times New Roman"/>
          <w:sz w:val="20"/>
          <w:szCs w:val="20"/>
        </w:rPr>
        <w:t xml:space="preserve">6 </w:t>
      </w:r>
    </w:p>
    <w:p w:rsidR="00000000" w:rsidRDefault="001D2166">
      <w:pPr>
        <w:divId w:val="722758418"/>
        <w:rPr>
          <w:rFonts w:eastAsia="Times New Roman"/>
          <w:sz w:val="20"/>
          <w:szCs w:val="20"/>
        </w:rPr>
      </w:pPr>
      <w:r>
        <w:rPr>
          <w:rFonts w:eastAsia="Times New Roman"/>
          <w:sz w:val="20"/>
          <w:szCs w:val="20"/>
        </w:rPr>
        <w:pict>
          <v:rect id="_x0000_i1035" style="width:415.3pt;height:1.5pt" o:hralign="center" o:hrstd="t" o:hrnoshade="t" o:hr="t" fillcolor="black" stroked="f"/>
        </w:pict>
      </w:r>
    </w:p>
    <w:p w:rsidR="00000000" w:rsidRDefault="001D2166">
      <w:pPr>
        <w:divId w:val="13080487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health and safety of the </w:t>
      </w:r>
      <w:r>
        <w:rPr>
          <w:sz w:val="20"/>
          <w:szCs w:val="20"/>
        </w:rPr>
        <w:t xml:space="preserve">Company’s employees and their families is a top priority. The Company always takes the necessary steps to protect its employees, especially during the COVID-19 pandemic where employees were empowered to work from home and care for their family members and </w:t>
      </w:r>
      <w:r>
        <w:rPr>
          <w:sz w:val="20"/>
          <w:szCs w:val="20"/>
        </w:rPr>
        <w:t>children. The Company will continue to evaluate individual situations as they arise and adjust its approach as appropriate, with the goal of enabling its employees to be as productive as possible while offering them the flexibility they need to care for th</w:t>
      </w:r>
      <w:r>
        <w:rPr>
          <w:sz w:val="20"/>
          <w:szCs w:val="20"/>
        </w:rPr>
        <w:t>emselves and their families. The following are steps that were taken by the Company in response to the COVID-19 pandemic:</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Company established a flexible work from home arrangement. This included immediate and extensive technology training on virt</w:t>
            </w:r>
            <w:r>
              <w:rPr>
                <w:sz w:val="20"/>
                <w:szCs w:val="20"/>
              </w:rPr>
              <w:t>ual meetings and remote working as well as safety protocols.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Company benefited from recent investments in new technology and software, as its entire team is equipped with new laptops and cellular capability to enable them to work remotely.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The Company’s human resources and information technology teams are </w:t>
            </w:r>
            <w:r>
              <w:rPr>
                <w:sz w:val="20"/>
                <w:szCs w:val="20"/>
              </w:rPr>
              <w:t>available to all employees to address any needs or concerns they may have.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Associates are provided paid time off to care for themselves or family members diagnosed with COVID-19.</w:t>
            </w:r>
          </w:p>
        </w:tc>
      </w:tr>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rPr>
                <w:rFonts w:eastAsia="Times New Roman"/>
                <w:sz w:val="20"/>
                <w:szCs w:val="20"/>
              </w:rPr>
            </w:pPr>
            <w:r>
              <w:rPr>
                <w:rFonts w:eastAsia="Times New Roman"/>
                <w:sz w:val="20"/>
                <w:szCs w:val="20"/>
              </w:rPr>
              <w:t>●</w:t>
            </w:r>
          </w:p>
        </w:tc>
        <w:tc>
          <w:tcPr>
            <w:tcW w:w="0" w:type="auto"/>
            <w:hideMark/>
          </w:tcPr>
          <w:p w:rsidR="00000000" w:rsidRDefault="001D2166">
            <w:pPr>
              <w:rPr>
                <w:rFonts w:eastAsia="Times New Roman"/>
                <w:sz w:val="20"/>
                <w:szCs w:val="20"/>
              </w:rPr>
            </w:pPr>
            <w:r>
              <w:rPr>
                <w:rFonts w:eastAsia="Times New Roman"/>
                <w:sz w:val="20"/>
                <w:szCs w:val="20"/>
              </w:rPr>
              <w:t>The Company has increased communications at all levels and establi</w:t>
            </w:r>
            <w:r>
              <w:rPr>
                <w:rFonts w:eastAsia="Times New Roman"/>
                <w:sz w:val="20"/>
                <w:szCs w:val="20"/>
              </w:rPr>
              <w:t>shed virtual meetings such that executives are accessible to answer any questions and transparently keep associates informed.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u w:val="single"/>
        </w:rPr>
        <w:t>Cybersecurity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w:t>
      </w:r>
      <w:r>
        <w:rPr>
          <w:sz w:val="20"/>
          <w:szCs w:val="20"/>
        </w:rPr>
        <w:t>s Audit Committee receives quarterly briefings from the Company’s Chief Information Officer regarding the emerging cybersecurity threat and risk landscape as well as the Company's security program and related readiness, resiliency, and response efforts.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a Cyber Risk Committee (“Cyber Committee”) which reviews and reports on technology-based security issues. The Cyber Committee is comprised of senior management from various business units within the Company and meets quarterly to review the</w:t>
      </w:r>
      <w:r>
        <w:rPr>
          <w:sz w:val="20"/>
          <w:szCs w:val="20"/>
        </w:rPr>
        <w:t xml:space="preserve"> status of the Company's overall security program as well as controls and procedures and to stay up-to-date of relevant legislative, regulatory and technical developments.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utilizes a variety of administrative, technical and physical safeguard</w:t>
      </w:r>
      <w:r>
        <w:rPr>
          <w:sz w:val="20"/>
          <w:szCs w:val="20"/>
        </w:rPr>
        <w:t>s that take into account the nature of our IT environment, information assets and cyber risks posed by both internal and external threats.  The Company has incorporated cybersecurity coverage in its insurance policies.  The Company's goal is to keep its da</w:t>
      </w:r>
      <w:r>
        <w:rPr>
          <w:sz w:val="20"/>
          <w:szCs w:val="20"/>
        </w:rPr>
        <w:t>ta and systems, as well as its employees safe from cybersecurity threats.  The Company is not aware of any information security breaches over the last three years.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invested in employee security awareness training and also conducts interna</w:t>
      </w:r>
      <w:r>
        <w:rPr>
          <w:sz w:val="20"/>
          <w:szCs w:val="20"/>
        </w:rPr>
        <w:t>l phishing exercises.  When potential security issues arise, the Company conducts a prompt investigation and analysis to determine what steps to take in response to protect the Company and its valued employees and key stakeholders.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Environment, Social an</w:t>
      </w:r>
      <w:r>
        <w:rPr>
          <w:b/>
          <w:bCs/>
          <w:sz w:val="20"/>
          <w:szCs w:val="20"/>
          <w:u w:val="single"/>
        </w:rPr>
        <w:t>d Governance (</w:t>
      </w:r>
      <w:r>
        <w:rPr>
          <w:sz w:val="20"/>
          <w:szCs w:val="20"/>
          <w:u w:val="single"/>
        </w:rPr>
        <w:t>“</w:t>
      </w:r>
      <w:r>
        <w:rPr>
          <w:b/>
          <w:bCs/>
          <w:sz w:val="20"/>
          <w:szCs w:val="20"/>
          <w:u w:val="single"/>
        </w:rPr>
        <w:t>ESG</w:t>
      </w:r>
      <w:r>
        <w:rPr>
          <w:sz w:val="20"/>
          <w:szCs w:val="20"/>
          <w:u w:val="single"/>
        </w:rPr>
        <w:t>”</w:t>
      </w:r>
      <w:r>
        <w:rPr>
          <w:b/>
          <w:bCs/>
          <w:sz w:val="20"/>
          <w:szCs w:val="20"/>
          <w:u w:val="single"/>
        </w:rPr>
        <w:t>) Programs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is focused on building a thriving and viable business, one that succeeds by delivering long-term value for its stakeholders. The Company’s ESG programs are aligned with its core business strategy of creating dest</w:t>
      </w:r>
      <w:r>
        <w:rPr>
          <w:sz w:val="20"/>
          <w:szCs w:val="20"/>
        </w:rPr>
        <w:t>inations for everyday living that inspire a sense of community and deliver value to its many stakeholders.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473324589"/>
        <w:rPr>
          <w:rFonts w:eastAsia="Times New Roman"/>
          <w:sz w:val="20"/>
          <w:szCs w:val="20"/>
        </w:rPr>
      </w:pPr>
      <w:r>
        <w:rPr>
          <w:rFonts w:eastAsia="Times New Roman"/>
          <w:sz w:val="20"/>
          <w:szCs w:val="20"/>
        </w:rPr>
        <w:t xml:space="preserve">7 </w:t>
      </w:r>
    </w:p>
    <w:p w:rsidR="00000000" w:rsidRDefault="001D2166">
      <w:pPr>
        <w:divId w:val="439572143"/>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1D2166">
      <w:pPr>
        <w:divId w:val="4534448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identified the following five pillars which outline the Company's strategic priorities within</w:t>
      </w:r>
      <w:r>
        <w:rPr>
          <w:sz w:val="20"/>
          <w:szCs w:val="20"/>
        </w:rPr>
        <w:t> of our ESG program.  This framework was enhanced in Februrary of 2021 with sixteen newly defined, comprehensive ESG goals.  These goals expand upon our commitment with clear targets in each pillar:</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jc w:val="center"/>
        <w:divId w:val="330720098"/>
        <w:rPr>
          <w:rFonts w:eastAsia="Times New Roman"/>
          <w:sz w:val="20"/>
          <w:szCs w:val="20"/>
        </w:rPr>
      </w:pPr>
      <w:r>
        <w:rPr>
          <w:rFonts w:eastAsia="Times New Roman"/>
          <w:noProof/>
          <w:sz w:val="20"/>
          <w:szCs w:val="20"/>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D2166">
      <w:pPr>
        <w:pStyle w:val="a3"/>
        <w:spacing w:before="0" w:beforeAutospacing="0" w:after="0" w:afterAutospacing="0"/>
        <w:jc w:val="both"/>
        <w:rPr>
          <w:sz w:val="20"/>
          <w:szCs w:val="20"/>
        </w:rPr>
      </w:pPr>
      <w:r>
        <w:rPr>
          <w:sz w:val="20"/>
          <w:szCs w:val="20"/>
        </w:rPr>
        <w:t> </w:t>
      </w:r>
    </w:p>
    <w:p w:rsidR="00000000" w:rsidRDefault="001D2166">
      <w:pPr>
        <w:divId w:val="1141188282"/>
        <w:rPr>
          <w:rFonts w:eastAsia="Times New Roman"/>
          <w:sz w:val="20"/>
          <w:szCs w:val="20"/>
        </w:rPr>
      </w:pPr>
      <w:r>
        <w:rPr>
          <w:rFonts w:eastAsia="Times New Roman"/>
          <w:sz w:val="20"/>
          <w:szCs w:val="20"/>
        </w:rPr>
        <w:t>The Company is committed to best-in-class ESG disclosure, and has aligned its annual reporting with standards from the Global Reporting Initiative (“GRI”), Sustainability Accounting Standards Board (“SASB”) (now known as the Value Reporting Foundation) and</w:t>
      </w:r>
      <w:r>
        <w:rPr>
          <w:rFonts w:eastAsia="Times New Roman"/>
          <w:sz w:val="20"/>
          <w:szCs w:val="20"/>
        </w:rPr>
        <w:t xml:space="preserve"> Task Force on Climate-related Financial Disclosures (“TCFD”). Additional ESG information of relevance to stakeholders can be found on the Company’s website, the contents of which are not incorporated by reference and do not form a part of this Form 10-K. </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Board of Directors (the “Board”) sets the Company's overall ESG program objectives and oversees enterprise risk management.  The Nominating and Corporate Goverance Committee of the Board is responsible for ESG program oversight and perform</w:t>
      </w:r>
      <w:r>
        <w:rPr>
          <w:sz w:val="20"/>
          <w:szCs w:val="20"/>
        </w:rPr>
        <w:t>ance evaluation.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recognizes that climate change is one of the most significant stakeholder issues of our times, threatening the viability of economic and environmental systems globally.  The scientific community has studied climate change and</w:t>
      </w:r>
      <w:r>
        <w:rPr>
          <w:sz w:val="20"/>
          <w:szCs w:val="20"/>
        </w:rPr>
        <w:t xml:space="preserve"> a consensus exists that warming is occurring outside the boundaries of historical planetary trends due in significant part to human activity. As a real estate portfolio owner, the Company monitors physical and transition risks as well as opportunities pos</w:t>
      </w:r>
      <w:r>
        <w:rPr>
          <w:sz w:val="20"/>
          <w:szCs w:val="20"/>
        </w:rPr>
        <w:t>ed to its business by climate change and quantifies and discloses the climate impacts of its activities.  The Company’s science-based emissions reduction goals are aligned with the Paris Climate Accord which we believe put the company on pace to achieve ne</w:t>
      </w:r>
      <w:r>
        <w:rPr>
          <w:sz w:val="20"/>
          <w:szCs w:val="20"/>
        </w:rPr>
        <w:t>t zero emissions by 2050.</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112944040"/>
        <w:rPr>
          <w:rFonts w:eastAsia="Times New Roman"/>
          <w:sz w:val="20"/>
          <w:szCs w:val="20"/>
        </w:rPr>
      </w:pPr>
      <w:r>
        <w:rPr>
          <w:rFonts w:eastAsia="Times New Roman"/>
          <w:sz w:val="20"/>
          <w:szCs w:val="20"/>
        </w:rPr>
        <w:t xml:space="preserve">8 </w:t>
      </w:r>
    </w:p>
    <w:p w:rsidR="00000000" w:rsidRDefault="001D2166">
      <w:pPr>
        <w:divId w:val="1873687235"/>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1D2166">
      <w:pPr>
        <w:divId w:val="77282272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Climate risks and opportunities are evaluated at both the corporate and individual asset level. The following table summarizes relevant climate risks identified as a part of the Company’s ongoing risk assessment process.  The Company may be subject to othe</w:t>
      </w:r>
      <w:r>
        <w:rPr>
          <w:sz w:val="20"/>
          <w:szCs w:val="20"/>
        </w:rPr>
        <w:t>r climate risks not included below.</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179"/>
        <w:gridCol w:w="1667"/>
        <w:gridCol w:w="5629"/>
      </w:tblGrid>
      <w:tr w:rsidR="00000000">
        <w:trPr>
          <w:tblCellSpacing w:w="0" w:type="dxa"/>
        </w:trPr>
        <w:tc>
          <w:tcPr>
            <w:tcW w:w="1235" w:type="pct"/>
            <w:gridSpan w:val="2"/>
            <w:tcBorders>
              <w:bottom w:val="single" w:sz="6" w:space="0" w:color="000000"/>
            </w:tcBorders>
            <w:vAlign w:val="bottom"/>
            <w:hideMark/>
          </w:tcPr>
          <w:p w:rsidR="00000000" w:rsidRDefault="001D2166">
            <w:pPr>
              <w:pStyle w:val="a3"/>
              <w:spacing w:before="0" w:beforeAutospacing="0" w:after="0" w:afterAutospacing="0"/>
              <w:jc w:val="both"/>
              <w:rPr>
                <w:sz w:val="20"/>
                <w:szCs w:val="20"/>
              </w:rPr>
            </w:pPr>
            <w:r>
              <w:rPr>
                <w:b/>
                <w:bCs/>
                <w:sz w:val="20"/>
                <w:szCs w:val="20"/>
              </w:rPr>
              <w:t>Climate Risk</w:t>
            </w:r>
          </w:p>
        </w:tc>
        <w:tc>
          <w:tcPr>
            <w:tcW w:w="3825" w:type="pct"/>
            <w:tcBorders>
              <w:bottom w:val="single" w:sz="6" w:space="0" w:color="000000"/>
            </w:tcBorders>
            <w:vAlign w:val="bottom"/>
            <w:hideMark/>
          </w:tcPr>
          <w:p w:rsidR="00000000" w:rsidRDefault="001D2166">
            <w:pPr>
              <w:pStyle w:val="a3"/>
              <w:spacing w:before="0" w:beforeAutospacing="0" w:after="0" w:afterAutospacing="0"/>
              <w:jc w:val="both"/>
              <w:rPr>
                <w:sz w:val="20"/>
                <w:szCs w:val="20"/>
              </w:rPr>
            </w:pPr>
            <w:r>
              <w:rPr>
                <w:b/>
                <w:bCs/>
                <w:sz w:val="20"/>
                <w:szCs w:val="20"/>
              </w:rPr>
              <w:t>Description</w:t>
            </w:r>
          </w:p>
        </w:tc>
      </w:tr>
      <w:tr w:rsidR="00000000">
        <w:trPr>
          <w:tblCellSpacing w:w="0" w:type="dxa"/>
        </w:trPr>
        <w:tc>
          <w:tcPr>
            <w:tcW w:w="1235" w:type="pct"/>
            <w:gridSpan w:val="2"/>
            <w:vAlign w:val="bottom"/>
            <w:hideMark/>
          </w:tcPr>
          <w:p w:rsidR="00000000" w:rsidRDefault="001D2166">
            <w:pPr>
              <w:pStyle w:val="a3"/>
              <w:spacing w:before="0" w:beforeAutospacing="0" w:after="0" w:afterAutospacing="0"/>
              <w:jc w:val="both"/>
              <w:rPr>
                <w:sz w:val="20"/>
                <w:szCs w:val="20"/>
              </w:rPr>
            </w:pPr>
            <w:r>
              <w:rPr>
                <w:sz w:val="20"/>
                <w:szCs w:val="20"/>
                <w:u w:val="single"/>
              </w:rPr>
              <w:t>Physical</w:t>
            </w:r>
          </w:p>
        </w:tc>
        <w:tc>
          <w:tcPr>
            <w:tcW w:w="3825"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2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Windstorms</w:t>
            </w:r>
          </w:p>
        </w:tc>
        <w:tc>
          <w:tcPr>
            <w:tcW w:w="382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Increased frequency and intensity of windstorms, such as hurricanes, could lead to property damage, loss of property value and interruptions to business operations</w:t>
            </w:r>
          </w:p>
        </w:tc>
      </w:tr>
      <w:tr w:rsidR="00000000">
        <w:trPr>
          <w:tblCellSpacing w:w="0" w:type="dxa"/>
        </w:trPr>
        <w:tc>
          <w:tcPr>
            <w:tcW w:w="12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115" w:type="pct"/>
            <w:shd w:val="clear" w:color="auto" w:fill="FFFFFF"/>
            <w:hideMark/>
          </w:tcPr>
          <w:p w:rsidR="00000000" w:rsidRDefault="001D2166">
            <w:pPr>
              <w:pStyle w:val="a3"/>
              <w:spacing w:before="0" w:beforeAutospacing="0" w:after="0" w:afterAutospacing="0"/>
              <w:jc w:val="both"/>
              <w:rPr>
                <w:sz w:val="20"/>
                <w:szCs w:val="20"/>
              </w:rPr>
            </w:pPr>
            <w:r>
              <w:rPr>
                <w:sz w:val="20"/>
                <w:szCs w:val="20"/>
              </w:rPr>
              <w:t>Sea Level Rise</w:t>
            </w:r>
          </w:p>
        </w:tc>
        <w:tc>
          <w:tcPr>
            <w:tcW w:w="3825" w:type="pct"/>
            <w:shd w:val="clear" w:color="auto" w:fill="FFFFFF"/>
            <w:hideMark/>
          </w:tcPr>
          <w:p w:rsidR="00000000" w:rsidRDefault="001D2166">
            <w:pPr>
              <w:pStyle w:val="a3"/>
              <w:spacing w:before="0" w:beforeAutospacing="0" w:after="0" w:afterAutospacing="0"/>
              <w:jc w:val="both"/>
              <w:rPr>
                <w:sz w:val="20"/>
                <w:szCs w:val="20"/>
              </w:rPr>
            </w:pPr>
            <w:r>
              <w:rPr>
                <w:sz w:val="20"/>
                <w:szCs w:val="20"/>
              </w:rPr>
              <w:t>Rising sea levels could lead to storm surge and other potential impacts fo</w:t>
            </w:r>
            <w:r>
              <w:rPr>
                <w:sz w:val="20"/>
                <w:szCs w:val="20"/>
              </w:rPr>
              <w:t>r low-lying coastal properties leading to damage, loss of property value and interruptions to business operations</w:t>
            </w:r>
          </w:p>
        </w:tc>
      </w:tr>
      <w:tr w:rsidR="00000000">
        <w:trPr>
          <w:tblCellSpacing w:w="0" w:type="dxa"/>
        </w:trPr>
        <w:tc>
          <w:tcPr>
            <w:tcW w:w="12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Flooding</w:t>
            </w:r>
          </w:p>
        </w:tc>
        <w:tc>
          <w:tcPr>
            <w:tcW w:w="382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Change in rainfall conditions leading to increased frequency and severity of flooding could lead to property damage, loss of prope</w:t>
            </w:r>
            <w:r>
              <w:rPr>
                <w:sz w:val="20"/>
                <w:szCs w:val="20"/>
              </w:rPr>
              <w:t>rty value and interruptions to business operations</w:t>
            </w:r>
          </w:p>
        </w:tc>
      </w:tr>
      <w:tr w:rsidR="00000000">
        <w:trPr>
          <w:tblCellSpacing w:w="0" w:type="dxa"/>
        </w:trPr>
        <w:tc>
          <w:tcPr>
            <w:tcW w:w="12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115" w:type="pct"/>
            <w:shd w:val="clear" w:color="auto" w:fill="FFFFFF"/>
            <w:hideMark/>
          </w:tcPr>
          <w:p w:rsidR="00000000" w:rsidRDefault="001D2166">
            <w:pPr>
              <w:pStyle w:val="a3"/>
              <w:spacing w:before="0" w:beforeAutospacing="0" w:after="0" w:afterAutospacing="0"/>
              <w:jc w:val="both"/>
              <w:rPr>
                <w:sz w:val="20"/>
                <w:szCs w:val="20"/>
              </w:rPr>
            </w:pPr>
            <w:r>
              <w:rPr>
                <w:sz w:val="20"/>
                <w:szCs w:val="20"/>
              </w:rPr>
              <w:t>Wildfires</w:t>
            </w:r>
          </w:p>
        </w:tc>
        <w:tc>
          <w:tcPr>
            <w:tcW w:w="3825" w:type="pct"/>
            <w:shd w:val="clear" w:color="auto" w:fill="FFFFFF"/>
            <w:hideMark/>
          </w:tcPr>
          <w:p w:rsidR="00000000" w:rsidRDefault="001D2166">
            <w:pPr>
              <w:pStyle w:val="a3"/>
              <w:spacing w:before="0" w:beforeAutospacing="0" w:after="0" w:afterAutospacing="0"/>
              <w:jc w:val="both"/>
              <w:rPr>
                <w:sz w:val="20"/>
                <w:szCs w:val="20"/>
              </w:rPr>
            </w:pPr>
            <w:r>
              <w:rPr>
                <w:sz w:val="20"/>
                <w:szCs w:val="20"/>
              </w:rPr>
              <w:t>Change in fire potential could lead to permanent loss of property, stress on human health (air quality) and stress on ecosystem services</w:t>
            </w:r>
          </w:p>
        </w:tc>
      </w:tr>
      <w:tr w:rsidR="00000000">
        <w:trPr>
          <w:tblCellSpacing w:w="0" w:type="dxa"/>
        </w:trPr>
        <w:tc>
          <w:tcPr>
            <w:tcW w:w="12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Heat and Water Stress</w:t>
            </w:r>
          </w:p>
        </w:tc>
        <w:tc>
          <w:tcPr>
            <w:tcW w:w="382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Increases in temperature could</w:t>
            </w:r>
            <w:r>
              <w:rPr>
                <w:sz w:val="20"/>
                <w:szCs w:val="20"/>
              </w:rPr>
              <w:t xml:space="preserve"> lead to droughts and decreased available water supply could lead to higher utility usage, supply interruptions and reputational issues in local communities</w:t>
            </w:r>
          </w:p>
        </w:tc>
      </w:tr>
      <w:tr w:rsidR="00000000">
        <w:trPr>
          <w:tblCellSpacing w:w="0" w:type="dxa"/>
        </w:trPr>
        <w:tc>
          <w:tcPr>
            <w:tcW w:w="1235" w:type="pct"/>
            <w:gridSpan w:val="2"/>
            <w:shd w:val="clear" w:color="auto" w:fill="FFFFFF"/>
            <w:vAlign w:val="bottom"/>
            <w:hideMark/>
          </w:tcPr>
          <w:p w:rsidR="00000000" w:rsidRDefault="001D2166">
            <w:pPr>
              <w:pStyle w:val="a3"/>
              <w:spacing w:before="0" w:beforeAutospacing="0" w:after="0" w:afterAutospacing="0"/>
              <w:jc w:val="both"/>
              <w:rPr>
                <w:sz w:val="20"/>
                <w:szCs w:val="20"/>
              </w:rPr>
            </w:pPr>
            <w:r>
              <w:rPr>
                <w:sz w:val="20"/>
                <w:szCs w:val="20"/>
                <w:u w:val="single"/>
              </w:rPr>
              <w:t>Transition</w:t>
            </w:r>
          </w:p>
        </w:tc>
        <w:tc>
          <w:tcPr>
            <w:tcW w:w="3825" w:type="pct"/>
            <w:shd w:val="clear" w:color="auto" w:fill="FFFFFF"/>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2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11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Regulation</w:t>
            </w:r>
          </w:p>
        </w:tc>
        <w:tc>
          <w:tcPr>
            <w:tcW w:w="3825"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Regulations at the federal, state and local levels could impose additional operating and capital costs associated with utilities, energy efficiency, building materials and building design</w:t>
            </w:r>
          </w:p>
        </w:tc>
      </w:tr>
      <w:tr w:rsidR="00000000">
        <w:trPr>
          <w:tblCellSpacing w:w="0" w:type="dxa"/>
        </w:trPr>
        <w:tc>
          <w:tcPr>
            <w:tcW w:w="12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115" w:type="pct"/>
            <w:shd w:val="clear" w:color="auto" w:fill="FFFFFF"/>
            <w:hideMark/>
          </w:tcPr>
          <w:p w:rsidR="00000000" w:rsidRDefault="001D2166">
            <w:pPr>
              <w:pStyle w:val="a3"/>
              <w:spacing w:before="0" w:beforeAutospacing="0" w:after="0" w:afterAutospacing="0"/>
              <w:jc w:val="both"/>
              <w:rPr>
                <w:sz w:val="20"/>
                <w:szCs w:val="20"/>
              </w:rPr>
            </w:pPr>
            <w:r>
              <w:rPr>
                <w:sz w:val="20"/>
                <w:szCs w:val="20"/>
              </w:rPr>
              <w:t>Reputation</w:t>
            </w:r>
          </w:p>
        </w:tc>
        <w:tc>
          <w:tcPr>
            <w:tcW w:w="3825" w:type="pct"/>
            <w:shd w:val="clear" w:color="auto" w:fill="FFFFFF"/>
            <w:hideMark/>
          </w:tcPr>
          <w:p w:rsidR="00000000" w:rsidRDefault="001D2166">
            <w:pPr>
              <w:pStyle w:val="a3"/>
              <w:spacing w:before="0" w:beforeAutospacing="0" w:after="0" w:afterAutospacing="0"/>
              <w:jc w:val="both"/>
              <w:rPr>
                <w:sz w:val="20"/>
                <w:szCs w:val="20"/>
              </w:rPr>
            </w:pPr>
            <w:r>
              <w:rPr>
                <w:sz w:val="20"/>
                <w:szCs w:val="20"/>
              </w:rPr>
              <w:t>Increased interest among retail tenants in building ef</w:t>
            </w:r>
            <w:r>
              <w:rPr>
                <w:sz w:val="20"/>
                <w:szCs w:val="20"/>
              </w:rPr>
              <w:t>ficiency, sustainable design criteria and "green leases", which incorporate provisions intended to promote sustainability at the property, could result in decreased demand for outdated space</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w:t>
      </w:r>
      <w:r>
        <w:rPr>
          <w:sz w:val="20"/>
          <w:szCs w:val="20"/>
        </w:rPr>
        <w:t>s approach in mitigating these risks include but are not limited to (i) carrying additional insurance coverage relating to flooding and windstorms, (ii) maintaining a geographically diversified portfolio, which limits exposure to event driven risks and (ii</w:t>
      </w:r>
      <w:r>
        <w:rPr>
          <w:sz w:val="20"/>
          <w:szCs w:val="20"/>
        </w:rPr>
        <w:t>i) creating a form “green lease” for its tenants which incorporates varied criteria that align landlord and tenant sustainability priorities as well as establishing green construction criteria.</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2020, the Company issued $500.0 million in 2.70% notes du</w:t>
      </w:r>
      <w:r>
        <w:rPr>
          <w:sz w:val="20"/>
          <w:szCs w:val="20"/>
        </w:rPr>
        <w:t>e 2030 in its inaugural green bond offering. The net proceeds from this offering are allocated to finance or refinance, in whole or in part, recently completed, existing or future eligible green projects, in alignment with the four core components of the G</w:t>
      </w:r>
      <w:r>
        <w:rPr>
          <w:sz w:val="20"/>
          <w:szCs w:val="20"/>
        </w:rPr>
        <w:t>reen Bond Principles, 2018 as administered by the International Capital Market Association. Additionally, the Company’s $2.0 billion Credit Facility (as defined below) is a green credit facility which incorporates rate adjustments associated with attainmen</w:t>
      </w:r>
      <w:r>
        <w:rPr>
          <w:sz w:val="20"/>
          <w:szCs w:val="20"/>
        </w:rPr>
        <w:t>t (or nonattainment) of Scope 1 and 2 greenhouse gas emissions reductions.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believes its industry leading ESG initiatives led to its 2021 listing on the Dow Jones Sustainability North America Index (“DJSI North America Index”), designed for in</w:t>
      </w:r>
      <w:r>
        <w:rPr>
          <w:sz w:val="20"/>
          <w:szCs w:val="20"/>
        </w:rPr>
        <w:t>vestors who recognize that sustainable business practices are critical to generating long-term shareholder value.  The Company also is a constituent of the FTSE4Good Index Series, designed to measure the performance of companies related to ESG practices.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Information About Our Executive Officers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The following table sets forth information with respect to the executive officers of the Company as of December 31, 2021:</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1286"/>
        <w:gridCol w:w="79"/>
        <w:gridCol w:w="79"/>
        <w:gridCol w:w="1578"/>
        <w:gridCol w:w="79"/>
        <w:gridCol w:w="2975"/>
        <w:gridCol w:w="79"/>
        <w:gridCol w:w="79"/>
        <w:gridCol w:w="1578"/>
        <w:gridCol w:w="79"/>
      </w:tblGrid>
      <w:tr w:rsidR="00000000">
        <w:trPr>
          <w:tblCellSpacing w:w="0" w:type="dxa"/>
        </w:trPr>
        <w:tc>
          <w:tcPr>
            <w:tcW w:w="815" w:type="pct"/>
            <w:tcBorders>
              <w:bottom w:val="single" w:sz="6" w:space="0" w:color="000000"/>
            </w:tcBorders>
            <w:vAlign w:val="bottom"/>
            <w:hideMark/>
          </w:tcPr>
          <w:p w:rsidR="00000000" w:rsidRDefault="001D2166">
            <w:pPr>
              <w:pStyle w:val="a3"/>
              <w:spacing w:before="0" w:beforeAutospacing="0" w:after="0" w:afterAutospacing="0"/>
              <w:rPr>
                <w:sz w:val="20"/>
                <w:szCs w:val="20"/>
              </w:rPr>
            </w:pPr>
            <w:r>
              <w:rPr>
                <w:b/>
                <w:bCs/>
                <w:sz w:val="20"/>
                <w:szCs w:val="20"/>
              </w:rPr>
              <w:t>Name</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Age</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188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Position</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Joined Kimco</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Milton Cooper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92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Executive Chairman of the Board of Directors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Co-Founder</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Conor C. Flynn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jc w:val="center"/>
              <w:rPr>
                <w:rFonts w:eastAsia="Times New Roman"/>
                <w:sz w:val="20"/>
                <w:szCs w:val="20"/>
              </w:rPr>
            </w:pPr>
            <w:r>
              <w:rPr>
                <w:rFonts w:eastAsia="Times New Roman"/>
                <w:sz w:val="20"/>
                <w:szCs w:val="20"/>
              </w:rPr>
              <w:t>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Chief Executive Officer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jc w:val="center"/>
              <w:rPr>
                <w:rFonts w:eastAsia="Times New Roman"/>
                <w:sz w:val="20"/>
                <w:szCs w:val="20"/>
              </w:rPr>
            </w:pPr>
            <w:r>
              <w:rPr>
                <w:rFonts w:eastAsia="Times New Roman"/>
                <w:sz w:val="20"/>
                <w:szCs w:val="20"/>
              </w:rPr>
              <w:t>2003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Ross Cooper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39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President and Chief Investment Officer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2006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center"/>
            <w:hideMark/>
          </w:tcPr>
          <w:p w:rsidR="00000000" w:rsidRDefault="001D2166">
            <w:pPr>
              <w:pStyle w:val="a3"/>
              <w:spacing w:before="0" w:beforeAutospacing="0" w:after="0" w:afterAutospacing="0"/>
              <w:rPr>
                <w:sz w:val="20"/>
                <w:szCs w:val="20"/>
              </w:rPr>
            </w:pPr>
            <w:r>
              <w:rPr>
                <w:sz w:val="20"/>
                <w:szCs w:val="20"/>
              </w:rPr>
              <w:t>Glenn G. Cohen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57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Executive Vice President,</w:t>
            </w:r>
            <w:r>
              <w:rPr>
                <w:sz w:val="20"/>
                <w:szCs w:val="20"/>
              </w:rPr>
              <w:br/>
              <w:t>Chief Financial Officer and Treasurer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jc w:val="center"/>
              <w:rPr>
                <w:rFonts w:eastAsia="Times New Roman"/>
                <w:sz w:val="20"/>
                <w:szCs w:val="20"/>
              </w:rPr>
            </w:pPr>
            <w:r>
              <w:rPr>
                <w:rFonts w:eastAsia="Times New Roman"/>
                <w:sz w:val="20"/>
                <w:szCs w:val="20"/>
              </w:rPr>
              <w:t>1995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1D2166">
            <w:pPr>
              <w:pStyle w:val="a3"/>
              <w:spacing w:before="0" w:beforeAutospacing="0" w:after="0" w:afterAutospacing="0"/>
              <w:rPr>
                <w:sz w:val="20"/>
                <w:szCs w:val="20"/>
              </w:rPr>
            </w:pPr>
            <w:r>
              <w:rPr>
                <w:sz w:val="20"/>
                <w:szCs w:val="20"/>
              </w:rPr>
              <w:t>David Jamieson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Executive Vice President,</w:t>
            </w:r>
            <w:r>
              <w:rPr>
                <w:sz w:val="20"/>
                <w:szCs w:val="20"/>
              </w:rPr>
              <w:br/>
              <w:t>Chief Operating Officer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2007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Available Information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Company’s website is located at </w:t>
      </w:r>
      <w:r>
        <w:rPr>
          <w:i/>
          <w:iCs/>
          <w:sz w:val="20"/>
          <w:szCs w:val="20"/>
          <w:u w:val="single"/>
        </w:rPr>
        <w:t>http://www.kimcorealty.com</w:t>
      </w:r>
      <w:r>
        <w:rPr>
          <w:sz w:val="20"/>
          <w:szCs w:val="20"/>
        </w:rPr>
        <w:t xml:space="preserve">. The information contained on our website does not constitute part of this Form 10-K. On the Company’s website you can obtain, free of charge, a copy of this Form 10-K, quarterly reports on Form 10-Q, current reports on Form 8-K </w:t>
      </w:r>
      <w:r>
        <w:rPr>
          <w:sz w:val="20"/>
          <w:szCs w:val="20"/>
        </w:rPr>
        <w:t>and amendments to those reports filed or furnished pursuant to Section 13(a) or 15(d) of the Exchange Act of 1934, as amended, as soon as reasonably practicable, after we file such material electronically with, or furnish it to, the SEC. The public may rea</w:t>
      </w:r>
      <w:r>
        <w:rPr>
          <w:sz w:val="20"/>
          <w:szCs w:val="20"/>
        </w:rPr>
        <w:t xml:space="preserve">d and obtain a copy of any materials we file electronically with the SEC at </w:t>
      </w:r>
      <w:r>
        <w:rPr>
          <w:i/>
          <w:iCs/>
          <w:sz w:val="20"/>
          <w:szCs w:val="20"/>
          <w:u w:val="single"/>
        </w:rPr>
        <w:t>http://www.sec.gov</w:t>
      </w:r>
      <w:r>
        <w:rPr>
          <w:sz w:val="20"/>
          <w:szCs w:val="20"/>
        </w:rPr>
        <w:t>.</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jc w:val="center"/>
        <w:divId w:val="1349527578"/>
        <w:rPr>
          <w:rFonts w:eastAsia="Times New Roman"/>
          <w:sz w:val="20"/>
          <w:szCs w:val="20"/>
        </w:rPr>
      </w:pPr>
      <w:r>
        <w:rPr>
          <w:rFonts w:eastAsia="Times New Roman"/>
          <w:sz w:val="20"/>
          <w:szCs w:val="20"/>
        </w:rPr>
        <w:t xml:space="preserve">9 </w:t>
      </w:r>
    </w:p>
    <w:p w:rsidR="00000000" w:rsidRDefault="001D2166">
      <w:pPr>
        <w:divId w:val="1349527578"/>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1D2166">
      <w:pPr>
        <w:divId w:val="16278138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1A. Risk Factors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We are subject to certain business and legal risks including, but not limited to, the following: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Risks Related to Our Business and 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 xml:space="preserve">Adverse global market and economic conditions may impede our ability to generate sufficient income and maintain our properties.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properties consist primarily of open-air shopping centers, including mixed-use assets, and other retail properties. Our p</w:t>
      </w:r>
      <w:r>
        <w:rPr>
          <w:sz w:val="20"/>
          <w:szCs w:val="20"/>
        </w:rPr>
        <w:t>erformance, therefore, is generally linked to economic conditions in the market for retail space. The economic performance and value of our properties is subject to all of the risks associated with owning and operating real estate, including but not limite</w:t>
      </w:r>
      <w:r>
        <w:rPr>
          <w:sz w:val="20"/>
          <w:szCs w:val="20"/>
        </w:rPr>
        <w:t>d to:</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changes in the national, regional and local economic climate;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local conditions, including an oversupply of, or a reduction in demand for, space in properties like those that we own or operate;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trends toward smaller store sizes as re</w:t>
            </w:r>
            <w:r>
              <w:rPr>
                <w:sz w:val="20"/>
                <w:szCs w:val="20"/>
              </w:rPr>
              <w:t>tailers reduce inventory and develop new prototypes;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increasing use by customers of e-commerce and online store sites;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attractiveness of our properties to tenants;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market disruptions due to global pandemics;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ability of tenants to pay rent, particularly anchor tenants with leases in multiple locations;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tenants who may declare bankruptcy and/or close stores;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competition from other available properties to attract and retain tenants;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changes in market rental rates;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need to periodically pay for costs to repair, renovate and re-let space</w:t>
            </w:r>
            <w:r>
              <w:rPr>
                <w:sz w:val="20"/>
                <w:szCs w:val="20"/>
              </w:rPr>
              <w: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ongoing consolidation in the retail sector;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excess amount of retail space in a number of markets;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changes in operating costs, including costs for maintenance, insurance and real estate taxes;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expenses of owning and operating properties, which are not necessarily reduced when circumstances such as market factors and competition cause a reducti</w:t>
            </w:r>
            <w:r>
              <w:rPr>
                <w:sz w:val="20"/>
                <w:szCs w:val="20"/>
              </w:rPr>
              <w:t>on in income from the properties;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changes in laws and governmental regulations, including those governing usage, zoning, the environment and taxes;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acts of terrorism and war and acts of God, including physical and weather-related damage to our properties;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continued service and availability of key personnel;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risk of functional obsolescence of properties over time.</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Competition may limit our ability to purchase new properties or generate sufficient income from tenants and may decrease the occupancy and rental rates for our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Numerous commercia</w:t>
      </w:r>
      <w:r>
        <w:rPr>
          <w:sz w:val="20"/>
          <w:szCs w:val="20"/>
        </w:rPr>
        <w:t xml:space="preserve">l developers and real estate companies compete with us in seeking tenants for our existing properties and properties for acquisition. Open-air shopping centers, including mixed-use assets, or other retail shopping centers with more convenient locations or </w:t>
      </w:r>
      <w:r>
        <w:rPr>
          <w:sz w:val="20"/>
          <w:szCs w:val="20"/>
        </w:rPr>
        <w:t xml:space="preserve">better rents may attract tenants or cause them to seek more favorable lease terms at or prior to renewal. Retailers at our properties may face increasing competition from other retailers, e-commerce, outlet malls, discount shopping clubs, telemarketing or </w:t>
      </w:r>
      <w:r>
        <w:rPr>
          <w:sz w:val="20"/>
          <w:szCs w:val="20"/>
        </w:rPr>
        <w:t>home shopping networks, all of which could (i) reduce rents payable to us; (ii) reduce our ability to attract and retain tenants at our properties; or (iii) lead to increased vacancy rates at our properties. We may fail to anticipate the effects of changes</w:t>
      </w:r>
      <w:r>
        <w:rPr>
          <w:sz w:val="20"/>
          <w:szCs w:val="20"/>
        </w:rPr>
        <w:t xml:space="preserve"> in consumer buying practices, particularly of growing online sales and the resulting retailing practices and space needs of our tenants or a general downturn in our tenants’ businesses, which may cause tenants to close stores or default in payment of rent</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face competition in the acquisition or development of real property from others engaged in real estate investment that could increase our costs associated with purchasing and maintaining assets. Some of these competitors may have greater financial r</w:t>
      </w:r>
      <w:r>
        <w:rPr>
          <w:sz w:val="20"/>
          <w:szCs w:val="20"/>
        </w:rPr>
        <w:t>esources than we do. This could result in competition for the acquisition of properties for tenants who lease or consider leasing space in our existing and subsequently acquired properties and for other investment or development opportunities.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Our performance depends on our ability to collect rent from tenants, including anchor tenants, our tenants</w:t>
      </w:r>
      <w:r>
        <w:rPr>
          <w:sz w:val="20"/>
          <w:szCs w:val="20"/>
        </w:rPr>
        <w:t>’</w:t>
      </w:r>
      <w:r>
        <w:rPr>
          <w:b/>
          <w:bCs/>
          <w:sz w:val="20"/>
          <w:szCs w:val="20"/>
        </w:rPr>
        <w:t xml:space="preserve"> financial condition and our tenants maintaining leases for our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At any time, our tenants may experience a downturn in their business th</w:t>
      </w:r>
      <w:r>
        <w:rPr>
          <w:sz w:val="20"/>
          <w:szCs w:val="20"/>
        </w:rPr>
        <w:t xml:space="preserve">at may significantly weaken their financial condition. As a result, our tenants may delay a number of lease commencements, decline to extend or renew leases upon expiration, fail to make rental payments when due, close stores or declare bankruptcy. Any of </w:t>
      </w:r>
      <w:r>
        <w:rPr>
          <w:sz w:val="20"/>
          <w:szCs w:val="20"/>
        </w:rPr>
        <w:t>these actions could result in the termination of tenants’ leases and the loss of rental income attributable to these tenants’ leases. In the event of a default by a tenant, we may experience delays and costs in enforcing our rights as landlord under the te</w:t>
      </w:r>
      <w:r>
        <w:rPr>
          <w:sz w:val="20"/>
          <w:szCs w:val="20"/>
        </w:rPr>
        <w:t>rms of the leases.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416370655"/>
        <w:rPr>
          <w:rFonts w:eastAsia="Times New Roman"/>
          <w:sz w:val="20"/>
          <w:szCs w:val="20"/>
        </w:rPr>
      </w:pPr>
      <w:r>
        <w:rPr>
          <w:rFonts w:eastAsia="Times New Roman"/>
          <w:sz w:val="20"/>
          <w:szCs w:val="20"/>
        </w:rPr>
        <w:t xml:space="preserve">10 </w:t>
      </w:r>
    </w:p>
    <w:p w:rsidR="00000000" w:rsidRDefault="001D2166">
      <w:pPr>
        <w:divId w:val="1208489523"/>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1D2166">
      <w:pPr>
        <w:divId w:val="7601067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In addition, multiple lease terminations by tenants, including anchor tenants, or a failure by multiple tenants to occupy their premises in a shopping center could result in lease terminations or significant reductions in rent by other tenants in the same </w:t>
      </w:r>
      <w:r>
        <w:rPr>
          <w:sz w:val="20"/>
          <w:szCs w:val="20"/>
        </w:rPr>
        <w:t>shopping centers under the terms of some leases. In that event, we may be unable to re-lease the vacated space at attractive rents or at all, and our rental payments from our continuing tenants could significantly decrease. The occurrence of any of the sit</w:t>
      </w:r>
      <w:r>
        <w:rPr>
          <w:sz w:val="20"/>
          <w:szCs w:val="20"/>
        </w:rPr>
        <w:t>uations described above, particularly involving a substantial tenant with leases in multiple locations, could have a material adverse effect on our financial condition, results of operations and cash flows.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 tenant that files for bankruptcy protection m</w:t>
      </w:r>
      <w:r>
        <w:rPr>
          <w:sz w:val="20"/>
          <w:szCs w:val="20"/>
        </w:rPr>
        <w:t>ay not continue to pay us rent. A bankruptcy filing by, or relating to, one of our tenants or a lease guarantor would bar all efforts by us to collect pre-bankruptcy debts from the tenant or the lease guarantor, or their property, unless the bankruptcy cou</w:t>
      </w:r>
      <w:r>
        <w:rPr>
          <w:sz w:val="20"/>
          <w:szCs w:val="20"/>
        </w:rPr>
        <w:t>rt permits us to do so. A tenant bankruptcy could delay our efforts to collect past due balances under the relevant leases and could ultimately preclude collection of these sums. If a lease is rejected by a tenant in bankruptcy, we would have only a genera</w:t>
      </w:r>
      <w:r>
        <w:rPr>
          <w:sz w:val="20"/>
          <w:szCs w:val="20"/>
        </w:rPr>
        <w:t>l unsecured claim for damages. As a result, it is likely that we would recover substantially less than the full value of any unsecured claims we hold, if at all.</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E-commerce and other changes in consumer buying practices present challenges for many of our</w:t>
      </w:r>
      <w:r>
        <w:rPr>
          <w:b/>
          <w:bCs/>
          <w:sz w:val="20"/>
          <w:szCs w:val="20"/>
        </w:rPr>
        <w:t xml:space="preserve"> tenants and may require us to modify our properties, diversify our tenant composition and adapt our leasing practices to remain competitive.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Many of our tenants face increasing competition from e-commerce and other sources that could cause them to reduc</w:t>
      </w:r>
      <w:r>
        <w:rPr>
          <w:sz w:val="20"/>
          <w:szCs w:val="20"/>
        </w:rPr>
        <w:t>e their size, limit the number of locations and/or suffer a general downturn in their businesses and ability to pay rent. We may also fail to anticipate the effects of changes in consumer buying practices, particularly of growing online sales and the resul</w:t>
      </w:r>
      <w:r>
        <w:rPr>
          <w:sz w:val="20"/>
          <w:szCs w:val="20"/>
        </w:rPr>
        <w:t>ting change in retailing practices and space needs of our tenants, which could have an adverse effect on our results of operations and cash flows. We are focused on anchoring and diversifying our properties with tenants that are more resistant to competiti</w:t>
      </w:r>
      <w:r>
        <w:rPr>
          <w:sz w:val="20"/>
          <w:szCs w:val="20"/>
        </w:rPr>
        <w:t>on from e-commerce (e.g. groceries, essential retailers, restaurants and service providers), but there can be no assurance that we will be successful in modifying our properties, diversifying our tenant composition and/or adapting our leasing practices.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Our expenses may remain constant or increase, even if income from our Combined Shopping Center Portfolio decreases, which could adversely affect our financial condition, results of operations and cash flows.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Costs associated with our business, such as co</w:t>
      </w:r>
      <w:r>
        <w:rPr>
          <w:sz w:val="20"/>
          <w:szCs w:val="20"/>
        </w:rPr>
        <w:t xml:space="preserve">mmon area expenses, utilities, insurance, real estate taxes, mortgage payments, and corporate expenses are relatively inflexible and generally do not decrease in the event that a property is not fully occupied, rental rates decrease, a tenant fails to pay </w:t>
      </w:r>
      <w:r>
        <w:rPr>
          <w:sz w:val="20"/>
          <w:szCs w:val="20"/>
        </w:rPr>
        <w:t>rent or other circumstances cause our revenues to decrease. In addition, inflation could result in higher operating costs. If we are unable to lower our operating costs when revenues decline and/or are unable to pass along cost increases to our tenants, ou</w:t>
      </w:r>
      <w:r>
        <w:rPr>
          <w:sz w:val="20"/>
          <w:szCs w:val="20"/>
        </w:rPr>
        <w:t>r financial condition, results of operations and cash flows could be adversely impacted.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 xml:space="preserve">We may be unable to sell our real estate property investments when appropriate or on terms favorable to us.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Real estate property investments are illiquid and gene</w:t>
      </w:r>
      <w:r>
        <w:rPr>
          <w:sz w:val="20"/>
          <w:szCs w:val="20"/>
        </w:rPr>
        <w:t>rally cannot be disposed of quickly. The capitalization rates at which properties may be sold could be higher than historic rates, thereby reducing our potential proceeds from sale. In addition, the Code includes certain restrictions on a REIT’s ability to</w:t>
      </w:r>
      <w:r>
        <w:rPr>
          <w:sz w:val="20"/>
          <w:szCs w:val="20"/>
        </w:rPr>
        <w:t xml:space="preserve"> dispose of properties that are not applicable to other types of real estate companies. Therefore, we may not be able to vary our portfolio in response to economic or other conditions promptly or on terms favorable to us within a time frame that we would n</w:t>
      </w:r>
      <w:r>
        <w:rPr>
          <w:sz w:val="20"/>
          <w:szCs w:val="20"/>
        </w:rPr>
        <w:t>eed. All of these factors reduce our ability to respond to changes in the performance of our investments and could adversely affect our business, financial condition and results of 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Certain properties we own have a low tax basis, which may res</w:t>
      </w:r>
      <w:r>
        <w:rPr>
          <w:sz w:val="20"/>
          <w:szCs w:val="20"/>
        </w:rPr>
        <w:t>ult in a taxable gain on sale. We may utilize 1031 exchanges to mitigate taxable income; however, there can be no assurance that we will identify properties that meet our investment objectives for acquisitions. In the event that we do not utilize 1031 exch</w:t>
      </w:r>
      <w:r>
        <w:rPr>
          <w:sz w:val="20"/>
          <w:szCs w:val="20"/>
        </w:rPr>
        <w:t>anges, we may be required to distribute the gain proceeds to shareholders or pay income tax, which may reduce our cash flow available to fund our commitments.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may acquire or develop properties or acquire other real estate related companies, and this may create risks.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may acquire or develop properties or acquire other real estate related companies when we believe that an acquisition or development is cons</w:t>
      </w:r>
      <w:r>
        <w:rPr>
          <w:sz w:val="20"/>
          <w:szCs w:val="20"/>
        </w:rPr>
        <w:t>istent with our business strategies. We may not succeed in consummating desired acquisitions or in completing developments on time or within budget. When we do pursue a project or acquisition, we may not succeed in leasing newly developed or acquired prope</w:t>
      </w:r>
      <w:r>
        <w:rPr>
          <w:sz w:val="20"/>
          <w:szCs w:val="20"/>
        </w:rPr>
        <w:t>rties at rents sufficient to cover the costs of acquisition or development and operations. Difficulties in integrating acquisitions may prove costly or time-consuming and could divert management’s attention from other activities. Acquisitions or developmen</w:t>
      </w:r>
      <w:r>
        <w:rPr>
          <w:sz w:val="20"/>
          <w:szCs w:val="20"/>
        </w:rPr>
        <w:t>ts in new markets or industries where we do not have the same level of market knowledge may result in poorer than anticipated performance. We may also abandon acquisition or development opportunities that management has begun pursuing and consequently fail</w:t>
      </w:r>
      <w:r>
        <w:rPr>
          <w:sz w:val="20"/>
          <w:szCs w:val="20"/>
        </w:rPr>
        <w:t xml:space="preserve"> to recover expenses already incurred and will have devoted management’s time to a matter not consummated. Furthermore, our acquisitions of new properties or companies will expose us to the liabilities of those properties or companies, some of which we may</w:t>
      </w:r>
      <w:r>
        <w:rPr>
          <w:sz w:val="20"/>
          <w:szCs w:val="20"/>
        </w:rPr>
        <w:t xml:space="preserve"> not be aware of at the time of the acquisition. In addition, development of our existing properties presents similar risks.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Newly acquired or re-developed properties may have characteristics or deficiencies currently unknown to us that affect their valu</w:t>
      </w:r>
      <w:r>
        <w:rPr>
          <w:sz w:val="20"/>
          <w:szCs w:val="20"/>
        </w:rPr>
        <w:t>e or revenue potential. It is also possible that the operating performance of these properties may decline under our management. As we acquire additional properties, we will be subject to risks associated with managing new properties, including lease-up an</w:t>
      </w:r>
      <w:r>
        <w:rPr>
          <w:sz w:val="20"/>
          <w:szCs w:val="20"/>
        </w:rPr>
        <w:t>d tenant retention. In addition, our ability to manage our growth effectively will require us to successfully integrate our new acquisitions into our existing management structure. We may not succeed with this integration or effectively manage additional p</w:t>
      </w:r>
      <w:r>
        <w:rPr>
          <w:sz w:val="20"/>
          <w:szCs w:val="20"/>
        </w:rPr>
        <w:t>roperties, particularly in secondary markets. Also, newly acquired properties may not perform as expected.</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558789706"/>
        <w:rPr>
          <w:rFonts w:eastAsia="Times New Roman"/>
          <w:sz w:val="20"/>
          <w:szCs w:val="20"/>
        </w:rPr>
      </w:pPr>
      <w:r>
        <w:rPr>
          <w:rFonts w:eastAsia="Times New Roman"/>
          <w:sz w:val="20"/>
          <w:szCs w:val="20"/>
        </w:rPr>
        <w:t xml:space="preserve">11 </w:t>
      </w:r>
    </w:p>
    <w:p w:rsidR="00000000" w:rsidRDefault="001D2166">
      <w:pPr>
        <w:divId w:val="209809860"/>
        <w:rPr>
          <w:rFonts w:eastAsia="Times New Roman"/>
          <w:sz w:val="20"/>
          <w:szCs w:val="20"/>
        </w:rPr>
      </w:pPr>
      <w:r>
        <w:rPr>
          <w:rFonts w:eastAsia="Times New Roman"/>
          <w:sz w:val="20"/>
          <w:szCs w:val="20"/>
        </w:rPr>
        <w:pict>
          <v:rect id="_x0000_i1041" style="width:415.3pt;height:1.5pt" o:hralign="center" o:hrstd="t" o:hrnoshade="t" o:hr="t" fillcolor="black" stroked="f"/>
        </w:pict>
      </w:r>
    </w:p>
    <w:p w:rsidR="00000000" w:rsidRDefault="001D2166">
      <w:pPr>
        <w:divId w:val="15329160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face risks associated with the development of</w:t>
      </w:r>
      <w:r>
        <w:rPr>
          <w:sz w:val="20"/>
          <w:szCs w:val="20"/>
        </w:rPr>
        <w:t> </w:t>
      </w:r>
      <w:r>
        <w:rPr>
          <w:b/>
          <w:bCs/>
          <w:sz w:val="20"/>
          <w:szCs w:val="20"/>
        </w:rPr>
        <w:t>mixed-use</w:t>
      </w:r>
      <w:r>
        <w:rPr>
          <w:sz w:val="20"/>
          <w:szCs w:val="20"/>
        </w:rPr>
        <w:t> </w:t>
      </w:r>
      <w:r>
        <w:rPr>
          <w:b/>
          <w:bCs/>
          <w:sz w:val="20"/>
          <w:szCs w:val="20"/>
        </w:rPr>
        <w:t>commercial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operate, are currently developing, and may in the future develop, properties either alone or through joint ventures with other persons that are known as “mixed-use” developments. This means that in addition to the development of retail space, the projec</w:t>
      </w:r>
      <w:r>
        <w:rPr>
          <w:sz w:val="20"/>
          <w:szCs w:val="20"/>
        </w:rPr>
        <w:t xml:space="preserve">t may also include space for residential, office, hotel or other commercial purposes. We have less experience in developing and managing non-retail real estate than we do with retail real estate. As a result, if a development project includes a non-retail </w:t>
      </w:r>
      <w:r>
        <w:rPr>
          <w:sz w:val="20"/>
          <w:szCs w:val="20"/>
        </w:rPr>
        <w:t>use, we may seek to develop that component ourselves, sell the rights to that component to a third-party developer with experience developing properties for such use or partner with such a developer. If we do not sell the rights or partner with such a deve</w:t>
      </w:r>
      <w:r>
        <w:rPr>
          <w:sz w:val="20"/>
          <w:szCs w:val="20"/>
        </w:rPr>
        <w:t>loper, or if we choose to develop the other component ourselves, we would be exposed not only to those risks typically associated with the development of commercial real estate generally, but also to specific risks associated with the development and owner</w:t>
      </w:r>
      <w:r>
        <w:rPr>
          <w:sz w:val="20"/>
          <w:szCs w:val="20"/>
        </w:rPr>
        <w:t>ship of non-retail real estate. In addition, even if we sell the rights to develop the other component or elect to participate in the development through a joint venture, we may be exposed to the risks associated with the failure of the other party to comp</w:t>
      </w:r>
      <w:r>
        <w:rPr>
          <w:sz w:val="20"/>
          <w:szCs w:val="20"/>
        </w:rPr>
        <w:t>lete the development as expected. These include the risk that the other party would default on its obligations necessitating that we complete the other component ourselves, including providing any necessary financing. In the case of residential properties,</w:t>
      </w:r>
      <w:r>
        <w:rPr>
          <w:sz w:val="20"/>
          <w:szCs w:val="20"/>
        </w:rPr>
        <w:t xml:space="preserve"> these risks include competition for prospective residents from other operators whose properties may be perceived to offer a better location or better amenities or whose rent may be perceived as a better value given the quality, location and amenities that</w:t>
      </w:r>
      <w:r>
        <w:rPr>
          <w:sz w:val="20"/>
          <w:szCs w:val="20"/>
        </w:rPr>
        <w:t xml:space="preserve"> the resident seeks. We will also compete against condominiums and single-family homes that are for sale or rent. In the case of office properties, the risks also include changes in space utilization by tenants due to technology, economic conditions and bu</w:t>
      </w:r>
      <w:r>
        <w:rPr>
          <w:sz w:val="20"/>
          <w:szCs w:val="20"/>
        </w:rPr>
        <w:t>siness culture, declines in financial condition of these tenants and competition for credit worthy office tenants. In the case of hotel properties, the risks also include increases in inflation and utilities that may not be offset by increases in room rate</w:t>
      </w:r>
      <w:r>
        <w:rPr>
          <w:sz w:val="20"/>
          <w:szCs w:val="20"/>
        </w:rPr>
        <w:t>s. We are also dependent on business and commercial travelers and tourism.  Because we have less experience with residential, office and hotel properties than with retail properties, we expect to retain third-parties to manage our residential and other non</w:t>
      </w:r>
      <w:r>
        <w:rPr>
          <w:sz w:val="20"/>
          <w:szCs w:val="20"/>
        </w:rPr>
        <w:t>-retail components as deemed warranted. If we decide to not sell or participate in a joint venture and instead hire a third-party manager, we would be dependent on them and their key personnel who provide services to us and we may not find a suitable repla</w:t>
      </w:r>
      <w:r>
        <w:rPr>
          <w:sz w:val="20"/>
          <w:szCs w:val="20"/>
        </w:rPr>
        <w:t>cement if the management agreement is terminated, or if key personnel leave or otherwise become unavailable to us. </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Construction projects are subject to risks that materially increase the costs of completion.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the event that we decide to redevelop ex</w:t>
      </w:r>
      <w:r>
        <w:rPr>
          <w:sz w:val="20"/>
          <w:szCs w:val="20"/>
        </w:rPr>
        <w:t>isting properties, we will be subject to risks and uncertainties associated with construction and development. These risks include, but are not limited to, risks related to obtaining all necessary zoning, land-use, building occupancy and other governmental</w:t>
      </w:r>
      <w:r>
        <w:rPr>
          <w:sz w:val="20"/>
          <w:szCs w:val="20"/>
        </w:rPr>
        <w:t xml:space="preserve"> permits and authorizations, risks related to the environmental concerns of government entities or community groups, risks related to changes in economic and market conditions between development commencement and stabilization, risks related to constructio</w:t>
      </w:r>
      <w:r>
        <w:rPr>
          <w:sz w:val="20"/>
          <w:szCs w:val="20"/>
        </w:rPr>
        <w:t xml:space="preserve">n labor disruptions, adverse weather, acts of God or shortages of materials and labor which could cause construction delays and risks related to increases in the cost of labor and materials which could cause construction costs to be greater than projected </w:t>
      </w:r>
      <w:r>
        <w:rPr>
          <w:sz w:val="20"/>
          <w:szCs w:val="20"/>
        </w:rPr>
        <w:t>and adversely impact the amount of our development fees or our financial condition, results of operations and cash flows.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Supply chain disruptions and unexpected construction expenses and delays could impact our ability to timely deliver spaces to tenant</w:t>
      </w:r>
      <w:r>
        <w:rPr>
          <w:b/>
          <w:bCs/>
          <w:sz w:val="20"/>
          <w:szCs w:val="20"/>
        </w:rPr>
        <w:t>s and/or our ability to achieve the expected value of a construction project or lease, thereby adversely affecting our profitability.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The construction and building industry, similar to many other industries, are experiencing worldwide supply chain disrup</w:t>
      </w:r>
      <w:r>
        <w:rPr>
          <w:sz w:val="20"/>
          <w:szCs w:val="20"/>
        </w:rPr>
        <w:t>tions due to a multitude of factors that are beyond our control. Materials, parts and labor have also increased in cost over the past year or more, sometimes significantly and over a short period of time. We may incur costs for a property renovation or ten</w:t>
      </w:r>
      <w:r>
        <w:rPr>
          <w:sz w:val="20"/>
          <w:szCs w:val="20"/>
        </w:rPr>
        <w:t>ant buildout that exceeds our original estimates due to increased costs for materials or labor or other costs that are unexpected. We also may be unable to complete renovation of a property or tenant space on schedule due to supply chain disruptions or lab</w:t>
      </w:r>
      <w:r>
        <w:rPr>
          <w:sz w:val="20"/>
          <w:szCs w:val="20"/>
        </w:rPr>
        <w:t>or shortages, which could result in increased debt service expense or construction costs. Additionally, some tenants may have the right to terminate their leases if a renovation project is not completed on time. The time frame required to recoup our renova</w:t>
      </w:r>
      <w:r>
        <w:rPr>
          <w:sz w:val="20"/>
          <w:szCs w:val="20"/>
        </w:rPr>
        <w:t>tion and construction costs and to realize a return on such costs can often be significant and materially adversely affect our profitability.</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 xml:space="preserve">The Americans with Disabilities Act of 1990 could require us to take remedial steps with respect to existing or </w:t>
      </w:r>
      <w:r>
        <w:rPr>
          <w:b/>
          <w:bCs/>
          <w:sz w:val="20"/>
          <w:szCs w:val="20"/>
        </w:rPr>
        <w:t>newly acquired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existing properties, as well as properties we may acquire, as commercial facilities, are required to comply with Title III of the Americans with Disabilities Act of 1990 (the “ADA”). Investigation of a property may reveal n</w:t>
      </w:r>
      <w:r>
        <w:rPr>
          <w:sz w:val="20"/>
          <w:szCs w:val="20"/>
        </w:rPr>
        <w:t>on-compliance with this Act. The requirements of the ADA, or of other federal, state or local laws or regulations, also may change in the future and restrict further renovations of our properties with respect to access for disabled persons. Future complian</w:t>
      </w:r>
      <w:r>
        <w:rPr>
          <w:sz w:val="20"/>
          <w:szCs w:val="20"/>
        </w:rPr>
        <w:t>ce with this Act may require expensive changes to the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do not have exclusive control over our joint venture and preferred equity investments, such that we are unable to ensure that our objectives will be pursued.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have invested in some properties as a co-venturer or a partner, instead of owning directly</w:t>
      </w:r>
      <w:r>
        <w:rPr>
          <w:sz w:val="20"/>
          <w:szCs w:val="20"/>
        </w:rPr>
        <w:t>. In these investments, we do not have exclusive control over the development, financing, leasing, management and other aspects of these investments. As a result, the co-venturer or partner might have interests or goals that are inconsistent with ours, tak</w:t>
      </w:r>
      <w:r>
        <w:rPr>
          <w:sz w:val="20"/>
          <w:szCs w:val="20"/>
        </w:rPr>
        <w:t>e action contrary to our interests or otherwise impede our objectives. These investments involve risks and uncertainties. The co-venturer or partner may fail to provide capital or fulfill its obligations, which may result in certain liabilities to us for g</w:t>
      </w:r>
      <w:r>
        <w:rPr>
          <w:sz w:val="20"/>
          <w:szCs w:val="20"/>
        </w:rPr>
        <w:t>uarantees and other commitments. Conflicts arising between us and our partners may be difficult to manage and/or resolve and it could be difficult to manage or otherwise monitor the existing business arrangements. The co-venturer or partner also might beco</w:t>
      </w:r>
      <w:r>
        <w:rPr>
          <w:sz w:val="20"/>
          <w:szCs w:val="20"/>
        </w:rPr>
        <w:t>me insolvent or bankrupt, which may result in significant losses to us.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addition, joint venture arrangements may decrease our ability to manage risk and implicate additional risks, such as: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our joint venture partner having potentially inferior f</w:t>
            </w:r>
            <w:r>
              <w:rPr>
                <w:sz w:val="20"/>
                <w:szCs w:val="20"/>
              </w:rPr>
              <w:t>inancial capacity, diverging business goals and strategies and the need for their continued cooperation;</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our inability to take actions with respect to the joint venture activities that we believe are favorable to us if our joint venture partner does </w:t>
            </w:r>
            <w:r>
              <w:rPr>
                <w:sz w:val="20"/>
                <w:szCs w:val="20"/>
              </w:rPr>
              <w:t>not agree;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our inability to control the legal entity that has title to the real estate associated with the joint venture;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our lenders may not be easily able to sell our joint venture assets and investments or may view them less favorably as collateral, which could negatively affect our liquidity and capital resources;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our joint venture partners can take actions that we </w:t>
            </w:r>
            <w:r>
              <w:rPr>
                <w:sz w:val="20"/>
                <w:szCs w:val="20"/>
              </w:rPr>
              <w:t>may not be able to anticipate or prevent, which could result in negative impacts on our debt and equity;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our joint venture partners’ business decisions or other actions or omissions may result in harm to our reputation or adversely affect the val</w:t>
            </w:r>
            <w:r>
              <w:rPr>
                <w:sz w:val="20"/>
                <w:szCs w:val="20"/>
              </w:rPr>
              <w:t>ue of our investments.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joint venture and preferred equity investments generally own real estate properties for which the economic performance and value is subject to all the risks associated with owning and operating real estate as described above.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809244913"/>
        <w:rPr>
          <w:rFonts w:eastAsia="Times New Roman"/>
          <w:sz w:val="20"/>
          <w:szCs w:val="20"/>
        </w:rPr>
      </w:pPr>
      <w:r>
        <w:rPr>
          <w:rFonts w:eastAsia="Times New Roman"/>
          <w:sz w:val="20"/>
          <w:szCs w:val="20"/>
        </w:rPr>
        <w:t xml:space="preserve">12 </w:t>
      </w:r>
    </w:p>
    <w:p w:rsidR="00000000" w:rsidRDefault="001D2166">
      <w:pPr>
        <w:divId w:val="1831095725"/>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1D2166">
      <w:pPr>
        <w:divId w:val="13750381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may not be able to recover our investments in marketable secur</w:t>
      </w:r>
      <w:r>
        <w:rPr>
          <w:b/>
          <w:bCs/>
          <w:sz w:val="20"/>
          <w:szCs w:val="20"/>
        </w:rPr>
        <w:t>ities, mortgage receivables or other investments, which may result in significant losses to us.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investments in marketable securities are subject to specific risks relating to the particular issuer of the securities, including the financial condition and business outlook of the issuer, which may result in significant losses to us. Marketable secur</w:t>
      </w:r>
      <w:r>
        <w:rPr>
          <w:sz w:val="20"/>
          <w:szCs w:val="20"/>
        </w:rPr>
        <w:t>ities are generally unsecured and may also be subordinated to other obligations of the issuer. As a result, investments in marketable securities are subject to risks of:</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limited liquidity in the secondary trading market;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substantial market pric</w:t>
            </w:r>
            <w:r>
              <w:rPr>
                <w:sz w:val="20"/>
                <w:szCs w:val="20"/>
              </w:rPr>
              <w:t>e volatility, resulting from changes in prevailing interest rates;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subordination to the prior claims of banks and other senior lenders to the issuer;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possibility that earnings of the issuer may be insufficient to meet its debt service and d</w:t>
            </w:r>
            <w:r>
              <w:rPr>
                <w:sz w:val="20"/>
                <w:szCs w:val="20"/>
              </w:rPr>
              <w:t>istribution obligations;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declining creditworthiness and potential for insolvency of the issuer during periods of rising interest rates and economic downturn.</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These risks may adversely affect the value of outstanding marketable securities and the ability of the issuers to ma</w:t>
      </w:r>
      <w:r>
        <w:rPr>
          <w:sz w:val="20"/>
          <w:szCs w:val="20"/>
        </w:rPr>
        <w:t>ke distribution payments.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See “Management’s Discussion and Analysis of Financial Condition and Results of Operations” and Footnote 9 to the Notes to the Company’s Consolidated Financial Statements included in this Form 10-K for additional discussion rega</w:t>
      </w:r>
      <w:r>
        <w:rPr>
          <w:sz w:val="20"/>
          <w:szCs w:val="20"/>
        </w:rPr>
        <w:t>rding the shares held by the Company of Albertsons Companies, Inc. (“ACI”).</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investments in mortgage receivables are subject to specific risks relating to the borrower and the underlying property. In the event of a default by a borrower, it may be nec</w:t>
      </w:r>
      <w:r>
        <w:rPr>
          <w:sz w:val="20"/>
          <w:szCs w:val="20"/>
        </w:rPr>
        <w:t>essary for us to foreclose our mortgage or engage in costly negotiations. Delays in liquidating defaulted mortgage loans and repossessing and selling the underlying properties could reduce our investment returns. Furthermore, in the event of default, the a</w:t>
      </w:r>
      <w:r>
        <w:rPr>
          <w:sz w:val="20"/>
          <w:szCs w:val="20"/>
        </w:rPr>
        <w:t>ctual value of the property collateralizing the mortgage may decrease. A decline in real estate values will adversely affect the value of our loans and the value of the properties collateralizing our loans.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mortgage receivables may be or become subor</w:t>
      </w:r>
      <w:r>
        <w:rPr>
          <w:sz w:val="20"/>
          <w:szCs w:val="20"/>
        </w:rPr>
        <w:t xml:space="preserve">dinated to mechanics' or materialmen's liens or property tax liens. In these instances, we may need to protect a particular investment by making payments to maintain the current status of a prior lien or discharge it entirely. Where that occurs, the total </w:t>
      </w:r>
      <w:r>
        <w:rPr>
          <w:sz w:val="20"/>
          <w:szCs w:val="20"/>
        </w:rPr>
        <w:t>amount we recover may be less than our total investment, resulting in a loss. In the event of a major loan default or several loan defaults resulting in losses, our investments in mortgage receivables would be materially and adversely affected.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econo</w:t>
      </w:r>
      <w:r>
        <w:rPr>
          <w:sz w:val="20"/>
          <w:szCs w:val="20"/>
        </w:rPr>
        <w:t>mic performance and value of our other investments, which we do not control and are in retail operations, are subject to risks associated with owning and operating retail businesses, including:</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changes in the national, regional and local economic cli</w:t>
            </w:r>
            <w:r>
              <w:rPr>
                <w:sz w:val="20"/>
                <w:szCs w:val="20"/>
              </w:rPr>
              <w:t>mate;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adverse financial condition of some large retailing companies;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increasing use by customers of e-commerce and online store sites;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ongoing consolidation in the retail sector.</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 decline in the value of our other investments may require us to recognize an other-than-temporary impairment (“OTTI”) against such assets. When the fair value of an investment is determined to be less than its amortized cost at the balance sheet date, we</w:t>
      </w:r>
      <w:r>
        <w:rPr>
          <w:sz w:val="20"/>
          <w:szCs w:val="20"/>
        </w:rPr>
        <w:t xml:space="preserve"> assess whether the decline is temporary or other-than-temporary. If we intend to sell an impaired asset, or it is more likely than not that we will be required to sell the impaired asset before any anticipated recovery, then we must recognize an OTTI thro</w:t>
      </w:r>
      <w:r>
        <w:rPr>
          <w:sz w:val="20"/>
          <w:szCs w:val="20"/>
        </w:rPr>
        <w:t>ugh charges to earnings equal to the entire difference between the asset’s amortized cost and its fair value at the balance sheet date. When an OTTI is recognized through earnings, a new cost basis is established for the asset, and the new cost basis may n</w:t>
      </w:r>
      <w:r>
        <w:rPr>
          <w:sz w:val="20"/>
          <w:szCs w:val="20"/>
        </w:rPr>
        <w:t>ot be adjusted through earnings for subsequent recoveries in fair value.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Our real estate assets may be subject to impairment charges.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periodically assess whether there are any indicators that the value of our real estate assets and other investments</w:t>
      </w:r>
      <w:r>
        <w:rPr>
          <w:sz w:val="20"/>
          <w:szCs w:val="20"/>
        </w:rPr>
        <w:t xml:space="preserve"> may be impaired. A property’s value is considered to be impaired only if the estimated aggregate future undiscounted property cash flows are less than the carrying value of the property. In our estimate of cash flows, we consider factors such as trends an</w:t>
      </w:r>
      <w:r>
        <w:rPr>
          <w:sz w:val="20"/>
          <w:szCs w:val="20"/>
        </w:rPr>
        <w:t>d prospects and the effects of demand and competition on expected future operating income. If we are evaluating the potential sale of an asset or redevelopment alternatives, the undiscounted future cash flows consider the most likely course of action as of</w:t>
      </w:r>
      <w:r>
        <w:rPr>
          <w:sz w:val="20"/>
          <w:szCs w:val="20"/>
        </w:rPr>
        <w:t xml:space="preserve"> the balance sheet date based on current plans, intended holding periods and available market information. We are required to make subjective assessments as to whether there are impairments in the value of our real estate assets and other investments. Impa</w:t>
      </w:r>
      <w:r>
        <w:rPr>
          <w:sz w:val="20"/>
          <w:szCs w:val="20"/>
        </w:rPr>
        <w:t>irment charges have an immediate direct impact on our earnings. There can be no assurance that we will not take additional charges in the future related to the impairment of our assets. Any future impairment could have a material adverse effect on our resu</w:t>
      </w:r>
      <w:r>
        <w:rPr>
          <w:sz w:val="20"/>
          <w:szCs w:val="20"/>
        </w:rPr>
        <w:t>lts of operations in the period in which the charge is taken.</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317957501"/>
        <w:rPr>
          <w:rFonts w:eastAsia="Times New Roman"/>
          <w:sz w:val="20"/>
          <w:szCs w:val="20"/>
        </w:rPr>
      </w:pPr>
      <w:r>
        <w:rPr>
          <w:rFonts w:eastAsia="Times New Roman"/>
          <w:sz w:val="20"/>
          <w:szCs w:val="20"/>
        </w:rPr>
        <w:t xml:space="preserve">13 </w:t>
      </w:r>
    </w:p>
    <w:p w:rsidR="00000000" w:rsidRDefault="001D2166">
      <w:pPr>
        <w:divId w:val="477847932"/>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1D2166">
      <w:pPr>
        <w:divId w:val="7348574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intend to continue to sell our lesser quality assets and may not b</w:t>
      </w:r>
      <w:r>
        <w:rPr>
          <w:b/>
          <w:bCs/>
          <w:sz w:val="20"/>
          <w:szCs w:val="20"/>
        </w:rPr>
        <w:t>e able to recover our investments, which may result in significant losses to us.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There can be no assurance that we will be able to recover the current carrying amount of all of our lesser quality properties and investments and those of our unconsolidated</w:t>
      </w:r>
      <w:r>
        <w:rPr>
          <w:sz w:val="20"/>
          <w:szCs w:val="20"/>
        </w:rPr>
        <w:t xml:space="preserve"> joint ventures in the future. Our failure to do so would require us to recognize impairment charges for the period in which we reached that conclusion, which could materially and adversely affect our financial condition, results of operations and cash flo</w:t>
      </w:r>
      <w:r>
        <w:rPr>
          <w:sz w:val="20"/>
          <w:szCs w:val="20"/>
        </w:rPr>
        <w:t>ws.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have completed our efforts to exit Mexico, Chile, Brazil, Peru and Canada, however, we cannot predict the impact of laws and regulations affecting these international operations, including the United States Foreign Corrupt Practices Act, or the po</w:t>
      </w:r>
      <w:r>
        <w:rPr>
          <w:b/>
          <w:bCs/>
          <w:sz w:val="20"/>
          <w:szCs w:val="20"/>
        </w:rPr>
        <w:t>tential that we may face regulatory sanctions.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international operations have included properties in Mexico, Chile, Brazil, Peru and Canada and are subject to a variety of United States and foreign laws and regulations, including the United States For</w:t>
      </w:r>
      <w:r>
        <w:rPr>
          <w:sz w:val="20"/>
          <w:szCs w:val="20"/>
        </w:rPr>
        <w:t xml:space="preserve">eign Corrupt Practices Act and foreign tax laws and regulations. Although we have completed our efforts to exit our investments in Mexico, South America and Canada, we cannot assure you that our past practices will continue to be found to be in compliance </w:t>
      </w:r>
      <w:r>
        <w:rPr>
          <w:sz w:val="20"/>
          <w:szCs w:val="20"/>
        </w:rPr>
        <w:t xml:space="preserve">with such laws or regulations. In addition, we cannot predict the manner in which such laws or regulations might be administered or interpreted, or when, or the potential that we may face regulatory sanctions or tax audits as a result of our international </w:t>
      </w:r>
      <w:r>
        <w:rPr>
          <w:sz w:val="20"/>
          <w:szCs w:val="20"/>
        </w:rPr>
        <w:t>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face risks relating to cybersecurity attacks and security incidents which could cause loss of confidential information, disrupt operations and materially affect our business and financial results.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We, like all businesses, are subject to </w:t>
      </w:r>
      <w:r>
        <w:rPr>
          <w:sz w:val="20"/>
          <w:szCs w:val="20"/>
        </w:rPr>
        <w:t>cyberattacks and security incidents, which threaten the confidentiality, integrity, and availability of our systems and information resources. Those attacks and incidents may be due to intentional or unintentional acts by employees, contractors or third-pa</w:t>
      </w:r>
      <w:r>
        <w:rPr>
          <w:sz w:val="20"/>
          <w:szCs w:val="20"/>
        </w:rPr>
        <w:t>rties, who seek to gain unauthorized access to our or our service providers’ systems to disrupt operations, corrupt data, or steal confidential information through malware, computer viruses, ransomware, social engineering (e.g., phishing attachments to e-m</w:t>
      </w:r>
      <w:r>
        <w:rPr>
          <w:sz w:val="20"/>
          <w:szCs w:val="20"/>
        </w:rPr>
        <w:t>ails) or other vectors. A cyber incident is considered to be any adverse event that threatens the confidentiality, integrity, or availability of our information resources. </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risk of a cybersecurity breach or operational disruption, particularly throug</w:t>
      </w:r>
      <w:r>
        <w:rPr>
          <w:sz w:val="20"/>
          <w:szCs w:val="20"/>
        </w:rPr>
        <w:t>h a cyber incident, including by computer hackers, foreign governments and cyber terrorists, has generally increased as the number, intensity and sophistication of attempted attacks and intrusions from around the world have increased. Our information techn</w:t>
      </w:r>
      <w:r>
        <w:rPr>
          <w:sz w:val="20"/>
          <w:szCs w:val="20"/>
        </w:rPr>
        <w:t xml:space="preserve">ology (“IT”) networks and related systems are essential to the operation of our business and our ability to perform day-to-day operations and, in some cases, may be critical to the operations of certain of our tenants. Although we make efforts to maintain </w:t>
      </w:r>
      <w:r>
        <w:rPr>
          <w:sz w:val="20"/>
          <w:szCs w:val="20"/>
        </w:rPr>
        <w:t>the security and integrity of these types of IT networks and related systems, and we have implemented various measures to manage the risk of a security breach or disruption, there can be no assurance that our security efforts and measures will be effective</w:t>
      </w:r>
      <w:r>
        <w:rPr>
          <w:sz w:val="20"/>
          <w:szCs w:val="20"/>
        </w:rPr>
        <w:t xml:space="preserve"> or that attempted security breaches or disruptions would not be successful or damaging.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Employees working remotely has amplified certain risks to our business. The number of points of potential cyberattack, such as laptops and mobile devices have increa</w:t>
      </w:r>
      <w:r>
        <w:rPr>
          <w:sz w:val="20"/>
          <w:szCs w:val="20"/>
        </w:rPr>
        <w:t>sed and any failure to effectively manage these risks, including to timely identify and appropriately respond to any cyberattacks or other disruption to our technology infrastructure, may adversely affect our business. Cyber criminals are targeting their a</w:t>
      </w:r>
      <w:r>
        <w:rPr>
          <w:sz w:val="20"/>
          <w:szCs w:val="20"/>
        </w:rPr>
        <w:t>ttacks on individual employees, utilizing interest in pandemic related information to increase business email compromise scams designed to trick victims into transferring sensitive data or funds, or steal credentials that compromise information systems whi</w:t>
      </w:r>
      <w:r>
        <w:rPr>
          <w:sz w:val="20"/>
          <w:szCs w:val="20"/>
        </w:rPr>
        <w:t>ch extend to multiple platforms throughout the Company.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While we maintain some of our own critical IT networks and related systems, we also depend on third-parties to provide important software, technologies, tools and a broad array of services and funct</w:t>
      </w:r>
      <w:r>
        <w:rPr>
          <w:sz w:val="20"/>
          <w:szCs w:val="20"/>
        </w:rPr>
        <w:t>ions, such as payroll, human resources, electronic communications and certain finance functions, among others. In addition, in the ordinary course of our business, we collect, process, transmit and store sensitive data, including intellectual property, our</w:t>
      </w:r>
      <w:r>
        <w:rPr>
          <w:sz w:val="20"/>
          <w:szCs w:val="20"/>
        </w:rPr>
        <w:t xml:space="preserve"> proprietary business information and that of our customers, suppliers and business partners, as well as personally identifiable information.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measures to prevent, detect and mitigate these threats, such as password protection, firewalls, backup serve</w:t>
      </w:r>
      <w:r>
        <w:rPr>
          <w:sz w:val="20"/>
          <w:szCs w:val="20"/>
        </w:rPr>
        <w:t>rs, threat monitoring, log aggregation, vulnerability scanning, data encryption, periodic penetration testing and multifactor authentication, may not be successful in preventing a security incident or data breach or limiting the effects of such a breach. F</w:t>
      </w:r>
      <w:r>
        <w:rPr>
          <w:sz w:val="20"/>
          <w:szCs w:val="20"/>
        </w:rPr>
        <w:t>urthermore, the security measures employed by third-party service providers may prove to be ineffective at preventing breaches of their systems. This is particularly so because attack methodologies change frequently or are not recognized until launched, an</w:t>
      </w:r>
      <w:r>
        <w:rPr>
          <w:sz w:val="20"/>
          <w:szCs w:val="20"/>
        </w:rPr>
        <w:t>d we also may be unable to investigate or remediate incidents because attackers are increasingly using techniques and tools designed to circumvent controls, to avoid detection, and to remove or obfuscate forensic evidence.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782186418"/>
        <w:rPr>
          <w:rFonts w:eastAsia="Times New Roman"/>
          <w:sz w:val="20"/>
          <w:szCs w:val="20"/>
        </w:rPr>
      </w:pPr>
      <w:r>
        <w:rPr>
          <w:rFonts w:eastAsia="Times New Roman"/>
          <w:sz w:val="20"/>
          <w:szCs w:val="20"/>
        </w:rPr>
        <w:t xml:space="preserve">14 </w:t>
      </w:r>
    </w:p>
    <w:p w:rsidR="00000000" w:rsidRDefault="001D2166">
      <w:pPr>
        <w:divId w:val="973829528"/>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1D2166">
      <w:pPr>
        <w:divId w:val="1487953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primary risks that could directly result from the occurrence of a cyberattack or security incident include operational interruption, damage to our relationship with our tenants, and private data exposure. We could be required to expend significant capi</w:t>
      </w:r>
      <w:r>
        <w:rPr>
          <w:sz w:val="20"/>
          <w:szCs w:val="20"/>
        </w:rPr>
        <w:t xml:space="preserve">tal and other resources to address an attack or incident, which may not be covered or fully covered by our insurance and which may involve payments for investigations, forensic analyses, legal advice, public relations advice, system repair or replacement, </w:t>
      </w:r>
      <w:r>
        <w:rPr>
          <w:sz w:val="20"/>
          <w:szCs w:val="20"/>
        </w:rPr>
        <w:t>or other services, in addition to any remedies or relief that may result from legal proceedings. Our financial results may be negatively impacted by such attacks and incidents or any resulting negative media attention.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 cyber incident could:</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disru</w:t>
            </w:r>
            <w:r>
              <w:rPr>
                <w:sz w:val="20"/>
                <w:szCs w:val="20"/>
              </w:rPr>
              <w:t>pt the proper functioning of our networks and systems and therefore our operations and/or those of certain of our tenants;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result in misstated financial reports, violations of loan covenants and/or missed reporting deadlines;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result in our inability to properly monitor our compliance with the rules and regulations regarding our qualification as a REIT;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result in the unauthorized access to, and destruction, loss, theft, misappropriation or release of proprietary, confidential, sensitive or otherwise valuable information of ours or others, which others could use to compete against us or for disruptive, des</w:t>
            </w:r>
            <w:r>
              <w:rPr>
                <w:sz w:val="20"/>
                <w:szCs w:val="20"/>
              </w:rPr>
              <w:t>tructive or otherwise harmful purposes and outcomes;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result in our inability to maintain the building systems relied upon by our tenants for the efficient use of their leased space;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require significant management attention and resources to reme</w:t>
            </w:r>
            <w:r>
              <w:rPr>
                <w:sz w:val="20"/>
                <w:szCs w:val="20"/>
              </w:rPr>
              <w:t>diate systems, fulfill compliance requirements and/or to remedy any damages that result;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subject us to regulatory enforcement, including investigative costs and fines or penalties, as the White House, SEC and other regulators have increased their foc</w:t>
            </w:r>
            <w:r>
              <w:rPr>
                <w:sz w:val="20"/>
                <w:szCs w:val="20"/>
              </w:rPr>
              <w:t>us on companies’ cybersecurity vulnerabilities and risks;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subject us to claims for breach of contract, damages, credits, penalties or termination of leases or other agreements or other causes of action; or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damage our reputation among our tenants, investors and associates.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The Company has cybersecurity coverage incorporated in its insurance policies; however these policies may not be sufficient to cover any or all expenses associated with the aforementione</w:t>
      </w:r>
      <w:r>
        <w:rPr>
          <w:sz w:val="20"/>
          <w:szCs w:val="20"/>
        </w:rPr>
        <w:t>d risks.  Moreover, cyber incidents perpetrated against our tenants, including unauthorized access to customers’ credit card data and other confidential information, could diminish consumer confidence and consumer spending and negatively impact our busines</w:t>
      </w:r>
      <w:r>
        <w:rPr>
          <w:sz w:val="20"/>
          <w:szCs w:val="20"/>
        </w:rPr>
        <w: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may be subject to liability under environmental laws, ordinances and regulations.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Under various federal, state, and local laws, ordinances and regulations, we may be considered an owner or operator of real property and may be responsible for payi</w:t>
      </w:r>
      <w:r>
        <w:rPr>
          <w:sz w:val="20"/>
          <w:szCs w:val="20"/>
        </w:rPr>
        <w:t>ng for the disposal or treatment of hazardous or toxic substances released on or in our property, as well as certain other potential costs relating to hazardous or toxic substances (including governmental fines and injuries to persons and property). This l</w:t>
      </w:r>
      <w:r>
        <w:rPr>
          <w:sz w:val="20"/>
          <w:szCs w:val="20"/>
        </w:rPr>
        <w:t>iability may be imposed whether or not we knew about, or were responsible for, the presence of hazardous or toxic substances.  The Company has environmental insurance coverage on certain of its properties, however this coverage may not be sufficient to cov</w:t>
      </w:r>
      <w:r>
        <w:rPr>
          <w:sz w:val="20"/>
          <w:szCs w:val="20"/>
        </w:rPr>
        <w:t>er any or all expenses associated with the aforementioned risks.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Natural disasters, severe weather conditions and the effects of climate change could have an adverse impact on our financial condition, results of operations and cash flows.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operatio</w:t>
      </w:r>
      <w:r>
        <w:rPr>
          <w:sz w:val="20"/>
          <w:szCs w:val="20"/>
        </w:rPr>
        <w:t>ns are located in areas that are subject to natural disasters and severe weather conditions such as hurricanes, tornados, earthquakes, snowstorms, floods and fires, and the frequency of these natural disasters and severe weather conditions may increase due</w:t>
      </w:r>
      <w:r>
        <w:rPr>
          <w:sz w:val="20"/>
          <w:szCs w:val="20"/>
        </w:rPr>
        <w:t xml:space="preserve"> to climate change. The occurrence of natural disasters, severe weather conditions and the effects of climate change, including extreme temperatures and ambient temperature increases, can delay new development or redevelopment projects, decreases the attra</w:t>
      </w:r>
      <w:r>
        <w:rPr>
          <w:sz w:val="20"/>
          <w:szCs w:val="20"/>
        </w:rPr>
        <w:t>ctiveness of locations, increase investment costs to repair or replace damaged properties (or make repair or replacement impossible), increase operation costs, including the cost of energy at our properties, increase costs for future property insurance, ne</w:t>
      </w:r>
      <w:r>
        <w:rPr>
          <w:sz w:val="20"/>
          <w:szCs w:val="20"/>
        </w:rPr>
        <w:t>gatively impact the tenant demand for lease space and cause substantial damages or losses to our properties which could exceed any applicable insurance coverage. The incurrence of any of these losses, costs or business interruptions may adversely affect ou</w:t>
      </w:r>
      <w:r>
        <w:rPr>
          <w:sz w:val="20"/>
          <w:szCs w:val="20"/>
        </w:rPr>
        <w:t>r financial condition, results of operations and cash flows.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We anticipate the potential effects of climate change will increasingly impact the decisions and analysis we make with respect to our properties, since climate change considerations can impact </w:t>
      </w:r>
      <w:r>
        <w:rPr>
          <w:sz w:val="20"/>
          <w:szCs w:val="20"/>
        </w:rPr>
        <w:t>the relative desirability of locations and the cost of operating and insuring real estate properties.  In addition, changes in government legislation and regulation on climate change could result in increased capital expenditures to improve the energy effi</w:t>
      </w:r>
      <w:r>
        <w:rPr>
          <w:sz w:val="20"/>
          <w:szCs w:val="20"/>
        </w:rPr>
        <w:t>ciency of our existing properties and could also require us to spend more on our development or redevelopment projects without a corresponding increase in revenues, which may adversely affect our financial condition, results of operations and cash flows.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Pandemics or other health crises may adversely affect our tenants</w:t>
      </w:r>
      <w:r>
        <w:rPr>
          <w:sz w:val="20"/>
          <w:szCs w:val="20"/>
        </w:rPr>
        <w:t>’</w:t>
      </w:r>
      <w:r>
        <w:rPr>
          <w:b/>
          <w:bCs/>
          <w:sz w:val="20"/>
          <w:szCs w:val="20"/>
        </w:rPr>
        <w:t xml:space="preserve"> financial condition and the profitability of our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business and the businesses of our tenants could be materially and adversely affected by the risks, or the public percept</w:t>
      </w:r>
      <w:r>
        <w:rPr>
          <w:sz w:val="20"/>
          <w:szCs w:val="20"/>
        </w:rPr>
        <w:t>ion of the risks, related to a pandemic or other health crisis, such as the outbreak of novel coronavirus (COVID-19).</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955867999"/>
        <w:rPr>
          <w:rFonts w:eastAsia="Times New Roman"/>
          <w:sz w:val="20"/>
          <w:szCs w:val="20"/>
        </w:rPr>
      </w:pPr>
      <w:r>
        <w:rPr>
          <w:rFonts w:eastAsia="Times New Roman"/>
          <w:sz w:val="20"/>
          <w:szCs w:val="20"/>
        </w:rPr>
        <w:t xml:space="preserve">15 </w:t>
      </w:r>
    </w:p>
    <w:p w:rsidR="00000000" w:rsidRDefault="001D2166">
      <w:pPr>
        <w:divId w:val="475102722"/>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1D2166">
      <w:pPr>
        <w:divId w:val="14170482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Such events could result in the complete or partial closure of one or more of our tenants’ manufacturing facilities or distribution cente</w:t>
      </w:r>
      <w:r>
        <w:rPr>
          <w:sz w:val="20"/>
          <w:szCs w:val="20"/>
        </w:rPr>
        <w:t>rs, temporary or long-term disruption in our tenants’ supply chains from local and international suppliers, and /or delays in the delivery of our tenants’ inventory.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profitability of our properties depends, in part, on the willingness of customers to</w:t>
      </w:r>
      <w:r>
        <w:rPr>
          <w:sz w:val="20"/>
          <w:szCs w:val="20"/>
        </w:rPr>
        <w:t xml:space="preserve"> visit our tenants’ businesses. The risk, or public perception of the risk, of a pandemic or media coverage of infectious diseases could cause employees or customers to avoid our properties, which could adversely affect foot traffic to our tenants’ busines</w:t>
      </w:r>
      <w:r>
        <w:rPr>
          <w:sz w:val="20"/>
          <w:szCs w:val="20"/>
        </w:rPr>
        <w:t>ses and our tenants’ ability to adequately staff their businesses. Such events could adversely impact tenants’ sales and/or cause the temporary closure of our tenants’ businesses, which could severely disrupt their operations and have a material adverse ef</w:t>
      </w:r>
      <w:r>
        <w:rPr>
          <w:sz w:val="20"/>
          <w:szCs w:val="20"/>
        </w:rPr>
        <w:t>fect on our business, financial condition and results of 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The Company</w:t>
      </w:r>
      <w:r>
        <w:rPr>
          <w:sz w:val="20"/>
          <w:szCs w:val="20"/>
        </w:rPr>
        <w:t>’</w:t>
      </w:r>
      <w:r>
        <w:rPr>
          <w:b/>
          <w:bCs/>
          <w:sz w:val="20"/>
          <w:szCs w:val="20"/>
        </w:rPr>
        <w:t>s business, financial condition, results of operations or stock price has and may continue to be adversely impacted by the COVID-19 pandemic and such impact could be materia</w:t>
      </w:r>
      <w:r>
        <w:rPr>
          <w:b/>
          <w:bCs/>
          <w:sz w:val="20"/>
          <w:szCs w:val="20"/>
        </w:rPr>
        <w:t>l.</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In March 2020, the outbreak of COVID-19 was recognized as a pandemic by the WHO. The COVID-19 pandemic has resulted in a widespread health crisis that has adversely affected businesses, economies and financial markets worldwide. The COVID-19 pandemic </w:t>
      </w:r>
      <w:r>
        <w:rPr>
          <w:sz w:val="20"/>
          <w:szCs w:val="20"/>
        </w:rPr>
        <w:t>significantly impacted the retail sector in which the Company operates. The majority of the Company’s tenants and their operations have been, and may continue to be, impacted.  Through the duration of the pandemic, a substantial number of tenants had to te</w:t>
      </w:r>
      <w:r>
        <w:rPr>
          <w:sz w:val="20"/>
          <w:szCs w:val="20"/>
        </w:rPr>
        <w:t>mporarily or permanently close their business, shortened their operating hours or offer reduced services for some period of time. Impacts of new variants of COVID-19 could result in the complete or partial closure of one or more of our tenants’ manufacturi</w:t>
      </w:r>
      <w:r>
        <w:rPr>
          <w:sz w:val="20"/>
          <w:szCs w:val="20"/>
        </w:rPr>
        <w:t>ng facilities or distribution centers, temporary or long-term disruption in our tenants’ supply chains from local and international suppliers, and/or delays in the delivery of our tenants’ inventory.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New variants of COVID-19 could adversely affect our te</w:t>
      </w:r>
      <w:r>
        <w:rPr>
          <w:sz w:val="20"/>
          <w:szCs w:val="20"/>
        </w:rPr>
        <w:t>nants’ businesses and our tenants’ ability to adequately staff their businesses. Such events could severely disrupt their operations and have a material adverse effect on our business, financial condition and results of operations. A downturn in our tenant</w:t>
      </w:r>
      <w:r>
        <w:rPr>
          <w:sz w:val="20"/>
          <w:szCs w:val="20"/>
        </w:rPr>
        <w:t xml:space="preserve">s’ businesses that significantly weakens their financial condition could cause them to delay lease commencements or decline to extend or renew leases upon expiration and could lead to additional failures to make rental payments when due, store closures or </w:t>
      </w:r>
      <w:r>
        <w:rPr>
          <w:sz w:val="20"/>
          <w:szCs w:val="20"/>
        </w:rPr>
        <w:t>bankruptcies, and we may be unable to collect past due balances under relevant leases.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COVID-19 pandemic, or a future pandemic, could also have material and adverse effects on our ability to successfully operate and on our financial condition, result</w:t>
      </w:r>
      <w:r>
        <w:rPr>
          <w:sz w:val="20"/>
          <w:szCs w:val="20"/>
        </w:rPr>
        <w:t>s of operations and cash flows due to, among other factors: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 complete or partial closure of, or other operational issues at, one or more of our properties resulting from government or tenant action;</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the reduced economic activity severely impacts our tenants' businesses, financial condition and liquidity and may cause one or more of our tenants to be unable to meet their obligations to us in full, or in part, or to otherwise seek modifications of such </w:t>
            </w:r>
            <w:r>
              <w:rPr>
                <w:sz w:val="20"/>
                <w:szCs w:val="20"/>
              </w:rPr>
              <w:t>obligations;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reduced economic activity could result in a prolonged recession, which could negatively impact consumer discretionary spending;</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difficulty accessing debt and equity capital on attractive terms, or at all, impacts to our credit </w:t>
            </w:r>
            <w:r>
              <w:rPr>
                <w:sz w:val="20"/>
                <w:szCs w:val="20"/>
              </w:rPr>
              <w:t>ratings, and a prolonged severe disruption and instability in the global financial markets or deteriorations in credit and financing conditions may affect our access to capital necessary to fund business operations or address maturing liabilities on a time</w:t>
            </w:r>
            <w:r>
              <w:rPr>
                <w:sz w:val="20"/>
                <w:szCs w:val="20"/>
              </w:rPr>
              <w:t>ly basis and our tenants' ability to fund their business operations and meet their obligations to us;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financial impact of a pandemic could negatively impact our future compliance with financial covenants of our Credit Facility and other debt agre</w:t>
            </w:r>
            <w:r>
              <w:rPr>
                <w:sz w:val="20"/>
                <w:szCs w:val="20"/>
              </w:rPr>
              <w:t>ements and result in a default and potentially an acceleration of indebtedness, which non-compliance could negatively impact our ability to make additional borrowings under our Credit Facility and pay dividends;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any impairment in value of our real es</w:t>
            </w:r>
            <w:r>
              <w:rPr>
                <w:sz w:val="20"/>
                <w:szCs w:val="20"/>
              </w:rPr>
              <w:t>tate assets that is recorded as a result of weaker economic conditions;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 continued decline in business activity and demand for real estate transactions could adversely affect our ability or desire to grow our portfolio of properties;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 deterioration in our or our tenants' ability to operate in affected areas or dela</w:t>
            </w:r>
            <w:r>
              <w:rPr>
                <w:sz w:val="20"/>
                <w:szCs w:val="20"/>
              </w:rPr>
              <w:t>ys in the supply of products or services to us or our tenants from vendors that are needed for our or our tenants' efficient operations could adversely affect our operations and those of our tenants.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extent to which the COVID-19 pandemic continues t</w:t>
      </w:r>
      <w:r>
        <w:rPr>
          <w:sz w:val="20"/>
          <w:szCs w:val="20"/>
        </w:rPr>
        <w:t>o impact our business, results of operations, financial condition and stock price will depend on numerous evolving factors that are highly uncertain and which we may not be able to predict, including the duration and scope of the pandemic, governmental, bu</w:t>
      </w:r>
      <w:r>
        <w:rPr>
          <w:sz w:val="20"/>
          <w:szCs w:val="20"/>
        </w:rPr>
        <w:t>siness and individual actions that have been and continue to be taken in response to the pandemic, the impact on economic activity from the pandemic and actions taken in response, the impact on our employees and other operational disruptions or difficultie</w:t>
      </w:r>
      <w:r>
        <w:rPr>
          <w:sz w:val="20"/>
          <w:szCs w:val="20"/>
        </w:rPr>
        <w:t>s we may face, the effect on our tenants and their businesses, the ability of tenants to pay their contracted rents and any additional closures of our tenants’ businesses. These effects, individually or in the aggregate, could adversely impact our tenant’s</w:t>
      </w:r>
      <w:r>
        <w:rPr>
          <w:sz w:val="20"/>
          <w:szCs w:val="20"/>
        </w:rPr>
        <w:t xml:space="preserve"> ability to pay their contracted rent. Any of these events could materially adversely impact our business, financial condition, results of operations or stock price.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84927833"/>
        <w:rPr>
          <w:rFonts w:eastAsia="Times New Roman"/>
          <w:sz w:val="20"/>
          <w:szCs w:val="20"/>
        </w:rPr>
      </w:pPr>
      <w:r>
        <w:rPr>
          <w:rFonts w:eastAsia="Times New Roman"/>
          <w:sz w:val="20"/>
          <w:szCs w:val="20"/>
        </w:rPr>
        <w:t xml:space="preserve">16 </w:t>
      </w:r>
    </w:p>
    <w:p w:rsidR="00000000" w:rsidRDefault="001D2166">
      <w:pPr>
        <w:divId w:val="365837775"/>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1D2166">
      <w:pPr>
        <w:divId w:val="11921086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Financial disruption or a prolonged economic downturn could materially and adversely affect the Company</w:t>
      </w:r>
      <w:r>
        <w:rPr>
          <w:sz w:val="20"/>
          <w:szCs w:val="20"/>
        </w:rPr>
        <w:t>’</w:t>
      </w:r>
      <w:r>
        <w:rPr>
          <w:b/>
          <w:bCs/>
          <w:sz w:val="20"/>
          <w:szCs w:val="20"/>
        </w:rPr>
        <w:t>s business.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Worldwide financial markets have recently experienced perio</w:t>
      </w:r>
      <w:r>
        <w:rPr>
          <w:sz w:val="20"/>
          <w:szCs w:val="20"/>
        </w:rPr>
        <w:t>ds of extraordinary disruption and volatility, resulting in heightened credit risk, reduced valuation of investments and decreased economic activity. Moreover, many companies have experienced reduced liquidity and uncertainty as to their ability to raise c</w:t>
      </w:r>
      <w:r>
        <w:rPr>
          <w:sz w:val="20"/>
          <w:szCs w:val="20"/>
        </w:rPr>
        <w:t>apital during such periods of market disruption and volatility. In the event that these conditions recur or result in a prolonged economic downturn, our results of operations, financial position or liquidity could be materially and adversely affected. Thes</w:t>
      </w:r>
      <w:r>
        <w:rPr>
          <w:sz w:val="20"/>
          <w:szCs w:val="20"/>
        </w:rPr>
        <w:t>e market conditions may affect the Company's ability to access debt and equity capital markets. In addition, as a result of recent financial events, we may face increased regulation.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Corporate responsibility, specifically related to</w:t>
      </w:r>
      <w:r>
        <w:rPr>
          <w:sz w:val="20"/>
          <w:szCs w:val="20"/>
        </w:rPr>
        <w:t> </w:t>
      </w:r>
      <w:r>
        <w:rPr>
          <w:b/>
          <w:bCs/>
          <w:sz w:val="20"/>
          <w:szCs w:val="20"/>
        </w:rPr>
        <w:t>ESG factors and commitments, imposes additional costs and expose us to new risks.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importance of sustainability evaluations is becoming more broadly accepted by investors and shareholders. Certain orga</w:t>
      </w:r>
      <w:r>
        <w:rPr>
          <w:sz w:val="20"/>
          <w:szCs w:val="20"/>
        </w:rPr>
        <w:t>nizations that provide corporate governance and other corporate risk information to investors and shareholders have developed scores and ratings to evaluate companies and investment funds based upon ESG or “sustainability” metrics. Many investment funds fo</w:t>
      </w:r>
      <w:r>
        <w:rPr>
          <w:sz w:val="20"/>
          <w:szCs w:val="20"/>
        </w:rPr>
        <w:t>cus on positive ESG business practices and sustainability scores when making investments and may consider a company’s sustainability score as a reputational or other factor in making an investment decision. In addition, investors, particularly institutiona</w:t>
      </w:r>
      <w:r>
        <w:rPr>
          <w:sz w:val="20"/>
          <w:szCs w:val="20"/>
        </w:rPr>
        <w:t>l investors, use these scores to benchmark companies against their peers and if a company is perceived as lagging, these investors may engage with companies to require improved ESG disclosure or performance. We may face reputational damage or additional co</w:t>
      </w:r>
      <w:r>
        <w:rPr>
          <w:sz w:val="20"/>
          <w:szCs w:val="20"/>
        </w:rPr>
        <w:t>sts in the event our corporate responsibility procedures or standards do not meet the standards set by various constituencies. In addition, the criteria by which companies are rated may change, which could cause us to receive lower scores than previous yea</w:t>
      </w:r>
      <w:r>
        <w:rPr>
          <w:sz w:val="20"/>
          <w:szCs w:val="20"/>
        </w:rPr>
        <w:t>rs. A low sustainability score could result in a negative perception of the Company, or exclusion of our common stock from consideration by certain investors who may elect to invest with our competition instead. In addition, as part of our corporate respon</w:t>
      </w:r>
      <w:r>
        <w:rPr>
          <w:sz w:val="20"/>
          <w:szCs w:val="20"/>
        </w:rPr>
        <w:t>sibility, we have adopted certain ESG goals, including greenhouse gas emissions reduction targets and other sustainability initiatives. If we cannot not meet these goals fully or on time, we may face reputational damage.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Our success depends largely on th</w:t>
      </w:r>
      <w:r>
        <w:rPr>
          <w:b/>
          <w:bCs/>
          <w:sz w:val="20"/>
          <w:szCs w:val="20"/>
        </w:rPr>
        <w:t>e continued service and availability of key personnel.</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We depend on the deep industry knowledge and efforts of key personnel, including our executive officers, to manage our day-to-day operations and strategic business direction. Our ability to attract, </w:t>
      </w:r>
      <w:r>
        <w:rPr>
          <w:sz w:val="20"/>
          <w:szCs w:val="20"/>
        </w:rPr>
        <w:t>retain and motivate key personnel may significantly impact our future performance, and if any of our executive officers or other key personnel depart the Company, for any reason, we may not be able to easily replace such individual. The loss of the service</w:t>
      </w:r>
      <w:r>
        <w:rPr>
          <w:sz w:val="20"/>
          <w:szCs w:val="20"/>
        </w:rPr>
        <w:t>s of our executive officers and other key personnel could have a material adverse effect on our financial condition, results of operations and cash flows.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Risks Related to Our Debt and Equity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 xml:space="preserve">We may be unable to obtain financing through the </w:t>
      </w:r>
      <w:r>
        <w:rPr>
          <w:b/>
          <w:bCs/>
          <w:sz w:val="20"/>
          <w:szCs w:val="20"/>
        </w:rPr>
        <w:t>debt and equity markets, which would have a material adverse effect on our growth strategy, our financial condition and our results of 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cannot assure you that we will be able to access the credit and/or equity markets to obtain additional d</w:t>
      </w:r>
      <w:r>
        <w:rPr>
          <w:sz w:val="20"/>
          <w:szCs w:val="20"/>
        </w:rPr>
        <w:t>ebt or equity financing or that we will be able to obtain financing on terms favorable to us. The inability to obtain financing on a timely basis could have negative effects on our business, such as: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we could have great difficulty acquiring or develo</w:t>
            </w:r>
            <w:r>
              <w:rPr>
                <w:sz w:val="20"/>
                <w:szCs w:val="20"/>
              </w:rPr>
              <w:t>ping properties, which would materially adversely affect our investment strategy;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our liquidity could be adversely affected;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we may be unable to repay or refinance our indebtedness;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we may need to make higher interest and principal payments or sell some of our assets on terms unfavorable to us to fund our indebtedness; or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we may need to issue additional capital stock, which could further dilute the ownership of our existing stak</w:t>
            </w:r>
            <w:r>
              <w:rPr>
                <w:sz w:val="20"/>
                <w:szCs w:val="20"/>
              </w:rPr>
              <w:t>eholders.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Adverse changes in our credit ratings could impair our ability to obtain additional debt and equity financing on terms favorable to us, if at all, and could significantly reduce the market price of our publicly traded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are subj</w:t>
      </w:r>
      <w:r>
        <w:rPr>
          <w:b/>
          <w:bCs/>
          <w:sz w:val="20"/>
          <w:szCs w:val="20"/>
        </w:rPr>
        <w:t>ect to financial covenants that may restrict our operating and acquisition activities.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Credit Facility and the indentures under which our senior unsecured debt is issued contain certain financial and operating covenants, including, among other things, certain coverage ratios and limitations on our ability to incur debt, make dividend pay</w:t>
      </w:r>
      <w:r>
        <w:rPr>
          <w:sz w:val="20"/>
          <w:szCs w:val="20"/>
        </w:rPr>
        <w:t>ments, sell all or substantially all of our assets and engage in mergers and consolidations and certain acquisitions. These covenants may restrict our ability to pursue certain business initiatives or certain acquisition transactions that might otherwise b</w:t>
      </w:r>
      <w:r>
        <w:rPr>
          <w:sz w:val="20"/>
          <w:szCs w:val="20"/>
        </w:rPr>
        <w:t>e advantageous. In addition, failure to meet any of the financial covenants could cause an event of default under our Credit Facility and the indentures and/or accelerate some or all of our indebtedness, which would have a material adverse effect on us.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60024208"/>
        <w:rPr>
          <w:rFonts w:eastAsia="Times New Roman"/>
          <w:sz w:val="20"/>
          <w:szCs w:val="20"/>
        </w:rPr>
      </w:pPr>
      <w:r>
        <w:rPr>
          <w:rFonts w:eastAsia="Times New Roman"/>
          <w:sz w:val="20"/>
          <w:szCs w:val="20"/>
        </w:rPr>
        <w:t xml:space="preserve">17 </w:t>
      </w:r>
    </w:p>
    <w:p w:rsidR="00000000" w:rsidRDefault="001D2166">
      <w:pPr>
        <w:divId w:val="1441220768"/>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1D2166">
      <w:pPr>
        <w:divId w:val="220250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160" w:hanging="180"/>
        <w:jc w:val="both"/>
        <w:rPr>
          <w:sz w:val="20"/>
          <w:szCs w:val="20"/>
        </w:rPr>
      </w:pPr>
      <w:r>
        <w:rPr>
          <w:b/>
          <w:bCs/>
          <w:sz w:val="20"/>
          <w:szCs w:val="20"/>
        </w:rPr>
        <w:t>We have a substantial amount of indebtedness and may need to incur more in the future.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160" w:hanging="180"/>
        <w:jc w:val="both"/>
        <w:rPr>
          <w:sz w:val="20"/>
          <w:szCs w:val="20"/>
        </w:rPr>
      </w:pPr>
      <w:r>
        <w:rPr>
          <w:sz w:val="20"/>
          <w:szCs w:val="20"/>
        </w:rPr>
        <w:t>We have substantial indebtedness, including indebtedness assumed in the Merger with Weingarten. The level of indebtednes</w:t>
      </w:r>
      <w:r>
        <w:rPr>
          <w:sz w:val="20"/>
          <w:szCs w:val="20"/>
        </w:rPr>
        <w:t>s could have adverse consequences on our business, such as: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requiring the Company to use a substantial portion of our cash flow from operations to service our indebtedness, which would reduce the available cash flow to fund working capital, capital e</w:t>
            </w:r>
            <w:r>
              <w:rPr>
                <w:sz w:val="20"/>
                <w:szCs w:val="20"/>
              </w:rPr>
              <w:t>xpenditures, development projects, and other general corporate purposes and reduce cash for distributions;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limiting our ability to obtain additional financing to fund our working capital needs, acquisitions, capital expenditures, or other debt servic</w:t>
            </w:r>
            <w:r>
              <w:rPr>
                <w:sz w:val="20"/>
                <w:szCs w:val="20"/>
              </w:rPr>
              <w:t>e requirements or for other purposes;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increasing our costs of incurring additional debt;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subjecting us to floating interest rates;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limiting our ability to compete with other companies that are not as highly leveraged, as we may be less capable of responding to adverse economic and industry conditions;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restricting the Company from making strategic acquisitions, developing propert</w:t>
            </w:r>
            <w:r>
              <w:rPr>
                <w:sz w:val="20"/>
                <w:szCs w:val="20"/>
              </w:rPr>
              <w:t>ies, or exploiting business opportunities;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restricting the way in which we conduct our business because of financial and operating covenants in the agreements governing our existing and future indebtedness;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exposing the Company to potential events of default (if not cured or waived) under cov</w:t>
            </w:r>
            <w:r>
              <w:rPr>
                <w:sz w:val="20"/>
                <w:szCs w:val="20"/>
              </w:rPr>
              <w:t>enants contained in our debt instruments that could have a material adverse effect on our business, financial condition, and operating results;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increasing our vulnerability to a downturn in general economic conditions;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166"/>
        <w:gridCol w:w="7974"/>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hideMark/>
          </w:tcPr>
          <w:p w:rsidR="00000000" w:rsidRDefault="001D2166">
            <w:pPr>
              <w:pStyle w:val="a3"/>
              <w:spacing w:before="0" w:beforeAutospacing="0" w:after="0" w:afterAutospacing="0"/>
              <w:rPr>
                <w:sz w:val="20"/>
                <w:szCs w:val="20"/>
              </w:rPr>
            </w:pPr>
            <w:r>
              <w:rPr>
                <w:sz w:val="20"/>
                <w:szCs w:val="20"/>
              </w:rPr>
              <w:t>●</w:t>
            </w:r>
          </w:p>
        </w:tc>
        <w:tc>
          <w:tcPr>
            <w:tcW w:w="4800" w:type="pct"/>
            <w:hideMark/>
          </w:tcPr>
          <w:p w:rsidR="00000000" w:rsidRDefault="001D2166">
            <w:pPr>
              <w:pStyle w:val="a3"/>
              <w:spacing w:before="0" w:beforeAutospacing="0" w:after="0" w:afterAutospacing="0"/>
              <w:rPr>
                <w:sz w:val="20"/>
                <w:szCs w:val="20"/>
              </w:rPr>
            </w:pPr>
            <w:r>
              <w:rPr>
                <w:sz w:val="20"/>
                <w:szCs w:val="20"/>
              </w:rPr>
              <w:t xml:space="preserve">limiting our ability </w:t>
            </w:r>
            <w:r>
              <w:rPr>
                <w:sz w:val="20"/>
                <w:szCs w:val="20"/>
              </w:rPr>
              <w:t>to react to changing market conditions in its industry.</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The impact of any of these potential adverse consequences could have a material adverse effect on our results of operations, financial condition, and liquidity.</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 xml:space="preserve">Impacts from transition away from </w:t>
      </w:r>
      <w:r>
        <w:rPr>
          <w:b/>
          <w:bCs/>
          <w:sz w:val="20"/>
          <w:szCs w:val="20"/>
        </w:rPr>
        <w:t>London Inter-bank Offered Rate (</w:t>
      </w:r>
      <w:r>
        <w:rPr>
          <w:sz w:val="20"/>
          <w:szCs w:val="20"/>
        </w:rPr>
        <w:t>“</w:t>
      </w:r>
      <w:r>
        <w:rPr>
          <w:b/>
          <w:bCs/>
          <w:sz w:val="20"/>
          <w:szCs w:val="20"/>
        </w:rPr>
        <w:t>LIBOR</w:t>
      </w:r>
      <w:r>
        <w:rPr>
          <w:sz w:val="20"/>
          <w:szCs w:val="20"/>
        </w:rPr>
        <w:t>”</w:t>
      </w:r>
      <w:r>
        <w:rPr>
          <w:b/>
          <w:bCs/>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 portion of our long-term indebtedness bears interest at fluctuating interest rates based on LIBOR for deposits of U.S. dollars. LIBOR and certain other interest “benchmarks” may be subject to regulatory guidance and/or reform that could cause interest ra</w:t>
      </w:r>
      <w:r>
        <w:rPr>
          <w:sz w:val="20"/>
          <w:szCs w:val="20"/>
        </w:rPr>
        <w:t>tes under our current or future debt agreements to perform differently than in the past or cause other unanticipated consequences. The U.K. Financial Conduct Authority, which regulates LIBOR, has announced that it will no longer persuade or compel banks to</w:t>
      </w:r>
      <w:r>
        <w:rPr>
          <w:sz w:val="20"/>
          <w:szCs w:val="20"/>
        </w:rPr>
        <w:t xml:space="preserve"> submit rates for the calculation of LIBOR after 2021. In March 2021, the ICE Benchmark Administration Limited, the administrator of LIBOR, extended the transition dates of certain LIBOR tenors to June 30, 2023, after which LIBOR reference rates will cease</w:t>
      </w:r>
      <w:r>
        <w:rPr>
          <w:sz w:val="20"/>
          <w:szCs w:val="20"/>
        </w:rPr>
        <w:t xml:space="preserve"> to be provided. Despite this deferral, the LIBOR administrator has advised that no new contracts using U.S. dollar LIBOR should be entered into after December 31, 2021. It is unknown whether any banks will continue to voluntarily submit rates for the calc</w:t>
      </w:r>
      <w:r>
        <w:rPr>
          <w:sz w:val="20"/>
          <w:szCs w:val="20"/>
        </w:rPr>
        <w:t>ulation of LIBOR, or whether LIBOR will continue to be published by its administrator based on these submissions, or on any other basis, after such dates. If LIBOR ceases to exist or if the methods of calculating LIBOR change from their current form, inter</w:t>
      </w:r>
      <w:r>
        <w:rPr>
          <w:sz w:val="20"/>
          <w:szCs w:val="20"/>
        </w:rPr>
        <w:t>est rates on our current or future indebtedness may be adversely affected.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Changes in market conditions could adversely affect the market price of our publicly traded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market price of our publicly traded securities depends on various mar</w:t>
      </w:r>
      <w:r>
        <w:rPr>
          <w:sz w:val="20"/>
          <w:szCs w:val="20"/>
        </w:rPr>
        <w:t>ket conditions, which may change from time-to-time. Among the market conditions that may affect the market price of our publicly traded securities are the following:</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extent of institutional investor interest in us;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reputation of REITs g</w:t>
            </w:r>
            <w:r>
              <w:rPr>
                <w:sz w:val="20"/>
                <w:szCs w:val="20"/>
              </w:rPr>
              <w:t>enerally and the reputation of REITs with portfolios similar to ours;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attractiveness of the securities of REITs in comparison to securities issued by other entities, including securities issued by other real estate companies;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our financial condition and performance;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market’s perception of our growth potential, potential future cash dividends and risk profile;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an increase in market interest rates, which may lead prospective investors to demand a higher distribution rate in relation to the price paid for our shares;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general economic and financial market conditions.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We may change the dividend policy f</w:t>
      </w:r>
      <w:r>
        <w:rPr>
          <w:b/>
          <w:bCs/>
          <w:sz w:val="20"/>
          <w:szCs w:val="20"/>
        </w:rPr>
        <w:t>or our common stock in the future.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decision to declare and pay dividends on our common stock in the future, as well as the timing, amount and composition of any such future dividends, will be at the sole discretion of our Board of Directors and will </w:t>
      </w:r>
      <w:r>
        <w:rPr>
          <w:sz w:val="20"/>
          <w:szCs w:val="20"/>
        </w:rPr>
        <w:t>depend on our earnings, operating cash flows, liquidity, financial condition, capital requirements, contractual prohibitions or other limitations under our indebtedness including preferred stock, the annual distribution requirements under the REIT provisio</w:t>
      </w:r>
      <w:r>
        <w:rPr>
          <w:sz w:val="20"/>
          <w:szCs w:val="20"/>
        </w:rPr>
        <w:t>ns of the Code, state law and such other factors as our Board of Directors deems relevant or are requirements under the Code or state or federal laws. Any negative change in our dividend policy could have a material adverse effect on the market price of ou</w:t>
      </w:r>
      <w:r>
        <w:rPr>
          <w:sz w:val="20"/>
          <w:szCs w:val="20"/>
        </w:rPr>
        <w:t>r 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Our charter and bylaws and Maryland law contain provisions that may delay, defer or prevent a change of control transaction, even if such a change in control may be in our best interest, and as a result may depress the market price of our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w:t>
      </w:r>
      <w:r>
        <w:rPr>
          <w:sz w:val="20"/>
          <w:szCs w:val="20"/>
        </w:rPr>
        <w:t xml:space="preserve"> charter contains certain ownership limits. Our charter contains various provisions that are intended to preserve our qualification as a REIT and, subject to certain exceptions, authorize our directors to take such actions as are necessary or appropriate t</w:t>
      </w:r>
      <w:r>
        <w:rPr>
          <w:sz w:val="20"/>
          <w:szCs w:val="20"/>
        </w:rPr>
        <w:t>o preserve our qualification as a REIT</w:t>
      </w:r>
      <w:r>
        <w:rPr>
          <w:b/>
          <w:bCs/>
          <w:sz w:val="20"/>
          <w:szCs w:val="20"/>
        </w:rPr>
        <w:t>.</w:t>
      </w:r>
      <w:r>
        <w:rPr>
          <w:sz w:val="20"/>
          <w:szCs w:val="20"/>
        </w:rPr>
        <w:t xml:space="preserve"> For example, our charter prohibits the actual, beneficial or constructive ownership by any person of more than 9.8% in value or number of shares, whichever is more restrictive, of the outstanding shares of our common</w:t>
      </w:r>
      <w:r>
        <w:rPr>
          <w:sz w:val="20"/>
          <w:szCs w:val="20"/>
        </w:rPr>
        <w:t xml:space="preserve"> stock, and more than 9.8% in value of the aggregate outstanding shares of all classes and series of our stock. Our Board of Directors, in its sole and absolute discretion, may exempt a person, prospectively or retroactively, from these ownership limits if</w:t>
      </w:r>
      <w:r>
        <w:rPr>
          <w:sz w:val="20"/>
          <w:szCs w:val="20"/>
        </w:rPr>
        <w:t xml:space="preserve"> certain conditions are satisfied. The restrictions on ownership and transfer of our stock may:</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discourage a tender offer or other transactions or a change in management or of control that might involve a premium price for our common stock or that ou</w:t>
            </w:r>
            <w:r>
              <w:rPr>
                <w:sz w:val="20"/>
                <w:szCs w:val="20"/>
              </w:rPr>
              <w:t>r stockholders otherwise believe to be in their best interests; or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result in the transfer of shares acquired in excess of the restrictions to a trust for the benefit of a charitable beneficiary and, as a result, the forfeiture by the acquirer of the </w:t>
            </w:r>
            <w:r>
              <w:rPr>
                <w:sz w:val="20"/>
                <w:szCs w:val="20"/>
              </w:rPr>
              <w:t>benefits of owning the additional shares.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sz w:val="20"/>
          <w:szCs w:val="20"/>
          <w:u w:val="single"/>
        </w:rPr>
        <w:t>Risks Related to Our Status as a REIT and Related U.S. Federal Income Tax Matters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Loss of our tax status as a REIT or changes in U.S. federal income tax laws, regulations, administrative interpretations or cou</w:t>
      </w:r>
      <w:r>
        <w:rPr>
          <w:b/>
          <w:bCs/>
          <w:sz w:val="20"/>
          <w:szCs w:val="20"/>
        </w:rPr>
        <w:t>rt decisions relating to REITs could have significant adverse consequences to us and the value of our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have elected to be taxed as a REIT for U.S. federal income tax purposes under the Code. We believe that we are organized and operate in a</w:t>
      </w:r>
      <w:r>
        <w:rPr>
          <w:sz w:val="20"/>
          <w:szCs w:val="20"/>
        </w:rPr>
        <w:t xml:space="preserve"> manner that has allowed us to qualify and will allow us to remain qualified as a REIT under the Code. However, there can be no assurance that we have qualified or will continue to qualify as a REIT for U.S. federal income tax purposes.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1005664"/>
        <w:rPr>
          <w:rFonts w:eastAsia="Times New Roman"/>
          <w:sz w:val="20"/>
          <w:szCs w:val="20"/>
        </w:rPr>
      </w:pPr>
      <w:r>
        <w:rPr>
          <w:rFonts w:eastAsia="Times New Roman"/>
          <w:sz w:val="20"/>
          <w:szCs w:val="20"/>
        </w:rPr>
        <w:t xml:space="preserve">18 </w:t>
      </w:r>
    </w:p>
    <w:p w:rsidR="00000000" w:rsidRDefault="001D2166">
      <w:pPr>
        <w:divId w:val="158232162"/>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1D2166">
      <w:pPr>
        <w:divId w:val="7152042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Qualification as a REIT involves the application of highly technical and complex Code provisions, for which there are only limited judicial and administrative interpretation</w:t>
      </w:r>
      <w:r>
        <w:rPr>
          <w:sz w:val="20"/>
          <w:szCs w:val="20"/>
        </w:rPr>
        <w:t>s. The determination of various factual matters and circumstances not entirely within our control may affect our ability to qualify as a REIT. The rules dealing with U.S. federal income taxation are constantly under review by persons involved in the legisl</w:t>
      </w:r>
      <w:r>
        <w:rPr>
          <w:sz w:val="20"/>
          <w:szCs w:val="20"/>
        </w:rPr>
        <w:t>ative process and by the U.S. Internal Revenue Service (the “IRS”) and U.S. Department of the Treasury. We cannot predict how changes in the tax laws might affect our investors or us. New legislation, regulations, administrative interpretations or court de</w:t>
      </w:r>
      <w:r>
        <w:rPr>
          <w:sz w:val="20"/>
          <w:szCs w:val="20"/>
        </w:rPr>
        <w:t>cisions could significantly and negatively change the tax laws with respect to qualification as a REIT, the U.S. federal income tax consequences of such qualification or the desirability of an investment in a REIT relative to other investments.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In order </w:t>
      </w:r>
      <w:r>
        <w:rPr>
          <w:sz w:val="20"/>
          <w:szCs w:val="20"/>
        </w:rPr>
        <w:t>to qualify as a REIT, we must satisfy a number of requirements, including requirements regarding the ownership of our stock, the composition of our assets and the sources of our gross income. Also, we must make distributions to stockholders aggregating ann</w:t>
      </w:r>
      <w:r>
        <w:rPr>
          <w:sz w:val="20"/>
          <w:szCs w:val="20"/>
        </w:rPr>
        <w:t xml:space="preserve">ually at least 90% of our REIT taxable income, excluding net capital gains. Furthermore, we own a direct or indirect interest in certain subsidiary REITs which have elected to be taxed as REITs for U.S. federal income tax purposes under the Code. Provided </w:t>
      </w:r>
      <w:r>
        <w:rPr>
          <w:sz w:val="20"/>
          <w:szCs w:val="20"/>
        </w:rPr>
        <w:t>that each subsidiary REIT qualifies as a REIT, our interest in such subsidiary REIT will be treated as a qualifying real estate asset for purposes of the REIT asset tests. To qualify as a REIT, the subsidiary REIT must independently satisfy all of the REIT</w:t>
      </w:r>
      <w:r>
        <w:rPr>
          <w:sz w:val="20"/>
          <w:szCs w:val="20"/>
        </w:rPr>
        <w:t xml:space="preserve"> qualification requirements. The failure of a subsidiary REIT to qualify as a REIT could have an adverse effect on our ability to comply with the REIT income and asset tests, and thus our ability to qualify as a REIT.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If we were to lose our REIT status, </w:t>
      </w:r>
      <w:r>
        <w:rPr>
          <w:sz w:val="20"/>
          <w:szCs w:val="20"/>
        </w:rPr>
        <w:t>we would face serious tax consequences that would substantially reduce the funds available to pay distributions to stockholders for each of the years involved because:</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we would not be allowed a deduction for dividends to stockholders in computing our</w:t>
            </w:r>
            <w:r>
              <w:rPr>
                <w:sz w:val="20"/>
                <w:szCs w:val="20"/>
              </w:rPr>
              <w:t xml:space="preserve"> taxable income and we would be subject to the regular U.S. federal corporate income tax;</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we could possibly be subject to the federal alternative minimum tax ("AMT") for taxable years prior to 2018, when AMT was in effect, or increased state and loca</w:t>
            </w:r>
            <w:r>
              <w:rPr>
                <w:sz w:val="20"/>
                <w:szCs w:val="20"/>
              </w:rPr>
              <w:t>l taxes;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unless we were entitled to relief under statutory provisions, we could not elect to be taxed as a REIT for four taxable years following the year during which we were disqualified;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we would not be required to make distributions to stockholders.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failure to qualify as a REIT or new legislation or changes in U.S. federal income tax laws including with respect to qualification as a REIT or the tax consequences of such qualification, could also impair our ability to expand our business or raise c</w:t>
      </w:r>
      <w:r>
        <w:rPr>
          <w:sz w:val="20"/>
          <w:szCs w:val="20"/>
        </w:rPr>
        <w:t>apital and have a materially adverse effect on the value of our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To maintain our REIT status, we may be forced to borrow funds during unfavorable market conditions, and the unavailability of such capital on favorable terms at the desired times</w:t>
      </w:r>
      <w:r>
        <w:rPr>
          <w:b/>
          <w:bCs/>
          <w:sz w:val="20"/>
          <w:szCs w:val="20"/>
        </w:rPr>
        <w:t>, or at all, may cause us to curtail our investment activities and/or to dispose of assets at inopportune times, which could adversely affect our financial condition, results of operations, cash flows and per share trading price of our 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To q</w:t>
      </w:r>
      <w:r>
        <w:rPr>
          <w:sz w:val="20"/>
          <w:szCs w:val="20"/>
        </w:rPr>
        <w:t>ualify as a REIT, we generally must distribute to our stockholders at least 90% of our REIT taxable income each year, excluding net capital gains, and we will be subject to regular U.S. federal corporate income taxes on the amount we distribute that is les</w:t>
      </w:r>
      <w:r>
        <w:rPr>
          <w:sz w:val="20"/>
          <w:szCs w:val="20"/>
        </w:rPr>
        <w:t>s than 100% of our net taxable income each year, including capital gains. In addition, we will be subject to a 4% nondeductible excise tax on the amount, if any, by which distributions paid by us in any calendar year are less than the sum of 85% of our ord</w:t>
      </w:r>
      <w:r>
        <w:rPr>
          <w:sz w:val="20"/>
          <w:szCs w:val="20"/>
        </w:rPr>
        <w:t>inary income, 95% of our capital gain net income and 100% of our undistributed income from prior years. While we have historically satisfied these distribution requirements by making cash distributions to our stockholders, a REIT is permitted to satisfy th</w:t>
      </w:r>
      <w:r>
        <w:rPr>
          <w:sz w:val="20"/>
          <w:szCs w:val="20"/>
        </w:rPr>
        <w:t>ese requirements by making distributions of cash or other property, including, in limited circumstances, its own stock. Assuming we continue to satisfy these distribution requirements with cash, we may need to borrow funds to meet the REIT distribution req</w:t>
      </w:r>
      <w:r>
        <w:rPr>
          <w:sz w:val="20"/>
          <w:szCs w:val="20"/>
        </w:rPr>
        <w:t xml:space="preserve">uirements and avoid the payment of income and excise taxes even if the then prevailing market conditions are not favorable for these borrowings. These borrowing needs could result from differences in timing between the actual receipt of cash and inclusion </w:t>
      </w:r>
      <w:r>
        <w:rPr>
          <w:sz w:val="20"/>
          <w:szCs w:val="20"/>
        </w:rPr>
        <w:t>of income for U.S. federal income tax purposes, or the effect of non-deductible capital expenditures, the creation of cash reserves or required debt or amortization payments. These sources, however, may not be available on favorable terms or at all. Our ac</w:t>
      </w:r>
      <w:r>
        <w:rPr>
          <w:sz w:val="20"/>
          <w:szCs w:val="20"/>
        </w:rPr>
        <w:t>cess to third-party sources of capital depends on a number of factors, including the market's perception of our growth potential, our current debt levels, the market price of our common stock, and our current and potential future earnings. We cannot assure</w:t>
      </w:r>
      <w:r>
        <w:rPr>
          <w:sz w:val="20"/>
          <w:szCs w:val="20"/>
        </w:rPr>
        <w:t xml:space="preserve"> you that we will have access to such capital on favorable terms at the desired times, or at all, which may cause us to curtail our investment activities and/or to dispose of assets at inopportune times, and could adversely affect our financial condition, </w:t>
      </w:r>
      <w:r>
        <w:rPr>
          <w:sz w:val="20"/>
          <w:szCs w:val="20"/>
        </w:rPr>
        <w:t>results of operations, cash flows and per share trading price of our 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 xml:space="preserve">The tax imposed on REITs engaging in </w:t>
      </w:r>
      <w:r>
        <w:rPr>
          <w:sz w:val="20"/>
          <w:szCs w:val="20"/>
        </w:rPr>
        <w:t>“</w:t>
      </w:r>
      <w:r>
        <w:rPr>
          <w:b/>
          <w:bCs/>
          <w:sz w:val="20"/>
          <w:szCs w:val="20"/>
        </w:rPr>
        <w:t>prohibited transactions</w:t>
      </w:r>
      <w:r>
        <w:rPr>
          <w:sz w:val="20"/>
          <w:szCs w:val="20"/>
        </w:rPr>
        <w:t>”</w:t>
      </w:r>
      <w:r>
        <w:rPr>
          <w:b/>
          <w:bCs/>
          <w:sz w:val="20"/>
          <w:szCs w:val="20"/>
        </w:rPr>
        <w:t xml:space="preserve"> may limit our ability to engage in transactions which would be treated as sales for U.S. federal income tax </w:t>
      </w:r>
      <w:r>
        <w:rPr>
          <w:b/>
          <w:bCs/>
          <w:sz w:val="20"/>
          <w:szCs w:val="20"/>
        </w:rPr>
        <w:t>purposes.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 REIT's net income from prohibited transactions is subject to a 100% penalty tax. In general, prohibited transactions are sales or other dispositions of property, other than foreclosure property, held primarily for sale to customers in the ord</w:t>
      </w:r>
      <w:r>
        <w:rPr>
          <w:sz w:val="20"/>
          <w:szCs w:val="20"/>
        </w:rPr>
        <w:t xml:space="preserve">inary course of business. Although we do not intend to hold any properties that would be characterized as held for sale to customers in the ordinary course of our business, unless a sale or disposition qualifies under certain statutory safe harbors, or is </w:t>
      </w:r>
      <w:r>
        <w:rPr>
          <w:sz w:val="20"/>
          <w:szCs w:val="20"/>
        </w:rPr>
        <w:t>held through a taxable REIT subsidiary, such characterization is a factual determination and no guarantee can be given that the IRS would agree with our characterization of our properties or that we will always be able to make use of the available safe har</w:t>
      </w:r>
      <w:r>
        <w:rPr>
          <w:sz w:val="20"/>
          <w:szCs w:val="20"/>
        </w:rPr>
        <w:t>bors.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403337345"/>
        <w:rPr>
          <w:rFonts w:eastAsia="Times New Roman"/>
          <w:sz w:val="20"/>
          <w:szCs w:val="20"/>
        </w:rPr>
      </w:pPr>
      <w:r>
        <w:rPr>
          <w:rFonts w:eastAsia="Times New Roman"/>
          <w:sz w:val="20"/>
          <w:szCs w:val="20"/>
        </w:rPr>
        <w:t xml:space="preserve">19 </w:t>
      </w:r>
    </w:p>
    <w:p w:rsidR="00000000" w:rsidRDefault="001D2166">
      <w:pPr>
        <w:divId w:val="1617369506"/>
        <w:rPr>
          <w:rFonts w:eastAsia="Times New Roman"/>
          <w:sz w:val="20"/>
          <w:szCs w:val="20"/>
        </w:rPr>
      </w:pPr>
      <w:r>
        <w:rPr>
          <w:rFonts w:eastAsia="Times New Roman"/>
          <w:sz w:val="20"/>
          <w:szCs w:val="20"/>
        </w:rPr>
        <w:pict>
          <v:rect id="_x0000_i1049" style="width:415.3pt;height:1.5pt" o:hralign="center" o:hrstd="t" o:hrnoshade="t" o:hr="t" fillcolor="black" stroked="f"/>
        </w:pict>
      </w:r>
    </w:p>
    <w:p w:rsidR="00000000" w:rsidRDefault="001D2166">
      <w:pPr>
        <w:divId w:val="6865659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sz w:val="20"/>
          <w:szCs w:val="20"/>
        </w:rPr>
        <w:t>Dividends payable by REITs do not qualify for the reduced tax rates available for some dividends.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maximum tax rate applicable to “qualified dividend income” payable to U.S. stockholders that are individuals, trusts and estates is 20%. Dividends payab</w:t>
      </w:r>
      <w:r>
        <w:rPr>
          <w:sz w:val="20"/>
          <w:szCs w:val="20"/>
        </w:rPr>
        <w:t>le by REITs, however, generally are not eligible for these reduced rates. U.S. stockholders that are individuals, trusts and estates generally may deduct up to 20% of the ordinary dividends (i.e., dividends not designated as capital gain dividends or quali</w:t>
      </w:r>
      <w:r>
        <w:rPr>
          <w:sz w:val="20"/>
          <w:szCs w:val="20"/>
        </w:rPr>
        <w:t>fied dividend income) received from a REIT for taxable years beginning before January 1, 2026. Although this deduction reduces the effective tax rate applicable to certain dividends paid by REITs (generally to 29.6% assuming the shareholder is subject to t</w:t>
      </w:r>
      <w:r>
        <w:rPr>
          <w:sz w:val="20"/>
          <w:szCs w:val="20"/>
        </w:rPr>
        <w:t>he 37% maximum rate), such tax rate is still higher than the tax rate applicable to corporate dividends that constitute qualified dividend income. Accordingly, investors who are individuals, trusts and estates may perceive investments in REITs to be relati</w:t>
      </w:r>
      <w:r>
        <w:rPr>
          <w:sz w:val="20"/>
          <w:szCs w:val="20"/>
        </w:rPr>
        <w:t>vely less attractive than investments in the stocks of non-REIT corporations that pay dividends treated as qualified dividend income, which could materially and adversely affect the value of the shares of REITs, including the per share trading price of our</w:t>
      </w:r>
      <w:r>
        <w:rPr>
          <w:sz w:val="20"/>
          <w:szCs w:val="20"/>
        </w:rPr>
        <w:t xml:space="preserve"> 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1B. Unresolved Staff Comments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None.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2.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Real Estate Portfolio. </w:t>
      </w:r>
      <w:r>
        <w:rPr>
          <w:sz w:val="20"/>
          <w:szCs w:val="20"/>
        </w:rPr>
        <w:t>As of December 31, 2021, the Company had interests in 541 shopping center properties aggregati</w:t>
      </w:r>
      <w:r>
        <w:rPr>
          <w:sz w:val="20"/>
          <w:szCs w:val="20"/>
        </w:rPr>
        <w:t>ng 93.3 million square feet of GLA located in 29 states. In addition, the Company had 50 other property interests, primarily through the Company’s preferred equity investments and other investments, totaling 6.3 million square feet of GLA. Open-air shoppin</w:t>
      </w:r>
      <w:r>
        <w:rPr>
          <w:sz w:val="20"/>
          <w:szCs w:val="20"/>
        </w:rPr>
        <w:t>g centers comprise the primary focus of the Company's current portfolio.  As of December 31, 2021, the Company’s Combined Shopping Center Portfolio, including noncontrolling interests, was 94.4% leased.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Company's open-air shopping center properties, </w:t>
      </w:r>
      <w:r>
        <w:rPr>
          <w:sz w:val="20"/>
          <w:szCs w:val="20"/>
        </w:rPr>
        <w:t>which are generally owned and operated through subsidiaries or joint ventures, had an average size of 172,516 square feet as of December 31, 2021. The Company generally retains its shopping centers for long-term investment and consequently pursues a progra</w:t>
      </w:r>
      <w:r>
        <w:rPr>
          <w:sz w:val="20"/>
          <w:szCs w:val="20"/>
        </w:rPr>
        <w:t>m of regular physical maintenance together with redevelopment, major renovations and refurbishing to preserve and increase the value of its properties. This includes renovating existing facades, installing uniform signage, resurfacing parking lots and enha</w:t>
      </w:r>
      <w:r>
        <w:rPr>
          <w:sz w:val="20"/>
          <w:szCs w:val="20"/>
        </w:rPr>
        <w:t>ncing parking lot lighting. During 2021, the Company expended $100.8 million in connection with property redevelopments and $62.9 million related to improvements.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56715240"/>
        <w:rPr>
          <w:rFonts w:eastAsia="Times New Roman"/>
          <w:sz w:val="20"/>
          <w:szCs w:val="20"/>
        </w:rPr>
      </w:pPr>
      <w:r>
        <w:rPr>
          <w:rFonts w:eastAsia="Times New Roman"/>
          <w:sz w:val="20"/>
          <w:szCs w:val="20"/>
        </w:rPr>
        <w:t xml:space="preserve">20 </w:t>
      </w:r>
    </w:p>
    <w:p w:rsidR="00000000" w:rsidRDefault="001D2166">
      <w:pPr>
        <w:divId w:val="702899014"/>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1D2166">
      <w:pPr>
        <w:divId w:val="11046138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management believes its experience in the real estate industry and its relationships with numerous national and regional tenant</w:t>
      </w:r>
      <w:r>
        <w:rPr>
          <w:sz w:val="20"/>
          <w:szCs w:val="20"/>
        </w:rPr>
        <w:t>s gives it an advantage in an industry where ownership is fragmented among a large number of property owners. The Company's open-air shopping centers are usually "anchored" by a grocery store, home improvement centers, off-price retailer, discounter or ser</w:t>
      </w:r>
      <w:r>
        <w:rPr>
          <w:sz w:val="20"/>
          <w:szCs w:val="20"/>
        </w:rPr>
        <w:t>vice-oriented tenant. As one of the original participants in the growth of the shopping center industry and the nation's largest owner and operator of shopping centers, the Company has established close relationships with a large number of major national a</w:t>
      </w:r>
      <w:r>
        <w:rPr>
          <w:sz w:val="20"/>
          <w:szCs w:val="20"/>
        </w:rPr>
        <w:t>nd regional retailers. Some of the major national and regional companies that are tenants in the Company's shopping center properties include TJX Companies, The Home Depot, Albertsons Companies, Ross Stores, Amazon/Whole Foods Market, PetSmart, Ahold Delha</w:t>
      </w:r>
      <w:r>
        <w:rPr>
          <w:sz w:val="20"/>
          <w:szCs w:val="20"/>
        </w:rPr>
        <w:t>ize, Kroger, Burlington Stores and Walmart.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reduces its operating and leasing risks through diversification achieved by the geographic distribution of its properties and a large tenant base. As of December 31, 2021, no single open-air shoppin</w:t>
      </w:r>
      <w:r>
        <w:rPr>
          <w:sz w:val="20"/>
          <w:szCs w:val="20"/>
        </w:rPr>
        <w:t>g center accounted for more than 1.4% of the Company's annualized base rental revenues, including the proportionate share of base rental revenues from properties in which the Company has less than a 100% economic interest, or more than 1.4% of the Company’</w:t>
      </w:r>
      <w:r>
        <w:rPr>
          <w:sz w:val="20"/>
          <w:szCs w:val="20"/>
        </w:rPr>
        <w:t>s total shopping center GLA. At December 31, 2021, the Company’s five largest tenants were TJX Companies, The Home Depot, Albertsons Companies, Ross Stores and Amazon/Whole Foods Market, which represented 3.7%, 2.2%, 2.0%, 1.9% and 1.9%, respectively, of t</w:t>
      </w:r>
      <w:r>
        <w:rPr>
          <w:sz w:val="20"/>
          <w:szCs w:val="20"/>
        </w:rPr>
        <w:t>he Company’s annualized base rental revenues, including the proportionate share of base rental revenues from properties in which the Company has less than a 100% economic interest.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 substantial portion of the Company's income consists of rent received u</w:t>
      </w:r>
      <w:r>
        <w:rPr>
          <w:sz w:val="20"/>
          <w:szCs w:val="20"/>
        </w:rPr>
        <w:t xml:space="preserve">nder long-term leases. Most of the leases provide for the payment of fixed-base rentals monthly in advance and for the payment by tenants of an allocable share of the real estate taxes, insurance, utilities and common area maintenance expenses incurred in </w:t>
      </w:r>
      <w:r>
        <w:rPr>
          <w:sz w:val="20"/>
          <w:szCs w:val="20"/>
        </w:rPr>
        <w:t>operating the shopping centers (certain of the leases provide for the payment of a fixed-rate reimbursement of these such expenses). Although many of the leases require the Company to make roof and structural repairs as needed, a number of tenant leases pl</w:t>
      </w:r>
      <w:r>
        <w:rPr>
          <w:sz w:val="20"/>
          <w:szCs w:val="20"/>
        </w:rPr>
        <w:t>ace that responsibility on the tenant, and the Company's standard small store lease provides for reimbursements by the tenant as part of common area maintenance. Additionally, many of the leases provide for reimbursements by the tenant of capital expenditu</w:t>
      </w:r>
      <w:r>
        <w:rPr>
          <w:sz w:val="20"/>
          <w:szCs w:val="20"/>
        </w:rPr>
        <w:t>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Minimum base rental revenues and operating expense reimbursements accounted for 98% and other revenues, including percentage rents, accounted for 2% of the Company's total revenues from rental properties for the year ended December 31, 2021. The Com</w:t>
      </w:r>
      <w:r>
        <w:rPr>
          <w:sz w:val="20"/>
          <w:szCs w:val="20"/>
        </w:rPr>
        <w:t xml:space="preserve">pany's management believes that the base rent per leased square foot for many of the Company's existing leases is generally lower than the prevailing market-rate base rents in the geographic regions where the Company operates, reflecting the potential for </w:t>
      </w:r>
      <w:r>
        <w:rPr>
          <w:sz w:val="20"/>
          <w:szCs w:val="20"/>
        </w:rPr>
        <w:t>future growth. Additionally, a majority of the Company’s leases have provisions requiring contractual rent increases. The Company’s leases may also include escalation clauses, which provide for increases based upon changes in the consumer price index or si</w:t>
      </w:r>
      <w:r>
        <w:rPr>
          <w:sz w:val="20"/>
          <w:szCs w:val="20"/>
        </w:rPr>
        <w:t>milar inflation indices.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As of December 31, 2021, the Company’</w:t>
      </w:r>
      <w:r>
        <w:rPr>
          <w:sz w:val="20"/>
          <w:szCs w:val="20"/>
        </w:rPr>
        <w:t>s consolidated operating portfolio, comprised of 428 shopping center properties aggregating 70.8 million square feet of GLA, was 94.2% leased. The consolidated operating portfolio consists entirely of properties located in the U.S., inclusive of Puerto Ric</w:t>
      </w:r>
      <w:r>
        <w:rPr>
          <w:sz w:val="20"/>
          <w:szCs w:val="20"/>
        </w:rPr>
        <w:t xml:space="preserve">o.  For the period January 1, 2021 to December 31, 2021, the Company increased the average base rent per leased square foot, which includes the impact of tenant concessions, in its consolidated portfolio of open-air shopping centers from $18.16 to $19.05, </w:t>
      </w:r>
      <w:r>
        <w:rPr>
          <w:sz w:val="20"/>
          <w:szCs w:val="20"/>
        </w:rPr>
        <w:t>an increase of $0.89.  This increase primarily consists of (i) a $0.67 increase relating to properties acquired in connection with the Merger, (ii) a $0.16 increase relating to rent step-ups within the portfolio and new leases signed, net of leases vacated</w:t>
      </w:r>
      <w:r>
        <w:rPr>
          <w:sz w:val="20"/>
          <w:szCs w:val="20"/>
        </w:rPr>
        <w:t xml:space="preserve"> and (iii) a $0.06 increase relating to acquisitions/dispositions and properties moved into the operating portfolio.</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a total of 8,193 leases in the consolidated operating portfolio. The following table sets forth the aggregate lease expir</w:t>
      </w:r>
      <w:r>
        <w:rPr>
          <w:sz w:val="20"/>
          <w:szCs w:val="20"/>
        </w:rPr>
        <w:t>ations for each of the next ten years, assuming no renewal options are exercised. For purposes of the table, the Total Annual Base Rent Expiring represents annualized rental revenue, excluding the impact of straight-line rent, for each lease that expires d</w:t>
      </w:r>
      <w:r>
        <w:rPr>
          <w:sz w:val="20"/>
          <w:szCs w:val="20"/>
        </w:rPr>
        <w:t>uring the respective year. Amounts in thousands, except for number of leases data:</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1252"/>
        <w:gridCol w:w="56"/>
        <w:gridCol w:w="56"/>
        <w:gridCol w:w="56"/>
        <w:gridCol w:w="1327"/>
        <w:gridCol w:w="56"/>
        <w:gridCol w:w="56"/>
        <w:gridCol w:w="56"/>
        <w:gridCol w:w="1252"/>
        <w:gridCol w:w="56"/>
        <w:gridCol w:w="56"/>
        <w:gridCol w:w="280"/>
        <w:gridCol w:w="1327"/>
        <w:gridCol w:w="56"/>
        <w:gridCol w:w="56"/>
        <w:gridCol w:w="57"/>
        <w:gridCol w:w="1253"/>
        <w:gridCol w:w="167"/>
      </w:tblGrid>
      <w:tr w:rsidR="00000000">
        <w:trPr>
          <w:tblCellSpacing w:w="0" w:type="dxa"/>
        </w:trPr>
        <w:tc>
          <w:tcPr>
            <w:tcW w:w="8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Ending</w:t>
            </w:r>
          </w:p>
          <w:p w:rsidR="00000000" w:rsidRDefault="001D2166">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Number of Leases</w:t>
            </w:r>
          </w:p>
          <w:p w:rsidR="00000000" w:rsidRDefault="001D2166">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Square Feet </w:t>
            </w:r>
          </w:p>
          <w:p w:rsidR="00000000" w:rsidRDefault="001D2166">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 Annual Base</w:t>
            </w:r>
          </w:p>
          <w:p w:rsidR="00000000" w:rsidRDefault="001D2166">
            <w:pPr>
              <w:pStyle w:val="a3"/>
              <w:spacing w:before="0" w:beforeAutospacing="0" w:after="0" w:afterAutospacing="0"/>
              <w:jc w:val="center"/>
              <w:rPr>
                <w:sz w:val="20"/>
                <w:szCs w:val="20"/>
              </w:rPr>
            </w:pPr>
            <w:r>
              <w:rPr>
                <w:b/>
                <w:bCs/>
                <w:sz w:val="20"/>
                <w:szCs w:val="20"/>
              </w:rPr>
              <w:t>Rent Expiring</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of Gross</w:t>
            </w:r>
          </w:p>
          <w:p w:rsidR="00000000" w:rsidRDefault="001D2166">
            <w:pPr>
              <w:pStyle w:val="a3"/>
              <w:spacing w:before="0" w:beforeAutospacing="0" w:after="0" w:afterAutospacing="0"/>
              <w:jc w:val="center"/>
              <w:rPr>
                <w:sz w:val="20"/>
                <w:szCs w:val="20"/>
              </w:rPr>
            </w:pPr>
            <w:r>
              <w:rPr>
                <w:b/>
                <w:bCs/>
                <w:sz w:val="20"/>
                <w:szCs w:val="20"/>
              </w:rPr>
              <w:t>Annual Rent</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85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244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575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13,745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986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4,274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89,935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7.6</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1,223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8,023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145,031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12.2</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1,180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7,908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147,564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12.4</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1,031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7,749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142,265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12.0</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1,007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9,302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150,014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12.6</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658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7,670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119,638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10.1</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443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4,941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88,739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7.5</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377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3,494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64,267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5.4</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2030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303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center"/>
              <w:rPr>
                <w:rFonts w:eastAsia="Times New Roman"/>
                <w:sz w:val="20"/>
                <w:szCs w:val="20"/>
              </w:rPr>
            </w:pPr>
            <w:r>
              <w:rPr>
                <w:rFonts w:eastAsia="Times New Roman"/>
                <w:sz w:val="20"/>
                <w:szCs w:val="20"/>
              </w:rPr>
              <w:t>2,483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54,898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ind w:left="180"/>
              <w:jc w:val="right"/>
              <w:rPr>
                <w:rFonts w:eastAsia="Times New Roman"/>
                <w:sz w:val="20"/>
                <w:szCs w:val="20"/>
              </w:rPr>
            </w:pPr>
            <w:r>
              <w:rPr>
                <w:rFonts w:eastAsia="Times New Roman"/>
                <w:sz w:val="20"/>
                <w:szCs w:val="20"/>
              </w:rPr>
              <w:t>4.6</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1D2166">
            <w:pPr>
              <w:pStyle w:val="a3"/>
              <w:spacing w:before="0" w:beforeAutospacing="0" w:after="0" w:afterAutospacing="0"/>
              <w:ind w:left="360" w:hanging="180"/>
              <w:jc w:val="center"/>
              <w:rPr>
                <w:sz w:val="20"/>
                <w:szCs w:val="20"/>
              </w:rPr>
            </w:pPr>
            <w:r>
              <w:rPr>
                <w:sz w:val="20"/>
                <w:szCs w:val="20"/>
              </w:rPr>
              <w:t>2031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347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center"/>
              <w:rPr>
                <w:rFonts w:eastAsia="Times New Roman"/>
                <w:sz w:val="20"/>
                <w:szCs w:val="20"/>
              </w:rPr>
            </w:pPr>
            <w:r>
              <w:rPr>
                <w:rFonts w:eastAsia="Times New Roman"/>
                <w:sz w:val="20"/>
                <w:szCs w:val="20"/>
              </w:rPr>
              <w:t>2,547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56,215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ind w:left="180"/>
              <w:jc w:val="right"/>
              <w:rPr>
                <w:rFonts w:eastAsia="Times New Roman"/>
                <w:sz w:val="20"/>
                <w:szCs w:val="20"/>
              </w:rPr>
            </w:pPr>
            <w:r>
              <w:rPr>
                <w:rFonts w:eastAsia="Times New Roman"/>
                <w:sz w:val="20"/>
                <w:szCs w:val="20"/>
              </w:rPr>
              <w:t>4.7</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(1)</w:t>
            </w:r>
          </w:p>
        </w:tc>
        <w:tc>
          <w:tcPr>
            <w:tcW w:w="0" w:type="auto"/>
            <w:hideMark/>
          </w:tcPr>
          <w:p w:rsidR="00000000" w:rsidRDefault="001D2166">
            <w:pPr>
              <w:pStyle w:val="a3"/>
              <w:spacing w:before="0" w:beforeAutospacing="0" w:after="0" w:afterAutospacing="0"/>
              <w:rPr>
                <w:sz w:val="20"/>
                <w:szCs w:val="20"/>
              </w:rPr>
            </w:pPr>
            <w:r>
              <w:rPr>
                <w:sz w:val="20"/>
                <w:szCs w:val="20"/>
              </w:rPr>
              <w:t>Leases currently under a month-to-month lease or in process of renewal.</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2021, the Company executed 1,147 leases totaling over 7.5 million square feet in the Company’s consolidated operating portfolio comprised of 409 new leases and 738 renewals and options. The leasing costs associated with these new leases are estimate</w:t>
      </w:r>
      <w:r>
        <w:rPr>
          <w:sz w:val="20"/>
          <w:szCs w:val="20"/>
        </w:rPr>
        <w:t>d to aggregate $84.8 million or $38.65 per square foot. These costs include $65.3 million of tenant improvements and $19.5 million of external leasing commissions. The average rent per square foot for (i) new leases was $21.90 and (ii) renewals and options</w:t>
      </w:r>
      <w:r>
        <w:rPr>
          <w:sz w:val="20"/>
          <w:szCs w:val="20"/>
        </w:rPr>
        <w:t xml:space="preserve"> was $17.02. The Company will seek to obtain rents that are higher than amounts within its expiring leases, however, there are many variables and uncertainties which can significantly affect the leasing market at any time; as such, the Company cannot guara</w:t>
      </w:r>
      <w:r>
        <w:rPr>
          <w:sz w:val="20"/>
          <w:szCs w:val="20"/>
        </w:rPr>
        <w:t>ntee that future leases will continue to be signed for rents that are equal to or higher than current amounts.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062974233"/>
        <w:rPr>
          <w:rFonts w:eastAsia="Times New Roman"/>
          <w:sz w:val="20"/>
          <w:szCs w:val="20"/>
        </w:rPr>
      </w:pPr>
      <w:r>
        <w:rPr>
          <w:rFonts w:eastAsia="Times New Roman"/>
          <w:sz w:val="20"/>
          <w:szCs w:val="20"/>
        </w:rPr>
        <w:t xml:space="preserve">21 </w:t>
      </w:r>
    </w:p>
    <w:p w:rsidR="00000000" w:rsidRDefault="001D2166">
      <w:pPr>
        <w:divId w:val="1680040253"/>
        <w:rPr>
          <w:rFonts w:eastAsia="Times New Roman"/>
          <w:sz w:val="20"/>
          <w:szCs w:val="20"/>
        </w:rPr>
      </w:pPr>
      <w:r>
        <w:rPr>
          <w:rFonts w:eastAsia="Times New Roman"/>
          <w:sz w:val="20"/>
          <w:szCs w:val="20"/>
        </w:rPr>
        <w:pict>
          <v:rect id="_x0000_i1051" style="width:415.3pt;height:1.5pt" o:hralign="center" o:hrstd="t" o:hrnoshade="t" o:hr="t" fillcolor="black" stroked="f"/>
        </w:pict>
      </w:r>
    </w:p>
    <w:p w:rsidR="00000000" w:rsidRDefault="001D2166">
      <w:pPr>
        <w:divId w:val="16280771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Ground-Leased Properties</w:t>
      </w:r>
      <w:r>
        <w:rPr>
          <w:sz w:val="20"/>
          <w:szCs w:val="20"/>
        </w:rPr>
        <w:t>. The Company has interests in 42 consoli</w:t>
      </w:r>
      <w:r>
        <w:rPr>
          <w:sz w:val="20"/>
          <w:szCs w:val="20"/>
        </w:rPr>
        <w:t>dated shopping center properties that are subject to long-term ground leases where a third-party owns and has leased the underlying land to the Company to construct and/or operate a shopping center. The Company pays rent for the use of the land and general</w:t>
      </w:r>
      <w:r>
        <w:rPr>
          <w:sz w:val="20"/>
          <w:szCs w:val="20"/>
        </w:rPr>
        <w:t>ly is responsible for all costs and expenses associated with the building and improvements. At the end of these long-term leases, unless extended, the land together with all improvements reverts to the landowner.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More specific information with respect to</w:t>
      </w:r>
      <w:r>
        <w:rPr>
          <w:sz w:val="20"/>
          <w:szCs w:val="20"/>
        </w:rPr>
        <w:t xml:space="preserve"> each of the Company's property interests is set forth in Exhibit 99.1, which is incorporated herein by reference.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3. Legal Proceedings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is not presently involved in any litigation nor, to its knowledge, is a</w:t>
      </w:r>
      <w:r>
        <w:rPr>
          <w:sz w:val="20"/>
          <w:szCs w:val="20"/>
        </w:rPr>
        <w:t>ny litigation threatened against the Company or its subsidiaries that, in management's opinion, would result in any material effect on the Company's ownership, management or operation of its properties taken as a whole, or which is not covered by the Compa</w:t>
      </w:r>
      <w:r>
        <w:rPr>
          <w:sz w:val="20"/>
          <w:szCs w:val="20"/>
        </w:rPr>
        <w:t>ny's liability insurance.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4. Mine Safety Disclosures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Not applicable.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221286143"/>
        <w:rPr>
          <w:rFonts w:eastAsia="Times New Roman"/>
          <w:sz w:val="20"/>
          <w:szCs w:val="20"/>
        </w:rPr>
      </w:pPr>
      <w:r>
        <w:rPr>
          <w:rFonts w:eastAsia="Times New Roman"/>
          <w:sz w:val="20"/>
          <w:szCs w:val="20"/>
        </w:rPr>
        <w:t xml:space="preserve">22 </w:t>
      </w:r>
    </w:p>
    <w:p w:rsidR="00000000" w:rsidRDefault="001D2166">
      <w:pPr>
        <w:divId w:val="1221286143"/>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1D2166">
      <w:pPr>
        <w:divId w:val="2181769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u w:val="single"/>
        </w:rPr>
        <w:t>PART II</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5. Market for the Registrant's Common Equity, Related Stockholder Matters and Issuer Purchases of Equity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Market Information:</w:t>
      </w:r>
      <w:r>
        <w:rPr>
          <w:sz w:val="20"/>
          <w:szCs w:val="20"/>
        </w:rPr>
        <w:t xml:space="preserve"> Th</w:t>
      </w:r>
      <w:r>
        <w:rPr>
          <w:sz w:val="20"/>
          <w:szCs w:val="20"/>
        </w:rPr>
        <w:t>e Company’s common stock is traded on the NYSE under the trading symbol "KIM".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Holders:</w:t>
      </w:r>
      <w:r>
        <w:rPr>
          <w:sz w:val="20"/>
          <w:szCs w:val="20"/>
        </w:rPr>
        <w:t xml:space="preserve"> The number of holders of record of the Company's common stock, par value $0.01 per share, was 2,869 as of January 31, 2022.</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Dividends:</w:t>
      </w:r>
      <w:r>
        <w:rPr>
          <w:sz w:val="20"/>
          <w:szCs w:val="20"/>
        </w:rPr>
        <w:t xml:space="preserve"> Since the IPO, the Company ha</w:t>
      </w:r>
      <w:r>
        <w:rPr>
          <w:sz w:val="20"/>
          <w:szCs w:val="20"/>
        </w:rPr>
        <w:t xml:space="preserve">s paid regular quarterly cash dividends to its stockholders. While the Company intends to continue paying regular quarterly cash dividends, future dividend declarations will be paid at the discretion of the Board of Directors and will depend on the actual </w:t>
      </w:r>
      <w:r>
        <w:rPr>
          <w:sz w:val="20"/>
          <w:szCs w:val="20"/>
        </w:rPr>
        <w:t>cash flows of the Company, its financial condition, capital requirements, the annual distribution requirements under the REIT provisions of the Code and such other factors as the Board of Directors deems relevant. The Company’s Board of Directors will cont</w:t>
      </w:r>
      <w:r>
        <w:rPr>
          <w:sz w:val="20"/>
          <w:szCs w:val="20"/>
        </w:rPr>
        <w:t>inue to evaluate the Company’s dividend policy on a quarterly basis as they monitor sources of capital and evaluate operating fundamentals. The Company is required by the Code to distribute at least 90% of its REIT taxable income. The actual cash flow avai</w:t>
      </w:r>
      <w:r>
        <w:rPr>
          <w:sz w:val="20"/>
          <w:szCs w:val="20"/>
        </w:rPr>
        <w:t>lable to pay dividends will be affected by a number of factors, including the revenues received from operating properties, the operating expenses of the Company, the interest expense on its borrowings, the ability of lessees to meet their obligations to th</w:t>
      </w:r>
      <w:r>
        <w:rPr>
          <w:sz w:val="20"/>
          <w:szCs w:val="20"/>
        </w:rPr>
        <w:t>e Company, the ability to refinance near-term debt maturities and any unanticipated capital expenditures. The following table reflects the income tax status of distributions per share paid to common shareholders: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440" w:type="dxa"/>
        <w:tblCellMar>
          <w:left w:w="0" w:type="dxa"/>
          <w:right w:w="0" w:type="dxa"/>
        </w:tblCellMar>
        <w:tblLook w:val="04A0" w:firstRow="1" w:lastRow="0" w:firstColumn="1" w:lastColumn="0" w:noHBand="0" w:noVBand="1"/>
      </w:tblPr>
      <w:tblGrid>
        <w:gridCol w:w="4066"/>
        <w:gridCol w:w="50"/>
        <w:gridCol w:w="100"/>
        <w:gridCol w:w="972"/>
        <w:gridCol w:w="167"/>
        <w:gridCol w:w="50"/>
        <w:gridCol w:w="100"/>
        <w:gridCol w:w="973"/>
        <w:gridCol w:w="1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Dividend paid per share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0.68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0.82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Capital gains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addition to common stock offerings, the Company has capitalized on the growth in its business through the issuance of unsecured fixed and floating-rate medium-term notes, underwritten bonds, unsecured bank debt, mortgage debt, convertible preferred stoc</w:t>
      </w:r>
      <w:r>
        <w:rPr>
          <w:sz w:val="20"/>
          <w:szCs w:val="20"/>
        </w:rPr>
        <w:t>k and perpetual preferred stock. Borrowings under the Company's unsecured revolving credit facility have also been an interim source of funds to both finance the purchase of properties and other investments and meet any short-term working capital requireme</w:t>
      </w:r>
      <w:r>
        <w:rPr>
          <w:sz w:val="20"/>
          <w:szCs w:val="20"/>
        </w:rPr>
        <w:t>nts. The various instruments governing the Company's issuance of its unsecured public debt, bank debt, mortgage debt and preferred stock impose certain restrictions on the Company regarding dividends, voting, liquidation and other preferential rights avail</w:t>
      </w:r>
      <w:r>
        <w:rPr>
          <w:sz w:val="20"/>
          <w:szCs w:val="20"/>
        </w:rPr>
        <w:t>able to the holders of such instruments. See "Management's Discussion and Analysis of Financial Condition and Results of Operations" and Footnotes 14, 15 and 18 of the Notes to Consolidated Financial Statements included in this Form 10-K.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doe</w:t>
      </w:r>
      <w:r>
        <w:rPr>
          <w:sz w:val="20"/>
          <w:szCs w:val="20"/>
        </w:rPr>
        <w:t>s not believe that the preferential rights available to the holders of its Class L Preferred Stock and Class M Preferred Stock, the financial covenants contained in its public bond indentures, as amended, or the credit agreement for its Credit Facility wil</w:t>
      </w:r>
      <w:r>
        <w:rPr>
          <w:sz w:val="20"/>
          <w:szCs w:val="20"/>
        </w:rPr>
        <w:t>l have an adverse impact on the Company's ability to pay dividends in the normal course to its common stockholders or to distribute amounts necessary to maintain its qualification as a REIT.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maintains a dividend reinvestment and direct stock </w:t>
      </w:r>
      <w:r>
        <w:rPr>
          <w:sz w:val="20"/>
          <w:szCs w:val="20"/>
        </w:rPr>
        <w:t xml:space="preserve">purchase plan (the "Plan") pursuant to which common and preferred stockholders and other interested investors may elect to automatically reinvest their dividends to purchase shares of the Company’s common stock or, through optional cash payments, purchase </w:t>
      </w:r>
      <w:r>
        <w:rPr>
          <w:sz w:val="20"/>
          <w:szCs w:val="20"/>
        </w:rPr>
        <w:t>shares of the Company’s common stock. The Company may, from time-to-time, either (i) purchase shares of its common stock in the open market or (ii) issue new shares of its common stock for the purpose of fulfilling its obligations under the Plan.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 xml:space="preserve">Recent </w:t>
      </w:r>
      <w:r>
        <w:rPr>
          <w:sz w:val="20"/>
          <w:szCs w:val="20"/>
          <w:u w:val="single"/>
        </w:rPr>
        <w:t>Sales of Unregistered Securities:</w:t>
      </w:r>
      <w:r>
        <w:rPr>
          <w:sz w:val="20"/>
          <w:szCs w:val="20"/>
        </w:rPr>
        <w:t xml:space="preserve"> None.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Issuer Purchases of Equity Securities:</w:t>
      </w:r>
      <w:r>
        <w:rPr>
          <w:sz w:val="20"/>
          <w:szCs w:val="20"/>
        </w:rPr>
        <w:t xml:space="preserve"> During the year ended December 31, 2021, the Company repurchased 1,084,953 shares for an aggregate purchase price of $20.8 million (weighted average price of $19.21 per share)</w:t>
      </w:r>
      <w:r>
        <w:rPr>
          <w:sz w:val="20"/>
          <w:szCs w:val="20"/>
        </w:rPr>
        <w:t xml:space="preserve"> in connection with common shares surrendered or deemed surrendered to the Company to satisfy statutory minimum tax withholding obligations in connection with equity-based compensation plans.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February 2018, the Company's Board of Directors authori</w:t>
      </w:r>
      <w:r>
        <w:rPr>
          <w:sz w:val="20"/>
          <w:szCs w:val="20"/>
        </w:rPr>
        <w:t>zed a share repurchase program, which is scheduled to expire February 29, 2024. Under this program, the Company may repurchase shares of its common stock, par value $0.01 per share, with an aggregate gross purchase price of up to $300.0 million. The Compan</w:t>
      </w:r>
      <w:r>
        <w:rPr>
          <w:sz w:val="20"/>
          <w:szCs w:val="20"/>
        </w:rPr>
        <w:t>y did not repurchase any shares under the share repurchase program during the year ended December 31, 2021. As of December 31, 2021, the Company had $224.9 million available under this common share repurchase program.</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075737405"/>
        <w:rPr>
          <w:rFonts w:eastAsia="Times New Roman"/>
          <w:sz w:val="20"/>
          <w:szCs w:val="20"/>
        </w:rPr>
      </w:pPr>
      <w:r>
        <w:rPr>
          <w:rFonts w:eastAsia="Times New Roman"/>
          <w:sz w:val="20"/>
          <w:szCs w:val="20"/>
        </w:rPr>
        <w:t xml:space="preserve">23 </w:t>
      </w:r>
    </w:p>
    <w:p w:rsidR="00000000" w:rsidRDefault="001D2166">
      <w:pPr>
        <w:divId w:val="1523669615"/>
        <w:rPr>
          <w:rFonts w:eastAsia="Times New Roman"/>
          <w:sz w:val="20"/>
          <w:szCs w:val="20"/>
        </w:rPr>
      </w:pPr>
      <w:r>
        <w:rPr>
          <w:rFonts w:eastAsia="Times New Roman"/>
          <w:sz w:val="20"/>
          <w:szCs w:val="20"/>
        </w:rPr>
        <w:pict>
          <v:rect id="_x0000_i1053" style="width:415.3pt;height:1.5pt" o:hralign="center" o:hrstd="t" o:hrnoshade="t" o:hr="t" fillcolor="black" stroked="f"/>
        </w:pict>
      </w:r>
    </w:p>
    <w:p w:rsidR="00000000" w:rsidRDefault="001D2166">
      <w:pPr>
        <w:divId w:val="19663537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522"/>
        <w:gridCol w:w="76"/>
        <w:gridCol w:w="76"/>
        <w:gridCol w:w="865"/>
        <w:gridCol w:w="76"/>
        <w:gridCol w:w="76"/>
        <w:gridCol w:w="101"/>
        <w:gridCol w:w="865"/>
        <w:gridCol w:w="76"/>
        <w:gridCol w:w="76"/>
        <w:gridCol w:w="76"/>
        <w:gridCol w:w="1338"/>
        <w:gridCol w:w="76"/>
        <w:gridCol w:w="76"/>
        <w:gridCol w:w="100"/>
        <w:gridCol w:w="1339"/>
        <w:gridCol w:w="77"/>
      </w:tblGrid>
      <w:tr w:rsidR="00000000">
        <w:trPr>
          <w:tblCellSpacing w:w="0" w:type="dxa"/>
        </w:trPr>
        <w:tc>
          <w:tcPr>
            <w:tcW w:w="16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w:t>
            </w:r>
          </w:p>
          <w:p w:rsidR="00000000" w:rsidRDefault="001D2166">
            <w:pPr>
              <w:pStyle w:val="a3"/>
              <w:spacing w:before="0" w:beforeAutospacing="0" w:after="0" w:afterAutospacing="0"/>
              <w:jc w:val="center"/>
              <w:rPr>
                <w:sz w:val="20"/>
                <w:szCs w:val="20"/>
              </w:rPr>
            </w:pPr>
            <w:r>
              <w:rPr>
                <w:b/>
                <w:bCs/>
                <w:sz w:val="20"/>
                <w:szCs w:val="20"/>
              </w:rPr>
              <w:t>Number of</w:t>
            </w:r>
          </w:p>
          <w:p w:rsidR="00000000" w:rsidRDefault="001D2166">
            <w:pPr>
              <w:pStyle w:val="a3"/>
              <w:spacing w:before="0" w:beforeAutospacing="0" w:after="0" w:afterAutospacing="0"/>
              <w:jc w:val="center"/>
              <w:rPr>
                <w:sz w:val="20"/>
                <w:szCs w:val="20"/>
              </w:rPr>
            </w:pPr>
            <w:r>
              <w:rPr>
                <w:b/>
                <w:bCs/>
                <w:sz w:val="20"/>
                <w:szCs w:val="20"/>
              </w:rPr>
              <w:t>Shares</w:t>
            </w:r>
          </w:p>
          <w:p w:rsidR="00000000" w:rsidRDefault="001D2166">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Average</w:t>
            </w:r>
          </w:p>
          <w:p w:rsidR="00000000" w:rsidRDefault="001D2166">
            <w:pPr>
              <w:pStyle w:val="a3"/>
              <w:spacing w:before="0" w:beforeAutospacing="0" w:after="0" w:afterAutospacing="0"/>
              <w:jc w:val="center"/>
              <w:rPr>
                <w:sz w:val="20"/>
                <w:szCs w:val="20"/>
              </w:rPr>
            </w:pPr>
            <w:r>
              <w:rPr>
                <w:b/>
                <w:bCs/>
                <w:sz w:val="20"/>
                <w:szCs w:val="20"/>
              </w:rPr>
              <w:t>Price</w:t>
            </w:r>
          </w:p>
          <w:p w:rsidR="00000000" w:rsidRDefault="001D2166">
            <w:pPr>
              <w:pStyle w:val="a3"/>
              <w:spacing w:before="0" w:beforeAutospacing="0" w:after="0" w:afterAutospacing="0"/>
              <w:jc w:val="center"/>
              <w:rPr>
                <w:sz w:val="20"/>
                <w:szCs w:val="20"/>
              </w:rPr>
            </w:pPr>
            <w:r>
              <w:rPr>
                <w:b/>
                <w:bCs/>
                <w:sz w:val="20"/>
                <w:szCs w:val="20"/>
              </w:rPr>
              <w:t>Paid per</w:t>
            </w:r>
          </w:p>
          <w:p w:rsidR="00000000" w:rsidRDefault="001D2166">
            <w:pPr>
              <w:pStyle w:val="a3"/>
              <w:spacing w:before="0" w:beforeAutospacing="0" w:after="0" w:afterAutospacing="0"/>
              <w:jc w:val="center"/>
              <w:rPr>
                <w:sz w:val="20"/>
                <w:szCs w:val="20"/>
              </w:rPr>
            </w:pPr>
            <w:r>
              <w:rPr>
                <w:b/>
                <w:bCs/>
                <w:sz w:val="20"/>
                <w:szCs w:val="20"/>
              </w:rPr>
              <w:t>Share</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 Number of</w:t>
            </w:r>
          </w:p>
          <w:p w:rsidR="00000000" w:rsidRDefault="001D2166">
            <w:pPr>
              <w:pStyle w:val="a3"/>
              <w:spacing w:before="0" w:beforeAutospacing="0" w:after="0" w:afterAutospacing="0"/>
              <w:jc w:val="center"/>
              <w:rPr>
                <w:sz w:val="20"/>
                <w:szCs w:val="20"/>
              </w:rPr>
            </w:pPr>
            <w:r>
              <w:rPr>
                <w:b/>
                <w:bCs/>
                <w:sz w:val="20"/>
                <w:szCs w:val="20"/>
              </w:rPr>
              <w:t>Shares Purchased as</w:t>
            </w:r>
          </w:p>
          <w:p w:rsidR="00000000" w:rsidRDefault="001D2166">
            <w:pPr>
              <w:pStyle w:val="a3"/>
              <w:spacing w:before="0" w:beforeAutospacing="0" w:after="0" w:afterAutospacing="0"/>
              <w:jc w:val="center"/>
              <w:rPr>
                <w:sz w:val="20"/>
                <w:szCs w:val="20"/>
              </w:rPr>
            </w:pPr>
            <w:r>
              <w:rPr>
                <w:b/>
                <w:bCs/>
                <w:sz w:val="20"/>
                <w:szCs w:val="20"/>
              </w:rPr>
              <w:t>Part of Publicly</w:t>
            </w:r>
          </w:p>
          <w:p w:rsidR="00000000" w:rsidRDefault="001D2166">
            <w:pPr>
              <w:pStyle w:val="a3"/>
              <w:spacing w:before="0" w:beforeAutospacing="0" w:after="0" w:afterAutospacing="0"/>
              <w:jc w:val="center"/>
              <w:rPr>
                <w:sz w:val="20"/>
                <w:szCs w:val="20"/>
              </w:rPr>
            </w:pPr>
            <w:r>
              <w:rPr>
                <w:b/>
                <w:bCs/>
                <w:sz w:val="20"/>
                <w:szCs w:val="20"/>
              </w:rPr>
              <w:t>Announced Plans or</w:t>
            </w:r>
          </w:p>
          <w:p w:rsidR="00000000" w:rsidRDefault="001D2166">
            <w:pPr>
              <w:pStyle w:val="a3"/>
              <w:spacing w:before="0" w:beforeAutospacing="0" w:after="0" w:afterAutospacing="0"/>
              <w:jc w:val="center"/>
              <w:rPr>
                <w:sz w:val="20"/>
                <w:szCs w:val="20"/>
              </w:rPr>
            </w:pPr>
            <w:r>
              <w:rPr>
                <w:b/>
                <w:bCs/>
                <w:sz w:val="20"/>
                <w:szCs w:val="20"/>
              </w:rPr>
              <w:t>Programs</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Approximate Dollar</w:t>
            </w:r>
          </w:p>
          <w:p w:rsidR="00000000" w:rsidRDefault="001D2166">
            <w:pPr>
              <w:pStyle w:val="a3"/>
              <w:spacing w:before="0" w:beforeAutospacing="0" w:after="0" w:afterAutospacing="0"/>
              <w:jc w:val="center"/>
              <w:rPr>
                <w:sz w:val="20"/>
                <w:szCs w:val="20"/>
              </w:rPr>
            </w:pPr>
            <w:r>
              <w:rPr>
                <w:b/>
                <w:bCs/>
                <w:sz w:val="20"/>
                <w:szCs w:val="20"/>
              </w:rPr>
              <w:t>Value of Shares that May</w:t>
            </w:r>
          </w:p>
          <w:p w:rsidR="00000000" w:rsidRDefault="001D2166">
            <w:pPr>
              <w:pStyle w:val="a3"/>
              <w:spacing w:before="0" w:beforeAutospacing="0" w:after="0" w:afterAutospacing="0"/>
              <w:jc w:val="center"/>
              <w:rPr>
                <w:sz w:val="20"/>
                <w:szCs w:val="20"/>
              </w:rPr>
            </w:pPr>
            <w:r>
              <w:rPr>
                <w:b/>
                <w:bCs/>
                <w:sz w:val="20"/>
                <w:szCs w:val="20"/>
              </w:rPr>
              <w:t>Yet Be Purchased Under</w:t>
            </w:r>
          </w:p>
          <w:p w:rsidR="00000000" w:rsidRDefault="001D2166">
            <w:pPr>
              <w:pStyle w:val="a3"/>
              <w:spacing w:before="0" w:beforeAutospacing="0" w:after="0" w:afterAutospacing="0"/>
              <w:jc w:val="center"/>
              <w:rPr>
                <w:sz w:val="20"/>
                <w:szCs w:val="20"/>
              </w:rPr>
            </w:pPr>
            <w:r>
              <w:rPr>
                <w:b/>
                <w:bCs/>
                <w:sz w:val="20"/>
                <w:szCs w:val="20"/>
              </w:rPr>
              <w:t>the Plans or Programs</w:t>
            </w:r>
          </w:p>
          <w:p w:rsidR="00000000" w:rsidRDefault="001D2166">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January 1, 2021 – January 31,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75,847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February 1, 2021 – February 28,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441,944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17.89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March 1, 2021 – March 31,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1,336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19.13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April 1, 2021 – April 30,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3,434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19.43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May 1, 2021 – May 31,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3,565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21.45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June 1, 2021 – June 30,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July 1, 2021 – July 31,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August 1, 2021 – August 31,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556,357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20.78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September 1, 2021 – September 30,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 xml:space="preserve">October 1, 2021 – </w:t>
            </w:r>
            <w:r>
              <w:rPr>
                <w:sz w:val="20"/>
                <w:szCs w:val="20"/>
              </w:rPr>
              <w:t>October 31,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1,903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November 1, 2021 – November 30,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567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December 1, 2021 – December 31,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1,084,953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19.21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Total Stockholder Return Performance:</w:t>
      </w:r>
      <w:r>
        <w:rPr>
          <w:sz w:val="20"/>
          <w:szCs w:val="20"/>
        </w:rPr>
        <w:t xml:space="preserve"> </w:t>
      </w:r>
      <w:r>
        <w:rPr>
          <w:sz w:val="20"/>
          <w:szCs w:val="20"/>
        </w:rPr>
        <w:t>The following performance chart compares, over the five years ended December 31, 2021, the cumulative total stockholder return on the Company’s common stock with the cumulative total return of the S&amp;P 500 Index and the cumulative total return of the NAREIT</w:t>
      </w:r>
      <w:r>
        <w:rPr>
          <w:sz w:val="20"/>
          <w:szCs w:val="20"/>
        </w:rPr>
        <w:t xml:space="preserve"> Equity REITs Index (the “NAREIT Equity REITs”) prepared and published by the National Association of Real Estate Investment Trusts (“NAREIT”). The NAREIT Equity REITs Index is a free-float adjusted, market capitalization-weighted index of U.S. equity REIT</w:t>
      </w:r>
      <w:r>
        <w:rPr>
          <w:sz w:val="20"/>
          <w:szCs w:val="20"/>
        </w:rPr>
        <w:t>s. Constituents of the index include all tax-qualified REITs with more than 50% of total assets in qualifying real estate assets other than mortgages secured by real property.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Stockholder return performance, presented annually for the five years ended De</w:t>
      </w:r>
      <w:r>
        <w:rPr>
          <w:sz w:val="20"/>
          <w:szCs w:val="20"/>
        </w:rPr>
        <w:t>cember 31, 2021, is not necessarily indicative of future results. All stockholder return performance assumes the reinvestment of dividends. The information in this paragraph and the following performance chart are deemed to be furnished, not filed.</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440" w:type="dxa"/>
        <w:tblCellMar>
          <w:left w:w="0" w:type="dxa"/>
          <w:right w:w="0" w:type="dxa"/>
        </w:tblCellMar>
        <w:tblLook w:val="04A0" w:firstRow="1" w:lastRow="0" w:firstColumn="1" w:lastColumn="0" w:noHBand="0" w:noVBand="1"/>
      </w:tblPr>
      <w:tblGrid>
        <w:gridCol w:w="2248"/>
        <w:gridCol w:w="55"/>
        <w:gridCol w:w="100"/>
        <w:gridCol w:w="521"/>
        <w:gridCol w:w="55"/>
        <w:gridCol w:w="55"/>
        <w:gridCol w:w="100"/>
        <w:gridCol w:w="521"/>
        <w:gridCol w:w="55"/>
        <w:gridCol w:w="55"/>
        <w:gridCol w:w="100"/>
        <w:gridCol w:w="522"/>
        <w:gridCol w:w="56"/>
        <w:gridCol w:w="56"/>
        <w:gridCol w:w="100"/>
        <w:gridCol w:w="522"/>
        <w:gridCol w:w="56"/>
        <w:gridCol w:w="56"/>
        <w:gridCol w:w="100"/>
        <w:gridCol w:w="522"/>
        <w:gridCol w:w="56"/>
        <w:gridCol w:w="56"/>
        <w:gridCol w:w="100"/>
        <w:gridCol w:w="522"/>
        <w:gridCol w:w="56"/>
      </w:tblGrid>
      <w:tr w:rsidR="00000000">
        <w:trPr>
          <w:tblCellSpacing w:w="0" w:type="dxa"/>
        </w:trPr>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Comparison of 5 year cumulative total return data points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Dec-16</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Dec-17</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Dec-18</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Dec-19</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Dec-20</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Kimco Realty Corporation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S&amp;P 500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NAREIT Equity REITs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167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6. Reserved</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29996655"/>
        <w:rPr>
          <w:rFonts w:eastAsia="Times New Roman"/>
          <w:sz w:val="20"/>
          <w:szCs w:val="20"/>
        </w:rPr>
      </w:pPr>
      <w:r>
        <w:rPr>
          <w:rFonts w:eastAsia="Times New Roman"/>
          <w:sz w:val="20"/>
          <w:szCs w:val="20"/>
        </w:rPr>
        <w:t xml:space="preserve">24 </w:t>
      </w:r>
    </w:p>
    <w:p w:rsidR="00000000" w:rsidRDefault="001D2166">
      <w:pPr>
        <w:divId w:val="58948103"/>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1D2166">
      <w:pPr>
        <w:divId w:val="18516796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7. Management's Discussion and Analysis of Financial Condition and Results of 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following discussion should be read in conjunction with the Consolidated Financial Statements and Notes thereto included in this Form 10-K. Historical results and percentage relationships set forth in the Consolidated Statements of Income contained in </w:t>
      </w:r>
      <w:r>
        <w:rPr>
          <w:sz w:val="20"/>
          <w:szCs w:val="20"/>
        </w:rPr>
        <w:t>the Consolidated Financial Statements, including trends, should not be taken as indicative of future operations.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The Consolidated Financial Statements of the Company include the accounts of the Company, its wholly owned subsidiaries and all entities in w</w:t>
      </w:r>
      <w:r>
        <w:rPr>
          <w:sz w:val="20"/>
          <w:szCs w:val="20"/>
        </w:rPr>
        <w:t>hich the Company has a controlling interest, including where the Company has been determined to be a primary beneficiary of a variable interest entity in accordance with the consolidation guidance of the FASB Accounting Standards Codification.  The Company</w:t>
      </w:r>
      <w:r>
        <w:rPr>
          <w:sz w:val="20"/>
          <w:szCs w:val="20"/>
        </w:rPr>
        <w:t xml:space="preserve"> applies these provisions to each of its joint venture investments to determine whether the cost, equity or consolidation method of accounting is appropriate.  The Company evaluates performance on a property specific or transactional basis and does not dis</w:t>
      </w:r>
      <w:r>
        <w:rPr>
          <w:sz w:val="20"/>
          <w:szCs w:val="20"/>
        </w:rPr>
        <w:t>tinguish its principal business or group its operations on a geographical basis for purposes of measuring performance.  Accordingly, the Company believes it has a single reportable segment for disclosure purposes in accordance with accounting principles ge</w:t>
      </w:r>
      <w:r>
        <w:rPr>
          <w:sz w:val="20"/>
          <w:szCs w:val="20"/>
        </w:rPr>
        <w:t>nerally accepted in the United States of America (“GAAP”).</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Critical Accounting Estimates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preparation of financial statements in conformity with GAAP requires management to make estimates and assumptions in certain circumstances that affect amounts </w:t>
      </w:r>
      <w:r>
        <w:rPr>
          <w:sz w:val="20"/>
          <w:szCs w:val="20"/>
        </w:rPr>
        <w:t>reported in the accompanying Consolidated Financial Statements and related notes. In preparing these financial statements, management has made its best estimates and assumptions that affect the reported amounts of assets and liabilities. These estimates ar</w:t>
      </w:r>
      <w:r>
        <w:rPr>
          <w:sz w:val="20"/>
          <w:szCs w:val="20"/>
        </w:rPr>
        <w:t>e based on, but not limited to, historical results, industry standards and current economic conditions, giving due consideration to materiality. The most significant assumptions and estimates relate to the recoverability of trade accounts receivable, depre</w:t>
      </w:r>
      <w:r>
        <w:rPr>
          <w:sz w:val="20"/>
          <w:szCs w:val="20"/>
        </w:rPr>
        <w:t>ciable lives, valuation of real estate and intangible assets and liabilities, and valuation of joint venture investments and other investments. Application of these assumptions requires the exercise of judgment as to future uncertainties, and, as a result,</w:t>
      </w:r>
      <w:r>
        <w:rPr>
          <w:sz w:val="20"/>
          <w:szCs w:val="20"/>
        </w:rPr>
        <w:t xml:space="preserve"> actual results could materially differ from these estimates.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is required to make subjective assessments as to whether there are impairments in the value of its real estate properties, investments in joint ventures and other investments. The </w:t>
      </w:r>
      <w:r>
        <w:rPr>
          <w:sz w:val="20"/>
          <w:szCs w:val="20"/>
        </w:rPr>
        <w:t>Company’s reported net earnings are directly affected by management’s estimate of impairments.</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jc w:val="center"/>
        <w:divId w:val="353239325"/>
        <w:rPr>
          <w:rFonts w:eastAsia="Times New Roman"/>
          <w:sz w:val="20"/>
          <w:szCs w:val="20"/>
        </w:rPr>
      </w:pPr>
      <w:r>
        <w:rPr>
          <w:rFonts w:eastAsia="Times New Roman"/>
          <w:sz w:val="20"/>
          <w:szCs w:val="20"/>
        </w:rPr>
        <w:t xml:space="preserve">25 </w:t>
      </w:r>
    </w:p>
    <w:p w:rsidR="00000000" w:rsidRDefault="001D2166">
      <w:pPr>
        <w:divId w:val="1809392166"/>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1D2166">
      <w:pPr>
        <w:divId w:val="7969898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Trade Accounts Receivable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reviews its trade accounts receivable, including its straight-line rent receivable, related to base rents, straight-line rent, expense reimbursements and other revenues for collectability. When evaluating the probability of the collection of th</w:t>
      </w:r>
      <w:r>
        <w:rPr>
          <w:sz w:val="20"/>
          <w:szCs w:val="20"/>
        </w:rPr>
        <w:t>e lessee’s total accounts receivable, including the corresponding straight-line rent receivable balance on a lease-by-lease basis, the Company considered the effects COVID-19 has had on its tenants, including the corresponding straight-line rent receivable</w:t>
      </w:r>
      <w:r>
        <w:rPr>
          <w:sz w:val="20"/>
          <w:szCs w:val="20"/>
        </w:rPr>
        <w:t xml:space="preserve">. The Company’s analysis of its accounts receivable included (i) customer credit worthiness, (ii) assessment of risk associated with the tenant, and (iii) current economic trends. In addition, tenants in bankruptcy are analyzed and considerations are made </w:t>
      </w:r>
      <w:r>
        <w:rPr>
          <w:sz w:val="20"/>
          <w:szCs w:val="20"/>
        </w:rPr>
        <w:t>in connection with the expected recovery of pre-petition and post-petition bankruptcy claims. The Company includes provision for doubtful accounts in Revenues from rental properties, net. If a lessee’s accounts receivable balance is considered uncollectibl</w:t>
      </w:r>
      <w:r>
        <w:rPr>
          <w:sz w:val="20"/>
          <w:szCs w:val="20"/>
        </w:rPr>
        <w:t>e, the Company will write-off the receivable balances associated with the lease and will only recognize lease income on a cash basis. In addition to the lease-specific collectability assessment, the analysis also recognizes a general reserve, as a reductio</w:t>
      </w:r>
      <w:r>
        <w:rPr>
          <w:sz w:val="20"/>
          <w:szCs w:val="20"/>
        </w:rPr>
        <w:t xml:space="preserve">n to Revenues from rental properties, for its portfolio of operating lease receivables which are not expected to be fully collectible based on the Company’s historical and current collection experience and the potential for settlement of arrears. Although </w:t>
      </w:r>
      <w:r>
        <w:rPr>
          <w:sz w:val="20"/>
          <w:szCs w:val="20"/>
        </w:rPr>
        <w:t>the Company estimates uncollectible receivables and provides for them through charges against revenues from rental properties, actual results may differ from those estimates. If the Company subsequently determines that it is probable it will collect the re</w:t>
      </w:r>
      <w:r>
        <w:rPr>
          <w:sz w:val="20"/>
          <w:szCs w:val="20"/>
        </w:rPr>
        <w:t>maining lessee’s lease payments under the lease term, the Company will then reinstate the straight-line balance and the lease income will then be limited to the lesser of (i) the straight-line rental income or (ii) the lease payments that have been collect</w:t>
      </w:r>
      <w:r>
        <w:rPr>
          <w:sz w:val="20"/>
          <w:szCs w:val="20"/>
        </w:rPr>
        <w:t>ed from the lessee.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 xml:space="preserve">Real Estate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Valuation of Real Estate, and Intangible Assets and Liabilities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Company’s investments in real estate properties are stated at cost, less accumulated depreciation and amortization. Expenditures for maintenance and </w:t>
      </w:r>
      <w:r>
        <w:rPr>
          <w:sz w:val="20"/>
          <w:szCs w:val="20"/>
        </w:rPr>
        <w:t>repairs are charged to operations as incurred. Significant renovations and replacements, which improve and extend the life of the asset, are capitalized.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Transaction costs related to acquisitions that qualify as asset acquisitions are capitalized as part</w:t>
      </w:r>
      <w:r>
        <w:rPr>
          <w:sz w:val="20"/>
          <w:szCs w:val="20"/>
        </w:rPr>
        <w:t xml:space="preserve"> of the cost basis of the acquired assets, while transaction costs for acquisitions that are deemed to be business combinations are expensed as incurred. Also, upon acquisition of real estate operating properties in either an asset acquisition or business </w:t>
      </w:r>
      <w:r>
        <w:rPr>
          <w:sz w:val="20"/>
          <w:szCs w:val="20"/>
        </w:rPr>
        <w:t>combination, the Company estimates the fair value of acquired tangible assets (consisting of land, building, building improvements and tenant improvements) and identified intangible assets and liabilities (consisting of above and below-market leases, in-pl</w:t>
      </w:r>
      <w:r>
        <w:rPr>
          <w:sz w:val="20"/>
          <w:szCs w:val="20"/>
        </w:rPr>
        <w:t>ace leases, and tenant relationships, where applicable), assumed debt and redeemable units issued at the date of acquisition, based on evaluation of information and estimates available at that date. Fair value is determined based on a market approach, whic</w:t>
      </w:r>
      <w:r>
        <w:rPr>
          <w:sz w:val="20"/>
          <w:szCs w:val="20"/>
        </w:rPr>
        <w:t>h contemplates the price that would be received to sell an asset or paid to transfer a liability in an orderly transaction between market participants at the measurement date.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Depreciation and amortization are provided on the straight-line method over th</w:t>
      </w:r>
      <w:r>
        <w:rPr>
          <w:sz w:val="20"/>
          <w:szCs w:val="20"/>
        </w:rPr>
        <w:t>e estimated useful lives of the assets, as follows:</w:t>
      </w:r>
    </w:p>
    <w:p w:rsidR="00000000" w:rsidRDefault="001D2166">
      <w:pPr>
        <w:pStyle w:val="a3"/>
        <w:spacing w:before="0" w:beforeAutospacing="0" w:after="0" w:afterAutospacing="0"/>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4942"/>
        <w:gridCol w:w="212"/>
        <w:gridCol w:w="1906"/>
      </w:tblGrid>
      <w:tr w:rsidR="00000000">
        <w:trPr>
          <w:tblCellSpacing w:w="0" w:type="dxa"/>
        </w:trPr>
        <w:tc>
          <w:tcPr>
            <w:tcW w:w="3500" w:type="pct"/>
            <w:shd w:val="clear" w:color="auto" w:fill="CCEEFF"/>
            <w:hideMark/>
          </w:tcPr>
          <w:p w:rsidR="00000000" w:rsidRDefault="001D2166">
            <w:pPr>
              <w:pStyle w:val="a3"/>
              <w:spacing w:before="0" w:beforeAutospacing="0" w:after="0" w:afterAutospacing="0"/>
              <w:rPr>
                <w:sz w:val="20"/>
                <w:szCs w:val="20"/>
              </w:rPr>
            </w:pPr>
            <w:r>
              <w:rPr>
                <w:sz w:val="20"/>
                <w:szCs w:val="20"/>
              </w:rPr>
              <w:t>Buildings and building improvements (in years)</w:t>
            </w:r>
          </w:p>
        </w:tc>
        <w:tc>
          <w:tcPr>
            <w:tcW w:w="150" w:type="pct"/>
            <w:shd w:val="clear" w:color="auto" w:fill="CCEEFF"/>
            <w:hideMark/>
          </w:tcPr>
          <w:p w:rsidR="00000000" w:rsidRDefault="001D2166">
            <w:pPr>
              <w:rPr>
                <w:rFonts w:eastAsia="Times New Roman"/>
                <w:sz w:val="20"/>
                <w:szCs w:val="20"/>
              </w:rPr>
            </w:pPr>
            <w:r>
              <w:rPr>
                <w:rFonts w:eastAsia="Times New Roman"/>
                <w:sz w:val="20"/>
                <w:szCs w:val="20"/>
              </w:rPr>
              <w:t> </w:t>
            </w:r>
          </w:p>
        </w:tc>
        <w:tc>
          <w:tcPr>
            <w:tcW w:w="1350" w:type="pct"/>
            <w:shd w:val="clear" w:color="auto" w:fill="CCEEFF"/>
            <w:hideMark/>
          </w:tcPr>
          <w:p w:rsidR="00000000" w:rsidRDefault="001D2166">
            <w:pPr>
              <w:pStyle w:val="a3"/>
              <w:spacing w:before="0" w:beforeAutospacing="0" w:after="0" w:afterAutospacing="0"/>
              <w:rPr>
                <w:sz w:val="20"/>
                <w:szCs w:val="20"/>
              </w:rPr>
            </w:pPr>
            <w:r>
              <w:rPr>
                <w:sz w:val="20"/>
                <w:szCs w:val="20"/>
              </w:rPr>
              <w:t>5 to 50</w:t>
            </w:r>
          </w:p>
        </w:tc>
      </w:tr>
      <w:tr w:rsidR="00000000">
        <w:trPr>
          <w:tblCellSpacing w:w="0" w:type="dxa"/>
        </w:trPr>
        <w:tc>
          <w:tcPr>
            <w:tcW w:w="3500" w:type="pct"/>
            <w:shd w:val="clear" w:color="auto" w:fill="FFFFFF"/>
            <w:hideMark/>
          </w:tcPr>
          <w:p w:rsidR="00000000" w:rsidRDefault="001D2166">
            <w:pPr>
              <w:pStyle w:val="a3"/>
              <w:spacing w:before="0" w:beforeAutospacing="0" w:after="0" w:afterAutospacing="0"/>
              <w:ind w:left="260" w:hanging="260"/>
              <w:rPr>
                <w:sz w:val="20"/>
                <w:szCs w:val="20"/>
              </w:rPr>
            </w:pPr>
            <w:r>
              <w:rPr>
                <w:sz w:val="20"/>
                <w:szCs w:val="20"/>
              </w:rPr>
              <w:t>Fixtures, leasehold and tenant improvements (including certain identified intangible assets)</w:t>
            </w:r>
          </w:p>
        </w:tc>
        <w:tc>
          <w:tcPr>
            <w:tcW w:w="150" w:type="pct"/>
            <w:shd w:val="clear" w:color="auto" w:fill="FFFFFF"/>
            <w:hideMark/>
          </w:tcPr>
          <w:p w:rsidR="00000000" w:rsidRDefault="001D2166">
            <w:pPr>
              <w:rPr>
                <w:rFonts w:eastAsia="Times New Roman"/>
                <w:sz w:val="20"/>
                <w:szCs w:val="20"/>
              </w:rPr>
            </w:pPr>
            <w:r>
              <w:rPr>
                <w:rFonts w:eastAsia="Times New Roman"/>
                <w:sz w:val="20"/>
                <w:szCs w:val="20"/>
              </w:rPr>
              <w:t> </w:t>
            </w:r>
          </w:p>
        </w:tc>
        <w:tc>
          <w:tcPr>
            <w:tcW w:w="1350" w:type="pct"/>
            <w:shd w:val="clear" w:color="auto" w:fill="FFFFFF"/>
            <w:vAlign w:val="center"/>
            <w:hideMark/>
          </w:tcPr>
          <w:p w:rsidR="00000000" w:rsidRDefault="001D2166">
            <w:pPr>
              <w:pStyle w:val="a3"/>
              <w:spacing w:before="0" w:beforeAutospacing="0" w:after="0" w:afterAutospacing="0"/>
              <w:ind w:left="220" w:hanging="220"/>
              <w:rPr>
                <w:sz w:val="20"/>
                <w:szCs w:val="20"/>
              </w:rPr>
            </w:pPr>
            <w:r>
              <w:rPr>
                <w:sz w:val="20"/>
                <w:szCs w:val="20"/>
              </w:rPr>
              <w:t>Terms of leases or useful lives,</w:t>
            </w:r>
          </w:p>
          <w:p w:rsidR="00000000" w:rsidRDefault="001D2166">
            <w:pPr>
              <w:pStyle w:val="a3"/>
              <w:spacing w:before="0" w:beforeAutospacing="0" w:after="0" w:afterAutospacing="0"/>
              <w:ind w:left="220" w:hanging="220"/>
              <w:rPr>
                <w:sz w:val="20"/>
                <w:szCs w:val="20"/>
              </w:rPr>
            </w:pPr>
            <w:r>
              <w:rPr>
                <w:sz w:val="20"/>
                <w:szCs w:val="20"/>
              </w:rPr>
              <w:t>whichever is shorter</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is required to make subjective assessments as to the useful lives of its properties for purposes of determining the amount of depreciation to reflect on an annual basis with respect to th</w:t>
      </w:r>
      <w:r>
        <w:rPr>
          <w:sz w:val="20"/>
          <w:szCs w:val="20"/>
        </w:rPr>
        <w:t>ose properties. These assessments have a direct impact on the Company’s net earnings.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On a continuous basis, management assesses whether there are any indicators, including property operating performance, changes in anticipated holding period, general ma</w:t>
      </w:r>
      <w:r>
        <w:rPr>
          <w:sz w:val="20"/>
          <w:szCs w:val="20"/>
        </w:rPr>
        <w:t>rket conditions and delays of development, that the value of the real estate properties (including any related amortizable intangible assets or liabilities) may be impaired. A property value is considered impaired only if management’s estimate of current a</w:t>
      </w:r>
      <w:r>
        <w:rPr>
          <w:sz w:val="20"/>
          <w:szCs w:val="20"/>
        </w:rPr>
        <w:t>nd projected operating cash flows, net of anticipated construction and leasing costs (undiscounted and unleveraged), of the property over its anticipated hold period is less than the net carrying value of the property. Such cash flow projections consider f</w:t>
      </w:r>
      <w:r>
        <w:rPr>
          <w:sz w:val="20"/>
          <w:szCs w:val="20"/>
        </w:rPr>
        <w:t>actors such as expected future costs of materials and labor, operating income, trends and prospects, as well as the effects of demand, competition and other factors. To the extent impairment has occurred, the carrying value of the property would be adjuste</w:t>
      </w:r>
      <w:r>
        <w:rPr>
          <w:sz w:val="20"/>
          <w:szCs w:val="20"/>
        </w:rPr>
        <w:t>d to reflect the estimated fair value of the property. The Company’s estimated fair values are primarily based upon estimated sales prices from signed contracts or letters of intent from third-parties, discounted cash flow models or third-party appraisals.</w:t>
      </w:r>
      <w:r>
        <w:rPr>
          <w:sz w:val="20"/>
          <w:szCs w:val="20"/>
        </w:rPr>
        <w:t xml:space="preserve"> Estimated fair values that are based on discounted cash flow models include all estimated cash inflows and outflows over a specified holding period. Capitalization rates and discount rates utilized in these models are based upon unobservable rates that th</w:t>
      </w:r>
      <w:r>
        <w:rPr>
          <w:sz w:val="20"/>
          <w:szCs w:val="20"/>
        </w:rPr>
        <w:t>e Company believes to be within a reasonable range of current market rates.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See Footnote 3, 4 and 6 of the Notes to Consolidated Financial Statements for further discussion.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Valuation of Joint Venture Investments and Other Investments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jc w:val="center"/>
        <w:divId w:val="796532372"/>
        <w:rPr>
          <w:rFonts w:eastAsia="Times New Roman"/>
          <w:sz w:val="20"/>
          <w:szCs w:val="20"/>
        </w:rPr>
      </w:pPr>
      <w:r>
        <w:rPr>
          <w:rFonts w:eastAsia="Times New Roman"/>
          <w:sz w:val="20"/>
          <w:szCs w:val="20"/>
        </w:rPr>
        <w:t xml:space="preserve">26 </w:t>
      </w:r>
    </w:p>
    <w:p w:rsidR="00000000" w:rsidRDefault="001D2166">
      <w:pPr>
        <w:divId w:val="455560992"/>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1D2166">
      <w:pPr>
        <w:divId w:val="8163437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On a continuous basis, management assesses whether there are any indicators, including property operating performance and general market conditions, that the value of the Company’s investments in unconsolidated joint ventures may be im</w:t>
      </w:r>
      <w:r>
        <w:rPr>
          <w:sz w:val="20"/>
          <w:szCs w:val="20"/>
        </w:rPr>
        <w:t>paired. An investment’s value is impaired only if management’s estimate of the fair value of the investment is less than the carrying value of the investment and such difference is deemed to be other-than-temporary. To the extent impairment has occurred, t</w:t>
      </w:r>
      <w:r>
        <w:rPr>
          <w:sz w:val="20"/>
          <w:szCs w:val="20"/>
        </w:rPr>
        <w:t>he loss will be measured as the excess of the carrying amount of the investment over the estimated fair value of the investment. Estimated fair values which are based on discounted cash flow models include all estimated cash inflows and outflows over a spe</w:t>
      </w:r>
      <w:r>
        <w:rPr>
          <w:sz w:val="20"/>
          <w:szCs w:val="20"/>
        </w:rPr>
        <w:t>cified holding period, capitalization rates and discount rates utilized in these models are based upon unobservable rates that the Company believes to be within a reasonable range of current market rates.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See Footnote 1 of the Notes to Consolidated Finan</w:t>
      </w:r>
      <w:r>
        <w:rPr>
          <w:sz w:val="20"/>
          <w:szCs w:val="20"/>
        </w:rPr>
        <w:t>cial Statements, “Summary of Significant Accounting Policies”, for further discussion of the Company’s accounting policies and estimates.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Executive Overview</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Kimco Realty Corporation is North America’</w:t>
      </w:r>
      <w:r>
        <w:rPr>
          <w:sz w:val="20"/>
          <w:szCs w:val="20"/>
        </w:rPr>
        <w:t xml:space="preserve">s largest publicly traded owner and operator of open-air, grocery-anchored shopping centers, including mixed-use assets. The executive officers are engaged in the day-to-day management and operation of real estate exclusively with the Company, with nearly </w:t>
      </w:r>
      <w:r>
        <w:rPr>
          <w:sz w:val="20"/>
          <w:szCs w:val="20"/>
        </w:rPr>
        <w:t>all operating functions, including leasing, asset management, maintenance, construction, legal, finance and accounting, administered by the Company.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Weingarten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On August 3, 2021, Weingarten Realty Investors (“Weingarten”) merged with and into th</w:t>
      </w:r>
      <w:r>
        <w:rPr>
          <w:sz w:val="20"/>
          <w:szCs w:val="20"/>
        </w:rPr>
        <w:t>e Company, with the Company continuing as the surviving public company (the “Merger”), pursuant to the definitive merger agreement (the “Merger Agreement”) between the Company and Weingarten which was entered into on April 15, 2021. The Merger brought toge</w:t>
      </w:r>
      <w:r>
        <w:rPr>
          <w:sz w:val="20"/>
          <w:szCs w:val="20"/>
        </w:rPr>
        <w:t xml:space="preserve">ther two industry-leading retail real estate platforms with highly complementary portfolios and created the preeminent open-air shopping center and mixed-use real estate owner in the country. As a result of the Merger, the Company acquired 149 properties, </w:t>
      </w:r>
      <w:r>
        <w:rPr>
          <w:sz w:val="20"/>
          <w:szCs w:val="20"/>
        </w:rPr>
        <w:t>including 30 held through joint venture programs. The increased scale in targeted growth markets, coupled with a broader pipeline of redevelopment opportunities, has positioned the combined company to create significant value for its shareholders. Under th</w:t>
      </w:r>
      <w:r>
        <w:rPr>
          <w:sz w:val="20"/>
          <w:szCs w:val="20"/>
        </w:rPr>
        <w:t>e terms of the Merger Agreement, each Weingarten common share was entitled to 1.408 newly issued shares of the Company’s common stock plus $2.89 in cash, subject to certain adjustments specified in the Merger Agreement.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On July 15, 2021, Weingarten’s Boa</w:t>
      </w:r>
      <w:r>
        <w:rPr>
          <w:sz w:val="20"/>
          <w:szCs w:val="20"/>
        </w:rPr>
        <w:t>rd of Trust Managers declared a special cash distribution of $0.69 per Weingarten common share (the “Special Distribution”) payable on August 2, 2021 to shareholders of record on July 28, 2021. The Special Distribution was paid in connection with the Merge</w:t>
      </w:r>
      <w:r>
        <w:rPr>
          <w:sz w:val="20"/>
          <w:szCs w:val="20"/>
        </w:rPr>
        <w:t>r and to satisfy REIT taxable income distribution requirements. Under the terms of the Merger Agreement, Weingarten’s payment of the Special Distribution adjusted the cash consideration paid by the Company at the closing of the Merger from $2.89 per Weinga</w:t>
      </w:r>
      <w:r>
        <w:rPr>
          <w:sz w:val="20"/>
          <w:szCs w:val="20"/>
        </w:rPr>
        <w:t>rten common share to $2.20 per Weingarten common share and had no impact on the payment of the share consideration of 1.408 newly issued shares of Company common stock for each Weingarten common share owned immediately prior to the effective time of the Me</w:t>
      </w:r>
      <w:r>
        <w:rPr>
          <w:sz w:val="20"/>
          <w:szCs w:val="20"/>
        </w:rPr>
        <w:t>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total purchase price of the Merger was $4.1 billion, which consists primarily of 179.9 million shares of the Company’s common stock issued in exchange for Weingarten common shares, plus $281.1 million of cash consideration. The total purchase p</w:t>
      </w:r>
      <w:r>
        <w:rPr>
          <w:sz w:val="20"/>
          <w:szCs w:val="20"/>
        </w:rPr>
        <w:t>rice was calculated based on the closing price of the Company’s common stock on August 3, 2021, which was $20.78 per share. At the effective time of the Merger, each Weingarten common share, issued and outstanding immediately prior to the effective time of</w:t>
      </w:r>
      <w:r>
        <w:rPr>
          <w:sz w:val="20"/>
          <w:szCs w:val="20"/>
        </w:rPr>
        <w:t xml:space="preserve"> the Merger (other than any shares owned directly by the Company or Weingarten and in each case not held on behalf of third parties) was converted into 1.408 shares of newly issued shares of the Company’s common stock. See Footnote 2 to the Notes to the Co</w:t>
      </w:r>
      <w:r>
        <w:rPr>
          <w:sz w:val="20"/>
          <w:szCs w:val="20"/>
        </w:rPr>
        <w:t>mpany’s Consolidated Financial Statements for additional discussion regarding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COVID-19 Pandemic</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COVID-19 pandemic has resulted in a widespread health crisis that adversely affected businesses, economies and financial markets worldwide. </w:t>
      </w:r>
      <w:r>
        <w:rPr>
          <w:sz w:val="20"/>
          <w:szCs w:val="20"/>
        </w:rPr>
        <w:t xml:space="preserve">The COVID-19 pandemic significantly impacted the retail sector in which the Company operates. The majority of the Company’s tenants and their operations have been, and may continue to be impacted. Through the duration of the pandemic, a substantial number </w:t>
      </w:r>
      <w:r>
        <w:rPr>
          <w:sz w:val="20"/>
          <w:szCs w:val="20"/>
        </w:rPr>
        <w:t>of tenants had to temporarily or permanently close their business, shortened their operating hours or offer reduced services for some period of time.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53513614"/>
        <w:rPr>
          <w:rFonts w:eastAsia="Times New Roman"/>
          <w:sz w:val="20"/>
          <w:szCs w:val="20"/>
        </w:rPr>
      </w:pPr>
      <w:r>
        <w:rPr>
          <w:rFonts w:eastAsia="Times New Roman"/>
          <w:sz w:val="20"/>
          <w:szCs w:val="20"/>
        </w:rPr>
        <w:t xml:space="preserve">27 </w:t>
      </w:r>
    </w:p>
    <w:p w:rsidR="00000000" w:rsidRDefault="001D2166">
      <w:pPr>
        <w:divId w:val="2065371696"/>
        <w:rPr>
          <w:rFonts w:eastAsia="Times New Roman"/>
          <w:sz w:val="20"/>
          <w:szCs w:val="20"/>
        </w:rPr>
      </w:pPr>
      <w:r>
        <w:rPr>
          <w:rFonts w:eastAsia="Times New Roman"/>
          <w:sz w:val="20"/>
          <w:szCs w:val="20"/>
        </w:rPr>
        <w:pict>
          <v:rect id="_x0000_i1058" style="width:415.3pt;height:1.5pt" o:hralign="center" o:hrstd="t" o:hrnoshade="t" o:hr="t" fillcolor="black" stroked="f"/>
        </w:pict>
      </w:r>
    </w:p>
    <w:p w:rsidR="00000000" w:rsidRDefault="001D2166">
      <w:pPr>
        <w:divId w:val="5981062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development and distribution of COVID-19 vaccines has assisted in allowing many restrictions to be lifted, providing a path to recovery. The U.S. economy continues to build upon the reopening trend as businesses reopen to full capacity and stimulus is </w:t>
      </w:r>
      <w:r>
        <w:rPr>
          <w:sz w:val="20"/>
          <w:szCs w:val="20"/>
        </w:rPr>
        <w:t>flowing through to the consumer. The overall economy continues to recover but several issues including lack of qualified employees, inflation risk, supply chain bottlenecks and COVID-19 variants have impacted the pace of the recovery.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extent to whic</w:t>
      </w:r>
      <w:r>
        <w:rPr>
          <w:sz w:val="20"/>
          <w:szCs w:val="20"/>
        </w:rPr>
        <w:t xml:space="preserve">h the COVID-19 pandemic impacts the Company’s financial condition, results of operations and cash flows, in the near term, will continue to depend on future developments, which continue to be uncertain, including new information that may emerge concerning </w:t>
      </w:r>
      <w:r>
        <w:rPr>
          <w:sz w:val="20"/>
          <w:szCs w:val="20"/>
        </w:rPr>
        <w:t>the severity of COVID-19, variants, the distribution and effectiveness as well as the willingness to take the vaccines, the impact of COVID-19 on economic activity, the effect of COVID-19 on the Company’s tenants and their businesses, the ability of tenant</w:t>
      </w:r>
      <w:r>
        <w:rPr>
          <w:sz w:val="20"/>
          <w:szCs w:val="20"/>
        </w:rPr>
        <w:t>s to make their rental payments and any additional closures of tenants’ businesses.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continues to monitor the impact of COVID-19 on the Company’s business, tenants and industry as a whole.  </w:t>
      </w:r>
      <w:r>
        <w:rPr>
          <w:sz w:val="20"/>
          <w:szCs w:val="20"/>
        </w:rPr>
        <w:t>The magnitude and duration of the COVID-19 pandemic and its impact on the Company’s operations and liquidity remains uncertain as the pandemic continues to evolve globally and within the United States. The Company will continue to monitor the economic, fin</w:t>
      </w:r>
      <w:r>
        <w:rPr>
          <w:sz w:val="20"/>
          <w:szCs w:val="20"/>
        </w:rPr>
        <w:t>ancial, and social conditions resulting from the COVID-19 pandemic and will assess its asset portfolio for any impairment indicators. In addition, the Company will continue to monitor for any material or adverse effects resulting from the COVID-19 pandemic</w:t>
      </w:r>
      <w:r>
        <w:rPr>
          <w:sz w:val="20"/>
          <w:szCs w:val="20"/>
        </w:rPr>
        <w:t>. If the Company determines that any of its assets are impaired, the Company would be required to take impairment charges, and such amounts could be material.</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Although the Company continues to see an increase in collections of rental payments, the effect</w:t>
      </w:r>
      <w:r>
        <w:rPr>
          <w:sz w:val="20"/>
          <w:szCs w:val="20"/>
        </w:rPr>
        <w:t>s COVID-19 have had on its tenants are still heavily considered when evaluating the adequacy of the collectability of the tenant’s total accounts receivable balance, including the corresponding straight-line rent receivable. As of December 31, 2021, the Co</w:t>
      </w:r>
      <w:r>
        <w:rPr>
          <w:sz w:val="20"/>
          <w:szCs w:val="20"/>
        </w:rPr>
        <w:t>mpany’s consolidated accounts receivable balance was 35% potentially uncollectible, including receivables from tenants that are being accounted for on a cash basis, and 11% of the Company’s straight-line rent receivables were potentially uncollectible, als</w:t>
      </w:r>
      <w:r>
        <w:rPr>
          <w:sz w:val="20"/>
          <w:szCs w:val="20"/>
        </w:rPr>
        <w:t>o inclusive of tenants that are being accounted for on a cash basis. These reserves are primarily attributable to the impact from the COVID-19 pandemic. Management’s estimate of the collectability of accrued rents and accounts receivable is based on the be</w:t>
      </w:r>
      <w:r>
        <w:rPr>
          <w:sz w:val="20"/>
          <w:szCs w:val="20"/>
        </w:rPr>
        <w:t>st information available to management at the time of evaluation. The Company will continue to monitor the economic, financial, and social conditions resulting from the COVID-19 pandemic and will continue to assess the collectability of its tenant accounts</w:t>
      </w:r>
      <w:r>
        <w:rPr>
          <w:sz w:val="20"/>
          <w:szCs w:val="20"/>
        </w:rPr>
        <w:t xml:space="preserve"> receivables. As such, the Company may determine that further adjustments to its accounts receivable may be required in the future, and such amounts may be material.</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Financial Highlights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following highlights the Company’s significant transactions, </w:t>
      </w:r>
      <w:r>
        <w:rPr>
          <w:sz w:val="20"/>
          <w:szCs w:val="20"/>
        </w:rPr>
        <w:t>events and results that occurred during the year ended 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Financial and Portfolio Information:</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Completed the strategic Merger with Weingarten on August 3, 2021 (see additional disclosure in Footnote 2 of the Notes to Consolidated Fi</w:t>
            </w:r>
            <w:r>
              <w:rPr>
                <w:sz w:val="20"/>
                <w:szCs w:val="20"/>
              </w:rPr>
              <w:t>nancial Statements included in this Form 10-K).</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Net income available to the Company’s common shareholders was $818.6 million, or $1.60 per diluted share, for the year ended December 31, 2021 as compared to $975.4 million, or $2.25 per diluted share, </w:t>
            </w:r>
            <w:r>
              <w:rPr>
                <w:sz w:val="20"/>
                <w:szCs w:val="20"/>
              </w:rPr>
              <w:t>for the year ended December 31, 2020.</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FFO </w:t>
            </w:r>
            <w:r>
              <w:rPr>
                <w:sz w:val="20"/>
                <w:szCs w:val="20"/>
              </w:rPr>
              <w:t>was $706.8 million, or $1.38 per diluted share, for the year ended December 31, 2021, as compared to $503.7 million, or $1.17 per diluted share, for the corresponding period in 2020 (see additional disclosure on FFO beginning on page 39).</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Same proper</w:t>
            </w:r>
            <w:r>
              <w:rPr>
                <w:sz w:val="20"/>
                <w:szCs w:val="20"/>
              </w:rPr>
              <w:t>ty net operating income (“Same property NOI”) was $864.8 million for the year ended December 31, 2021, as compared to $795.2 million the corresponding period in 2020 (see additional disclosure on Same property NOI beginning on page 39).</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Executed 1,14</w:t>
            </w:r>
            <w:r>
              <w:rPr>
                <w:sz w:val="20"/>
                <w:szCs w:val="20"/>
              </w:rPr>
              <w:t>7 new leases, renewals and options totaling approximately 7.5 million square feet in the consolidated operating portfolio.</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Consolidated operating portfolio occupancy at December 31, 2021 was 94.2% as compared to 93.9% at December 31, 2020.</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Acquisi</w:t>
      </w:r>
      <w:r>
        <w:rPr>
          <w:i/>
          <w:iCs/>
          <w:sz w:val="20"/>
          <w:szCs w:val="20"/>
        </w:rPr>
        <w:t>tion and Disposition Activity (see Footnotes 2, 4 and 5 of the Notes to Consolidated Financial Statements included in this Form 10-K):</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Acquired 149 properties, including 30 held through joint venture programs, in conjunction with the Merger.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Acquired two distribution centers for $84.7 million (which were subsequently sold for $108.0 million) and an outparcel at an existing shopping </w:t>
            </w:r>
            <w:r>
              <w:rPr>
                <w:sz w:val="20"/>
                <w:szCs w:val="20"/>
              </w:rPr>
              <w:t>center in Columbia, MD for $12.6 million</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Acquired nine properties for an aggregate purchase price of $780.1 million from joint ventures in which the Company previously held noncontrolling ownership interests (a 50% interest in six of these properties</w:t>
            </w:r>
            <w:r>
              <w:rPr>
                <w:sz w:val="20"/>
                <w:szCs w:val="20"/>
              </w:rPr>
              <w:t xml:space="preserve"> was subsequently sold and the Company maintained a 50% noncontrolling ownership interest and deconsolidated the properties)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Disposed of 13 operating properties (including the two distribution centers and the deconsolidation of six operating properti</w:t>
            </w:r>
            <w:r>
              <w:rPr>
                <w:sz w:val="20"/>
                <w:szCs w:val="20"/>
              </w:rPr>
              <w:t>es noted above) and 10 parcels, in separate transactions, for an aggregate sales price of $612.4 million, which resulted in aggregate gains of $30.8 million, before noncontrolling interests and taxes.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99038406"/>
        <w:rPr>
          <w:rFonts w:eastAsia="Times New Roman"/>
          <w:sz w:val="20"/>
          <w:szCs w:val="20"/>
        </w:rPr>
      </w:pPr>
      <w:r>
        <w:rPr>
          <w:rFonts w:eastAsia="Times New Roman"/>
          <w:sz w:val="20"/>
          <w:szCs w:val="20"/>
        </w:rPr>
        <w:t xml:space="preserve">28 </w:t>
      </w:r>
    </w:p>
    <w:p w:rsidR="00000000" w:rsidRDefault="001D2166">
      <w:pPr>
        <w:divId w:val="1178882045"/>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1D2166">
      <w:pPr>
        <w:divId w:val="16369867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Capital Activity (for additional details see Liquidity and Capital Resources below):</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Issued $500.0 million of 2.25% notes maturing December 2031.</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Assumed senior unsecured notes of $1.5 billion (inc</w:t>
            </w:r>
            <w:r>
              <w:rPr>
                <w:sz w:val="20"/>
                <w:szCs w:val="20"/>
              </w:rPr>
              <w:t>luding $95.6 million in fair market value adjustments) and mortgage debt of $317.7 million (including $11.0 million in fair market value adjustments) encumbering 16 operating properties in connection with the Merger.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Assumed $234.1 million of mortgag</w:t>
            </w:r>
            <w:r>
              <w:rPr>
                <w:sz w:val="20"/>
                <w:szCs w:val="20"/>
              </w:rPr>
              <w:t>e debt encumbering nine operating properties, repaid $230.5 million of mortgage debt that encumbered 28 operating properties and deconsolidated $170.0 million of mortgage debt relating to six operating properties.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Issued 179.9 million shares of commo</w:t>
            </w:r>
            <w:r>
              <w:rPr>
                <w:sz w:val="20"/>
                <w:szCs w:val="20"/>
              </w:rPr>
              <w:t>n stock in conjunction with the Merger.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As of December 31, 2021, had $2.3 billion in immediate liquidity, including $334.7 million in cash.</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720"/>
        <w:rPr>
          <w:sz w:val="20"/>
          <w:szCs w:val="20"/>
        </w:rPr>
      </w:pPr>
      <w:r>
        <w:rPr>
          <w:sz w:val="20"/>
          <w:szCs w:val="20"/>
        </w:rPr>
        <w:t>As a result of the above debt activity, the Company’</w:t>
      </w:r>
      <w:r>
        <w:rPr>
          <w:sz w:val="20"/>
          <w:szCs w:val="20"/>
        </w:rPr>
        <w:t>s consolidated debt maturity profile, including extension options as of December 31, 2021, is as follows:</w:t>
      </w:r>
    </w:p>
    <w:p w:rsidR="00000000" w:rsidRDefault="001D2166">
      <w:pPr>
        <w:pStyle w:val="a3"/>
        <w:spacing w:before="0" w:beforeAutospacing="0" w:after="0" w:afterAutospacing="0"/>
        <w:ind w:left="720"/>
        <w:rPr>
          <w:sz w:val="20"/>
          <w:szCs w:val="20"/>
        </w:rPr>
      </w:pPr>
      <w:r>
        <w:rPr>
          <w:sz w:val="20"/>
          <w:szCs w:val="20"/>
        </w:rPr>
        <w:t> </w:t>
      </w:r>
    </w:p>
    <w:p w:rsidR="00000000" w:rsidRDefault="001D2166">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As of December 31, 202</w:t>
            </w:r>
            <w:r>
              <w:rPr>
                <w:sz w:val="20"/>
                <w:szCs w:val="20"/>
              </w:rPr>
              <w:t>1, the weighted average interest rate was 3.39% and the weighted average maturity profile was 8.5 years related to the Company’s consolidated debt.</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faces external factors which may influence its future results from operations. The convenienc</w:t>
      </w:r>
      <w:r>
        <w:rPr>
          <w:sz w:val="20"/>
          <w:szCs w:val="20"/>
        </w:rPr>
        <w:t>e and availability of e-commerce has continued to impact the retail sector, which could affect our ability to increase or maintain rental rates and our ability to renew expiring leases and/or lease available space. To mitigate the effect of e-commerce on i</w:t>
      </w:r>
      <w:r>
        <w:rPr>
          <w:sz w:val="20"/>
          <w:szCs w:val="20"/>
        </w:rPr>
        <w:t>ts business, the Company’s strategy has been to attract local area customers to its properties by providing a diverse and robust tenant base across a variety of retailers, including grocery stores, off-price retailers, discounters or service-oriented tenan</w:t>
      </w:r>
      <w:r>
        <w:rPr>
          <w:sz w:val="20"/>
          <w:szCs w:val="20"/>
        </w:rPr>
        <w:t>ts, which offer buy online and pick up in store, off-price merchandise and day-to-day necessities rather than high-priced luxury items.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Company’s portfolio is focused on major metropolitan-area U.S. markets, predominantly on the east and west coasts </w:t>
      </w:r>
      <w:r>
        <w:rPr>
          <w:sz w:val="20"/>
          <w:szCs w:val="20"/>
        </w:rPr>
        <w:t>and in the sun belt region, which are supported by strong demographics, significant projected population growth, and where the Company perceives significant barriers to entry.  The Company owns a predominantly grocery-anchored portfolio clustered in the na</w:t>
      </w:r>
      <w:r>
        <w:rPr>
          <w:sz w:val="20"/>
          <w:szCs w:val="20"/>
        </w:rPr>
        <w:t>tion’s top markets which positioned the Company to overcome many of the challenges brought upon by COVID-19. The Company believes it can continue to increase its occupancy levels, rental rates and overall rental growth. In addition, the Company, on a selec</w:t>
      </w:r>
      <w:r>
        <w:rPr>
          <w:sz w:val="20"/>
          <w:szCs w:val="20"/>
        </w:rPr>
        <w:t>tive basis, has developed or redeveloped projects which include residential and mixed-use components.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As part of the Company’</w:t>
      </w:r>
      <w:r>
        <w:rPr>
          <w:sz w:val="20"/>
          <w:szCs w:val="20"/>
        </w:rPr>
        <w:t>s investment strategy, each property is evaluated for its highest and best use, which may include residential and mixed-use components. In addition, the Company may consider other opportunistic investments related to retailer controlled real estate, such a</w:t>
      </w:r>
      <w:r>
        <w:rPr>
          <w:sz w:val="20"/>
          <w:szCs w:val="20"/>
        </w:rPr>
        <w:t>s, repositioning underperforming retail locations, retail real estate financing and bankruptcy transaction support. The Company may continue to dispose of certain properties. If the estimated fair value for any of these assets is less than their net carryi</w:t>
      </w:r>
      <w:r>
        <w:rPr>
          <w:sz w:val="20"/>
          <w:szCs w:val="20"/>
        </w:rPr>
        <w:t>ng values, the Company would be required to take impairment charges and such amounts could be material. For a further discussion of these and other factors that could impact our future results, performance or transactions, see Item 1A. “Risk Factors.”</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jc w:val="center"/>
        <w:divId w:val="999506237"/>
        <w:rPr>
          <w:rFonts w:eastAsia="Times New Roman"/>
          <w:sz w:val="20"/>
          <w:szCs w:val="20"/>
        </w:rPr>
      </w:pPr>
      <w:r>
        <w:rPr>
          <w:rFonts w:eastAsia="Times New Roman"/>
          <w:sz w:val="20"/>
          <w:szCs w:val="20"/>
        </w:rPr>
        <w:t>29</w:t>
      </w:r>
      <w:r>
        <w:rPr>
          <w:rFonts w:eastAsia="Times New Roman"/>
          <w:sz w:val="20"/>
          <w:szCs w:val="20"/>
        </w:rPr>
        <w:t xml:space="preserve"> </w:t>
      </w:r>
    </w:p>
    <w:p w:rsidR="00000000" w:rsidRDefault="001D2166">
      <w:pPr>
        <w:divId w:val="999506237"/>
        <w:rPr>
          <w:rFonts w:eastAsia="Times New Roman"/>
          <w:sz w:val="20"/>
          <w:szCs w:val="20"/>
        </w:rPr>
      </w:pPr>
      <w:r>
        <w:rPr>
          <w:rFonts w:eastAsia="Times New Roman"/>
          <w:sz w:val="20"/>
          <w:szCs w:val="20"/>
        </w:rPr>
        <w:pict>
          <v:rect id="_x0000_i1061" style="width:415.3pt;height:1.5pt" o:hralign="center" o:hrstd="t" o:hrnoshade="t" o:hr="t" fillcolor="black" stroked="f"/>
        </w:pict>
      </w:r>
    </w:p>
    <w:p w:rsidR="00000000" w:rsidRDefault="001D2166">
      <w:pPr>
        <w:divId w:val="13433214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Results of 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Comparison of the years ended December 31, 2021 and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Results from operations for the year ended December 31, 2021 reflect the results of the Co</w:t>
      </w:r>
      <w:r>
        <w:rPr>
          <w:sz w:val="20"/>
          <w:szCs w:val="20"/>
        </w:rPr>
        <w:t>mpany’s Merger with Weingarten on August 3, 2021 and as a result only reflect the combined operations for five months. Future periods will reflect the combined operations for the entire year. Therefore, our historical financial statements may not be indica</w:t>
      </w:r>
      <w:r>
        <w:rPr>
          <w:sz w:val="20"/>
          <w:szCs w:val="20"/>
        </w:rPr>
        <w:t>tive of future operating results.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following table presents the comparative results from the Company’s Consolidated Statements of Income for the year ended December 31, 2021, as compared to the corresponding period in 2020 (in thousands, except per sh</w:t>
      </w:r>
      <w:r>
        <w:rPr>
          <w:sz w:val="20"/>
          <w:szCs w:val="20"/>
        </w:rPr>
        <w:t>are data):</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3220"/>
        <w:gridCol w:w="92"/>
        <w:gridCol w:w="100"/>
        <w:gridCol w:w="1133"/>
        <w:gridCol w:w="92"/>
        <w:gridCol w:w="92"/>
        <w:gridCol w:w="100"/>
        <w:gridCol w:w="1133"/>
        <w:gridCol w:w="93"/>
        <w:gridCol w:w="93"/>
        <w:gridCol w:w="100"/>
        <w:gridCol w:w="1134"/>
        <w:gridCol w:w="93"/>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705"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1,349,702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1,044,888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304,814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14,883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13,005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(13,773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(11,270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(2,503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(181,256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(157,661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(23,595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(222,882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(174,038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(48,844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(104,121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(93,217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(10,904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(395,320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(288,955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(106,365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6,484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24,357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Other income,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19,810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4,119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15,691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Gain on marketable securities,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505,163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594,753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(89,590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(204,133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(186,904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(17,229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(2,402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84,778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47,353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37,425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23,172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28,628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(5,456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(5,637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(2,044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(3,593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(25,416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(25,416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818,643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975,417</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(156,774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Diluted per share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1.60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(0.65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(1)</w:t>
            </w:r>
          </w:p>
        </w:tc>
        <w:tc>
          <w:tcPr>
            <w:tcW w:w="0" w:type="auto"/>
            <w:hideMark/>
          </w:tcPr>
          <w:p w:rsidR="00000000" w:rsidRDefault="001D2166">
            <w:pPr>
              <w:pStyle w:val="a3"/>
              <w:spacing w:before="0" w:beforeAutospacing="0" w:after="0" w:afterAutospacing="0"/>
              <w:rPr>
                <w:sz w:val="20"/>
                <w:szCs w:val="20"/>
              </w:rPr>
            </w:pPr>
            <w:r>
              <w:rPr>
                <w:sz w:val="20"/>
                <w:szCs w:val="20"/>
              </w:rPr>
              <w:t>Rent expense relates to ground lease payments for which the Company is the lessee.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(2)</w:t>
            </w:r>
          </w:p>
        </w:tc>
        <w:tc>
          <w:tcPr>
            <w:tcW w:w="0" w:type="auto"/>
            <w:hideMark/>
          </w:tcPr>
          <w:p w:rsidR="00000000" w:rsidRDefault="001D2166">
            <w:pPr>
              <w:pStyle w:val="a3"/>
              <w:spacing w:before="0" w:beforeAutospacing="0" w:after="0" w:afterAutospacing="0"/>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(3)</w:t>
            </w:r>
          </w:p>
        </w:tc>
        <w:tc>
          <w:tcPr>
            <w:tcW w:w="0" w:type="auto"/>
            <w:hideMark/>
          </w:tcPr>
          <w:p w:rsidR="00000000" w:rsidRDefault="001D2166">
            <w:pPr>
              <w:pStyle w:val="a3"/>
              <w:spacing w:before="0" w:beforeAutospacing="0" w:after="0" w:afterAutospacing="0"/>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w:t>
            </w:r>
            <w:r>
              <w:rPr>
                <w:sz w:val="20"/>
                <w:szCs w:val="20"/>
              </w:rPr>
              <w:t>pecific expenses.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Net income available to the Company’s common shareholders was $818.6 million for the year ended December 31, 2021, as compared to $975.4 million for the comparable period in 2020. On a diluted per share basis, net income available to t</w:t>
      </w:r>
      <w:r>
        <w:rPr>
          <w:sz w:val="20"/>
          <w:szCs w:val="20"/>
        </w:rPr>
        <w:t>he Company’s common shareholders for the year ended December 31, 2021, was $1.60 as compared to $2.25 for the comparable period in 2020. For additional disclosure, see Footnote 27 of the Notes to Consolidated Financial Statements included in this Form 10-K</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following describes the changes of certain line items included on the Company’s Consolidated Statements of Income, that the Company believes changed significantly and affected Net income available to the Company’s common shareholders during the yea</w:t>
      </w:r>
      <w:r>
        <w:rPr>
          <w:sz w:val="20"/>
          <w:szCs w:val="20"/>
        </w:rPr>
        <w:t>r ended December 31, 2021, as compared to the corresponding period in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Revenue from rental properties, net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increase in Revenues from rental properties, net of $304.8 million is primarily from (i) an increase in revenues of $197.6 million due</w:t>
      </w:r>
      <w:r>
        <w:rPr>
          <w:sz w:val="20"/>
          <w:szCs w:val="20"/>
        </w:rPr>
        <w:t xml:space="preserve"> to properties acquired, primarily resulting from the Merger, (ii) a net decrease in credit losses from tenants of $86.8 million primarily due to increased collections, (iii) an increase in net straight-line rental income of $28.5 million primarily due to </w:t>
      </w:r>
      <w:r>
        <w:rPr>
          <w:sz w:val="20"/>
          <w:szCs w:val="20"/>
        </w:rPr>
        <w:t>a decrease in reserves, increase in leasing activity and the Merger, and (iv) an increase in lease termination fee income of $9.4 million partially offset by (v) a net decrease in revenues of $17.5 million, primarily due to tenant vacancies and disposition</w:t>
      </w:r>
      <w:r>
        <w:rPr>
          <w:sz w:val="20"/>
          <w:szCs w:val="20"/>
        </w:rPr>
        <w:t>s for the year ended December 31, 2021, as compared to the corresponding period in 2020.</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85077059"/>
        <w:rPr>
          <w:rFonts w:eastAsia="Times New Roman"/>
          <w:sz w:val="20"/>
          <w:szCs w:val="20"/>
        </w:rPr>
      </w:pPr>
      <w:r>
        <w:rPr>
          <w:rFonts w:eastAsia="Times New Roman"/>
          <w:sz w:val="20"/>
          <w:szCs w:val="20"/>
        </w:rPr>
        <w:t xml:space="preserve">30 </w:t>
      </w:r>
    </w:p>
    <w:p w:rsidR="00000000" w:rsidRDefault="001D2166">
      <w:pPr>
        <w:divId w:val="1261985326"/>
        <w:rPr>
          <w:rFonts w:eastAsia="Times New Roman"/>
          <w:sz w:val="20"/>
          <w:szCs w:val="20"/>
        </w:rPr>
      </w:pPr>
      <w:r>
        <w:rPr>
          <w:rFonts w:eastAsia="Times New Roman"/>
          <w:sz w:val="20"/>
          <w:szCs w:val="20"/>
        </w:rPr>
        <w:pict>
          <v:rect id="_x0000_i1062" style="width:415.3pt;height:1.5pt" o:hralign="center" o:hrstd="t" o:hrnoshade="t" o:hr="t" fillcolor="black" stroked="f"/>
        </w:pict>
      </w:r>
    </w:p>
    <w:p w:rsidR="00000000" w:rsidRDefault="001D2166">
      <w:pPr>
        <w:divId w:val="61467903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Real estate taxes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increase in Real estate taxes of $23.6 million is primarily due to an increase in properties acquired through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Operating and maintenance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The increase in Operating and maintenance expense of $4</w:t>
      </w:r>
      <w:r>
        <w:rPr>
          <w:sz w:val="20"/>
          <w:szCs w:val="20"/>
        </w:rPr>
        <w:t>8.8 million is primarily due to (i) an increase in operating expenses of $31.8 million relating to properties acquired through the Merger, (ii) an increase in utilities, repairs and maintenance, insurance and advertising costs of $11.3 million, primarily d</w:t>
      </w:r>
      <w:r>
        <w:rPr>
          <w:sz w:val="20"/>
          <w:szCs w:val="20"/>
        </w:rPr>
        <w:t>ue to the reopening of markets throughout the country and (iii) an increase in snow removal costs of $5.7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General and administrative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increase in General and administrative expense of $10.9 million is primarily due to (i) an increase in e</w:t>
      </w:r>
      <w:r>
        <w:rPr>
          <w:sz w:val="20"/>
          <w:szCs w:val="20"/>
        </w:rPr>
        <w:t>mployee-related expenses of $16.2 million primarily related to increased staffing due to the Merger and higher performance based compensation bonuses and (ii) an increase of $1.9 million primarily due to the fluctuations in value of various directors’ defe</w:t>
      </w:r>
      <w:r>
        <w:rPr>
          <w:sz w:val="20"/>
          <w:szCs w:val="20"/>
        </w:rPr>
        <w:t>rred stock, partially offset by (iii) a decrease in severance charges related to employee retirement and terminations of $8.1 million during the year ended December 31, 2021, as compared to the corresponding period in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Impairment charges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w:t>
      </w:r>
      <w:r>
        <w:rPr>
          <w:sz w:val="20"/>
          <w:szCs w:val="20"/>
        </w:rPr>
        <w:t xml:space="preserve"> the years ended December 31, 2021 and 2020, the Company recognized impairment charges of $3.6 million and $6.6 million, respectively, primarily related to adjustments to property carrying values for which the Company’s estimated fair values were primarily</w:t>
      </w:r>
      <w:r>
        <w:rPr>
          <w:sz w:val="20"/>
          <w:szCs w:val="20"/>
        </w:rPr>
        <w:t xml:space="preserve"> based upon signed contracts or letters of intent from third-party offers. These adjustments to property carrying values were recognized in connection with the Company’s efforts to market certain properties and management’s assessment as to the likelihood </w:t>
      </w:r>
      <w:r>
        <w:rPr>
          <w:sz w:val="20"/>
          <w:szCs w:val="20"/>
        </w:rPr>
        <w:t>and timing of such potential transactions. Certain of the calculations to determine fair values utilized unobservable inputs and, as such, were classified as Level 3 of the FASB’s fair value hierarchy. For additional disclosure, see Footnotes 6 and 17 of t</w:t>
      </w:r>
      <w:r>
        <w:rPr>
          <w:sz w:val="20"/>
          <w:szCs w:val="20"/>
        </w:rPr>
        <w:t>he Notes to Consolidated Financial Statements included in this Form 10-K.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Merger charges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the year ended December 31, 2021, the Company incurred costs of $50.2 million associated with the Merger. These charges are primarily comprised of severa</w:t>
      </w:r>
      <w:r>
        <w:rPr>
          <w:sz w:val="20"/>
          <w:szCs w:val="20"/>
        </w:rPr>
        <w:t>nce costs and professional and legal fees.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Depreciation and amortization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increase in Depreciation and amortization of $106.4 million is primarily due to (i) an increase of $108.1 million primarily resulting from property acquisitions in connecti</w:t>
      </w:r>
      <w:r>
        <w:rPr>
          <w:sz w:val="20"/>
          <w:szCs w:val="20"/>
        </w:rPr>
        <w:t>on with the Merger during 2021 and (ii) an increase of $8.3 million due to depreciation commencing on certain development and redevelopment projects that were placed into service during 2021 and 2020, partially offset by (iii) a decrease of $11.8 million d</w:t>
      </w:r>
      <w:r>
        <w:rPr>
          <w:sz w:val="20"/>
          <w:szCs w:val="20"/>
        </w:rPr>
        <w:t>ue to write-offs of depreciable assets primarily due to tenant vacates and dispositions during 2020 and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Gain on sale of properties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2021, the Company disposed of 13 operating properties and 10 parcels (including the deconsolidation of 6 operating properties), in separate transactions, for an aggregate sales price of $612.4 million, which resulted in aggregate gains of $30.8 mill</w:t>
      </w:r>
      <w:r>
        <w:rPr>
          <w:sz w:val="20"/>
          <w:szCs w:val="20"/>
        </w:rPr>
        <w:t>ion. During 2020, the Company disposed of three operating properties and four parcels, in separate transactions, for an aggregate sales price of $31.8 million, for which certain of the transactions resulted in aggregate gains of $6.5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Other incom</w:t>
      </w:r>
      <w:r>
        <w:rPr>
          <w:i/>
          <w:iCs/>
          <w:sz w:val="20"/>
          <w:szCs w:val="20"/>
        </w:rPr>
        <w:t xml:space="preserve">e, net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increase in Other income, net of $15.7 million is primarily due to (i) an increase in dividend income of $12.9 million primarily from the shares of ACI common stock held by the Company and (ii) a net increase in mortgage and other financing</w:t>
      </w:r>
      <w:r>
        <w:rPr>
          <w:sz w:val="20"/>
          <w:szCs w:val="20"/>
        </w:rPr>
        <w:t xml:space="preserve"> income of $4.7 million primarily due to new loans issued during 2021 and 2020, (iii) an increase in net periodic benefit income of $3.6 million relating to the Company's defined benefit plan, partially offset by (iv) an increase of $2.8 million in costs a</w:t>
      </w:r>
      <w:r>
        <w:rPr>
          <w:sz w:val="20"/>
          <w:szCs w:val="20"/>
        </w:rPr>
        <w:t>ssociated with potential transactions for which the Company is no longer pursuing.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Gain on marketable securities, net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decrease in Gain on marketable securities, net of $89.6 million is primarily the result of mark-to-market fluctuations of the s</w:t>
      </w:r>
      <w:r>
        <w:rPr>
          <w:sz w:val="20"/>
          <w:szCs w:val="20"/>
        </w:rPr>
        <w:t>hares of ACI common stock held by the Company, which were obtained during ACI’s initial public offering (“IPO”) in June 2020. The IPO resulted in the Company changing the classification of its ACI investment from a cost method investment to a marketable se</w:t>
      </w:r>
      <w:r>
        <w:rPr>
          <w:sz w:val="20"/>
          <w:szCs w:val="20"/>
        </w:rPr>
        <w:t>curity.</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961576790"/>
        <w:rPr>
          <w:rFonts w:eastAsia="Times New Roman"/>
          <w:sz w:val="20"/>
          <w:szCs w:val="20"/>
        </w:rPr>
      </w:pPr>
      <w:r>
        <w:rPr>
          <w:rFonts w:eastAsia="Times New Roman"/>
          <w:sz w:val="20"/>
          <w:szCs w:val="20"/>
        </w:rPr>
        <w:t xml:space="preserve">31 </w:t>
      </w:r>
    </w:p>
    <w:p w:rsidR="00000000" w:rsidRDefault="001D2166">
      <w:pPr>
        <w:divId w:val="690758847"/>
        <w:rPr>
          <w:rFonts w:eastAsia="Times New Roman"/>
          <w:sz w:val="20"/>
          <w:szCs w:val="20"/>
        </w:rPr>
      </w:pPr>
      <w:r>
        <w:rPr>
          <w:rFonts w:eastAsia="Times New Roman"/>
          <w:sz w:val="20"/>
          <w:szCs w:val="20"/>
        </w:rPr>
        <w:pict>
          <v:rect id="_x0000_i1063" style="width:415.3pt;height:1.5pt" o:hralign="center" o:hrstd="t" o:hrnoshade="t" o:hr="t" fillcolor="black" stroked="f"/>
        </w:pict>
      </w:r>
    </w:p>
    <w:p w:rsidR="00000000" w:rsidRDefault="001D2166">
      <w:pPr>
        <w:divId w:val="7977959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Gain on sale of cost method i</w:t>
      </w:r>
      <w:r>
        <w:rPr>
          <w:i/>
          <w:iCs/>
          <w:sz w:val="20"/>
          <w:szCs w:val="20"/>
        </w:rPr>
        <w:t xml:space="preserve">nvestment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June 2020, the Company recognized an aggregate gain of $190.8 million related to (i) a $131.6 million gain resulting from ACI’s partial repurchase of its common stock from existing shareholders in conjunction with its issuance of converti</w:t>
      </w:r>
      <w:r>
        <w:rPr>
          <w:sz w:val="20"/>
          <w:szCs w:val="20"/>
        </w:rPr>
        <w:t>ble preferred stock and (ii) a gain of $59.2 million in connection with the partial sale of the shares of ACI common stock held by the Company during ACI’s IPO.</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Interest expense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increase in Interest expense of $17.2 million is primarily due to (</w:t>
      </w:r>
      <w:r>
        <w:rPr>
          <w:sz w:val="20"/>
          <w:szCs w:val="20"/>
        </w:rPr>
        <w:t>i) increased levels of borrowings and assumptions of unsecured notes and mortgages in connection with the Merger and public debt offerings and (ii) a decrease in capitalized interest due to certain development and redevelopment projects that were placed in</w:t>
      </w:r>
      <w:r>
        <w:rPr>
          <w:sz w:val="20"/>
          <w:szCs w:val="20"/>
        </w:rPr>
        <w:t>to service during 2021 and 2020, partially offset by (iii) the repayment of unsecured notes and mortgages during 2021 and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Early extinguishment of debt charges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2020, the Company fully redeemed $484.9 million of its outstanding 3.20% senior unsecured notes, which were scheduled to mature in May 2021. As a result, the Company incurred a prepayment charge of $7.5 million for the year ended December 31,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Equity in income of joint ventures, net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increase in Equity in income of joint ventures, net of $37.4 million is primarily due to (i) an increase in equity in income of $18.7 million within various joint venture investments during 2021, as compar</w:t>
      </w:r>
      <w:r>
        <w:rPr>
          <w:sz w:val="20"/>
          <w:szCs w:val="20"/>
        </w:rPr>
        <w:t>ed to the corresponding period in 2020, primarily resulting from a decrease in credit losses due to collections from tenants, including straight-line rental income, (ii) an increase in net gains of $16.6 million resulting from the sale of properties within</w:t>
      </w:r>
      <w:r>
        <w:rPr>
          <w:sz w:val="20"/>
          <w:szCs w:val="20"/>
        </w:rPr>
        <w:t xml:space="preserve"> various joint venture investments during 2021, as compared to the corresponding period in 2020, and (iii) an increase in equity in income of $3.5 million resulting from ownership interests acquired in unconsolidated joint ventures in connection with the M</w:t>
      </w:r>
      <w:r>
        <w:rPr>
          <w:sz w:val="20"/>
          <w:szCs w:val="20"/>
        </w:rPr>
        <w:t>erger, partially offset by (iv) an increase in impairment charges of $1.4 million recognized during 2021, as compared to the corresponding period in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Equity in income of other investments, net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decrease in Equity in income of other investmen</w:t>
      </w:r>
      <w:r>
        <w:rPr>
          <w:sz w:val="20"/>
          <w:szCs w:val="20"/>
        </w:rPr>
        <w:t>ts, net of $5.5 million is primarily due to a decrease in equity in income and profit participation from the sale of properties within the Company’s Preferred Equity Program during 2021 and 2020, partially offset by an increase in equity in income from new</w:t>
      </w:r>
      <w:r>
        <w:rPr>
          <w:sz w:val="20"/>
          <w:szCs w:val="20"/>
        </w:rPr>
        <w:t xml:space="preserve"> investments during 2021 and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Net income attributable to noncontrolling interests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increase in Net income attributable to noncontrolling interests of $3.6 million is primarily due to (i) an increase in net gain on sale of properties, within </w:t>
      </w:r>
      <w:r>
        <w:rPr>
          <w:sz w:val="20"/>
          <w:szCs w:val="20"/>
        </w:rPr>
        <w:t>consolidated joint ventures, during 2021, as compared to the corresponding period in 2020 and (ii) an increase in net income attributable to noncontrolling interests recognized in connection with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Comparison of the years ended December 31, 202</w:t>
      </w:r>
      <w:r>
        <w:rPr>
          <w:i/>
          <w:iCs/>
          <w:sz w:val="20"/>
          <w:szCs w:val="20"/>
        </w:rPr>
        <w:t>0 and 2019</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Information pertaining to fiscal year 2019 was included in the Company’s Annual Report on Form 10-K for the year ended December 31, 2020 under Part II, Item 7, “Management’s Discussion and Analysis of Financial Condition and Results of Operati</w:t>
      </w:r>
      <w:r>
        <w:rPr>
          <w:sz w:val="20"/>
          <w:szCs w:val="20"/>
        </w:rPr>
        <w:t>ons,” which was filed with the SEC on February 23,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Liquidity and Capital Resources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capital resources include accessing the public debt and equity capital markets, mortgage financing, and immediate access to an unsecured revolving cr</w:t>
      </w:r>
      <w:r>
        <w:rPr>
          <w:sz w:val="20"/>
          <w:szCs w:val="20"/>
        </w:rPr>
        <w:t>edit facility (the “Credit Facility”) with bank commitments of $2.0 billion which can be increased to $2.75 billion through an accordion feature. In addition, the Company holds 39.8 million shares of ACI, which had a value of $1.2 billion at December 31, 2</w:t>
      </w:r>
      <w:r>
        <w:rPr>
          <w:sz w:val="20"/>
          <w:szCs w:val="20"/>
        </w:rPr>
        <w:t>021, which are subject to certain contractual lock-up provisions that expire in June 2022.</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cash flow activities are summarized as follows (in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440" w:type="dxa"/>
        <w:tblCellMar>
          <w:left w:w="0" w:type="dxa"/>
          <w:right w:w="0" w:type="dxa"/>
        </w:tblCellMar>
        <w:tblLook w:val="04A0" w:firstRow="1" w:lastRow="0" w:firstColumn="1" w:lastColumn="0" w:noHBand="0" w:noVBand="1"/>
      </w:tblPr>
      <w:tblGrid>
        <w:gridCol w:w="4638"/>
        <w:gridCol w:w="52"/>
        <w:gridCol w:w="100"/>
        <w:gridCol w:w="784"/>
        <w:gridCol w:w="67"/>
        <w:gridCol w:w="53"/>
        <w:gridCol w:w="100"/>
        <w:gridCol w:w="784"/>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Cash, cash equivalents and restricted cash, beginning of year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618,875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589,913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(476,259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(33,273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(101,141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(387,399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Net change in cash, cash equivalents and restricted cash</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41,475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169,241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Cash, cash equivalents and restricted cash, end of year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334,663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293,188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541867088"/>
        <w:rPr>
          <w:rFonts w:eastAsia="Times New Roman"/>
          <w:sz w:val="20"/>
          <w:szCs w:val="20"/>
        </w:rPr>
      </w:pPr>
      <w:r>
        <w:rPr>
          <w:rFonts w:eastAsia="Times New Roman"/>
          <w:sz w:val="20"/>
          <w:szCs w:val="20"/>
        </w:rPr>
        <w:t xml:space="preserve">32 </w:t>
      </w:r>
    </w:p>
    <w:p w:rsidR="00000000" w:rsidRDefault="001D2166">
      <w:pPr>
        <w:divId w:val="2006323797"/>
        <w:rPr>
          <w:rFonts w:eastAsia="Times New Roman"/>
          <w:sz w:val="20"/>
          <w:szCs w:val="20"/>
        </w:rPr>
      </w:pPr>
      <w:r>
        <w:rPr>
          <w:rFonts w:eastAsia="Times New Roman"/>
          <w:sz w:val="20"/>
          <w:szCs w:val="20"/>
        </w:rPr>
        <w:pict>
          <v:rect id="_x0000_i1064" style="width:415.3pt;height:1.5pt" o:hralign="center" o:hrstd="t" o:hrnoshade="t" o:hr="t" fillcolor="black" stroked="f"/>
        </w:pict>
      </w:r>
    </w:p>
    <w:p w:rsidR="00000000" w:rsidRDefault="001D2166">
      <w:pPr>
        <w:divId w:val="6678319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Operating Activities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re</w:t>
      </w:r>
      <w:r>
        <w:rPr>
          <w:sz w:val="20"/>
          <w:szCs w:val="20"/>
        </w:rPr>
        <w:t>quired by the Company. The Company will continue to evaluate its capital requirements for both its short-term and long-term liquidity needs, which could be affected by various risks and uncertainties, including, but not limited to, the effects of the COVID</w:t>
      </w:r>
      <w:r>
        <w:rPr>
          <w:sz w:val="20"/>
          <w:szCs w:val="20"/>
        </w:rPr>
        <w:t>-19 pandemic and other risks detailed in Part I, Item 1A. Risk Factors. See further discussion relating to the effects of the COVID-19 pandemic in the “COVID-19 Pandemic” and “Financing Activities” sections within this Item 7.</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Cash flows provided by oper</w:t>
      </w:r>
      <w:r>
        <w:rPr>
          <w:sz w:val="20"/>
          <w:szCs w:val="20"/>
        </w:rPr>
        <w:t>ating activities for the year ended December 31, 2021, were $618.9 million, as compared to $589.9 million for the comparable period in 2020. The increase of $29.0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acquisition of operating properties during 2021</w:t>
            </w:r>
            <w:r>
              <w:rPr>
                <w:sz w:val="20"/>
                <w:szCs w:val="20"/>
              </w:rPr>
              <w:t xml:space="preserve"> and 2020, including those acquired from the Merger;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new leasing, expansion and re-tenanting of core portfolio properties, partially offset by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a decrease in distributions from the Company’s joint ventures programs;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nonrecurring costs </w:t>
            </w:r>
            <w:r>
              <w:rPr>
                <w:sz w:val="20"/>
                <w:szCs w:val="20"/>
              </w:rPr>
              <w:t>incurred in connection with the Merger during 2021;</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changes in operating assets and liabilities due to timing of receipts and payments;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rent relief provided to tenants as a result of the COVID-19 pandemic;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the disposition of operating properties in 2021 and 2020.</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Investing Activities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Cash flows used for investing activities were $476.3 million for 2021, as compared to $33.3 </w:t>
      </w:r>
      <w:r>
        <w:rPr>
          <w:sz w:val="20"/>
          <w:szCs w:val="20"/>
        </w:rPr>
        <w:t>million for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Investing activities during 2021 consisted primarily of:</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$302.8 million in proceeds from the sale of 13 consolidated properties and 10 parcels (including the deconsolidation of 6 operating properties);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$111.9 million in reimbursements of investments in and advances to real estate joint ventures and other i</w:t>
            </w:r>
            <w:r>
              <w:rPr>
                <w:sz w:val="20"/>
                <w:szCs w:val="20"/>
              </w:rPr>
              <w:t>nvestments primarily due to the sale of properties within the investments;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$13.8 million in collection of mortgage and other financing receivables.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$356.0 million for the acquisition of 11 consolidated operating properties and one parcel;</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$264.0 million net cash consideration paid in conjunction with the Merger;</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$163.7 million for improvements to operating real estate primarily related to </w:t>
            </w:r>
            <w:r>
              <w:rPr>
                <w:sz w:val="20"/>
                <w:szCs w:val="20"/>
              </w:rPr>
              <w:t>the Company’s active redevelopment pipeline;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$67.1 million for investments in and advances to other investments, primarily related to a preferred equity investment located in San Antonio, TX;</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$41.9 million for investment in other financing rece</w:t>
            </w:r>
            <w:r>
              <w:rPr>
                <w:sz w:val="20"/>
                <w:szCs w:val="20"/>
              </w:rPr>
              <w:t>ivables;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$12.6 million for investments in and advances to real estate joint ventures, primarily related to a redevelopment project within the Company’s joint venture portfolio;</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Investing activities during 2020 consisted primarily of:</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$227.3 m</w:t>
            </w:r>
            <w:r>
              <w:rPr>
                <w:sz w:val="20"/>
                <w:szCs w:val="20"/>
              </w:rPr>
              <w:t>illion in proceeds from the partial sale of the Company’s ACI cost method investment prior to its IPO and the sale of 4.7 million shares of ACI common stock during its IPO;</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$30.5 million in proceeds from the sale of three operating properties and fou</w:t>
            </w:r>
            <w:r>
              <w:rPr>
                <w:sz w:val="20"/>
                <w:szCs w:val="20"/>
              </w:rPr>
              <w:t>r parcels;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$17.9 million in reimbursements of investments in and advances to real estate joint ventures and reimbursements of investments in and advances to other investments, primarily related to the sale of properties within the joint venture portfolio and the Comp</w:t>
            </w:r>
            <w:r>
              <w:rPr>
                <w:sz w:val="20"/>
                <w:szCs w:val="20"/>
              </w:rPr>
              <w:t>any’s Preferred Equity Program;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$2.5 million in proceeds from insurance casualty claims.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$243.6 million for improvements to operating real estate primarily related to the Company’s active redevelopment pipeline and improveme</w:t>
            </w:r>
            <w:r>
              <w:rPr>
                <w:sz w:val="20"/>
                <w:szCs w:val="20"/>
              </w:rPr>
              <w:t>nts to real estate under development;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$30.8 million for investments in and advances to real estate joint ventures, primarily related to a redevelopment project and the repayment of a mortgage within the Company’s joint venture portfolio, and investme</w:t>
            </w:r>
            <w:r>
              <w:rPr>
                <w:sz w:val="20"/>
                <w:szCs w:val="20"/>
              </w:rPr>
              <w:t>nts in other investments, primarily related to an investment in a new preferred equity investment and the repayment of mortgages within the Company’s Preferred Equity Program;</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$25.0 million for investment in other financing receivable;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$12.6 million for the acquisition of operating real estate.</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17209071"/>
        <w:rPr>
          <w:rFonts w:eastAsia="Times New Roman"/>
          <w:sz w:val="20"/>
          <w:szCs w:val="20"/>
        </w:rPr>
      </w:pPr>
      <w:r>
        <w:rPr>
          <w:rFonts w:eastAsia="Times New Roman"/>
          <w:sz w:val="20"/>
          <w:szCs w:val="20"/>
        </w:rPr>
        <w:t xml:space="preserve">33 </w:t>
      </w:r>
    </w:p>
    <w:p w:rsidR="00000000" w:rsidRDefault="001D2166">
      <w:pPr>
        <w:divId w:val="1463156958"/>
        <w:rPr>
          <w:rFonts w:eastAsia="Times New Roman"/>
          <w:sz w:val="20"/>
          <w:szCs w:val="20"/>
        </w:rPr>
      </w:pPr>
      <w:r>
        <w:rPr>
          <w:rFonts w:eastAsia="Times New Roman"/>
          <w:sz w:val="20"/>
          <w:szCs w:val="20"/>
        </w:rPr>
        <w:pict>
          <v:rect id="_x0000_i1065" style="width:415.3pt;height:1.5pt" o:hralign="center" o:hrstd="t" o:hrnoshade="t" o:hr="t" fillcolor="black" stroked="f"/>
        </w:pict>
      </w:r>
    </w:p>
    <w:p w:rsidR="00000000" w:rsidRDefault="001D2166">
      <w:pPr>
        <w:divId w:val="16555984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Acquisitions of Operating Real Estate and Other Related Net Assets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the years ended December 31, 2021 and 2020, the Company expended $619.9 million and $12.6 million, respectively, towards the acquisition of operating real estate properties, includ</w:t>
      </w:r>
      <w:r>
        <w:rPr>
          <w:sz w:val="20"/>
          <w:szCs w:val="20"/>
        </w:rPr>
        <w:t>ing the Merger in 2021. The Company anticipates spending approximately $100.0 million to $200.0 million towards the acquisition of operating properties during 2022. The Company intends to fund these acquisitions with cash flow from operating activities, pr</w:t>
      </w:r>
      <w:r>
        <w:rPr>
          <w:sz w:val="20"/>
          <w:szCs w:val="20"/>
        </w:rPr>
        <w:t>oceeds from property dispositions and/or availability under its Credit Facility.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Improvements to Operating Real Estate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the years ended December 31, 2021 and 2020, the Company expended $163.7 million and $221.3 million, respectively, towards impr</w:t>
      </w:r>
      <w:r>
        <w:rPr>
          <w:sz w:val="20"/>
          <w:szCs w:val="20"/>
        </w:rPr>
        <w:t>ovements to operating real estate. These amounts consist of the following (in thousands):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33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900" w:type="pct"/>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100,784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175,661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62,915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45,617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163,699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221,278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(1)</w:t>
            </w:r>
          </w:p>
        </w:tc>
        <w:tc>
          <w:tcPr>
            <w:tcW w:w="0" w:type="auto"/>
            <w:hideMark/>
          </w:tcPr>
          <w:p w:rsidR="00000000" w:rsidRDefault="001D2166">
            <w:pPr>
              <w:pStyle w:val="a3"/>
              <w:spacing w:before="0" w:beforeAutospacing="0" w:after="0" w:afterAutospacing="0"/>
              <w:rPr>
                <w:sz w:val="20"/>
                <w:szCs w:val="20"/>
              </w:rPr>
            </w:pPr>
            <w:r>
              <w:rPr>
                <w:sz w:val="20"/>
                <w:szCs w:val="20"/>
              </w:rPr>
              <w:t>During the years ended December 31, 2021 and 2020, the Company capitalized payroll of $4.5 million and $9.4 million, respectively, and capitalized interest of $0.6 million and $9.7 million, respectively, in connection with the Company’s improvements to ope</w:t>
            </w:r>
            <w:r>
              <w:rPr>
                <w:sz w:val="20"/>
                <w:szCs w:val="20"/>
              </w:rPr>
              <w:t>rating real estate.</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portfo</w:t>
      </w:r>
      <w:r>
        <w:rPr>
          <w:sz w:val="20"/>
          <w:szCs w:val="20"/>
        </w:rPr>
        <w:t>lio which it believes will increase the overall value by bringing in new tenants and improving the assets’ value. The Company anticipates its capital commitment toward these redevelopment projects and re-tenanting efforts for 2022 will be approximately $15</w:t>
      </w:r>
      <w:r>
        <w:rPr>
          <w:sz w:val="20"/>
          <w:szCs w:val="20"/>
        </w:rPr>
        <w:t>0.0 million to $200.0 million. The funding of these capital requirements will be provided by proceeds from property dispositions, net cash flow provided by operating activities and/or availability under the Company’s Credit Facility.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Financing Activities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Cash flows used for financing activities were $101.1 million for 2021, as compared to $387.4 million for 2020.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Financing activities during 2021 primarily consisted of the following: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$500.0 million in proceeds from issuance of 2.25% senior unsecured notes due in 2031;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$83.0 million in proceeds from issuance of common stock, primarily related to the Company’s at-the-market continuous offering program and the exercise of employ</w:t>
            </w:r>
            <w:r>
              <w:rPr>
                <w:sz w:val="20"/>
                <w:szCs w:val="20"/>
              </w:rPr>
              <w:t>ee stock options.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$382.1 million of dividends paid;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$239.9 million in principal payment on debt, including normal amortization of rental property debt;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$34.6 million in redemption/distribution of noncontrolling interests;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$20.8 million in shares repurchased for employee tax withholding on equity</w:t>
            </w:r>
            <w:r>
              <w:rPr>
                <w:sz w:val="20"/>
                <w:szCs w:val="20"/>
              </w:rPr>
              <w:t xml:space="preserve"> awards;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$8.2 million in financing origination costs, primarily in connection with the Company’s issuance of $500.0 million of senior unsecured notes.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Financing activities during 2020 primarily consisted of the following: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$900.0 million in proceeds from issuance of unsecured notes comprised of (i) $500.0 million of the Company’s unsecured 2.70% Green Bond due 2030 and (ii) $400.0 million of the Company’s unsecured 1.90% Notes due 2028;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$590.0 mil</w:t>
            </w:r>
            <w:r>
              <w:rPr>
                <w:sz w:val="20"/>
                <w:szCs w:val="20"/>
              </w:rPr>
              <w:t>lion in proceeds from issuance of the Term Loan.</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$590.0 million in repayments of the Term Loan;</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$484.9 million in early redemption of the Company’s 3.20% senior unsecured notes due 2021;</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$379.9 million of dividends paid;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$200.0 million in repayments under the Credit Facility, net;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$169.2 million in principal payment on debt (related to the repayment of debt on four encumbered properties), including normal amortization of rental</w:t>
            </w:r>
            <w:r>
              <w:rPr>
                <w:sz w:val="20"/>
                <w:szCs w:val="20"/>
              </w:rPr>
              <w:t xml:space="preserve"> property debt;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$23.3 million for the redemption/distribution of noncontrolling interests, primarily related to the redemption of certain partnership interests by consolidated subsidiaries;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$18.0 million for financing origination costs, primarily related to the Credit Facility, Term Loan, Green Bond and senior unsecured notes;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$7.5 million in payment of early extinguishment of debt charges; and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$5.6 million in other financing rela</w:t>
            </w:r>
            <w:r>
              <w:rPr>
                <w:sz w:val="20"/>
                <w:szCs w:val="20"/>
              </w:rPr>
              <w:t>ted costs.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697929869"/>
        <w:rPr>
          <w:rFonts w:eastAsia="Times New Roman"/>
          <w:sz w:val="20"/>
          <w:szCs w:val="20"/>
        </w:rPr>
      </w:pPr>
      <w:r>
        <w:rPr>
          <w:rFonts w:eastAsia="Times New Roman"/>
          <w:sz w:val="20"/>
          <w:szCs w:val="20"/>
        </w:rPr>
        <w:t xml:space="preserve">34 </w:t>
      </w:r>
    </w:p>
    <w:p w:rsidR="00000000" w:rsidRDefault="001D2166">
      <w:pPr>
        <w:divId w:val="2113163545"/>
        <w:rPr>
          <w:rFonts w:eastAsia="Times New Roman"/>
          <w:sz w:val="20"/>
          <w:szCs w:val="20"/>
        </w:rPr>
      </w:pPr>
      <w:r>
        <w:rPr>
          <w:rFonts w:eastAsia="Times New Roman"/>
          <w:sz w:val="20"/>
          <w:szCs w:val="20"/>
        </w:rPr>
        <w:pict>
          <v:rect id="_x0000_i1066" style="width:415.3pt;height:1.5pt" o:hralign="center" o:hrstd="t" o:hrnoshade="t" o:hr="t" fillcolor="black" stroked="f"/>
        </w:pict>
      </w:r>
    </w:p>
    <w:p w:rsidR="00000000" w:rsidRDefault="001D2166">
      <w:pPr>
        <w:divId w:val="193208691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continually evaluates its debt maturities, and, based</w:t>
      </w:r>
      <w:r>
        <w:rPr>
          <w:sz w:val="20"/>
          <w:szCs w:val="20"/>
        </w:rPr>
        <w:t xml:space="preserve"> on management’s current assessment, believes it has viable financing and refinancing alternatives that will not materially adversely impact its expected financial results. The Company continues to pursue borrowing opportunities with large commercial U.S. </w:t>
      </w:r>
      <w:r>
        <w:rPr>
          <w:sz w:val="20"/>
          <w:szCs w:val="20"/>
        </w:rPr>
        <w:t>and global banks, select life insurance companies and certain regional and local banks.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Debt maturities for 2022 consist of: $921.0 million of consolidated debt; $109.3 million of unconsolidated joint venture debt and $2.5 million of debt included in the Company’s Preferred Equity Program, assuming the utilization of extension options where a</w:t>
      </w:r>
      <w:r>
        <w:rPr>
          <w:sz w:val="20"/>
          <w:szCs w:val="20"/>
        </w:rPr>
        <w:t>vailable.  The 2022 consolidated debt maturities are anticipated to be repaid with operating cash flows, borrowings from the Credit Facility and public debt offerings, as deemed appropriate. The 2022 debt maturities on properties in the Company’s unconsoli</w:t>
      </w:r>
      <w:r>
        <w:rPr>
          <w:sz w:val="20"/>
          <w:szCs w:val="20"/>
        </w:rPr>
        <w:t>dated joint ventures and Preferred Equity Program are anticipated to be repaid through operating cash flows, debt refinancing, unsecured credit facilities, proceeds from sales, of the respective entities and partner capital contributions, as deemed appropr</w:t>
      </w:r>
      <w:r>
        <w:rPr>
          <w:sz w:val="20"/>
          <w:szCs w:val="20"/>
        </w:rPr>
        <w:t>iate.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intends to maintain strong debt service coverage and fixed charge coverage ratios as part of its commitment to maintain or improve its unsecured debt ratings.  The Company may, from time to time, seek to obtain funds through additional </w:t>
      </w:r>
      <w:r>
        <w:rPr>
          <w:sz w:val="20"/>
          <w:szCs w:val="20"/>
        </w:rPr>
        <w:t>common and preferred equity offerings, unsecured debt financings and/or mortgage/construction loan financings and other capital alternatives.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Since the completion of the Company’s IPO in 1991, the Company has utilized the public debt and equity markets a</w:t>
      </w:r>
      <w:r>
        <w:rPr>
          <w:sz w:val="20"/>
          <w:szCs w:val="20"/>
        </w:rPr>
        <w:t>s its principal source of capital for its expansion needs. Since the IPO, the Company has completed additional offerings of its public unsecured debt and equity, raising in the aggregate over $16.2 billion.  Proceeds from public capital market activities h</w:t>
      </w:r>
      <w:r>
        <w:rPr>
          <w:sz w:val="20"/>
          <w:szCs w:val="20"/>
        </w:rPr>
        <w:t>ave been used for the purposes of, among other things, repaying indebtedness, acquiring interests in open-air, grocery anchored shopping centers and mixed-use assets, funding real estate under development projects, expanding and improving properties in the</w:t>
      </w:r>
      <w:r>
        <w:rPr>
          <w:sz w:val="20"/>
          <w:szCs w:val="20"/>
        </w:rPr>
        <w:t xml:space="preserve"> portfolio and other investments.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During August 2021, the Company filed a shelf registration statement on Form S-3, which is effective for a term of three years, for the future unlimited offerings, from time to time, of debt securities, preferred stock, </w:t>
      </w:r>
      <w:r>
        <w:rPr>
          <w:sz w:val="20"/>
          <w:szCs w:val="20"/>
        </w:rPr>
        <w:t>depositary shares, common stock and common stock warrants. The Company, pursuant to this shelf registration statement may, from time to time, offer for sale its senior unsecured debt securities for any general corporate purposes, including (i) funding spec</w:t>
      </w:r>
      <w:r>
        <w:rPr>
          <w:sz w:val="20"/>
          <w:szCs w:val="20"/>
        </w:rPr>
        <w:t>ific liquidity requirements in its business, including property acquisitions, development and redevelopment costs and (ii) managing the Company’s debt maturities.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May 2020, the Company filed a registration statement on Form S-8 for its 2020 Equity</w:t>
      </w:r>
      <w:r>
        <w:rPr>
          <w:sz w:val="20"/>
          <w:szCs w:val="20"/>
        </w:rPr>
        <w:t xml:space="preserve"> Participation Plan (the “2020 Plan”), which was approved by the Company’s stockholders and is a successor to the Restated Kimco Realty Corporation 2010 Equity Participation Plan that expired in March 2020.  The 2020 Plan provides for a maximum of 10,000,0</w:t>
      </w:r>
      <w:r>
        <w:rPr>
          <w:sz w:val="20"/>
          <w:szCs w:val="20"/>
        </w:rPr>
        <w:t xml:space="preserve">00 shares of the Company’s common stock to be reserved for the issuance of stock options, stock appreciation rights, restricted stock, restricted stock units, performance awards, dividend equivalents, stock payments and deferred stock awards.  At December </w:t>
      </w:r>
      <w:r>
        <w:rPr>
          <w:sz w:val="20"/>
          <w:szCs w:val="20"/>
        </w:rPr>
        <w:t>31, 2021, the Company had 8.5 million shares of common stock available for issuance under the 2020 Plan. (See Footnote 22 of the Notes to Consolidated Financial Statements included in this Form 10-K).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Common Stock </w:t>
      </w:r>
      <w:r>
        <w:rPr>
          <w:sz w:val="20"/>
          <w:szCs w:val="20"/>
        </w:rPr>
        <w:t>–</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August 2021, the Company est</w:t>
      </w:r>
      <w:r>
        <w:rPr>
          <w:sz w:val="20"/>
          <w:szCs w:val="20"/>
        </w:rPr>
        <w:t xml:space="preserve">ablished an at-the-market continuous offering program (the “ATM program”) pursuant to which the Company may offer and sell from time-to-time shares of its common stock, par value $0.01 per share, with an aggregate gross sales price of up to $500.0 million </w:t>
      </w:r>
      <w:r>
        <w:rPr>
          <w:sz w:val="20"/>
          <w:szCs w:val="20"/>
        </w:rPr>
        <w:t>through a consortium of banks acting as sales agents. Sales of the shares of common stock may be made, as needed, from time to time in “at the market” offerings as defined in Rule 415 of the Securities Act of 1933, including by means of ordinary brokers’ t</w:t>
      </w:r>
      <w:r>
        <w:rPr>
          <w:sz w:val="20"/>
          <w:szCs w:val="20"/>
        </w:rPr>
        <w:t>ransactions on the New York Stock Exchange or otherwise (i) at market prices prevailing at the time of sale, (ii) at prices related to prevailing market prices or (iii) as otherwise agreed to with the applicable sales agent. In addition, the Company may fr</w:t>
      </w:r>
      <w:r>
        <w:rPr>
          <w:sz w:val="20"/>
          <w:szCs w:val="20"/>
        </w:rPr>
        <w:t>om time to time enter into separate forward sale agreements with one or more banks. During 2021, the Company issued 3.5 million shares and received net proceeds after commissions of $76.9 million. As of December 31, 2021, the Company had $422.4 million ava</w:t>
      </w:r>
      <w:r>
        <w:rPr>
          <w:sz w:val="20"/>
          <w:szCs w:val="20"/>
        </w:rPr>
        <w:t>ilable under this ATM program.</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580603460"/>
        <w:rPr>
          <w:rFonts w:eastAsia="Times New Roman"/>
          <w:sz w:val="20"/>
          <w:szCs w:val="20"/>
        </w:rPr>
      </w:pPr>
      <w:r>
        <w:rPr>
          <w:rFonts w:eastAsia="Times New Roman"/>
          <w:sz w:val="20"/>
          <w:szCs w:val="20"/>
        </w:rPr>
        <w:t xml:space="preserve">35 </w:t>
      </w:r>
    </w:p>
    <w:p w:rsidR="00000000" w:rsidRDefault="001D2166">
      <w:pPr>
        <w:divId w:val="1770546827"/>
        <w:rPr>
          <w:rFonts w:eastAsia="Times New Roman"/>
          <w:sz w:val="20"/>
          <w:szCs w:val="20"/>
        </w:rPr>
      </w:pPr>
      <w:r>
        <w:rPr>
          <w:rFonts w:eastAsia="Times New Roman"/>
          <w:sz w:val="20"/>
          <w:szCs w:val="20"/>
        </w:rPr>
        <w:pict>
          <v:rect id="_x0000_i1067" style="width:415.3pt;height:1.5pt" o:hralign="center" o:hrstd="t" o:hrnoshade="t" o:hr="t" fillcolor="black" stroked="f"/>
        </w:pict>
      </w:r>
    </w:p>
    <w:p w:rsidR="00000000" w:rsidRDefault="001D2166">
      <w:pPr>
        <w:divId w:val="19345066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a share repurchase program, which is scheduled to</w:t>
      </w:r>
      <w:r>
        <w:rPr>
          <w:sz w:val="20"/>
          <w:szCs w:val="20"/>
        </w:rPr>
        <w:t xml:space="preserve"> expire on February 29, 2024. Under this program, the Company may repurchase shares of its common stock, par value $0.01 per share, with an aggregate gross purchase price of up to $300.0 million. The Company did not repurchase any shares under the share re</w:t>
      </w:r>
      <w:r>
        <w:rPr>
          <w:sz w:val="20"/>
          <w:szCs w:val="20"/>
        </w:rPr>
        <w:t>purchase program during the year ended December 31, 2021. As of December 31, 2021, the Company had $224.9 million available under this common share repurchase program.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connection with the Merger, each Weingarten common share, issued and outstanding im</w:t>
      </w:r>
      <w:r>
        <w:rPr>
          <w:sz w:val="20"/>
          <w:szCs w:val="20"/>
        </w:rPr>
        <w:t>mediately prior to the effective time of the Merger, was converted into 1.408 shares of newly issued shares of Kimco common stock, resulting in approximately 179.9 million common shares issued to effect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Senior Notes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During the year ended </w:t>
      </w:r>
      <w:r>
        <w:rPr>
          <w:sz w:val="20"/>
          <w:szCs w:val="20"/>
        </w:rPr>
        <w:t>December 31, 2021, the Company issued the following senior unsecured notes (dollars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1791"/>
        <w:gridCol w:w="1791"/>
        <w:gridCol w:w="72"/>
        <w:gridCol w:w="101"/>
        <w:gridCol w:w="1716"/>
        <w:gridCol w:w="72"/>
        <w:gridCol w:w="72"/>
        <w:gridCol w:w="72"/>
        <w:gridCol w:w="1716"/>
        <w:gridCol w:w="72"/>
      </w:tblGrid>
      <w:tr w:rsidR="00000000">
        <w:trPr>
          <w:tblCellSpacing w:w="0" w:type="dxa"/>
        </w:trPr>
        <w:tc>
          <w:tcPr>
            <w:tcW w:w="12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Date Issued</w:t>
            </w:r>
          </w:p>
        </w:tc>
        <w:tc>
          <w:tcPr>
            <w:tcW w:w="12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Maturity Date</w:t>
            </w:r>
          </w:p>
        </w:tc>
        <w:tc>
          <w:tcPr>
            <w:tcW w:w="50" w:type="pct"/>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Amount Issued </w:t>
            </w:r>
          </w:p>
        </w:tc>
        <w:tc>
          <w:tcPr>
            <w:tcW w:w="50" w:type="pct"/>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20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Sept-2021</w:t>
            </w:r>
          </w:p>
        </w:tc>
        <w:tc>
          <w:tcPr>
            <w:tcW w:w="120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Dec-2031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500.0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2.25%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w:t>
      </w:r>
      <w:r>
        <w:rPr>
          <w:sz w:val="20"/>
          <w:szCs w:val="20"/>
        </w:rPr>
        <w:t>s supplemental indenture governing its senior notes contains the following covenants, all of which the Company is compliant with:</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29"/>
        <w:gridCol w:w="168"/>
        <w:gridCol w:w="1678"/>
        <w:gridCol w:w="168"/>
        <w:gridCol w:w="1678"/>
        <w:gridCol w:w="85"/>
      </w:tblGrid>
      <w:tr w:rsidR="00000000">
        <w:trPr>
          <w:tblCellSpacing w:w="0" w:type="dxa"/>
        </w:trPr>
        <w:tc>
          <w:tcPr>
            <w:tcW w:w="27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Covenant</w:t>
            </w:r>
          </w:p>
        </w:tc>
        <w:tc>
          <w:tcPr>
            <w:tcW w:w="100" w:type="pct"/>
            <w:vAlign w:val="bottom"/>
            <w:hideMark/>
          </w:tcPr>
          <w:p w:rsidR="00000000" w:rsidRDefault="001D2166">
            <w:pPr>
              <w:jc w:val="cente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Must Be</w:t>
            </w:r>
          </w:p>
        </w:tc>
        <w:tc>
          <w:tcPr>
            <w:tcW w:w="1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Consolidated Indebtedness to Total Assets</w:t>
            </w:r>
          </w:p>
        </w:tc>
        <w:tc>
          <w:tcPr>
            <w:tcW w:w="1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&lt;60%</w:t>
            </w:r>
          </w:p>
        </w:tc>
        <w:tc>
          <w:tcPr>
            <w:tcW w:w="1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38%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Consolidated Secured Indebtedness to Total Assets</w:t>
            </w:r>
          </w:p>
        </w:tc>
        <w:tc>
          <w:tcPr>
            <w:tcW w:w="100" w:type="pct"/>
            <w:shd w:val="clear" w:color="auto" w:fill="FFFFFF"/>
            <w:vAlign w:val="bottom"/>
            <w:hideMark/>
          </w:tcPr>
          <w:p w:rsidR="00000000" w:rsidRDefault="001D2166">
            <w:pPr>
              <w:jc w:val="cente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&lt;40%</w:t>
            </w:r>
          </w:p>
        </w:tc>
        <w:tc>
          <w:tcPr>
            <w:tcW w:w="1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Consolidated Income Available for Debt Service to Maximum Annual Service Charge</w:t>
            </w:r>
          </w:p>
        </w:tc>
        <w:tc>
          <w:tcPr>
            <w:tcW w:w="1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&gt;1.50x</w:t>
            </w:r>
          </w:p>
        </w:tc>
        <w:tc>
          <w:tcPr>
            <w:tcW w:w="1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4.3x</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Unencumbered Total Asset Value to Consolidated Unsecured Indebtedness</w:t>
            </w:r>
          </w:p>
        </w:tc>
        <w:tc>
          <w:tcPr>
            <w:tcW w:w="100" w:type="pct"/>
            <w:shd w:val="clear" w:color="auto" w:fill="FFFFFF"/>
            <w:vAlign w:val="bottom"/>
            <w:hideMark/>
          </w:tcPr>
          <w:p w:rsidR="00000000" w:rsidRDefault="001D2166">
            <w:pPr>
              <w:jc w:val="cente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2.4x</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For a full description of the various indenture covenants refer to the Indenture dated September 1, 1993; the First Supplemental Indenture dated August 4, 1994; the Second Supplemental Indenture dated April 7, 1995; the Third Supplemental Indenture dated J</w:t>
      </w:r>
      <w:r>
        <w:rPr>
          <w:sz w:val="20"/>
          <w:szCs w:val="20"/>
        </w:rPr>
        <w:t>une 2, 2006; the Fourth Supplemental Indenture dated April 26, 2007; the Fifth Supplemental Indenture dated as of September 24, 2009; the Sixth Supplemental Indenture dated as of May 23, 2013; and the Seventh Supplemental Indenture dated as of April 24, 20</w:t>
      </w:r>
      <w:r>
        <w:rPr>
          <w:sz w:val="20"/>
          <w:szCs w:val="20"/>
        </w:rPr>
        <w:t>14, each as filed with the SEC. See the Index to Exhibits included in this Form 10-K for specific filing information.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connection with the Merger, the Company assumed senior unsecured notes of $1.5 billion (including fair market value adjustment of $95</w:t>
      </w:r>
      <w:r>
        <w:rPr>
          <w:sz w:val="20"/>
          <w:szCs w:val="20"/>
        </w:rPr>
        <w:t>.6 million), which have scheduled maturity dates ranging from October 2022 to August 2028 and accrue interest at rates ranging from 3.25% to 6.88% per annum. The senior unsecured notes assumed during the Merger have covenants that are similar to the Compan</w:t>
      </w:r>
      <w:r>
        <w:rPr>
          <w:sz w:val="20"/>
          <w:szCs w:val="20"/>
        </w:rPr>
        <w:t>y’s existing debt covenants for its senior unsecured notes. Please refer to the Indenture dated May 1, 1995 filed with Weingarten’s Form S-3 to the Registration Statement, with the Securities and Exchange Commission on May 1, 1995, First Supplemental Inden</w:t>
      </w:r>
      <w:r>
        <w:rPr>
          <w:sz w:val="20"/>
          <w:szCs w:val="20"/>
        </w:rPr>
        <w:t xml:space="preserve">ture, dated as of August 2, 2006 filed with Weingarten’s Current Report on Form 8-K dated August 2, 2006, Second Supplemental Indenture, dated as of October 9, 2012 filed with Weingarten’s Current Report on Form 8-K dated October 9, 2012. See the Exhibits </w:t>
      </w:r>
      <w:r>
        <w:rPr>
          <w:sz w:val="20"/>
          <w:szCs w:val="20"/>
        </w:rPr>
        <w:t>Index for specific filing information.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In February 2022, the Company announced the early redemption of its $500.0 million 3.40% senior unsecured notes outstanding, which were scheduled to mature in November 2022. The Company plans to redeem these notes o</w:t>
      </w:r>
      <w:r>
        <w:rPr>
          <w:sz w:val="20"/>
          <w:szCs w:val="20"/>
        </w:rPr>
        <w:t>n March 2, 2022 and as a result, the Company will incur a prepayment charge of approximately $6.5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In addition, in February 2022, the Company issued $600.0 million in senior unsecured notes, which are scheduled to mature in April 2032 and accrue interest at a rate of 3.20% per annum. The net proceeds from this offering will be used primarily to fund the</w:t>
      </w:r>
      <w:r>
        <w:rPr>
          <w:sz w:val="20"/>
          <w:szCs w:val="20"/>
        </w:rPr>
        <w:t xml:space="preserve"> redemption of the Company’s $500.0 million 3.40% senior unsecured notes outstanding and general corporate purposes.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Credit Facility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February 2020, the Company obtained a new $2.0 billion Credit Facility with a group of banks, which replaced the C</w:t>
      </w:r>
      <w:r>
        <w:rPr>
          <w:sz w:val="20"/>
          <w:szCs w:val="20"/>
        </w:rPr>
        <w:t>ompany’s existing $2.25 billion unsecured revolving credit facility. The Credit Facility is scheduled to expire in March 2024, with two additional six-month options to extend the maturity date, at the Company’s discretion, to March 2025. The Credit Facilit</w:t>
      </w:r>
      <w:r>
        <w:rPr>
          <w:sz w:val="20"/>
          <w:szCs w:val="20"/>
        </w:rPr>
        <w:t xml:space="preserve">y is a green credit facility tied to sustainability metric targets, as described in the agreement. The Company achieved such targets, which effectively reduced the rate on the Credit Facility by one basis point. The Credit Facility, which accrues interest </w:t>
      </w:r>
      <w:r>
        <w:rPr>
          <w:sz w:val="20"/>
          <w:szCs w:val="20"/>
        </w:rPr>
        <w:t xml:space="preserve">at a rate of LIBOR plus 76.5 basis points (0.87% as of December 31, 2021), can be increased to $2.75 billion through an accordion feature. Pursuant to the terms of the Credit Facility, the Company, among other things, is subject to covenants requiring the </w:t>
      </w:r>
      <w:r>
        <w:rPr>
          <w:sz w:val="20"/>
          <w:szCs w:val="20"/>
        </w:rPr>
        <w:t>maintenance of (i) maximum indebtedness ratios and (ii) minimum interest and fixed charge coverage ratios. As of December 31, 2021, the Credit Facility had no outstanding balance and appropriations for letters of credit of $1.9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Pursuant to the t</w:t>
      </w:r>
      <w:r>
        <w:rPr>
          <w:sz w:val="20"/>
          <w:szCs w:val="20"/>
        </w:rPr>
        <w:t>erms of the Credit Facility, the Company, among other things, is subject to maintenance of various covenants. The Company is currently in compliance with these covenants. The financial covenants for the Credit Facility are as follows: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29"/>
        <w:gridCol w:w="168"/>
        <w:gridCol w:w="1678"/>
        <w:gridCol w:w="168"/>
        <w:gridCol w:w="1678"/>
        <w:gridCol w:w="85"/>
      </w:tblGrid>
      <w:tr w:rsidR="00000000">
        <w:trPr>
          <w:tblCellSpacing w:w="0" w:type="dxa"/>
        </w:trPr>
        <w:tc>
          <w:tcPr>
            <w:tcW w:w="27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Covenant</w:t>
            </w:r>
          </w:p>
        </w:tc>
        <w:tc>
          <w:tcPr>
            <w:tcW w:w="100" w:type="pct"/>
            <w:vAlign w:val="bottom"/>
            <w:hideMark/>
          </w:tcPr>
          <w:p w:rsidR="00000000" w:rsidRDefault="001D2166">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Must Be</w:t>
            </w:r>
          </w:p>
        </w:tc>
        <w:tc>
          <w:tcPr>
            <w:tcW w:w="10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Indebtedness to Gross Asset Value (“GAV”)</w:t>
            </w:r>
          </w:p>
        </w:tc>
        <w:tc>
          <w:tcPr>
            <w:tcW w:w="1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&lt;60%</w:t>
            </w:r>
          </w:p>
        </w:tc>
        <w:tc>
          <w:tcPr>
            <w:tcW w:w="1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jc w:val="center"/>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Priority Indebtedness to GAV</w:t>
            </w:r>
          </w:p>
        </w:tc>
        <w:tc>
          <w:tcPr>
            <w:tcW w:w="1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&lt;35%</w:t>
            </w:r>
          </w:p>
        </w:tc>
        <w:tc>
          <w:tcPr>
            <w:tcW w:w="1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jc w:val="center"/>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Unencumbered Asset Net Operating Income to Total Unsecured Interest Expense</w:t>
            </w:r>
          </w:p>
        </w:tc>
        <w:tc>
          <w:tcPr>
            <w:tcW w:w="1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&gt;1.75x</w:t>
            </w:r>
          </w:p>
        </w:tc>
        <w:tc>
          <w:tcPr>
            <w:tcW w:w="1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4.4x</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Fixed Charge Total Adjusted EBITDA to Total Debt Service</w:t>
            </w:r>
          </w:p>
        </w:tc>
        <w:tc>
          <w:tcPr>
            <w:tcW w:w="1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3.9x</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For a full description of the Credit Facility’s covenants refer to the Amended and Restated Credit Agreement dated as of February 27, 2020, filed as Exhibit 10.1 to the Company’s Current Report on Form 8-K dated February 28, 2020. See the Index to Exhibits</w:t>
      </w:r>
      <w:r>
        <w:rPr>
          <w:sz w:val="20"/>
          <w:szCs w:val="20"/>
        </w:rPr>
        <w:t xml:space="preserve"> included in this Form 10-K for specific filing information.</w:t>
      </w:r>
    </w:p>
    <w:p w:rsidR="00000000" w:rsidRDefault="001D2166">
      <w:pPr>
        <w:pStyle w:val="a3"/>
        <w:spacing w:before="0" w:beforeAutospacing="0" w:after="0" w:afterAutospacing="0"/>
        <w:ind w:firstLine="180"/>
        <w:rPr>
          <w:sz w:val="20"/>
          <w:szCs w:val="20"/>
        </w:rPr>
      </w:pPr>
      <w:r>
        <w:rPr>
          <w:sz w:val="20"/>
          <w:szCs w:val="20"/>
        </w:rPr>
        <w:t> </w:t>
      </w:r>
    </w:p>
    <w:p w:rsidR="00000000" w:rsidRDefault="001D2166">
      <w:pPr>
        <w:jc w:val="center"/>
        <w:divId w:val="2119055968"/>
        <w:rPr>
          <w:rFonts w:eastAsia="Times New Roman"/>
          <w:sz w:val="20"/>
          <w:szCs w:val="20"/>
        </w:rPr>
      </w:pPr>
      <w:r>
        <w:rPr>
          <w:rFonts w:eastAsia="Times New Roman"/>
          <w:sz w:val="20"/>
          <w:szCs w:val="20"/>
        </w:rPr>
        <w:t xml:space="preserve">36 </w:t>
      </w:r>
    </w:p>
    <w:p w:rsidR="00000000" w:rsidRDefault="001D2166">
      <w:pPr>
        <w:divId w:val="1655524902"/>
        <w:rPr>
          <w:rFonts w:eastAsia="Times New Roman"/>
          <w:sz w:val="20"/>
          <w:szCs w:val="20"/>
        </w:rPr>
      </w:pPr>
      <w:r>
        <w:rPr>
          <w:rFonts w:eastAsia="Times New Roman"/>
          <w:sz w:val="20"/>
          <w:szCs w:val="20"/>
        </w:rPr>
        <w:pict>
          <v:rect id="_x0000_i1068" style="width:415.3pt;height:1.5pt" o:hralign="center" o:hrstd="t" o:hrnoshade="t" o:hr="t" fillcolor="black" stroked="f"/>
        </w:pict>
      </w:r>
    </w:p>
    <w:p w:rsidR="00000000" w:rsidRDefault="001D2166">
      <w:pPr>
        <w:divId w:val="1375796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Mortgages Payable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During 2021, the Company (i) assumed $234.1 million of individual non-recourse mortgage debt through the consolidat</w:t>
      </w:r>
      <w:r>
        <w:rPr>
          <w:sz w:val="20"/>
          <w:szCs w:val="20"/>
        </w:rPr>
        <w:t xml:space="preserve">ion of nine operating properties, (ii) repaid $230.5 million of mortgage debt (including fair market value adjustment of $1.2 million) that encumbered 28 operating properties and (iii) deconsolidated $170.0 million of individual non-recourse mortgage debt </w:t>
      </w:r>
      <w:r>
        <w:rPr>
          <w:sz w:val="20"/>
          <w:szCs w:val="20"/>
        </w:rPr>
        <w:t>relating to six operating properties for which the Company no longer holds a controlling interest.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In connection with the Merger, the Company assumed mortgage debt of $317.7 million (including fair market value adjustment of $11.0 million) that encumber </w:t>
      </w:r>
      <w:r>
        <w:rPr>
          <w:sz w:val="20"/>
          <w:szCs w:val="20"/>
        </w:rPr>
        <w:t>16 operating properties, which have scheduled maturity dates ranging from April 2022 to August 2038 and accrue interest at rates ranging from 3.50% to 6.95% per annum.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addition to the public equity and debt markets as capital sources, the Company may,</w:t>
      </w:r>
      <w:r>
        <w:rPr>
          <w:sz w:val="20"/>
          <w:szCs w:val="20"/>
        </w:rPr>
        <w:t xml:space="preserve"> from time to time, obtain mortgage financing on selected properties to partially fund the capital needs of its real estate under development projects. As of December 31, 2021, the Company had over 480 unencumbered property interests in its portfolio.</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CO</w:t>
      </w:r>
      <w:r>
        <w:rPr>
          <w:i/>
          <w:iCs/>
          <w:sz w:val="20"/>
          <w:szCs w:val="20"/>
        </w:rPr>
        <w:t xml:space="preserve">VID-19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As the COVID-19 pandemic continues to evolve, uncertainty remains regarding the long-term economic impact it will have. As a result, the Company has focused on creating a strong liquidity position, including, but not limited to, maintaining avai</w:t>
      </w:r>
      <w:r>
        <w:rPr>
          <w:sz w:val="20"/>
          <w:szCs w:val="20"/>
        </w:rPr>
        <w:t>lability under its Credit Facility, cash and cash equivalents on hand and having access to unencumbered property interests.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continues to monitor the impact of COVID-19 on the Company’s business, tenants and industry as a whole. The magnitude </w:t>
      </w:r>
      <w:r>
        <w:rPr>
          <w:sz w:val="20"/>
          <w:szCs w:val="20"/>
        </w:rPr>
        <w:t>and duration of the COVID-19 pandemic and its impact on the Company’s operations and liquidity remains uncertain as this pandemic continues to evolve globally and within the United States. However, if the COVID-19 pandemic continues, such impacts could gro</w:t>
      </w:r>
      <w:r>
        <w:rPr>
          <w:sz w:val="20"/>
          <w:szCs w:val="20"/>
        </w:rPr>
        <w:t>w, become material and materially disrupt the Company’s business operations and materially adversely affect the Company’s liquidity.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 xml:space="preserve">Dividends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connection with its intention to continue to qualify as a REIT for U.S. federal income tax purposes, the</w:t>
      </w:r>
      <w:r>
        <w:rPr>
          <w:sz w:val="20"/>
          <w:szCs w:val="20"/>
        </w:rPr>
        <w:t xml:space="preserve"> Company expects to continue paying regular dividends to its stockholders. These dividends will be paid from operating cash flows. The Company’s Board of Directors will continue to evaluate the Company’s dividend policy on a quarterly basis as the Board of</w:t>
      </w:r>
      <w:r>
        <w:rPr>
          <w:sz w:val="20"/>
          <w:szCs w:val="20"/>
        </w:rPr>
        <w:t xml:space="preserve"> Directors monitors sources of capital and evaluates the impact of the economy and capital markets availability on operating fundamentals.  Since cash used to pay dividends reduces amounts available for capital investment, the Company generally intends to </w:t>
      </w:r>
      <w:r>
        <w:rPr>
          <w:sz w:val="20"/>
          <w:szCs w:val="20"/>
        </w:rPr>
        <w:t>maintain a dividend payout ratio which reserves such amounts as it considers necessary for the expansion and renovation of shopping centers in its portfolio, debt reduction, the acquisition of interests in new properties and other investments as suitable o</w:t>
      </w:r>
      <w:r>
        <w:rPr>
          <w:sz w:val="20"/>
          <w:szCs w:val="20"/>
        </w:rPr>
        <w:t>pportunities arise and such other factors as the Board of Directors considers appropriate.  Cash dividends paid were $382.1 million, $379.9 million and $531.6 million in 2021, 2020 and 2019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Although the Company receives substantially all of</w:t>
      </w:r>
      <w:r>
        <w:rPr>
          <w:sz w:val="20"/>
          <w:szCs w:val="20"/>
        </w:rPr>
        <w:t xml:space="preserve"> its rental payments on a monthly basis, it generally intends to continue paying dividends quarterly. Amounts accumulated in advance of each quarterly distribution will be invested by the Company in short-term money market or other suitable instruments. Th</w:t>
      </w:r>
      <w:r>
        <w:rPr>
          <w:sz w:val="20"/>
          <w:szCs w:val="20"/>
        </w:rPr>
        <w:t xml:space="preserve">e Company’s Board of Directors will continue to monitor the impact the COVID-19 pandemic has on the Company's financial performance and economic outlook. The Company’s objective is to establish a dividend level that maintains compliance with the Company’s </w:t>
      </w:r>
      <w:r>
        <w:rPr>
          <w:sz w:val="20"/>
          <w:szCs w:val="20"/>
        </w:rPr>
        <w:t xml:space="preserve">REIT taxable income distribution requirements. On October 26, 2021, the Company’s Board of Directors declared quarterly dividends with respect to the Company’s classes of cumulative redeemable preferred shares (Classes L and M), which were paid on January </w:t>
      </w:r>
      <w:r>
        <w:rPr>
          <w:sz w:val="20"/>
          <w:szCs w:val="20"/>
        </w:rPr>
        <w:t>17, 2022, to shareholders of record on January 3, 2022. Additionally, on October 26, 2021, the Company’s Board of Directors declared a quarterly cash dividend of $0.17 per common share, which was paid on December 23, 2021 to shareholders of record on Decem</w:t>
      </w:r>
      <w:r>
        <w:rPr>
          <w:sz w:val="20"/>
          <w:szCs w:val="20"/>
        </w:rPr>
        <w:t>ber 9,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On February 1, 2022, the Company’</w:t>
      </w:r>
      <w:r>
        <w:rPr>
          <w:sz w:val="20"/>
          <w:szCs w:val="20"/>
        </w:rPr>
        <w:t>s Board of Directors declared a quarterly cash dividend of $0.19 per common share, representing a 11.8% increase from the prior quarterly dividend, payable to shareholders of record on March 10, 2022, which is scheduled to be paid on March 24, 2022. In add</w:t>
      </w:r>
      <w:r>
        <w:rPr>
          <w:sz w:val="20"/>
          <w:szCs w:val="20"/>
        </w:rPr>
        <w:t xml:space="preserve">ition, the Company’s Board of Directors declared a quarterly dividend with respect to the Company’s classes of cumulative redeemable preferred shares (Classes L and M) which are scheduled to be paid on April 15, 2022, to shareholders of record on April 1, </w:t>
      </w:r>
      <w:r>
        <w:rPr>
          <w:sz w:val="20"/>
          <w:szCs w:val="20"/>
        </w:rPr>
        <w:t>2022.</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411239207"/>
        <w:rPr>
          <w:rFonts w:eastAsia="Times New Roman"/>
          <w:sz w:val="20"/>
          <w:szCs w:val="20"/>
        </w:rPr>
      </w:pPr>
      <w:r>
        <w:rPr>
          <w:rFonts w:eastAsia="Times New Roman"/>
          <w:sz w:val="20"/>
          <w:szCs w:val="20"/>
        </w:rPr>
        <w:t xml:space="preserve">37 </w:t>
      </w:r>
    </w:p>
    <w:p w:rsidR="00000000" w:rsidRDefault="001D2166">
      <w:pPr>
        <w:divId w:val="1745447164"/>
        <w:rPr>
          <w:rFonts w:eastAsia="Times New Roman"/>
          <w:sz w:val="20"/>
          <w:szCs w:val="20"/>
        </w:rPr>
      </w:pPr>
      <w:r>
        <w:rPr>
          <w:rFonts w:eastAsia="Times New Roman"/>
          <w:sz w:val="20"/>
          <w:szCs w:val="20"/>
        </w:rPr>
        <w:pict>
          <v:rect id="_x0000_i1069" style="width:415.3pt;height:1.5pt" o:hralign="center" o:hrstd="t" o:hrnoshade="t" o:hr="t" fillcolor="black" stroked="f"/>
        </w:pict>
      </w:r>
    </w:p>
    <w:p w:rsidR="00000000" w:rsidRDefault="001D2166">
      <w:pPr>
        <w:divId w:val="1042025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Contractual Obligations and Other Commitments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has debt obligations relating to its Credit Facility (no outstanding balance </w:t>
      </w:r>
      <w:r>
        <w:rPr>
          <w:sz w:val="20"/>
          <w:szCs w:val="20"/>
        </w:rPr>
        <w:t>as of December 31, 2021), unsecured senior notes and mortgages with maturities ranging from four months to 28 years. As of December 31, 2021, the Company’s consolidated total debt had a weighted average term to maturity of 8.5 years. In addition, the Compa</w:t>
      </w:r>
      <w:r>
        <w:rPr>
          <w:sz w:val="20"/>
          <w:szCs w:val="20"/>
        </w:rPr>
        <w:t>ny has non-cancelable leases pertaining to its shopping center portfolio.  As of December 31, 2021, the Company had 42 consolidated shopping center properties that are subject to long-term ground leases where a third-party owns and has leased the underlyin</w:t>
      </w:r>
      <w:r>
        <w:rPr>
          <w:sz w:val="20"/>
          <w:szCs w:val="20"/>
        </w:rPr>
        <w:t>g land to the Company to construct and/or operate a shopping center. Amounts due in 2022 in connection with these leases aggregate $12.7 million. The following table summarizes the Company’s consolidated debt maturities (excluding extension options, unamor</w:t>
      </w:r>
      <w:r>
        <w:rPr>
          <w:sz w:val="20"/>
          <w:szCs w:val="20"/>
        </w:rPr>
        <w:t>tized debt issuance costs of $57.3 million and fair market value of debt adjustments aggregating $91.8 million) and obligations under non-cancelable operating leases as of December 31, 2021:</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13"/>
        <w:gridCol w:w="100"/>
        <w:gridCol w:w="815"/>
        <w:gridCol w:w="68"/>
        <w:gridCol w:w="100"/>
        <w:gridCol w:w="816"/>
        <w:gridCol w:w="68"/>
        <w:gridCol w:w="100"/>
        <w:gridCol w:w="816"/>
        <w:gridCol w:w="68"/>
        <w:gridCol w:w="100"/>
        <w:gridCol w:w="816"/>
        <w:gridCol w:w="68"/>
        <w:gridCol w:w="100"/>
        <w:gridCol w:w="816"/>
        <w:gridCol w:w="68"/>
        <w:gridCol w:w="100"/>
        <w:gridCol w:w="922"/>
        <w:gridCol w:w="68"/>
        <w:gridCol w:w="100"/>
        <w:gridCol w:w="816"/>
        <w:gridCol w:w="68"/>
      </w:tblGrid>
      <w:tr w:rsidR="00000000">
        <w:trPr>
          <w:tblCellSpacing w:w="0" w:type="dxa"/>
        </w:trPr>
        <w:tc>
          <w:tcPr>
            <w:tcW w:w="800" w:type="pct"/>
            <w:vAlign w:val="center"/>
            <w:hideMark/>
          </w:tcPr>
          <w:p w:rsidR="00000000" w:rsidRDefault="001D2166">
            <w:pPr>
              <w:rPr>
                <w:rFonts w:eastAsia="Times New Roman"/>
                <w:sz w:val="20"/>
                <w:szCs w:val="20"/>
              </w:rPr>
            </w:pPr>
            <w:r>
              <w:rPr>
                <w:rFonts w:eastAsia="Times New Roman"/>
                <w:sz w:val="20"/>
                <w:szCs w:val="20"/>
              </w:rPr>
              <w:t> </w:t>
            </w:r>
          </w:p>
        </w:tc>
        <w:tc>
          <w:tcPr>
            <w:tcW w:w="3350" w:type="pct"/>
            <w:gridSpan w:val="20"/>
            <w:vAlign w:val="center"/>
            <w:hideMark/>
          </w:tcPr>
          <w:p w:rsidR="00000000" w:rsidRDefault="001D2166">
            <w:pPr>
              <w:jc w:val="center"/>
              <w:rPr>
                <w:rFonts w:eastAsia="Times New Roman"/>
                <w:sz w:val="20"/>
                <w:szCs w:val="20"/>
              </w:rPr>
            </w:pPr>
            <w:r>
              <w:rPr>
                <w:rFonts w:eastAsia="Times New Roman"/>
                <w:b/>
                <w:bCs/>
                <w:sz w:val="20"/>
                <w:szCs w:val="20"/>
              </w:rPr>
              <w:t>Payments due by period (in millions)</w:t>
            </w:r>
          </w:p>
        </w:tc>
        <w:tc>
          <w:tcPr>
            <w:tcW w:w="50" w:type="pct"/>
            <w:vAlign w:val="center"/>
            <w:hideMark/>
          </w:tcPr>
          <w:p w:rsidR="00000000" w:rsidRDefault="001D2166">
            <w:pPr>
              <w:jc w:val="center"/>
              <w:rPr>
                <w:rFonts w:eastAsia="Times New Roman"/>
                <w:sz w:val="20"/>
                <w:szCs w:val="20"/>
              </w:rPr>
            </w:pPr>
            <w:r>
              <w:rPr>
                <w:rFonts w:eastAsia="Times New Roman"/>
                <w:sz w:val="20"/>
                <w:szCs w:val="20"/>
              </w:rPr>
              <w:t> </w:t>
            </w:r>
          </w:p>
        </w:tc>
      </w:tr>
      <w:tr w:rsidR="00000000">
        <w:trPr>
          <w:tblCellSpacing w:w="0" w:type="dxa"/>
        </w:trPr>
        <w:tc>
          <w:tcPr>
            <w:tcW w:w="800" w:type="pct"/>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b/>
                <w:bCs/>
                <w:sz w:val="20"/>
                <w:szCs w:val="20"/>
              </w:rPr>
              <w:t>2022</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b/>
                <w:bCs/>
                <w:sz w:val="20"/>
                <w:szCs w:val="20"/>
              </w:rPr>
              <w:t>2023</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b/>
                <w:bCs/>
                <w:sz w:val="20"/>
                <w:szCs w:val="20"/>
              </w:rPr>
              <w:t>2024</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b/>
                <w:bCs/>
                <w:sz w:val="20"/>
                <w:szCs w:val="20"/>
              </w:rPr>
              <w:t>2025</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b/>
                <w:bCs/>
                <w:sz w:val="20"/>
                <w:szCs w:val="20"/>
              </w:rPr>
              <w:t>2026</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b/>
                <w:bCs/>
                <w:sz w:val="20"/>
                <w:szCs w:val="20"/>
              </w:rPr>
              <w:t>Thereafter</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b/>
                <w:bCs/>
                <w:sz w:val="20"/>
                <w:szCs w:val="20"/>
              </w:rPr>
              <w:t>Total</w:t>
            </w:r>
          </w:p>
        </w:tc>
        <w:tc>
          <w:tcPr>
            <w:tcW w:w="50" w:type="pct"/>
            <w:tcBorders>
              <w:bottom w:val="single" w:sz="6" w:space="0" w:color="000000"/>
            </w:tcBorders>
            <w:vAlign w:val="center"/>
            <w:hideMark/>
          </w:tcPr>
          <w:p w:rsidR="00000000" w:rsidRDefault="001D2166">
            <w:pPr>
              <w:jc w:val="center"/>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CCEEFF"/>
            <w:vAlign w:val="center"/>
            <w:hideMark/>
          </w:tcPr>
          <w:p w:rsidR="00000000" w:rsidRDefault="001D2166">
            <w:pPr>
              <w:rPr>
                <w:rFonts w:eastAsia="Times New Roman"/>
                <w:sz w:val="20"/>
                <w:szCs w:val="20"/>
              </w:rPr>
            </w:pPr>
            <w:r>
              <w:rPr>
                <w:rFonts w:eastAsia="Times New Roman"/>
                <w:sz w:val="20"/>
                <w:szCs w:val="20"/>
              </w:rPr>
              <w:t>Long-Term Debt:</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FFFFFF"/>
            <w:vAlign w:val="center"/>
            <w:hideMark/>
          </w:tcPr>
          <w:p w:rsidR="00000000" w:rsidRDefault="001D2166">
            <w:pPr>
              <w:rPr>
                <w:rFonts w:eastAsia="Times New Roman"/>
                <w:sz w:val="20"/>
                <w:szCs w:val="20"/>
              </w:rPr>
            </w:pPr>
            <w:r>
              <w:rPr>
                <w:rFonts w:eastAsia="Times New Roman"/>
                <w:sz w:val="20"/>
                <w:szCs w:val="20"/>
              </w:rPr>
              <w:t>     Principal (1)</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923.9</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713.3</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654.3</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794.8</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778.4</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3,576.6</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7,441.3</w:t>
            </w:r>
          </w:p>
        </w:tc>
        <w:tc>
          <w:tcPr>
            <w:tcW w:w="5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CCEEFF"/>
            <w:vAlign w:val="center"/>
            <w:hideMark/>
          </w:tcPr>
          <w:p w:rsidR="00000000" w:rsidRDefault="001D2166">
            <w:pPr>
              <w:rPr>
                <w:rFonts w:eastAsia="Times New Roman"/>
                <w:sz w:val="20"/>
                <w:szCs w:val="20"/>
              </w:rPr>
            </w:pPr>
            <w:r>
              <w:rPr>
                <w:rFonts w:eastAsia="Times New Roman"/>
                <w:sz w:val="20"/>
                <w:szCs w:val="20"/>
              </w:rPr>
              <w:t>     Interests (2)</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244.9</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205.0</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176.4</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152.0</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139.0</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1,426.1</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2,343.4</w:t>
            </w:r>
          </w:p>
        </w:tc>
        <w:tc>
          <w:tcPr>
            <w:tcW w:w="5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CCEEFF"/>
            <w:vAlign w:val="center"/>
            <w:hideMark/>
          </w:tcPr>
          <w:p w:rsidR="00000000" w:rsidRDefault="001D2166">
            <w:pPr>
              <w:rPr>
                <w:rFonts w:eastAsia="Times New Roman"/>
                <w:sz w:val="20"/>
                <w:szCs w:val="20"/>
              </w:rPr>
            </w:pPr>
            <w:r>
              <w:rPr>
                <w:rFonts w:eastAsia="Times New Roman"/>
                <w:sz w:val="20"/>
                <w:szCs w:val="20"/>
              </w:rPr>
              <w:t>Non-cancelable leases (3)</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FFFFFF"/>
            <w:vAlign w:val="center"/>
            <w:hideMark/>
          </w:tcPr>
          <w:p w:rsidR="00000000" w:rsidRDefault="001D2166">
            <w:pPr>
              <w:rPr>
                <w:rFonts w:eastAsia="Times New Roman"/>
                <w:sz w:val="20"/>
                <w:szCs w:val="20"/>
              </w:rPr>
            </w:pPr>
            <w:r>
              <w:rPr>
                <w:rFonts w:eastAsia="Times New Roman"/>
                <w:sz w:val="20"/>
                <w:szCs w:val="20"/>
              </w:rPr>
              <w:t>     Operating leases (3)</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12.7</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12.7</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11.9</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11.4</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10.7</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215.4</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274.8</w:t>
            </w:r>
          </w:p>
        </w:tc>
        <w:tc>
          <w:tcPr>
            <w:tcW w:w="5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CCEEFF"/>
            <w:vAlign w:val="center"/>
            <w:hideMark/>
          </w:tcPr>
          <w:p w:rsidR="00000000" w:rsidRDefault="001D2166">
            <w:pPr>
              <w:rPr>
                <w:rFonts w:eastAsia="Times New Roman"/>
                <w:sz w:val="20"/>
                <w:szCs w:val="20"/>
              </w:rPr>
            </w:pPr>
            <w:r>
              <w:rPr>
                <w:rFonts w:eastAsia="Times New Roman"/>
                <w:sz w:val="20"/>
                <w:szCs w:val="20"/>
              </w:rPr>
              <w:t>     Financing leases (3)</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1.7</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23.0</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jc w:val="center"/>
              <w:rPr>
                <w:rFonts w:eastAsia="Times New Roman"/>
                <w:sz w:val="20"/>
                <w:szCs w:val="20"/>
              </w:rPr>
            </w:pPr>
            <w:r>
              <w:rPr>
                <w:rFonts w:eastAsia="Times New Roman"/>
                <w:sz w:val="20"/>
                <w:szCs w:val="20"/>
              </w:rPr>
              <w:t>$</w:t>
            </w:r>
          </w:p>
        </w:tc>
        <w:tc>
          <w:tcPr>
            <w:tcW w:w="50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24.7</w:t>
            </w:r>
          </w:p>
        </w:tc>
        <w:tc>
          <w:tcPr>
            <w:tcW w:w="5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
        <w:gridCol w:w="249"/>
        <w:gridCol w:w="7891"/>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50" w:type="pct"/>
            <w:vAlign w:val="center"/>
            <w:hideMark/>
          </w:tcPr>
          <w:p w:rsidR="00000000" w:rsidRDefault="001D2166">
            <w:pPr>
              <w:jc w:val="center"/>
              <w:rPr>
                <w:rFonts w:eastAsia="Times New Roman"/>
                <w:sz w:val="20"/>
                <w:szCs w:val="20"/>
              </w:rPr>
            </w:pPr>
            <w:r>
              <w:rPr>
                <w:rFonts w:eastAsia="Times New Roman"/>
                <w:sz w:val="20"/>
                <w:szCs w:val="20"/>
              </w:rPr>
              <w:t>(1)</w:t>
            </w:r>
          </w:p>
        </w:tc>
        <w:tc>
          <w:tcPr>
            <w:tcW w:w="4750" w:type="pct"/>
            <w:vAlign w:val="center"/>
            <w:hideMark/>
          </w:tcPr>
          <w:p w:rsidR="00000000" w:rsidRDefault="001D2166">
            <w:pPr>
              <w:rPr>
                <w:rFonts w:eastAsia="Times New Roman"/>
                <w:sz w:val="20"/>
                <w:szCs w:val="20"/>
              </w:rPr>
            </w:pPr>
            <w:r>
              <w:rPr>
                <w:rFonts w:eastAsia="Times New Roman"/>
                <w:sz w:val="20"/>
                <w:szCs w:val="20"/>
              </w:rPr>
              <w:t>Maturities utilized do not reflect extenson options, which range from six months to one year.  On February 15, 2022, the Company announced the redemption for its $500.0 million 3.40% senior unsecured notes outstanding, which mature in November 2022.  The C</w:t>
            </w:r>
            <w:r>
              <w:rPr>
                <w:rFonts w:eastAsia="Times New Roman"/>
                <w:sz w:val="20"/>
                <w:szCs w:val="20"/>
              </w:rPr>
              <w:t xml:space="preserve">ompany plans to redeem these notes on March 2, 2022 and as a result, the Company will incur a prepayment charge of approximately $6.5 million.  In addition, in February 2022, the Company issued $600.0 million in senior unsecured notes, which are scheduled </w:t>
            </w:r>
            <w:r>
              <w:rPr>
                <w:rFonts w:eastAsia="Times New Roman"/>
                <w:sz w:val="20"/>
                <w:szCs w:val="20"/>
              </w:rPr>
              <w:t>to mature in April 2032 and accrue interest at a rate of  3.20% per annum.  The net proceeds from this offering will be used primarily to fund the redemption of the Company's $500.0 million 3.40% senior unsecured notes outstanding.  </w:t>
            </w:r>
          </w:p>
        </w:tc>
      </w:tr>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50" w:type="pct"/>
            <w:vAlign w:val="center"/>
            <w:hideMark/>
          </w:tcPr>
          <w:p w:rsidR="00000000" w:rsidRDefault="001D2166">
            <w:pPr>
              <w:jc w:val="center"/>
              <w:rPr>
                <w:rFonts w:eastAsia="Times New Roman"/>
                <w:sz w:val="20"/>
                <w:szCs w:val="20"/>
              </w:rPr>
            </w:pPr>
            <w:r>
              <w:rPr>
                <w:rFonts w:eastAsia="Times New Roman"/>
                <w:sz w:val="20"/>
                <w:szCs w:val="20"/>
              </w:rPr>
              <w:t>(2)</w:t>
            </w:r>
          </w:p>
        </w:tc>
        <w:tc>
          <w:tcPr>
            <w:tcW w:w="4750" w:type="pct"/>
            <w:vAlign w:val="center"/>
            <w:hideMark/>
          </w:tcPr>
          <w:p w:rsidR="00000000" w:rsidRDefault="001D2166">
            <w:pPr>
              <w:rPr>
                <w:rFonts w:eastAsia="Times New Roman"/>
                <w:sz w:val="20"/>
                <w:szCs w:val="20"/>
              </w:rPr>
            </w:pPr>
            <w:r>
              <w:rPr>
                <w:rFonts w:eastAsia="Times New Roman"/>
                <w:sz w:val="20"/>
                <w:szCs w:val="20"/>
              </w:rPr>
              <w:t>For loans which</w:t>
            </w:r>
            <w:r>
              <w:rPr>
                <w:rFonts w:eastAsia="Times New Roman"/>
                <w:sz w:val="20"/>
                <w:szCs w:val="20"/>
              </w:rPr>
              <w:t xml:space="preserve"> have interest at floating rates, future interest expense was calculated using the rate as of December 31, 2021.</w:t>
            </w:r>
          </w:p>
        </w:tc>
      </w:tr>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50" w:type="pct"/>
            <w:vAlign w:val="center"/>
            <w:hideMark/>
          </w:tcPr>
          <w:p w:rsidR="00000000" w:rsidRDefault="001D2166">
            <w:pPr>
              <w:jc w:val="center"/>
              <w:rPr>
                <w:rFonts w:eastAsia="Times New Roman"/>
                <w:sz w:val="20"/>
                <w:szCs w:val="20"/>
              </w:rPr>
            </w:pPr>
            <w:r>
              <w:rPr>
                <w:rFonts w:eastAsia="Times New Roman"/>
                <w:sz w:val="20"/>
                <w:szCs w:val="20"/>
              </w:rPr>
              <w:t>(3)</w:t>
            </w:r>
          </w:p>
        </w:tc>
        <w:tc>
          <w:tcPr>
            <w:tcW w:w="4750" w:type="pct"/>
            <w:vAlign w:val="center"/>
            <w:hideMark/>
          </w:tcPr>
          <w:p w:rsidR="00000000" w:rsidRDefault="001D2166">
            <w:pPr>
              <w:rPr>
                <w:rFonts w:eastAsia="Times New Roman"/>
                <w:sz w:val="20"/>
                <w:szCs w:val="20"/>
              </w:rPr>
            </w:pPr>
            <w:r>
              <w:rPr>
                <w:rFonts w:eastAsia="Times New Roman"/>
                <w:sz w:val="20"/>
                <w:szCs w:val="20"/>
              </w:rPr>
              <w:t>For leases which have inflationary increases, future ground and office rent expense was calculated using the rent based upon initial lea</w:t>
            </w:r>
            <w:r>
              <w:rPr>
                <w:rFonts w:eastAsia="Times New Roman"/>
                <w:sz w:val="20"/>
                <w:szCs w:val="20"/>
              </w:rPr>
              <w:t>se payment.</w:t>
            </w:r>
          </w:p>
        </w:tc>
      </w:tr>
    </w:tbl>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Company has $805.1 million of consolidated unsecured debt and $115.9 million of consolidated secured debt scheduled to mature in 2022. The Company anticipates satisfying the remaining future maturities with operating cash flows, its Credit Facility or </w:t>
      </w:r>
      <w:r>
        <w:rPr>
          <w:sz w:val="20"/>
          <w:szCs w:val="20"/>
        </w:rPr>
        <w:t>public debt offerings, if needed.</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issued letters of credit in connection with the completion and repayment guarantees, primarily on certain of the Company’s redevelopment projects and guaranty of payment related to the Company’s insurance</w:t>
      </w:r>
      <w:r>
        <w:rPr>
          <w:sz w:val="20"/>
          <w:szCs w:val="20"/>
        </w:rPr>
        <w:t xml:space="preserve"> program. At December 31, 2021, these letters of credit aggregated $44.5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In connection with the construction of its development/redevelopment projects and related infrastructure, certain public agencies require posting of performance and surety </w:t>
      </w:r>
      <w:r>
        <w:rPr>
          <w:sz w:val="20"/>
          <w:szCs w:val="20"/>
        </w:rPr>
        <w:t>bonds to guarantee that the Company’s obligations are satisfied. These bonds expire upon the completion of the improvements and infrastructure. As of December 31, 2021, the Company had $12.7 million in performance and surety bonds outstanding.</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The Compan</w:t>
      </w:r>
      <w:r>
        <w:rPr>
          <w:sz w:val="20"/>
          <w:szCs w:val="20"/>
        </w:rPr>
        <w:t>y has two investments that have investment funding commitments totaling $27.0 million, of which $4.3 million has been funded as of December 31, 2021.  The Company’s remaining commitment to fund related to these investments is $22.7 million in total as of D</w:t>
      </w:r>
      <w:r>
        <w:rPr>
          <w:sz w:val="20"/>
          <w:szCs w:val="20"/>
        </w:rPr>
        <w:t>ecember 31, 2021.</w:t>
      </w:r>
    </w:p>
    <w:p w:rsidR="00000000" w:rsidRDefault="001D2166">
      <w:pPr>
        <w:pStyle w:val="a3"/>
        <w:spacing w:before="0" w:beforeAutospacing="0" w:after="0" w:afterAutospacing="0"/>
        <w:ind w:left="16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In connection with the Merger, the Company now provides a guaranty for the payment of any debt service shortfalls on Series A bonds issued by the Sheridan Redevelopment Agency which are tax increment revenue bonds issued in connection w</w:t>
      </w:r>
      <w:r>
        <w:rPr>
          <w:sz w:val="20"/>
          <w:szCs w:val="20"/>
        </w:rPr>
        <w:t>ith a property owned by the Company in Sheridan, Colorado. These tax increment revenue bonds have a balance of $49.7 million outstanding at December 31, 2021. The bonds are to be repaid with incremental sales and property taxes and a public improvement fee</w:t>
      </w:r>
      <w:r>
        <w:rPr>
          <w:sz w:val="20"/>
          <w:szCs w:val="20"/>
        </w:rPr>
        <w:t xml:space="preserve"> ("PIF") to be assessed on current and future retail sales and, to the extent necessary, any amounts we may have to provide under a guaranty. The revenue generated from incremental sales, property taxes and PIF have satisfied the debt service requirements </w:t>
      </w:r>
      <w:r>
        <w:rPr>
          <w:sz w:val="20"/>
          <w:szCs w:val="20"/>
        </w:rPr>
        <w:t>to date. The incremental taxes and PIF are to remain intact until the earlier of the payment of the bond liability in full or 2040.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Off-Balance Sheet Arrangements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Unconsolidated Real Estate Joint Ventures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investments in various uncons</w:t>
      </w:r>
      <w:r>
        <w:rPr>
          <w:sz w:val="20"/>
          <w:szCs w:val="20"/>
        </w:rPr>
        <w:t>olidated real estate joint ventures with varying structures. These joint ventures primarily operate shopping center properties. The properties owned by the joint ventures are primarily financed with individual non-recourse mortgage loans, however, the Comp</w:t>
      </w:r>
      <w:r>
        <w:rPr>
          <w:sz w:val="20"/>
          <w:szCs w:val="20"/>
        </w:rPr>
        <w:t>any, on a selective basis, has obtained unsecured financing for certain joint ventures. As of December 31, 2021, the Company did not guarantee any joint venture unsecured debt. Non-recourse mortgage debt is generally defined as debt whereby the lenders’ so</w:t>
      </w:r>
      <w:r>
        <w:rPr>
          <w:sz w:val="20"/>
          <w:szCs w:val="20"/>
        </w:rPr>
        <w:t>le recourse with respect to borrower defaults is limited to the value of the property collateralized by the mortgage. The lender generally does not have recourse against any other assets owned by the borrower or any of the constituent members of the borrow</w:t>
      </w:r>
      <w:r>
        <w:rPr>
          <w:sz w:val="20"/>
          <w:szCs w:val="20"/>
        </w:rPr>
        <w:t>er, except for certain specified exceptions listed in the particular loan documents (see Footnote 7 of the Notes to Consolidated Financial Statements included in this Form 10-K).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Debt balances within the Company’s unconsolidated joint venture investments</w:t>
      </w:r>
      <w:r>
        <w:rPr>
          <w:sz w:val="20"/>
          <w:szCs w:val="20"/>
        </w:rPr>
        <w:t xml:space="preserve"> for which the Company held noncontrolling ownership interests at December 31, 2021, aggregated $1.6 billion. As of December 31, 2021, these loans had scheduled maturities ranging from four months to 9.5 years and bore interest at rates ranging from 1.30% </w:t>
      </w:r>
      <w:r>
        <w:rPr>
          <w:sz w:val="20"/>
          <w:szCs w:val="20"/>
        </w:rPr>
        <w:t>to 6.38%. Approximately $109.3 million of the aggregate outstanding loan balance matures in 2022. These maturing loans are anticipated to be repaid with operating cash flows, debt refinancing, unsecured credit facilities, proceeds from sales of the respect</w:t>
      </w:r>
      <w:r>
        <w:rPr>
          <w:sz w:val="20"/>
          <w:szCs w:val="20"/>
        </w:rPr>
        <w:t>ive entities, and partner capital contributions, as deemed appropriate (see Footnote 7 of the Notes to Consolidated Financial Statements included in this Form 10-K).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Other Investments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has provided capital to owners and developers of real estate properties and loans through its Preferred Equity Program. As of December 31, 2021, the Company’s net investment under the Preferred Equity Program was $98.7 million relating to 39 pr</w:t>
      </w:r>
      <w:r>
        <w:rPr>
          <w:sz w:val="20"/>
          <w:szCs w:val="20"/>
        </w:rPr>
        <w:t>operties, including 28 net leased properties, which are accounted for as direct financing leases. As of December 31, 2021, these preferred equity investment properties had non-recourse mortgage loans aggregating $237.4 million. These loans have scheduled m</w:t>
      </w:r>
      <w:r>
        <w:rPr>
          <w:sz w:val="20"/>
          <w:szCs w:val="20"/>
        </w:rPr>
        <w:t>aturities ranging from two months to 2.5 years and bear interest at rates ranging from 4.19% to 8.88%. Due to the Company’s preferred position in these investments, the Company’s share of each investment is subject to fluctuation and is dependent upon prop</w:t>
      </w:r>
      <w:r>
        <w:rPr>
          <w:sz w:val="20"/>
          <w:szCs w:val="20"/>
        </w:rPr>
        <w:t>erty cash flows. The Company’s maximum exposure to losses associated with its preferred equity investments is limited to its invested capital.</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438209398"/>
        <w:rPr>
          <w:rFonts w:eastAsia="Times New Roman"/>
          <w:sz w:val="20"/>
          <w:szCs w:val="20"/>
        </w:rPr>
      </w:pPr>
      <w:r>
        <w:rPr>
          <w:rFonts w:eastAsia="Times New Roman"/>
          <w:sz w:val="20"/>
          <w:szCs w:val="20"/>
        </w:rPr>
        <w:t xml:space="preserve">38 </w:t>
      </w:r>
    </w:p>
    <w:p w:rsidR="00000000" w:rsidRDefault="001D2166">
      <w:pPr>
        <w:divId w:val="1834107674"/>
        <w:rPr>
          <w:rFonts w:eastAsia="Times New Roman"/>
          <w:sz w:val="20"/>
          <w:szCs w:val="20"/>
        </w:rPr>
      </w:pPr>
      <w:r>
        <w:rPr>
          <w:rFonts w:eastAsia="Times New Roman"/>
          <w:sz w:val="20"/>
          <w:szCs w:val="20"/>
        </w:rPr>
        <w:pict>
          <v:rect id="_x0000_i1070" style="width:415.3pt;height:1.5pt" o:hralign="center" o:hrstd="t" o:hrnoshade="t" o:hr="t" fillcolor="black" stroked="f"/>
        </w:pict>
      </w:r>
    </w:p>
    <w:p w:rsidR="00000000" w:rsidRDefault="001D2166">
      <w:pPr>
        <w:divId w:val="11280895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Funds From Operations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FFO is a supplemental non-GAAP financial measure utilized to evaluate the operating performance of real estate companies. NAREIT defines FFO as net incom</w:t>
      </w:r>
      <w:r>
        <w:rPr>
          <w:sz w:val="20"/>
          <w:szCs w:val="20"/>
        </w:rPr>
        <w:t xml:space="preserve">e/(loss) available to the Company’s common shareholders computed in accordance with GAAP, excluding (i) depreciation and amortization related to real estate, (ii) gains or losses from sales of certain real estate assets, (iii) gains and losses from change </w:t>
      </w:r>
      <w:r>
        <w:rPr>
          <w:sz w:val="20"/>
          <w:szCs w:val="20"/>
        </w:rPr>
        <w:t>in control, (iv) impairment write-downs of certain real estate assets and investments in entities when the impairment is directly attributable to decreases in the value of depreciable real estate held by the entity and (v) after adjustments for unconsolida</w:t>
      </w:r>
      <w:r>
        <w:rPr>
          <w:sz w:val="20"/>
          <w:szCs w:val="20"/>
        </w:rPr>
        <w:t>ted partnerships and joint ventures calculated to reflect FFO on the same basis. The Company also made an election, per the NAREIT Funds From Operations White Paper-2018 Restatement, to exclude from its calculation of FFO (i) gains and losses on the sale o</w:t>
      </w:r>
      <w:r>
        <w:rPr>
          <w:sz w:val="20"/>
          <w:szCs w:val="20"/>
        </w:rPr>
        <w:t>f assets and impairments of assets incidental to its main business and (ii) mark-to-market changes in the value of its equity securities. As such, the Company does not include gains/impairments on land parcels, gains/losses (realized or unrealized) from ma</w:t>
      </w:r>
      <w:r>
        <w:rPr>
          <w:sz w:val="20"/>
          <w:szCs w:val="20"/>
        </w:rPr>
        <w:t>rketable securities, allowance for credit losses on mortgage receivables or gains/impairments on preferred equity participations in NAREIT defined FFO.</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 presents FFO available to the Company’s common shareholders as it considers it an importan</w:t>
      </w:r>
      <w:r>
        <w:rPr>
          <w:sz w:val="20"/>
          <w:szCs w:val="20"/>
        </w:rPr>
        <w:t xml:space="preserve">t supplemental measure of our operating performance and believes it is frequently used by securities analysts, investors and other interested parties in the evaluation of REITs, many of which present FFO available to the Company’s common shareholders when </w:t>
      </w:r>
      <w:r>
        <w:rPr>
          <w:sz w:val="20"/>
          <w:szCs w:val="20"/>
        </w:rPr>
        <w:t>reporting results. Comparison of our presentation of FFO available to the Company’s common shareholders to similarly titled measures for other REITs may not necessarily be meaningful due to possible differences in the application of the NAREIT definition u</w:t>
      </w:r>
      <w:r>
        <w:rPr>
          <w:sz w:val="20"/>
          <w:szCs w:val="20"/>
        </w:rPr>
        <w:t>sed by such REITs.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FFO is a supplemental non-GAAP financial measure of real estate companies’ operating performances, which does not represent cash generated from operating activities in accordance with GAAP and, therefore, should not be considered an al</w:t>
      </w:r>
      <w:r>
        <w:rPr>
          <w:sz w:val="20"/>
          <w:szCs w:val="20"/>
        </w:rPr>
        <w:t>ternative for net income or cash flows from operations as a measure of liquidity.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reconciliation of net income available to the Company’s common shareholders to FFO available to the Company’s common shareholders is reflected in the table be</w:t>
      </w:r>
      <w:r>
        <w:rPr>
          <w:sz w:val="20"/>
          <w:szCs w:val="20"/>
        </w:rPr>
        <w:t>low (in thousands, except per share data).</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Three Months Ended</w:t>
            </w:r>
          </w:p>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w:t>
            </w:r>
          </w:p>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1D2166">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75,327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194,880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818,643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975,417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(6,484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(11,596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(16,879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132,797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73,578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392,095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285,596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15,949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9,658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51,555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40,331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Impairment charges (including real estate joint ventures)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3,932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4,043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7,145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8,397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Gain on sale of cost method investment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Profit participation from other investments,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(9,824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(8,595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(13,665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Loss/(gain) on marketable securities,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37,347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(150,108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(505,163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(594,753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(Benefit)/provision for income taxes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2,152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1,426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Noncontrolling interests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(3,835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(337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(3,285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(1,710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b/>
                <w:bCs/>
                <w:sz w:val="20"/>
                <w:szCs w:val="20"/>
              </w:rPr>
              <w:t>FFO available to the Company</w:t>
            </w:r>
            <w:r>
              <w:rPr>
                <w:sz w:val="20"/>
                <w:szCs w:val="20"/>
              </w:rPr>
              <w:t>’</w:t>
            </w:r>
            <w:r>
              <w:rPr>
                <w:b/>
                <w:bCs/>
                <w:sz w:val="20"/>
                <w:szCs w:val="20"/>
              </w:rPr>
              <w:t>s common shareholders (3)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240,072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133,033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706,827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503,675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Basic</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614,150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430,103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506,248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429,950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Units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3,878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639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2,410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1,364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2,422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1,475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Diluted (2)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620,438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432,133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511,297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432,064</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basic</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0.39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0.31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1.40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1.17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diluted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0.39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0.31</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1.38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1.17</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
        <w:gridCol w:w="249"/>
        <w:gridCol w:w="7891"/>
      </w:tblGrid>
      <w:tr w:rsidR="00000000">
        <w:trPr>
          <w:tblCellSpacing w:w="0" w:type="dxa"/>
        </w:trPr>
        <w:tc>
          <w:tcPr>
            <w:tcW w:w="100" w:type="pct"/>
            <w:hideMark/>
          </w:tcPr>
          <w:p w:rsidR="00000000" w:rsidRDefault="001D2166">
            <w:pPr>
              <w:rPr>
                <w:rFonts w:eastAsia="Times New Roman"/>
                <w:sz w:val="20"/>
                <w:szCs w:val="20"/>
              </w:rPr>
            </w:pPr>
            <w:r>
              <w:rPr>
                <w:rFonts w:eastAsia="Times New Roman"/>
                <w:sz w:val="20"/>
                <w:szCs w:val="20"/>
              </w:rPr>
              <w:t> </w:t>
            </w:r>
          </w:p>
        </w:tc>
        <w:tc>
          <w:tcPr>
            <w:tcW w:w="150" w:type="pct"/>
            <w:hideMark/>
          </w:tcPr>
          <w:p w:rsidR="00000000" w:rsidRDefault="001D2166">
            <w:pPr>
              <w:rPr>
                <w:rFonts w:eastAsia="Times New Roman"/>
                <w:sz w:val="20"/>
                <w:szCs w:val="20"/>
              </w:rPr>
            </w:pPr>
            <w:r>
              <w:rPr>
                <w:rFonts w:eastAsia="Times New Roman"/>
                <w:sz w:val="20"/>
                <w:szCs w:val="20"/>
              </w:rPr>
              <w:t>(1)</w:t>
            </w:r>
          </w:p>
        </w:tc>
        <w:tc>
          <w:tcPr>
            <w:tcW w:w="4750" w:type="pct"/>
            <w:hideMark/>
          </w:tcPr>
          <w:p w:rsidR="00000000" w:rsidRDefault="001D2166">
            <w:pPr>
              <w:pStyle w:val="a3"/>
              <w:spacing w:before="0" w:beforeAutospacing="0" w:after="0" w:afterAutospacing="0"/>
              <w:rPr>
                <w:sz w:val="20"/>
                <w:szCs w:val="20"/>
              </w:rPr>
            </w:pPr>
            <w:r>
              <w:rPr>
                <w:sz w:val="20"/>
                <w:szCs w:val="20"/>
              </w:rPr>
              <w:t>Related to gains, impairment and depreciation on properties, where applicable.</w:t>
            </w:r>
          </w:p>
        </w:tc>
      </w:tr>
      <w:tr w:rsidR="00000000">
        <w:trPr>
          <w:tblCellSpacing w:w="0" w:type="dxa"/>
        </w:trPr>
        <w:tc>
          <w:tcPr>
            <w:tcW w:w="100" w:type="pct"/>
            <w:hideMark/>
          </w:tcPr>
          <w:p w:rsidR="00000000" w:rsidRDefault="001D2166">
            <w:pPr>
              <w:rPr>
                <w:rFonts w:eastAsia="Times New Roman"/>
                <w:sz w:val="20"/>
                <w:szCs w:val="20"/>
              </w:rPr>
            </w:pPr>
            <w:r>
              <w:rPr>
                <w:rFonts w:eastAsia="Times New Roman"/>
                <w:sz w:val="20"/>
                <w:szCs w:val="20"/>
              </w:rPr>
              <w:t> </w:t>
            </w:r>
          </w:p>
        </w:tc>
        <w:tc>
          <w:tcPr>
            <w:tcW w:w="150" w:type="pct"/>
            <w:hideMark/>
          </w:tcPr>
          <w:p w:rsidR="00000000" w:rsidRDefault="001D2166">
            <w:pPr>
              <w:rPr>
                <w:rFonts w:eastAsia="Times New Roman"/>
                <w:sz w:val="20"/>
                <w:szCs w:val="20"/>
              </w:rPr>
            </w:pPr>
            <w:r>
              <w:rPr>
                <w:rFonts w:eastAsia="Times New Roman"/>
                <w:sz w:val="20"/>
                <w:szCs w:val="20"/>
              </w:rPr>
              <w:t>(2)</w:t>
            </w:r>
          </w:p>
        </w:tc>
        <w:tc>
          <w:tcPr>
            <w:tcW w:w="4750" w:type="pct"/>
            <w:hideMark/>
          </w:tcPr>
          <w:p w:rsidR="00000000" w:rsidRDefault="001D2166">
            <w:pPr>
              <w:jc w:val="both"/>
              <w:rPr>
                <w:rFonts w:eastAsia="Times New Roman"/>
                <w:sz w:val="20"/>
                <w:szCs w:val="20"/>
              </w:rPr>
            </w:pPr>
            <w:r>
              <w:rPr>
                <w:rFonts w:eastAsia="Times New Roman"/>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rFonts w:eastAsia="Times New Roman"/>
                <w:sz w:val="20"/>
                <w:szCs w:val="20"/>
              </w:rPr>
              <w:t xml:space="preserve"> be increased by $856 and $92 for the three months ended December 31, 2021 and 2020, respectively, and $1,053 and $309 for the years ended December 31, 2021 and 2020, respectively. The effect of other certain convertible units would have an anti-dilutive e</w:t>
            </w:r>
            <w:r>
              <w:rPr>
                <w:rFonts w:eastAsia="Times New Roman"/>
                <w:sz w:val="20"/>
                <w:szCs w:val="20"/>
              </w:rPr>
              <w:t>ffect upon the calculation of FFO available to the Company’s common shareholders per share. Accordingly, the impact of such conversion has not been included in the determination of diluted earnings per share calculations.</w:t>
            </w:r>
          </w:p>
        </w:tc>
      </w:tr>
      <w:tr w:rsidR="00000000">
        <w:trPr>
          <w:tblCellSpacing w:w="0" w:type="dxa"/>
        </w:trPr>
        <w:tc>
          <w:tcPr>
            <w:tcW w:w="100" w:type="pct"/>
            <w:hideMark/>
          </w:tcPr>
          <w:p w:rsidR="00000000" w:rsidRDefault="001D2166">
            <w:pPr>
              <w:rPr>
                <w:rFonts w:eastAsia="Times New Roman"/>
                <w:sz w:val="20"/>
                <w:szCs w:val="20"/>
              </w:rPr>
            </w:pPr>
            <w:r>
              <w:rPr>
                <w:rFonts w:eastAsia="Times New Roman"/>
                <w:sz w:val="20"/>
                <w:szCs w:val="20"/>
              </w:rPr>
              <w:t> </w:t>
            </w:r>
          </w:p>
        </w:tc>
        <w:tc>
          <w:tcPr>
            <w:tcW w:w="150" w:type="pct"/>
            <w:hideMark/>
          </w:tcPr>
          <w:p w:rsidR="00000000" w:rsidRDefault="001D2166">
            <w:pPr>
              <w:rPr>
                <w:rFonts w:eastAsia="Times New Roman"/>
                <w:sz w:val="20"/>
                <w:szCs w:val="20"/>
              </w:rPr>
            </w:pPr>
            <w:r>
              <w:rPr>
                <w:rFonts w:eastAsia="Times New Roman"/>
                <w:sz w:val="20"/>
                <w:szCs w:val="20"/>
              </w:rPr>
              <w:t>(3)</w:t>
            </w:r>
          </w:p>
        </w:tc>
        <w:tc>
          <w:tcPr>
            <w:tcW w:w="4750" w:type="pct"/>
            <w:hideMark/>
          </w:tcPr>
          <w:p w:rsidR="00000000" w:rsidRDefault="001D2166">
            <w:pPr>
              <w:jc w:val="both"/>
              <w:rPr>
                <w:rFonts w:eastAsia="Times New Roman"/>
                <w:sz w:val="20"/>
                <w:szCs w:val="20"/>
              </w:rPr>
            </w:pPr>
            <w:r>
              <w:rPr>
                <w:rFonts w:eastAsia="Times New Roman"/>
                <w:sz w:val="20"/>
                <w:szCs w:val="20"/>
              </w:rPr>
              <w:t xml:space="preserve">Includes Merger charges of </w:t>
            </w:r>
            <w:r>
              <w:rPr>
                <w:rFonts w:eastAsia="Times New Roman"/>
                <w:sz w:val="20"/>
                <w:szCs w:val="20"/>
              </w:rPr>
              <w:t xml:space="preserve">$50.2 million recognized during the year ended December 31, 2021, in connection with the Merger. In addition the three months and year ended December 31, 2021, includes a pension valuation adjustment of $3.0 million of income included in Other income, net </w:t>
            </w:r>
            <w:r>
              <w:rPr>
                <w:rFonts w:eastAsia="Times New Roman"/>
                <w:sz w:val="20"/>
                <w:szCs w:val="20"/>
              </w:rPr>
              <w:t>on the Company's Consolidated Statement of Income.</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Same Property Net Operating Income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Same property NOI is a supplemental non-GAAP financial measure of real estate companies’ operating performance and should not be considered an alternative to net inc</w:t>
      </w:r>
      <w:r>
        <w:rPr>
          <w:sz w:val="20"/>
          <w:szCs w:val="20"/>
        </w:rPr>
        <w:t>ome in accordance with GAAP or cash flows from operations as a measure of liquidity. The Company considers Same property NOI as an important operating performance measure because it is frequently used by securities analysts and investors to measure only th</w:t>
      </w:r>
      <w:r>
        <w:rPr>
          <w:sz w:val="20"/>
          <w:szCs w:val="20"/>
        </w:rPr>
        <w:t>e net operating income of properties that have been owned by the Company for the entire current and prior year reporting periods. It excludes properties under redevelopment, development and pending stabilization; properties are deemed stabilized at the ear</w:t>
      </w:r>
      <w:r>
        <w:rPr>
          <w:sz w:val="20"/>
          <w:szCs w:val="20"/>
        </w:rPr>
        <w:t>lier of (i) reaching 90% leased or (ii) one year following a project’s inclusion in operating real estate. Same property NOI assists in eliminating disparities in net income due to the development, acquisition or disposition of properties during the partic</w:t>
      </w:r>
      <w:r>
        <w:rPr>
          <w:sz w:val="20"/>
          <w:szCs w:val="20"/>
        </w:rPr>
        <w:t>ular period presented, and thus provides a more consistent performance measure for the comparison of the Company's properties.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97332794"/>
        <w:rPr>
          <w:rFonts w:eastAsia="Times New Roman"/>
          <w:sz w:val="20"/>
          <w:szCs w:val="20"/>
        </w:rPr>
      </w:pPr>
      <w:r>
        <w:rPr>
          <w:rFonts w:eastAsia="Times New Roman"/>
          <w:sz w:val="20"/>
          <w:szCs w:val="20"/>
        </w:rPr>
        <w:t xml:space="preserve">39 </w:t>
      </w:r>
    </w:p>
    <w:p w:rsidR="00000000" w:rsidRDefault="001D2166">
      <w:pPr>
        <w:divId w:val="2119331554"/>
        <w:rPr>
          <w:rFonts w:eastAsia="Times New Roman"/>
          <w:sz w:val="20"/>
          <w:szCs w:val="20"/>
        </w:rPr>
      </w:pPr>
      <w:r>
        <w:rPr>
          <w:rFonts w:eastAsia="Times New Roman"/>
          <w:sz w:val="20"/>
          <w:szCs w:val="20"/>
        </w:rPr>
        <w:pict>
          <v:rect id="_x0000_i1071" style="width:415.3pt;height:1.5pt" o:hralign="center" o:hrstd="t" o:hrnoshade="t" o:hr="t" fillcolor="black" stroked="f"/>
        </w:pict>
      </w:r>
    </w:p>
    <w:p w:rsidR="00000000" w:rsidRDefault="001D2166">
      <w:pPr>
        <w:divId w:val="71928710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For the three months ended December 31, 2021 and 2020, the Company included Same property NOI from the Weingarten properties acquired through the Merger, as the Company owned these properties for the full three months ended December 31, 2021. The amount of</w:t>
      </w:r>
      <w:r>
        <w:rPr>
          <w:sz w:val="20"/>
          <w:szCs w:val="20"/>
        </w:rPr>
        <w:t xml:space="preserve"> the adjustment relating to Weingarten same property NOI for the three months ended December 31, 2020, included in the table below, represents the Same property NOI from Weingarten properties prior to the Merger, which is not included in the Company's Net </w:t>
      </w:r>
      <w:r>
        <w:rPr>
          <w:sz w:val="20"/>
          <w:szCs w:val="20"/>
        </w:rPr>
        <w:t xml:space="preserve">income available to the Company’s common shareholders.  Same property NOI from properties acquired through the Merger was excluded for the years ended December 31, 2021 and 2020, as the Company did not own these properties for the full year ended December </w:t>
      </w:r>
      <w:r>
        <w:rPr>
          <w:sz w:val="20"/>
          <w:szCs w:val="20"/>
        </w:rPr>
        <w:t>31, 2021.</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Same property NOI is calculated using revenues from rental properties (excluding straight-line rent adjustments, lease termination fees, TIFs and amortization of above/below-market rents) less charges for bad debt, operating and maintenance exp</w:t>
      </w:r>
      <w:r>
        <w:rPr>
          <w:sz w:val="20"/>
          <w:szCs w:val="20"/>
        </w:rPr>
        <w:t>ense, real estate taxes and rent expense plus the Company’s proportionate share of Same property NOI from unconsolidated real estate joint ventures, calculated on the same basis. The Company’s method of calculating Same property NOI available to the Compan</w:t>
      </w:r>
      <w:r>
        <w:rPr>
          <w:sz w:val="20"/>
          <w:szCs w:val="20"/>
        </w:rPr>
        <w:t>y’s common shareholders may differ from methods used by other REITs and, accordingly, may not be comparable to such other REITs.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following is a reconciliation of Net income available to the Company’s common shareholders to Same property NOI (in thous</w:t>
      </w:r>
      <w:r>
        <w:rPr>
          <w:sz w:val="20"/>
          <w:szCs w:val="20"/>
        </w:rPr>
        <w:t>ands):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Three Months Ended</w:t>
            </w:r>
          </w:p>
          <w:p w:rsidR="00000000" w:rsidRDefault="001D2166">
            <w:pPr>
              <w:pStyle w:val="a3"/>
              <w:spacing w:before="0" w:beforeAutospacing="0" w:after="0" w:afterAutospacing="0"/>
              <w:jc w:val="center"/>
              <w:rPr>
                <w:sz w:val="20"/>
                <w:szCs w:val="20"/>
              </w:rPr>
            </w:pPr>
            <w:r>
              <w:rPr>
                <w:b/>
                <w:bCs/>
                <w:sz w:val="20"/>
                <w:szCs w:val="20"/>
              </w:rPr>
              <w:t>December 31, (1)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w:t>
            </w:r>
            <w:r>
              <w:rPr>
                <w:b/>
                <w:bCs/>
                <w:sz w:val="20"/>
                <w:szCs w:val="20"/>
              </w:rPr>
              <w:b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1D2166">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75,327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194,880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818,643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975,417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(4,249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(3,125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(14,883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(13,005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28,985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20,901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104,121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93,217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3,115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133,633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74,295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395,320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288,955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(6,484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Interest and other expense,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49,503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42,162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184,323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190,323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37,347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(150,108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(505,163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(594,753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483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496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978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(12,807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(1,733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(23,172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(28,628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268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565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5,637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2,044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Preferred dividends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25,416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25,416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Weingarten same property NOI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80,288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Non same property net operating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(15,825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(7,623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(206,992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(22,605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Non-operational expense from joint ventures,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9,987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16,238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55,214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68,510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b/>
                <w:bCs/>
                <w:sz w:val="20"/>
                <w:szCs w:val="20"/>
              </w:rPr>
              <w:t xml:space="preserve">Same property NOI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311,649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275,918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864,791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795,177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
        <w:gridCol w:w="249"/>
        <w:gridCol w:w="7891"/>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50" w:type="pct"/>
            <w:hideMark/>
          </w:tcPr>
          <w:p w:rsidR="00000000" w:rsidRDefault="001D2166">
            <w:pPr>
              <w:pStyle w:val="a3"/>
              <w:spacing w:before="0" w:beforeAutospacing="0" w:after="0" w:afterAutospacing="0"/>
              <w:rPr>
                <w:sz w:val="20"/>
                <w:szCs w:val="20"/>
              </w:rPr>
            </w:pPr>
            <w:r>
              <w:rPr>
                <w:sz w:val="20"/>
                <w:szCs w:val="20"/>
              </w:rPr>
              <w:t>(1)</w:t>
            </w:r>
          </w:p>
        </w:tc>
        <w:tc>
          <w:tcPr>
            <w:tcW w:w="4750" w:type="pct"/>
            <w:hideMark/>
          </w:tcPr>
          <w:p w:rsidR="00000000" w:rsidRDefault="001D2166">
            <w:pPr>
              <w:pStyle w:val="a3"/>
              <w:spacing w:before="0" w:beforeAutospacing="0" w:after="0" w:afterAutospacing="0"/>
              <w:jc w:val="both"/>
              <w:rPr>
                <w:sz w:val="20"/>
                <w:szCs w:val="20"/>
              </w:rPr>
            </w:pPr>
            <w:r>
              <w:rPr>
                <w:sz w:val="20"/>
                <w:szCs w:val="20"/>
              </w:rPr>
              <w:t>Same property NOI from properties acquired through the Merger are included in the three months ended December 31, 2021 and 2020 but excluded for the years ended December 31, 2021 and 2020.</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6"/>
        <w:gridCol w:w="249"/>
        <w:gridCol w:w="7891"/>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50" w:type="pct"/>
            <w:hideMark/>
          </w:tcPr>
          <w:p w:rsidR="00000000" w:rsidRDefault="001D2166">
            <w:pPr>
              <w:pStyle w:val="a3"/>
              <w:spacing w:before="0" w:beforeAutospacing="0" w:after="0" w:afterAutospacing="0"/>
              <w:rPr>
                <w:sz w:val="20"/>
                <w:szCs w:val="20"/>
              </w:rPr>
            </w:pPr>
            <w:r>
              <w:rPr>
                <w:sz w:val="20"/>
                <w:szCs w:val="20"/>
              </w:rPr>
              <w:t>(2)</w:t>
            </w:r>
          </w:p>
        </w:tc>
        <w:tc>
          <w:tcPr>
            <w:tcW w:w="4750" w:type="pct"/>
            <w:hideMark/>
          </w:tcPr>
          <w:p w:rsidR="00000000" w:rsidRDefault="001D2166">
            <w:pPr>
              <w:pStyle w:val="a3"/>
              <w:spacing w:before="0" w:beforeAutospacing="0" w:after="0" w:afterAutospacing="0"/>
              <w:jc w:val="both"/>
              <w:rPr>
                <w:sz w:val="20"/>
                <w:szCs w:val="20"/>
              </w:rPr>
            </w:pPr>
            <w:r>
              <w:rPr>
                <w:sz w:val="20"/>
                <w:szCs w:val="20"/>
              </w:rPr>
              <w:t>Amounts for the three months ended December 31, 2020, repre</w:t>
            </w:r>
            <w:r>
              <w:rPr>
                <w:sz w:val="20"/>
                <w:szCs w:val="20"/>
              </w:rPr>
              <w:t>sent the Same property NOIs from Weingarten properties, not included in the Company's Net income available to the Company's common shareholders.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Same property NOI increased by $35.7 million, or 12.9%, for the three months ended December 31, 2021, as com</w:t>
      </w:r>
      <w:r>
        <w:rPr>
          <w:sz w:val="20"/>
          <w:szCs w:val="20"/>
        </w:rPr>
        <w:t>pared to the corresponding period in 2020. This increase is primarily the result of (i) a decrease in credit losses of $15.7 million due to increased collections, (ii) an increase in revenues from rental properties of $11.4 million primarily related to a d</w:t>
      </w:r>
      <w:r>
        <w:rPr>
          <w:sz w:val="20"/>
          <w:szCs w:val="20"/>
        </w:rPr>
        <w:t>ecrease in tenant rent abatements and vacancies as a result of the COVID-19 pandemic during 2020, as compared to 2021, and (iii) an increase of $8.6 million from properties acquired through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Same property NOI increased by $69.6 million, or 8.8</w:t>
      </w:r>
      <w:r>
        <w:rPr>
          <w:sz w:val="20"/>
          <w:szCs w:val="20"/>
        </w:rPr>
        <w:t>%, for the year ended December 31, 2021, as compared to the corresponding period in 2020. This increase is primarily the result of (i) a decrease in credit losses of $92.3 million due to increased collections, partially offset by (ii) a decrease in revenue</w:t>
      </w:r>
      <w:r>
        <w:rPr>
          <w:sz w:val="20"/>
          <w:szCs w:val="20"/>
        </w:rPr>
        <w:t>s from rental properties of $18.8 million primarily related to a decrease in tenant rent abatements and vacancies as a result of the COVID-19 pandemic and (iii) an increase in non-recoverable operating expenses of $3.9 million.</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Effects of Inflation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Man</w:t>
      </w:r>
      <w:r>
        <w:rPr>
          <w:sz w:val="20"/>
          <w:szCs w:val="20"/>
        </w:rPr>
        <w:t>y of the Company's long-term leases contain provisions designed to mitigate the adverse impact of inflation. Such provisions include clauses enabling the Company to receive payment of additional rent calculated as a percentage of tenants' gross sales above</w:t>
      </w:r>
      <w:r>
        <w:rPr>
          <w:sz w:val="20"/>
          <w:szCs w:val="20"/>
        </w:rPr>
        <w:t xml:space="preserve"> pre-determined thresholds, which generally increase as prices rise, and/or as a result of escalation clauses, which generally increase rental rates during the terms of the leases. Such escalation clauses often include increases based upon changes in the c</w:t>
      </w:r>
      <w:r>
        <w:rPr>
          <w:sz w:val="20"/>
          <w:szCs w:val="20"/>
        </w:rPr>
        <w:t>onsumer price index or similar inflation indices.  In addition, many of the Company's leases are for terms of less than 10 years, which permits the Company to seek to increase rents to market rates upon renewal. Most of the Company's leases include escalat</w:t>
      </w:r>
      <w:r>
        <w:rPr>
          <w:sz w:val="20"/>
          <w:szCs w:val="20"/>
        </w:rPr>
        <w:t>ion clauses or require the tenant to pay an allocable share of operating expenses, including common area maintenance costs, real estate taxes and insurance, thereby reducing the Company's exposure to increases in costs and operating expenses resulting from</w:t>
      </w:r>
      <w:r>
        <w:rPr>
          <w:sz w:val="20"/>
          <w:szCs w:val="20"/>
        </w:rPr>
        <w:t xml:space="preserve"> inflation.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New Accounting Pronouncements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See Footnote 1 of the Notes to Consolidated Financial Statements included in this Form 10-K.</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001201337"/>
        <w:rPr>
          <w:rFonts w:eastAsia="Times New Roman"/>
          <w:sz w:val="20"/>
          <w:szCs w:val="20"/>
        </w:rPr>
      </w:pPr>
      <w:r>
        <w:rPr>
          <w:rFonts w:eastAsia="Times New Roman"/>
          <w:sz w:val="20"/>
          <w:szCs w:val="20"/>
        </w:rPr>
        <w:t xml:space="preserve">40 </w:t>
      </w:r>
    </w:p>
    <w:p w:rsidR="00000000" w:rsidRDefault="001D2166">
      <w:pPr>
        <w:divId w:val="1029140225"/>
        <w:rPr>
          <w:rFonts w:eastAsia="Times New Roman"/>
          <w:sz w:val="20"/>
          <w:szCs w:val="20"/>
        </w:rPr>
      </w:pPr>
      <w:r>
        <w:rPr>
          <w:rFonts w:eastAsia="Times New Roman"/>
          <w:sz w:val="20"/>
          <w:szCs w:val="20"/>
        </w:rPr>
        <w:pict>
          <v:rect id="_x0000_i1072" style="width:415.3pt;height:1.5pt" o:hralign="center" o:hrstd="t" o:hrnoshade="t" o:hr="t" fillcolor="black" stroked="f"/>
        </w:pict>
      </w:r>
    </w:p>
    <w:p w:rsidR="00000000" w:rsidRDefault="001D2166">
      <w:pPr>
        <w:divId w:val="101622444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 xml:space="preserve">Item 7A. Quantitative and Qualitative </w:t>
      </w:r>
      <w:r>
        <w:rPr>
          <w:sz w:val="20"/>
          <w:szCs w:val="20"/>
          <w:u w:val="single"/>
        </w:rPr>
        <w:t>Disclosures About Market Risk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primary market risk exposure is interest rate risk. The Company periodically evaluates its exposure to short-term interest rates and will, from time-to-time, enter into interest rate protection agreements which</w:t>
      </w:r>
      <w:r>
        <w:rPr>
          <w:sz w:val="20"/>
          <w:szCs w:val="20"/>
        </w:rPr>
        <w:t xml:space="preserve"> mitigate, but do not eliminate, the effect of changes in interest rates on its floating-rate debt. The Company has not entered, and does not plan to enter, into any derivative financial instruments for trading or speculative purposes. The following table </w:t>
      </w:r>
      <w:r>
        <w:rPr>
          <w:sz w:val="20"/>
          <w:szCs w:val="20"/>
        </w:rPr>
        <w:t>presents the Company’s aggregate fixed rate and variable rate debt obligations outstanding, including fair market value adjustments and unamortized deferred financing costs, as of December 31, 2021, with corresponding weighted-average interest rates sorted</w:t>
      </w:r>
      <w:r>
        <w:rPr>
          <w:sz w:val="20"/>
          <w:szCs w:val="20"/>
        </w:rPr>
        <w:t xml:space="preserve"> by maturity date. The table does not include extension options where available (amounts in millions).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trPr>
          <w:tblCellSpacing w:w="0" w:type="dxa"/>
        </w:trPr>
        <w:tc>
          <w:tcPr>
            <w:tcW w:w="10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2023</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2024</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2025</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2026</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Thereafter</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1D2166">
        <w:trPr>
          <w:tblCellSpacing w:w="0" w:type="dxa"/>
        </w:trPr>
        <w:tc>
          <w:tcPr>
            <w:tcW w:w="1000" w:type="pct"/>
            <w:shd w:val="clear" w:color="auto" w:fill="CCEEFF"/>
            <w:vAlign w:val="bottom"/>
            <w:hideMark/>
          </w:tcPr>
          <w:p w:rsidR="00000000" w:rsidRDefault="001D2166">
            <w:pPr>
              <w:pStyle w:val="a3"/>
              <w:spacing w:before="0" w:beforeAutospacing="0" w:after="0" w:afterAutospacing="0"/>
              <w:rPr>
                <w:sz w:val="20"/>
                <w:szCs w:val="20"/>
              </w:rPr>
            </w:pPr>
            <w:r>
              <w:rPr>
                <w:b/>
                <w:bCs/>
                <w:sz w:val="20"/>
                <w:szCs w:val="20"/>
                <w:u w:val="single"/>
              </w:rPr>
              <w:t>Secured Debt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r>
      <w:tr w:rsidR="001D2166">
        <w:trPr>
          <w:tblCellSpacing w:w="0" w:type="dxa"/>
        </w:trPr>
        <w:tc>
          <w:tcPr>
            <w:tcW w:w="10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55.8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54.8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216.1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449.8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1D2166">
        <w:trPr>
          <w:tblCellSpacing w:w="0" w:type="dxa"/>
        </w:trPr>
        <w:tc>
          <w:tcPr>
            <w:tcW w:w="10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4.08</w:t>
            </w:r>
          </w:p>
        </w:tc>
        <w:tc>
          <w:tcPr>
            <w:tcW w:w="50" w:type="pct"/>
            <w:shd w:val="clear" w:color="auto" w:fill="CCEEFF"/>
            <w:vAlign w:val="bottom"/>
            <w:hideMark/>
          </w:tcPr>
          <w:p w:rsidR="00000000" w:rsidRDefault="001D2166">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6.74</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4.29</w:t>
            </w:r>
          </w:p>
        </w:tc>
        <w:tc>
          <w:tcPr>
            <w:tcW w:w="50" w:type="pct"/>
            <w:shd w:val="clear" w:color="auto" w:fill="CCEEFF"/>
            <w:vAlign w:val="bottom"/>
            <w:hideMark/>
          </w:tcPr>
          <w:p w:rsidR="00000000" w:rsidRDefault="001D2166">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4.12</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1D2166">
        <w:trPr>
          <w:tblCellSpacing w:w="0" w:type="dxa"/>
        </w:trPr>
        <w:tc>
          <w:tcPr>
            <w:tcW w:w="10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1D2166">
        <w:trPr>
          <w:tblCellSpacing w:w="0" w:type="dxa"/>
        </w:trPr>
        <w:tc>
          <w:tcPr>
            <w:tcW w:w="1000" w:type="pct"/>
            <w:shd w:val="clear" w:color="auto" w:fill="CCEEFF"/>
            <w:vAlign w:val="bottom"/>
            <w:hideMark/>
          </w:tcPr>
          <w:p w:rsidR="00000000" w:rsidRDefault="001D2166">
            <w:pPr>
              <w:pStyle w:val="a3"/>
              <w:spacing w:before="0" w:beforeAutospacing="0" w:after="0" w:afterAutospacing="0"/>
              <w:rPr>
                <w:sz w:val="20"/>
                <w:szCs w:val="20"/>
              </w:rPr>
            </w:pPr>
            <w:r>
              <w:rPr>
                <w:b/>
                <w:bCs/>
                <w:sz w:val="20"/>
                <w:szCs w:val="20"/>
                <w:u w:val="single"/>
              </w:rPr>
              <w:t>Unsecured Debt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r>
      <w:tr w:rsidR="001D2166">
        <w:trPr>
          <w:tblCellSpacing w:w="0" w:type="dxa"/>
        </w:trPr>
        <w:tc>
          <w:tcPr>
            <w:tcW w:w="10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805.1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659.7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661.9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757.8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788.7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3,353.9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7,027.1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7,330.7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1D2166">
        <w:trPr>
          <w:tblCellSpacing w:w="0" w:type="dxa"/>
        </w:trPr>
        <w:tc>
          <w:tcPr>
            <w:tcW w:w="10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3.39</w:t>
            </w:r>
          </w:p>
        </w:tc>
        <w:tc>
          <w:tcPr>
            <w:tcW w:w="50" w:type="pct"/>
            <w:shd w:val="clear" w:color="auto" w:fill="CCEEFF"/>
            <w:vAlign w:val="bottom"/>
            <w:hideMark/>
          </w:tcPr>
          <w:p w:rsidR="00000000" w:rsidRDefault="001D2166">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3.37</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3.48</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3.06</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3.38</w:t>
            </w:r>
          </w:p>
        </w:tc>
        <w:tc>
          <w:tcPr>
            <w:tcW w:w="50" w:type="pct"/>
            <w:shd w:val="clear" w:color="auto" w:fill="CCEEFF"/>
            <w:vAlign w:val="bottom"/>
            <w:hideMark/>
          </w:tcPr>
          <w:p w:rsidR="00000000" w:rsidRDefault="001D2166">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3.35</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8. Financial Statements and Supplementary Data</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response to this Item 8 is included in our audited Consolidated Financial Statements and Notes to Consolidated Financial Statements, which are contained in Part IV, Item 15 of this Form 10-K.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u w:val="single"/>
        </w:rPr>
        <w:t>Item 9. Changes in and Disagr</w:t>
      </w:r>
      <w:r>
        <w:rPr>
          <w:sz w:val="20"/>
          <w:szCs w:val="20"/>
          <w:u w:val="single"/>
        </w:rPr>
        <w:t>eements With Accountants on Accounting and Financial Disclosure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None.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9A. Controls and Procedures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On August 3, 2021, the Company completed the Merger and accordingly the Company’s management has integrated Weingarten</w:t>
      </w:r>
      <w:r>
        <w:rPr>
          <w:sz w:val="20"/>
          <w:szCs w:val="20"/>
        </w:rPr>
        <w:t>’s operations into its internal control over financial reporting, as necessary, to accommodate modifications to its business processes related to the Merger transaction. None of these integration activities had a material impact on our system of internal c</w:t>
      </w:r>
      <w:r>
        <w:rPr>
          <w:sz w:val="20"/>
          <w:szCs w:val="20"/>
        </w:rPr>
        <w:t>ontrol over financial reporting.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i/>
          <w:iCs/>
          <w:sz w:val="20"/>
          <w:szCs w:val="20"/>
        </w:rPr>
        <w:t>Evaluation of Disclosure Controls and Procedures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Company’s management, with the participation of the Company’s Chief Executive Officer and Chief Financial Officer, has evaluated the effectiveness of the Company’s di</w:t>
      </w:r>
      <w:r>
        <w:rPr>
          <w:sz w:val="20"/>
          <w:szCs w:val="20"/>
        </w:rPr>
        <w:t>sclosure controls and procedures (as such term is defined in Rules 13a-15(e) and 15d-15(e) under the Securities Exchange Act of 1934, as amended (the "Exchange Act")) as of the end of the period covered by this report. Based on such evaluation, the Company</w:t>
      </w:r>
      <w:r>
        <w:rPr>
          <w:sz w:val="20"/>
          <w:szCs w:val="20"/>
        </w:rPr>
        <w:t>’s Chief Executive Officer and Chief Financial Officer have concluded that the Company’s disclosure controls and procedures are effective as of 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Changes in Internal Control Over Financial Reporting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There have not been any changes in t</w:t>
      </w:r>
      <w:r>
        <w:rPr>
          <w:sz w:val="20"/>
          <w:szCs w:val="20"/>
        </w:rPr>
        <w:t>he Company’s internal control over financial reporting (as such term is defined in Rules 13a-15(f) and 15d-15(f) under the Exchange Act) during the fourth fiscal quarter ended December 31, 2021, that have materially affected, or are reasonably likely to ma</w:t>
      </w:r>
      <w:r>
        <w:rPr>
          <w:sz w:val="20"/>
          <w:szCs w:val="20"/>
        </w:rPr>
        <w:t>terially affect, the Company’s internal control over financial reporting.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i/>
          <w:iCs/>
          <w:sz w:val="20"/>
          <w:szCs w:val="20"/>
        </w:rPr>
        <w:t>Management</w:t>
      </w:r>
      <w:r>
        <w:rPr>
          <w:sz w:val="20"/>
          <w:szCs w:val="20"/>
        </w:rPr>
        <w:t>’</w:t>
      </w:r>
      <w:r>
        <w:rPr>
          <w:i/>
          <w:iCs/>
          <w:sz w:val="20"/>
          <w:szCs w:val="20"/>
        </w:rPr>
        <w:t xml:space="preserve">s Report on Internal Control Over Financial Reporting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Our management is responsible for establishing and maintaining adequate internal control over financial reportin</w:t>
      </w:r>
      <w:r>
        <w:rPr>
          <w:sz w:val="20"/>
          <w:szCs w:val="20"/>
        </w:rPr>
        <w:t xml:space="preserve">g, as such term is defined in Exchange Act Rule 13a-15(f) and 15d-15(f). Under the supervision and with the participation of our management, including our Chief Executive Officer and Chief Financial Officer, we conducted an evaluation of the effectiveness </w:t>
      </w:r>
      <w:r>
        <w:rPr>
          <w:sz w:val="20"/>
          <w:szCs w:val="20"/>
        </w:rPr>
        <w:t xml:space="preserve">of our internal control over financial reporting based on the framework in the </w:t>
      </w:r>
      <w:r>
        <w:rPr>
          <w:i/>
          <w:iCs/>
          <w:sz w:val="20"/>
          <w:szCs w:val="20"/>
        </w:rPr>
        <w:t>Internal Control - Integrated Framework</w:t>
      </w:r>
      <w:r>
        <w:rPr>
          <w:sz w:val="20"/>
          <w:szCs w:val="20"/>
        </w:rPr>
        <w:t xml:space="preserve"> (</w:t>
      </w:r>
      <w:r>
        <w:rPr>
          <w:i/>
          <w:iCs/>
          <w:sz w:val="20"/>
          <w:szCs w:val="20"/>
        </w:rPr>
        <w:t xml:space="preserve">2013) </w:t>
      </w:r>
      <w:r>
        <w:rPr>
          <w:sz w:val="20"/>
          <w:szCs w:val="20"/>
        </w:rPr>
        <w:t xml:space="preserve">issued by the Committee of Sponsoring Organizations of the Treadway Commission. Based on our evaluation under the framework in </w:t>
      </w:r>
      <w:r>
        <w:rPr>
          <w:i/>
          <w:iCs/>
          <w:sz w:val="20"/>
          <w:szCs w:val="20"/>
        </w:rPr>
        <w:t>Int</w:t>
      </w:r>
      <w:r>
        <w:rPr>
          <w:i/>
          <w:iCs/>
          <w:sz w:val="20"/>
          <w:szCs w:val="20"/>
        </w:rPr>
        <w:t>ernal Control - Integrated Framework (2013)</w:t>
      </w:r>
      <w:r>
        <w:rPr>
          <w:sz w:val="20"/>
          <w:szCs w:val="20"/>
        </w:rPr>
        <w:t>, our management concluded that our internal control over financial reporting was effective as of 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effectiveness of our internal control over financial reporting as of December 31, 2021 has</w:t>
      </w:r>
      <w:r>
        <w:rPr>
          <w:sz w:val="20"/>
          <w:szCs w:val="20"/>
        </w:rPr>
        <w:t xml:space="preserve"> been audited by PricewaterhouseCoopers LLP, an independent registered public accounting firm, as stated in their report which appears under Item 8.</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000380137"/>
        <w:rPr>
          <w:rFonts w:eastAsia="Times New Roman"/>
          <w:sz w:val="20"/>
          <w:szCs w:val="20"/>
        </w:rPr>
      </w:pPr>
      <w:r>
        <w:rPr>
          <w:rFonts w:eastAsia="Times New Roman"/>
          <w:sz w:val="20"/>
          <w:szCs w:val="20"/>
        </w:rPr>
        <w:t xml:space="preserve">41 </w:t>
      </w:r>
    </w:p>
    <w:p w:rsidR="00000000" w:rsidRDefault="001D2166">
      <w:pPr>
        <w:divId w:val="1984852297"/>
        <w:rPr>
          <w:rFonts w:eastAsia="Times New Roman"/>
          <w:sz w:val="20"/>
          <w:szCs w:val="20"/>
        </w:rPr>
      </w:pPr>
      <w:r>
        <w:rPr>
          <w:rFonts w:eastAsia="Times New Roman"/>
          <w:sz w:val="20"/>
          <w:szCs w:val="20"/>
        </w:rPr>
        <w:pict>
          <v:rect id="_x0000_i1073" style="width:415.3pt;height:1.5pt" o:hralign="center" o:hrstd="t" o:hrnoshade="t" o:hr="t" fillcolor="black" stroked="f"/>
        </w:pict>
      </w:r>
    </w:p>
    <w:p w:rsidR="00000000" w:rsidRDefault="001D2166">
      <w:pPr>
        <w:divId w:val="185927073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9B. Other Information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None.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9C. Disclosure Regarding Foreign Jurisdictions that Prevent Inspections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Not applicable.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4600240"/>
        <w:rPr>
          <w:rFonts w:eastAsia="Times New Roman"/>
          <w:sz w:val="20"/>
          <w:szCs w:val="20"/>
        </w:rPr>
      </w:pPr>
      <w:r>
        <w:rPr>
          <w:rFonts w:eastAsia="Times New Roman"/>
          <w:sz w:val="20"/>
          <w:szCs w:val="20"/>
        </w:rPr>
        <w:t xml:space="preserve">42 </w:t>
      </w:r>
    </w:p>
    <w:p w:rsidR="00000000" w:rsidRDefault="001D2166">
      <w:pPr>
        <w:divId w:val="24600240"/>
        <w:rPr>
          <w:rFonts w:eastAsia="Times New Roman"/>
          <w:sz w:val="20"/>
          <w:szCs w:val="20"/>
        </w:rPr>
      </w:pPr>
      <w:r>
        <w:rPr>
          <w:rFonts w:eastAsia="Times New Roman"/>
          <w:sz w:val="20"/>
          <w:szCs w:val="20"/>
        </w:rPr>
        <w:pict>
          <v:rect id="_x0000_i1074" style="width:415.3pt;height:1.5pt" o:hralign="center" o:hrstd="t" o:hrnoshade="t" o:hr="t" fillcolor="black" stroked="f"/>
        </w:pict>
      </w:r>
    </w:p>
    <w:p w:rsidR="00000000" w:rsidRDefault="001D2166">
      <w:pPr>
        <w:divId w:val="4701709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u w:val="single"/>
        </w:rPr>
        <w:t>PART III</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 xml:space="preserve">Item 10. Directors, Executive Officers and Corporate Governance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information required by this item is incorporated by reference to “Proposal 1—Election of Directors,” “Corporate Governance,” “Committees of the Board of Directors,” “Executive Officers</w:t>
      </w:r>
      <w:r>
        <w:rPr>
          <w:sz w:val="20"/>
          <w:szCs w:val="20"/>
        </w:rPr>
        <w:t>,” “Other Matters” and if required, “Delinquent Section 16(a) Reports” in our definitive proxy statement to be filed with respect to the Annual Meeting of Stockholders expected to be held on April 26, 2022 (“Proxy Statement”).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We have adopted a Code of C</w:t>
      </w:r>
      <w:r>
        <w:rPr>
          <w:sz w:val="20"/>
          <w:szCs w:val="20"/>
        </w:rPr>
        <w:t>onduct. The Code of Conduct is available at the Investors/Governance/Governance Documents section of our website at www.kimcorealty.com. A copy of the Code of Ethics is available in print, free of charge, to stockholders upon request to us at the address s</w:t>
      </w:r>
      <w:r>
        <w:rPr>
          <w:sz w:val="20"/>
          <w:szCs w:val="20"/>
        </w:rPr>
        <w:t xml:space="preserve">et forth in Item 1 of this Annual Report on Form 10-K under the section “Business - Overview.” We intend to satisfy the disclosure requirements under the Securities and Exchange Act of 1934, as amended, regarding an amendment to or waiver from a provision </w:t>
      </w:r>
      <w:r>
        <w:rPr>
          <w:sz w:val="20"/>
          <w:szCs w:val="20"/>
        </w:rPr>
        <w:t>of our Code of Ethics by posting such information on our website.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11. Executive Compensation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information required by this item is incorporated by reference to “Compensation Discussion and Analysis,” “Executive Compensation Committee Report,” “Compensation Tables,” “Corporate Governance – Risk Oversight,” “Compensation of Directors” and “Other </w:t>
      </w:r>
      <w:r>
        <w:rPr>
          <w:sz w:val="20"/>
          <w:szCs w:val="20"/>
        </w:rPr>
        <w:t>Matters” in our Proxy Statement.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12. Security Ownership of Certain Beneficial Owners and Management and Related Stockholder Matters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information required by this item is incorporated by reference to “Security Ownership</w:t>
      </w:r>
      <w:r>
        <w:rPr>
          <w:sz w:val="20"/>
          <w:szCs w:val="20"/>
        </w:rPr>
        <w:t xml:space="preserve"> of Certain Beneficial Owners and Management” and “Compensation Tables” in our Proxy Statement.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13. Certain Relationships and Related Transactions, and Director Independence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information required by this item is incor</w:t>
      </w:r>
      <w:r>
        <w:rPr>
          <w:sz w:val="20"/>
          <w:szCs w:val="20"/>
        </w:rPr>
        <w:t>porated by reference to “Certain Relationships and Related Transactions,” “Director Independence" and “Corporate Governance” in our Proxy Statement.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14. Principal Accountant Fees and Services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 xml:space="preserve">The information required by </w:t>
      </w:r>
      <w:r>
        <w:rPr>
          <w:sz w:val="20"/>
          <w:szCs w:val="20"/>
        </w:rPr>
        <w:t>this item is incorporated by reference to “Independent Registered Public Accountants” in our Proxy Statement.</w:t>
      </w:r>
    </w:p>
    <w:p w:rsidR="00000000" w:rsidRDefault="001D2166">
      <w:pPr>
        <w:pStyle w:val="a3"/>
        <w:spacing w:before="0" w:beforeAutospacing="0" w:after="0" w:afterAutospacing="0"/>
        <w:jc w:val="both"/>
        <w:rPr>
          <w:sz w:val="20"/>
          <w:szCs w:val="20"/>
        </w:rPr>
      </w:pPr>
      <w:r>
        <w:rPr>
          <w:sz w:val="20"/>
          <w:szCs w:val="20"/>
        </w:rPr>
        <w:t> </w:t>
      </w:r>
    </w:p>
    <w:p w:rsidR="00000000" w:rsidRDefault="001D2166">
      <w:pPr>
        <w:jc w:val="center"/>
        <w:divId w:val="69695986"/>
        <w:rPr>
          <w:rFonts w:eastAsia="Times New Roman"/>
          <w:sz w:val="20"/>
          <w:szCs w:val="20"/>
        </w:rPr>
      </w:pPr>
      <w:r>
        <w:rPr>
          <w:rFonts w:eastAsia="Times New Roman"/>
          <w:sz w:val="20"/>
          <w:szCs w:val="20"/>
        </w:rPr>
        <w:t xml:space="preserve">43 </w:t>
      </w:r>
    </w:p>
    <w:p w:rsidR="00000000" w:rsidRDefault="001D2166">
      <w:pPr>
        <w:divId w:val="69695986"/>
        <w:rPr>
          <w:rFonts w:eastAsia="Times New Roman"/>
          <w:sz w:val="20"/>
          <w:szCs w:val="20"/>
        </w:rPr>
      </w:pPr>
      <w:r>
        <w:rPr>
          <w:rFonts w:eastAsia="Times New Roman"/>
          <w:sz w:val="20"/>
          <w:szCs w:val="20"/>
        </w:rPr>
        <w:pict>
          <v:rect id="_x0000_i1075" style="width:415.3pt;height:1.5pt" o:hralign="center" o:hrstd="t" o:hrnoshade="t" o:hr="t" fillcolor="black" stroked="f"/>
        </w:pict>
      </w:r>
    </w:p>
    <w:p w:rsidR="00000000" w:rsidRDefault="001D2166">
      <w:pPr>
        <w:divId w:val="46932370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u w:val="single"/>
        </w:rPr>
        <w:t>PART IV</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15. Exhibits and Financial State</w:t>
      </w:r>
      <w:r>
        <w:rPr>
          <w:sz w:val="20"/>
          <w:szCs w:val="20"/>
          <w:u w:val="single"/>
        </w:rPr>
        <w:t>ment Schedules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2"/>
        <w:gridCol w:w="1112"/>
        <w:gridCol w:w="5927"/>
        <w:gridCol w:w="745"/>
      </w:tblGrid>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vAlign w:val="center"/>
            <w:hideMark/>
          </w:tcPr>
          <w:p w:rsidR="00000000" w:rsidRDefault="001D2166">
            <w:pPr>
              <w:pStyle w:val="a3"/>
              <w:spacing w:before="0" w:beforeAutospacing="0" w:after="0" w:afterAutospacing="0"/>
              <w:jc w:val="right"/>
              <w:rPr>
                <w:sz w:val="20"/>
                <w:szCs w:val="20"/>
              </w:rPr>
            </w:pPr>
            <w:r>
              <w:rPr>
                <w:sz w:val="20"/>
                <w:szCs w:val="20"/>
              </w:rPr>
              <w:t>(a)   1.</w:t>
            </w:r>
          </w:p>
        </w:tc>
        <w:tc>
          <w:tcPr>
            <w:tcW w:w="4265" w:type="pct"/>
            <w:gridSpan w:val="2"/>
            <w:vAlign w:val="bottom"/>
            <w:hideMark/>
          </w:tcPr>
          <w:p w:rsidR="00000000" w:rsidRDefault="001D2166">
            <w:pPr>
              <w:pStyle w:val="a3"/>
              <w:spacing w:before="0" w:beforeAutospacing="0" w:after="0" w:afterAutospacing="0"/>
              <w:ind w:left="20" w:hanging="20"/>
              <w:rPr>
                <w:sz w:val="20"/>
                <w:szCs w:val="20"/>
              </w:rPr>
            </w:pPr>
            <w:r>
              <w:rPr>
                <w:sz w:val="20"/>
                <w:szCs w:val="20"/>
              </w:rPr>
              <w:t> Financial Statements – </w:t>
            </w:r>
          </w:p>
          <w:p w:rsidR="00000000" w:rsidRDefault="001D2166">
            <w:pPr>
              <w:pStyle w:val="a3"/>
              <w:spacing w:before="0" w:beforeAutospacing="0" w:after="0" w:afterAutospacing="0"/>
              <w:ind w:left="20" w:hanging="20"/>
              <w:rPr>
                <w:sz w:val="20"/>
                <w:szCs w:val="20"/>
              </w:rPr>
            </w:pPr>
            <w:r>
              <w:rPr>
                <w:sz w:val="20"/>
                <w:szCs w:val="20"/>
              </w:rPr>
              <w:t> </w:t>
            </w:r>
            <w:r>
              <w:rPr>
                <w:sz w:val="20"/>
                <w:szCs w:val="20"/>
              </w:rPr>
              <w:t>The following consolidated financial information is included as a separate section of this annual report on Form 10-K.</w:t>
            </w:r>
          </w:p>
        </w:tc>
        <w:tc>
          <w:tcPr>
            <w:tcW w:w="46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sz w:val="20"/>
                <w:szCs w:val="20"/>
              </w:rPr>
              <w:t>Form 10-K</w:t>
            </w:r>
            <w:r>
              <w:rPr>
                <w:sz w:val="20"/>
                <w:szCs w:val="20"/>
              </w:rPr>
              <w:br/>
              <w:t>Report</w:t>
            </w:r>
            <w:r>
              <w:rPr>
                <w:sz w:val="20"/>
                <w:szCs w:val="20"/>
              </w:rPr>
              <w:br/>
              <w:t>Page</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 w:hanging="20"/>
              <w:rPr>
                <w:sz w:val="20"/>
                <w:szCs w:val="20"/>
              </w:rPr>
            </w:pPr>
            <w:hyperlink w:anchor="audit_rpt" w:history="1">
              <w:r>
                <w:rPr>
                  <w:rStyle w:val="a4"/>
                  <w:sz w:val="20"/>
                  <w:szCs w:val="20"/>
                </w:rPr>
                <w:t>Report of Independent Registered Public Accounting Firm (PCAOB ID 238)</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audit_rpt" w:history="1">
              <w:r>
                <w:rPr>
                  <w:rStyle w:val="a4"/>
                  <w:sz w:val="20"/>
                  <w:szCs w:val="20"/>
                </w:rPr>
                <w:t>49</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 w:hanging="20"/>
              <w:rPr>
                <w:sz w:val="20"/>
                <w:szCs w:val="20"/>
              </w:rPr>
            </w:pPr>
            <w:r>
              <w:rPr>
                <w:sz w:val="20"/>
                <w:szCs w:val="20"/>
              </w:rPr>
              <w:t>Consolidated Financial Statements</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0" w:hanging="20"/>
              <w:rPr>
                <w:sz w:val="20"/>
                <w:szCs w:val="20"/>
              </w:rPr>
            </w:pPr>
            <w:hyperlink w:anchor="bal_sheet" w:history="1">
              <w:r>
                <w:rPr>
                  <w:rStyle w:val="a4"/>
                  <w:sz w:val="20"/>
                  <w:szCs w:val="20"/>
                </w:rPr>
                <w:t>Consolidated Balance Sheets as of December 31, 2021 and 2020</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bal_sheet" w:history="1">
              <w:r>
                <w:rPr>
                  <w:rStyle w:val="a4"/>
                  <w:sz w:val="20"/>
                  <w:szCs w:val="20"/>
                </w:rPr>
                <w:t>51</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0" w:hanging="20"/>
              <w:rPr>
                <w:sz w:val="20"/>
                <w:szCs w:val="20"/>
              </w:rPr>
            </w:pPr>
            <w:hyperlink w:anchor="ops" w:history="1">
              <w:r>
                <w:rPr>
                  <w:rStyle w:val="a4"/>
                  <w:sz w:val="20"/>
                  <w:szCs w:val="20"/>
                </w:rPr>
                <w:t>Consolidated Statements of Income for the years ended December 31, 2021, 2020 and 2019</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ops" w:history="1">
              <w:r>
                <w:rPr>
                  <w:rStyle w:val="a4"/>
                  <w:sz w:val="20"/>
                  <w:szCs w:val="20"/>
                </w:rPr>
                <w:t>52</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0" w:hanging="20"/>
              <w:rPr>
                <w:sz w:val="20"/>
                <w:szCs w:val="20"/>
              </w:rPr>
            </w:pPr>
            <w:hyperlink w:anchor="comp_income" w:history="1">
              <w:r>
                <w:rPr>
                  <w:rStyle w:val="a4"/>
                  <w:sz w:val="20"/>
                  <w:szCs w:val="20"/>
                </w:rPr>
                <w:t xml:space="preserve">Consolidated Statements of Comprehensive Income for the years ended </w:t>
              </w:r>
              <w:r>
                <w:rPr>
                  <w:rStyle w:val="a4"/>
                  <w:sz w:val="20"/>
                  <w:szCs w:val="20"/>
                </w:rPr>
                <w:t>December 31, 2021, 2020 and 2019</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comp_income" w:history="1">
              <w:r>
                <w:rPr>
                  <w:rStyle w:val="a4"/>
                  <w:sz w:val="20"/>
                  <w:szCs w:val="20"/>
                </w:rPr>
                <w:t>53</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0" w:hanging="20"/>
              <w:rPr>
                <w:sz w:val="20"/>
                <w:szCs w:val="20"/>
              </w:rPr>
            </w:pPr>
            <w:hyperlink w:anchor="equity" w:history="1">
              <w:r>
                <w:rPr>
                  <w:rStyle w:val="a4"/>
                  <w:sz w:val="20"/>
                  <w:szCs w:val="20"/>
                </w:rPr>
                <w:t>Consolidated Statements of Changes in Equity for the years ended December 31, 2021, 2020 and 2019</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equity" w:history="1">
              <w:r>
                <w:rPr>
                  <w:rStyle w:val="a4"/>
                  <w:sz w:val="20"/>
                  <w:szCs w:val="20"/>
                </w:rPr>
                <w:t>54</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0" w:hanging="20"/>
              <w:rPr>
                <w:sz w:val="20"/>
                <w:szCs w:val="20"/>
              </w:rPr>
            </w:pPr>
            <w:hyperlink w:anchor="cash_flow" w:history="1">
              <w:r>
                <w:rPr>
                  <w:rStyle w:val="a4"/>
                  <w:sz w:val="20"/>
                  <w:szCs w:val="20"/>
                </w:rPr>
                <w:t xml:space="preserve">Consolidated Statements of Cash Flows for the years ended December 31, 2021, 2020 </w:t>
              </w:r>
              <w:r>
                <w:rPr>
                  <w:rStyle w:val="a4"/>
                  <w:sz w:val="20"/>
                  <w:szCs w:val="20"/>
                </w:rPr>
                <w:t>and 2019</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cash_flow" w:history="1">
              <w:r>
                <w:rPr>
                  <w:rStyle w:val="a4"/>
                  <w:sz w:val="20"/>
                  <w:szCs w:val="20"/>
                </w:rPr>
                <w:t>55</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 w:hanging="20"/>
              <w:rPr>
                <w:sz w:val="20"/>
                <w:szCs w:val="20"/>
              </w:rPr>
            </w:pPr>
            <w:hyperlink w:anchor="notes" w:history="1">
              <w:r>
                <w:rPr>
                  <w:rStyle w:val="a4"/>
                  <w:sz w:val="20"/>
                  <w:szCs w:val="20"/>
                </w:rPr>
                <w:t>Notes to Consolidated Financial Statements</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notes" w:history="1">
              <w:r>
                <w:rPr>
                  <w:rStyle w:val="a4"/>
                  <w:sz w:val="20"/>
                  <w:szCs w:val="20"/>
                </w:rPr>
                <w:t>56</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pStyle w:val="a3"/>
              <w:spacing w:before="0" w:beforeAutospacing="0" w:after="0" w:afterAutospacing="0"/>
              <w:jc w:val="right"/>
              <w:rPr>
                <w:sz w:val="20"/>
                <w:szCs w:val="20"/>
              </w:rPr>
            </w:pPr>
            <w:r>
              <w:rPr>
                <w:sz w:val="20"/>
                <w:szCs w:val="20"/>
              </w:rPr>
              <w:t>2.</w:t>
            </w:r>
          </w:p>
        </w:tc>
        <w:tc>
          <w:tcPr>
            <w:tcW w:w="4265" w:type="pct"/>
            <w:gridSpan w:val="2"/>
            <w:hideMark/>
          </w:tcPr>
          <w:p w:rsidR="00000000" w:rsidRDefault="001D2166">
            <w:pPr>
              <w:pStyle w:val="a3"/>
              <w:spacing w:before="0" w:beforeAutospacing="0" w:after="0" w:afterAutospacing="0"/>
              <w:ind w:left="20" w:hanging="20"/>
              <w:rPr>
                <w:sz w:val="20"/>
                <w:szCs w:val="20"/>
              </w:rPr>
            </w:pPr>
            <w:r>
              <w:rPr>
                <w:sz w:val="20"/>
                <w:szCs w:val="20"/>
              </w:rPr>
              <w:t> Financial Statement Schedules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685" w:type="pct"/>
            <w:hideMark/>
          </w:tcPr>
          <w:p w:rsidR="00000000" w:rsidRDefault="001D2166">
            <w:pPr>
              <w:pStyle w:val="a3"/>
              <w:spacing w:before="0" w:beforeAutospacing="0" w:after="0" w:afterAutospacing="0"/>
              <w:ind w:left="20" w:hanging="20"/>
              <w:rPr>
                <w:sz w:val="20"/>
                <w:szCs w:val="20"/>
              </w:rPr>
            </w:pPr>
            <w:r>
              <w:rPr>
                <w:sz w:val="20"/>
                <w:szCs w:val="20"/>
              </w:rPr>
              <w:t> </w:t>
            </w:r>
            <w:hyperlink w:anchor="sc_2" w:history="1">
              <w:r>
                <w:rPr>
                  <w:rStyle w:val="a4"/>
                  <w:sz w:val="20"/>
                  <w:szCs w:val="20"/>
                </w:rPr>
                <w:t>Schedule II -</w:t>
              </w:r>
            </w:hyperlink>
          </w:p>
        </w:tc>
        <w:tc>
          <w:tcPr>
            <w:tcW w:w="3580" w:type="pct"/>
            <w:hideMark/>
          </w:tcPr>
          <w:p w:rsidR="00000000" w:rsidRDefault="001D2166">
            <w:pPr>
              <w:pStyle w:val="a3"/>
              <w:spacing w:before="0" w:beforeAutospacing="0" w:after="0" w:afterAutospacing="0"/>
              <w:ind w:left="20" w:hanging="20"/>
              <w:rPr>
                <w:sz w:val="20"/>
                <w:szCs w:val="20"/>
              </w:rPr>
            </w:pPr>
            <w:hyperlink w:anchor="sc_2" w:history="1">
              <w:r>
                <w:rPr>
                  <w:rStyle w:val="a4"/>
                  <w:sz w:val="20"/>
                  <w:szCs w:val="20"/>
                </w:rPr>
                <w:t>Valuation and Qualifying Accounts for the years ended December 31, 2021, 2020 and 2019</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sc_2" w:history="1">
              <w:r>
                <w:rPr>
                  <w:rStyle w:val="a4"/>
                  <w:sz w:val="20"/>
                  <w:szCs w:val="20"/>
                </w:rPr>
                <w:t>97</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685" w:type="pct"/>
            <w:hideMark/>
          </w:tcPr>
          <w:p w:rsidR="00000000" w:rsidRDefault="001D2166">
            <w:pPr>
              <w:pStyle w:val="a3"/>
              <w:spacing w:before="0" w:beforeAutospacing="0" w:after="0" w:afterAutospacing="0"/>
              <w:ind w:left="20" w:hanging="20"/>
              <w:rPr>
                <w:sz w:val="20"/>
                <w:szCs w:val="20"/>
              </w:rPr>
            </w:pPr>
            <w:r>
              <w:rPr>
                <w:sz w:val="20"/>
                <w:szCs w:val="20"/>
              </w:rPr>
              <w:t> </w:t>
            </w:r>
            <w:hyperlink w:anchor="sc_3" w:history="1">
              <w:r>
                <w:rPr>
                  <w:rStyle w:val="a4"/>
                  <w:sz w:val="20"/>
                  <w:szCs w:val="20"/>
                </w:rPr>
                <w:t>Schedule III -</w:t>
              </w:r>
            </w:hyperlink>
          </w:p>
        </w:tc>
        <w:tc>
          <w:tcPr>
            <w:tcW w:w="3580" w:type="pct"/>
            <w:hideMark/>
          </w:tcPr>
          <w:p w:rsidR="00000000" w:rsidRDefault="001D2166">
            <w:pPr>
              <w:pStyle w:val="a3"/>
              <w:spacing w:before="0" w:beforeAutospacing="0" w:after="0" w:afterAutospacing="0"/>
              <w:ind w:left="20" w:hanging="20"/>
              <w:rPr>
                <w:sz w:val="20"/>
                <w:szCs w:val="20"/>
              </w:rPr>
            </w:pPr>
            <w:hyperlink w:anchor="sc_3" w:history="1">
              <w:r>
                <w:rPr>
                  <w:rStyle w:val="a4"/>
                  <w:sz w:val="20"/>
                  <w:szCs w:val="20"/>
                </w:rPr>
                <w:t>Real Estate and Accumulated Depreciation as of December 31, 2021</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sc_3" w:history="1">
              <w:r>
                <w:rPr>
                  <w:rStyle w:val="a4"/>
                  <w:sz w:val="20"/>
                  <w:szCs w:val="20"/>
                </w:rPr>
                <w:t>98</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685" w:type="pct"/>
            <w:hideMark/>
          </w:tcPr>
          <w:p w:rsidR="00000000" w:rsidRDefault="001D2166">
            <w:pPr>
              <w:pStyle w:val="a3"/>
              <w:spacing w:before="0" w:beforeAutospacing="0" w:after="0" w:afterAutospacing="0"/>
              <w:ind w:left="20" w:hanging="20"/>
              <w:rPr>
                <w:sz w:val="20"/>
                <w:szCs w:val="20"/>
              </w:rPr>
            </w:pPr>
            <w:r>
              <w:rPr>
                <w:sz w:val="20"/>
                <w:szCs w:val="20"/>
              </w:rPr>
              <w:t> </w:t>
            </w:r>
            <w:hyperlink w:anchor="sc_4" w:history="1">
              <w:r>
                <w:rPr>
                  <w:rStyle w:val="a4"/>
                  <w:sz w:val="20"/>
                  <w:szCs w:val="20"/>
                </w:rPr>
                <w:t>Schedule IV -</w:t>
              </w:r>
            </w:hyperlink>
          </w:p>
        </w:tc>
        <w:tc>
          <w:tcPr>
            <w:tcW w:w="3580" w:type="pct"/>
            <w:hideMark/>
          </w:tcPr>
          <w:p w:rsidR="00000000" w:rsidRDefault="001D2166">
            <w:pPr>
              <w:pStyle w:val="a3"/>
              <w:spacing w:before="0" w:beforeAutospacing="0" w:after="0" w:afterAutospacing="0"/>
              <w:ind w:left="20" w:hanging="20"/>
              <w:rPr>
                <w:sz w:val="20"/>
                <w:szCs w:val="20"/>
              </w:rPr>
            </w:pPr>
            <w:hyperlink w:anchor="sc_4" w:history="1">
              <w:r>
                <w:rPr>
                  <w:rStyle w:val="a4"/>
                  <w:sz w:val="20"/>
                  <w:szCs w:val="20"/>
                </w:rPr>
                <w:t>Mortgage Loans on Real Estate as of December 31, 2021</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sc_4" w:history="1">
              <w:r>
                <w:rPr>
                  <w:rStyle w:val="a4"/>
                  <w:sz w:val="20"/>
                  <w:szCs w:val="20"/>
                </w:rPr>
                <w:t>100</w:t>
              </w:r>
            </w:hyperlink>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 w:hanging="20"/>
              <w:rPr>
                <w:sz w:val="20"/>
                <w:szCs w:val="20"/>
              </w:rPr>
            </w:pPr>
            <w:r>
              <w:rPr>
                <w:sz w:val="20"/>
                <w:szCs w:val="20"/>
              </w:rPr>
              <w:t> </w:t>
            </w:r>
            <w:r>
              <w:rPr>
                <w:sz w:val="20"/>
                <w:szCs w:val="20"/>
              </w:rPr>
              <w:t>All other schedules are omitted since the required information is not present or is not present in amounts sufficient to require submission of the schedule.</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pStyle w:val="a3"/>
              <w:spacing w:before="0" w:beforeAutospacing="0" w:after="0" w:afterAutospacing="0"/>
              <w:jc w:val="right"/>
              <w:rPr>
                <w:sz w:val="20"/>
                <w:szCs w:val="20"/>
              </w:rPr>
            </w:pPr>
            <w:r>
              <w:rPr>
                <w:sz w:val="20"/>
                <w:szCs w:val="20"/>
              </w:rPr>
              <w:t>3.</w:t>
            </w:r>
          </w:p>
        </w:tc>
        <w:tc>
          <w:tcPr>
            <w:tcW w:w="4265" w:type="pct"/>
            <w:gridSpan w:val="2"/>
            <w:hideMark/>
          </w:tcPr>
          <w:p w:rsidR="00000000" w:rsidRDefault="001D2166">
            <w:pPr>
              <w:pStyle w:val="a3"/>
              <w:spacing w:before="0" w:beforeAutospacing="0" w:after="0" w:afterAutospacing="0"/>
              <w:rPr>
                <w:sz w:val="20"/>
                <w:szCs w:val="20"/>
              </w:rPr>
            </w:pPr>
            <w:r>
              <w:rPr>
                <w:sz w:val="20"/>
                <w:szCs w:val="20"/>
              </w:rPr>
              <w:t> Exhibits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rPr>
                <w:rFonts w:eastAsia="Times New Roman"/>
                <w:sz w:val="20"/>
                <w:szCs w:val="20"/>
              </w:rPr>
            </w:pPr>
            <w:r>
              <w:rPr>
                <w:rFonts w:eastAsia="Times New Roman"/>
                <w:sz w:val="20"/>
                <w:szCs w:val="20"/>
              </w:rPr>
              <w:t> </w:t>
            </w:r>
          </w:p>
        </w:tc>
        <w:tc>
          <w:tcPr>
            <w:tcW w:w="465"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5" w:type="pct"/>
            <w:hideMark/>
          </w:tcPr>
          <w:p w:rsidR="00000000" w:rsidRDefault="001D2166">
            <w:pPr>
              <w:rPr>
                <w:rFonts w:eastAsia="Times New Roman"/>
                <w:sz w:val="20"/>
                <w:szCs w:val="20"/>
              </w:rPr>
            </w:pPr>
            <w:r>
              <w:rPr>
                <w:rFonts w:eastAsia="Times New Roman"/>
                <w:sz w:val="20"/>
                <w:szCs w:val="20"/>
              </w:rPr>
              <w:t> </w:t>
            </w:r>
          </w:p>
        </w:tc>
        <w:tc>
          <w:tcPr>
            <w:tcW w:w="4265" w:type="pct"/>
            <w:gridSpan w:val="2"/>
            <w:hideMark/>
          </w:tcPr>
          <w:p w:rsidR="00000000" w:rsidRDefault="001D2166">
            <w:pPr>
              <w:pStyle w:val="a3"/>
              <w:spacing w:before="0" w:beforeAutospacing="0" w:after="0" w:afterAutospacing="0"/>
              <w:ind w:left="20" w:hanging="20"/>
              <w:rPr>
                <w:sz w:val="20"/>
                <w:szCs w:val="20"/>
              </w:rPr>
            </w:pPr>
            <w:r>
              <w:rPr>
                <w:sz w:val="20"/>
                <w:szCs w:val="20"/>
              </w:rPr>
              <w:t> </w:t>
            </w:r>
            <w:hyperlink w:anchor="index_exhibits" w:history="1">
              <w:r>
                <w:rPr>
                  <w:rStyle w:val="a4"/>
                  <w:sz w:val="20"/>
                  <w:szCs w:val="20"/>
                </w:rPr>
                <w:t>The exhibits listed on the accompanying Index to Exhibits are filed as part of this report.</w:t>
              </w:r>
            </w:hyperlink>
          </w:p>
        </w:tc>
        <w:tc>
          <w:tcPr>
            <w:tcW w:w="465" w:type="pct"/>
            <w:vAlign w:val="bottom"/>
            <w:hideMark/>
          </w:tcPr>
          <w:p w:rsidR="00000000" w:rsidRDefault="001D2166">
            <w:pPr>
              <w:pStyle w:val="a3"/>
              <w:spacing w:before="0" w:beforeAutospacing="0" w:after="0" w:afterAutospacing="0"/>
              <w:jc w:val="center"/>
              <w:rPr>
                <w:sz w:val="20"/>
                <w:szCs w:val="20"/>
              </w:rPr>
            </w:pPr>
            <w:hyperlink w:anchor="index_exhibits" w:history="1">
              <w:r>
                <w:rPr>
                  <w:rStyle w:val="a4"/>
                  <w:sz w:val="20"/>
                  <w:szCs w:val="20"/>
                </w:rPr>
                <w:t>45</w:t>
              </w:r>
            </w:hyperlink>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u w:val="single"/>
        </w:rPr>
        <w:t>Item 16. Form 10-K Summary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None.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91790189"/>
        <w:rPr>
          <w:rFonts w:eastAsia="Times New Roman"/>
          <w:sz w:val="20"/>
          <w:szCs w:val="20"/>
        </w:rPr>
      </w:pPr>
      <w:r>
        <w:rPr>
          <w:rFonts w:eastAsia="Times New Roman"/>
          <w:sz w:val="20"/>
          <w:szCs w:val="20"/>
        </w:rPr>
        <w:t xml:space="preserve">44 </w:t>
      </w:r>
    </w:p>
    <w:p w:rsidR="00000000" w:rsidRDefault="001D2166">
      <w:pPr>
        <w:divId w:val="1991790189"/>
        <w:rPr>
          <w:rFonts w:eastAsia="Times New Roman"/>
          <w:sz w:val="20"/>
          <w:szCs w:val="20"/>
        </w:rPr>
      </w:pPr>
      <w:r>
        <w:rPr>
          <w:rFonts w:eastAsia="Times New Roman"/>
          <w:sz w:val="20"/>
          <w:szCs w:val="20"/>
        </w:rPr>
        <w:pict>
          <v:rect id="_x0000_i1076" style="width:415.3pt;height:1.5pt" o:hralign="center" o:hrstd="t" o:hrnoshade="t" o:hr="t" fillcolor="black" stroked="f"/>
        </w:pict>
      </w:r>
    </w:p>
    <w:p w:rsidR="00000000" w:rsidRDefault="001D2166">
      <w:pPr>
        <w:divId w:val="6766160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firstLine="360"/>
        <w:jc w:val="center"/>
        <w:rPr>
          <w:sz w:val="20"/>
          <w:szCs w:val="20"/>
        </w:rPr>
      </w:pPr>
      <w:r>
        <w:rPr>
          <w:b/>
          <w:bCs/>
          <w:sz w:val="20"/>
          <w:szCs w:val="20"/>
          <w:u w:val="single"/>
        </w:rPr>
        <w:t>INDEX TO EXHIBITS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8"/>
        <w:gridCol w:w="3330"/>
        <w:gridCol w:w="573"/>
        <w:gridCol w:w="648"/>
        <w:gridCol w:w="714"/>
        <w:gridCol w:w="712"/>
        <w:gridCol w:w="879"/>
        <w:gridCol w:w="712"/>
      </w:tblGrid>
      <w:tr w:rsidR="00000000">
        <w:trPr>
          <w:tblCellSpacing w:w="0" w:type="dxa"/>
        </w:trPr>
        <w:tc>
          <w:tcPr>
            <w:tcW w:w="510" w:type="pct"/>
            <w:vAlign w:val="bottom"/>
            <w:hideMark/>
          </w:tcPr>
          <w:p w:rsidR="00000000" w:rsidRDefault="001D2166">
            <w:pPr>
              <w:rPr>
                <w:rFonts w:eastAsia="Times New Roman"/>
                <w:sz w:val="20"/>
                <w:szCs w:val="20"/>
              </w:rPr>
            </w:pPr>
            <w:r>
              <w:rPr>
                <w:rFonts w:eastAsia="Times New Roman"/>
                <w:sz w:val="20"/>
                <w:szCs w:val="20"/>
              </w:rPr>
              <w:t> </w:t>
            </w:r>
          </w:p>
        </w:tc>
        <w:tc>
          <w:tcPr>
            <w:tcW w:w="2070" w:type="pct"/>
            <w:vAlign w:val="bottom"/>
            <w:hideMark/>
          </w:tcPr>
          <w:p w:rsidR="00000000" w:rsidRDefault="001D2166">
            <w:pPr>
              <w:rPr>
                <w:rFonts w:eastAsia="Times New Roman"/>
                <w:sz w:val="20"/>
                <w:szCs w:val="20"/>
              </w:rPr>
            </w:pPr>
            <w:r>
              <w:rPr>
                <w:rFonts w:eastAsia="Times New Roman"/>
                <w:sz w:val="20"/>
                <w:szCs w:val="20"/>
              </w:rPr>
              <w:t> </w:t>
            </w:r>
          </w:p>
        </w:tc>
        <w:tc>
          <w:tcPr>
            <w:tcW w:w="1730" w:type="pct"/>
            <w:gridSpan w:val="4"/>
            <w:hideMark/>
          </w:tcPr>
          <w:p w:rsidR="00000000" w:rsidRDefault="001D2166">
            <w:pPr>
              <w:pStyle w:val="a3"/>
              <w:spacing w:before="0" w:beforeAutospacing="0" w:after="0" w:afterAutospacing="0"/>
              <w:jc w:val="center"/>
              <w:rPr>
                <w:sz w:val="20"/>
                <w:szCs w:val="20"/>
              </w:rPr>
            </w:pPr>
            <w:r>
              <w:rPr>
                <w:b/>
                <w:bCs/>
                <w:sz w:val="20"/>
                <w:szCs w:val="20"/>
                <w:u w:val="single"/>
              </w:rPr>
              <w:t>Incorporated by Reference</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vAlign w:val="bottom"/>
            <w:hideMark/>
          </w:tcPr>
          <w:p w:rsidR="00000000" w:rsidRDefault="001D2166">
            <w:pPr>
              <w:pStyle w:val="a3"/>
              <w:spacing w:before="0" w:beforeAutospacing="0" w:after="0" w:afterAutospacing="0"/>
              <w:jc w:val="center"/>
              <w:rPr>
                <w:sz w:val="20"/>
                <w:szCs w:val="20"/>
              </w:rPr>
            </w:pPr>
            <w:r>
              <w:rPr>
                <w:b/>
                <w:bCs/>
                <w:sz w:val="20"/>
                <w:szCs w:val="20"/>
              </w:rPr>
              <w:t xml:space="preserve">Exhibit </w:t>
            </w:r>
          </w:p>
          <w:p w:rsidR="00000000" w:rsidRDefault="001D2166">
            <w:pPr>
              <w:pStyle w:val="a3"/>
              <w:spacing w:before="0" w:beforeAutospacing="0" w:after="0" w:afterAutospacing="0"/>
              <w:jc w:val="center"/>
              <w:rPr>
                <w:sz w:val="20"/>
                <w:szCs w:val="20"/>
              </w:rPr>
            </w:pPr>
            <w:r>
              <w:rPr>
                <w:b/>
                <w:bCs/>
                <w:sz w:val="20"/>
                <w:szCs w:val="20"/>
                <w:u w:val="single"/>
              </w:rPr>
              <w:t>Number</w:t>
            </w:r>
          </w:p>
        </w:tc>
        <w:tc>
          <w:tcPr>
            <w:tcW w:w="2070" w:type="pct"/>
            <w:vAlign w:val="bottom"/>
            <w:hideMark/>
          </w:tcPr>
          <w:p w:rsidR="00000000" w:rsidRDefault="001D2166">
            <w:pPr>
              <w:pStyle w:val="a3"/>
              <w:spacing w:before="0" w:beforeAutospacing="0" w:after="0" w:afterAutospacing="0"/>
              <w:jc w:val="center"/>
              <w:rPr>
                <w:sz w:val="20"/>
                <w:szCs w:val="20"/>
              </w:rPr>
            </w:pPr>
            <w:r>
              <w:rPr>
                <w:b/>
                <w:bCs/>
                <w:sz w:val="20"/>
                <w:szCs w:val="20"/>
                <w:u w:val="single"/>
              </w:rPr>
              <w:t>Exhibit Description</w:t>
            </w:r>
          </w:p>
        </w:tc>
        <w:tc>
          <w:tcPr>
            <w:tcW w:w="410" w:type="pct"/>
            <w:vAlign w:val="bottom"/>
            <w:hideMark/>
          </w:tcPr>
          <w:p w:rsidR="00000000" w:rsidRDefault="001D2166">
            <w:pPr>
              <w:pStyle w:val="a3"/>
              <w:spacing w:before="0" w:beforeAutospacing="0" w:after="0" w:afterAutospacing="0"/>
              <w:jc w:val="center"/>
              <w:rPr>
                <w:sz w:val="20"/>
                <w:szCs w:val="20"/>
              </w:rPr>
            </w:pPr>
            <w:r>
              <w:rPr>
                <w:b/>
                <w:bCs/>
                <w:sz w:val="20"/>
                <w:szCs w:val="20"/>
                <w:u w:val="single"/>
              </w:rPr>
              <w:t>Form</w:t>
            </w:r>
          </w:p>
        </w:tc>
        <w:tc>
          <w:tcPr>
            <w:tcW w:w="455" w:type="pct"/>
            <w:vAlign w:val="bottom"/>
            <w:hideMark/>
          </w:tcPr>
          <w:p w:rsidR="00000000" w:rsidRDefault="001D2166">
            <w:pPr>
              <w:pStyle w:val="a3"/>
              <w:spacing w:before="0" w:beforeAutospacing="0" w:after="0" w:afterAutospacing="0"/>
              <w:jc w:val="center"/>
              <w:rPr>
                <w:sz w:val="20"/>
                <w:szCs w:val="20"/>
              </w:rPr>
            </w:pPr>
            <w:r>
              <w:rPr>
                <w:b/>
                <w:bCs/>
                <w:sz w:val="20"/>
                <w:szCs w:val="20"/>
                <w:u w:val="single"/>
              </w:rPr>
              <w:t>File No.</w:t>
            </w:r>
          </w:p>
        </w:tc>
        <w:tc>
          <w:tcPr>
            <w:tcW w:w="495" w:type="pct"/>
            <w:vAlign w:val="bottom"/>
            <w:hideMark/>
          </w:tcPr>
          <w:p w:rsidR="00000000" w:rsidRDefault="001D2166">
            <w:pPr>
              <w:pStyle w:val="a3"/>
              <w:spacing w:before="0" w:beforeAutospacing="0" w:after="0" w:afterAutospacing="0"/>
              <w:jc w:val="center"/>
              <w:rPr>
                <w:sz w:val="20"/>
                <w:szCs w:val="20"/>
              </w:rPr>
            </w:pPr>
            <w:r>
              <w:rPr>
                <w:b/>
                <w:bCs/>
                <w:sz w:val="20"/>
                <w:szCs w:val="20"/>
              </w:rPr>
              <w:t>Date of</w:t>
            </w:r>
          </w:p>
          <w:p w:rsidR="00000000" w:rsidRDefault="001D2166">
            <w:pPr>
              <w:pStyle w:val="a3"/>
              <w:spacing w:before="0" w:beforeAutospacing="0" w:after="0" w:afterAutospacing="0"/>
              <w:jc w:val="center"/>
              <w:rPr>
                <w:sz w:val="20"/>
                <w:szCs w:val="20"/>
              </w:rPr>
            </w:pPr>
            <w:r>
              <w:rPr>
                <w:b/>
                <w:bCs/>
                <w:sz w:val="20"/>
                <w:szCs w:val="20"/>
                <w:u w:val="single"/>
              </w:rPr>
              <w:t>Filing</w:t>
            </w:r>
          </w:p>
        </w:tc>
        <w:tc>
          <w:tcPr>
            <w:tcW w:w="370" w:type="pct"/>
            <w:vAlign w:val="bottom"/>
            <w:hideMark/>
          </w:tcPr>
          <w:p w:rsidR="00000000" w:rsidRDefault="001D2166">
            <w:pPr>
              <w:pStyle w:val="a3"/>
              <w:spacing w:before="0" w:beforeAutospacing="0" w:after="0" w:afterAutospacing="0"/>
              <w:jc w:val="center"/>
              <w:rPr>
                <w:sz w:val="20"/>
                <w:szCs w:val="20"/>
              </w:rPr>
            </w:pPr>
            <w:r>
              <w:rPr>
                <w:b/>
                <w:bCs/>
                <w:sz w:val="20"/>
                <w:szCs w:val="20"/>
              </w:rPr>
              <w:t>Exhibit</w:t>
            </w:r>
          </w:p>
          <w:p w:rsidR="00000000" w:rsidRDefault="001D2166">
            <w:pPr>
              <w:pStyle w:val="a3"/>
              <w:spacing w:before="0" w:beforeAutospacing="0" w:after="0" w:afterAutospacing="0"/>
              <w:jc w:val="center"/>
              <w:rPr>
                <w:sz w:val="20"/>
                <w:szCs w:val="20"/>
              </w:rPr>
            </w:pPr>
            <w:r>
              <w:rPr>
                <w:b/>
                <w:bCs/>
                <w:sz w:val="20"/>
                <w:szCs w:val="20"/>
                <w:u w:val="single"/>
              </w:rPr>
              <w:t>Number</w:t>
            </w:r>
          </w:p>
        </w:tc>
        <w:tc>
          <w:tcPr>
            <w:tcW w:w="410" w:type="pct"/>
            <w:vAlign w:val="bottom"/>
            <w:hideMark/>
          </w:tcPr>
          <w:p w:rsidR="00000000" w:rsidRDefault="001D2166">
            <w:pPr>
              <w:pStyle w:val="a3"/>
              <w:spacing w:before="0" w:beforeAutospacing="0" w:after="0" w:afterAutospacing="0"/>
              <w:jc w:val="center"/>
              <w:rPr>
                <w:sz w:val="20"/>
                <w:szCs w:val="20"/>
              </w:rPr>
            </w:pPr>
            <w:r>
              <w:rPr>
                <w:b/>
                <w:bCs/>
                <w:sz w:val="20"/>
                <w:szCs w:val="20"/>
              </w:rPr>
              <w:t>Filed/</w:t>
            </w:r>
          </w:p>
          <w:p w:rsidR="00000000" w:rsidRDefault="001D2166">
            <w:pPr>
              <w:pStyle w:val="a3"/>
              <w:spacing w:before="0" w:beforeAutospacing="0" w:after="0" w:afterAutospacing="0"/>
              <w:jc w:val="center"/>
              <w:rPr>
                <w:sz w:val="20"/>
                <w:szCs w:val="20"/>
              </w:rPr>
            </w:pPr>
            <w:r>
              <w:rPr>
                <w:b/>
                <w:bCs/>
                <w:sz w:val="20"/>
                <w:szCs w:val="20"/>
              </w:rPr>
              <w:t xml:space="preserve">Furnished </w:t>
            </w:r>
          </w:p>
          <w:p w:rsidR="00000000" w:rsidRDefault="001D2166">
            <w:pPr>
              <w:pStyle w:val="a3"/>
              <w:spacing w:before="0" w:beforeAutospacing="0" w:after="0" w:afterAutospacing="0"/>
              <w:jc w:val="center"/>
              <w:rPr>
                <w:sz w:val="20"/>
                <w:szCs w:val="20"/>
              </w:rPr>
            </w:pPr>
            <w:r>
              <w:rPr>
                <w:b/>
                <w:bCs/>
                <w:sz w:val="20"/>
                <w:szCs w:val="20"/>
                <w:u w:val="single"/>
              </w:rPr>
              <w:t>Herewith</w:t>
            </w:r>
          </w:p>
        </w:tc>
        <w:tc>
          <w:tcPr>
            <w:tcW w:w="330" w:type="pct"/>
            <w:vAlign w:val="bottom"/>
            <w:hideMark/>
          </w:tcPr>
          <w:p w:rsidR="00000000" w:rsidRDefault="001D2166">
            <w:pPr>
              <w:pStyle w:val="a3"/>
              <w:spacing w:before="0" w:beforeAutospacing="0" w:after="0" w:afterAutospacing="0"/>
              <w:jc w:val="center"/>
              <w:rPr>
                <w:sz w:val="20"/>
                <w:szCs w:val="20"/>
              </w:rPr>
            </w:pPr>
            <w:r>
              <w:rPr>
                <w:b/>
                <w:bCs/>
                <w:sz w:val="20"/>
                <w:szCs w:val="20"/>
              </w:rPr>
              <w:t>Page</w:t>
            </w:r>
          </w:p>
          <w:p w:rsidR="00000000" w:rsidRDefault="001D2166">
            <w:pPr>
              <w:pStyle w:val="a3"/>
              <w:spacing w:before="0" w:beforeAutospacing="0" w:after="0" w:afterAutospacing="0"/>
              <w:jc w:val="center"/>
              <w:rPr>
                <w:sz w:val="20"/>
                <w:szCs w:val="20"/>
              </w:rPr>
            </w:pPr>
            <w:r>
              <w:rPr>
                <w:b/>
                <w:bCs/>
                <w:sz w:val="20"/>
                <w:szCs w:val="20"/>
                <w:u w:val="single"/>
              </w:rPr>
              <w:t>Number</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2.1</w:t>
            </w:r>
          </w:p>
        </w:tc>
        <w:tc>
          <w:tcPr>
            <w:tcW w:w="2070" w:type="pct"/>
            <w:vAlign w:val="bottom"/>
            <w:hideMark/>
          </w:tcPr>
          <w:p w:rsidR="00000000" w:rsidRDefault="001D2166">
            <w:pPr>
              <w:pStyle w:val="a3"/>
              <w:spacing w:before="0" w:beforeAutospacing="0" w:after="0" w:afterAutospacing="0"/>
              <w:rPr>
                <w:sz w:val="20"/>
                <w:szCs w:val="20"/>
              </w:rPr>
            </w:pPr>
            <w:hyperlink r:id="rId7" w:history="1">
              <w:r>
                <w:rPr>
                  <w:rStyle w:val="a4"/>
                  <w:sz w:val="20"/>
                  <w:szCs w:val="20"/>
                </w:rPr>
                <w:t>Agreement and Plan of Merger, dated as of April 15, 2021, by and between Kimco Realty Corporation and Weingarten Realty Investors.</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ind w:firstLine="18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04/15/21</w:t>
            </w:r>
          </w:p>
        </w:tc>
        <w:tc>
          <w:tcPr>
            <w:tcW w:w="370" w:type="pct"/>
            <w:hideMark/>
          </w:tcPr>
          <w:p w:rsidR="00000000" w:rsidRDefault="001D2166">
            <w:pPr>
              <w:pStyle w:val="a3"/>
              <w:spacing w:before="0" w:beforeAutospacing="0" w:after="0" w:afterAutospacing="0"/>
              <w:jc w:val="center"/>
              <w:rPr>
                <w:sz w:val="20"/>
                <w:szCs w:val="20"/>
              </w:rPr>
            </w:pPr>
            <w:r>
              <w:rPr>
                <w:sz w:val="20"/>
                <w:szCs w:val="20"/>
              </w:rPr>
              <w:t>2.1</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3.1(a)</w:t>
            </w:r>
          </w:p>
        </w:tc>
        <w:tc>
          <w:tcPr>
            <w:tcW w:w="2070" w:type="pct"/>
            <w:hideMark/>
          </w:tcPr>
          <w:p w:rsidR="00000000" w:rsidRDefault="001D2166">
            <w:pPr>
              <w:pStyle w:val="a3"/>
              <w:spacing w:before="0" w:beforeAutospacing="0" w:after="0" w:afterAutospacing="0"/>
              <w:rPr>
                <w:sz w:val="20"/>
                <w:szCs w:val="20"/>
              </w:rPr>
            </w:pPr>
            <w:hyperlink r:id="rId8" w:history="1">
              <w:r>
                <w:rPr>
                  <w:rStyle w:val="a4"/>
                  <w:sz w:val="20"/>
                  <w:szCs w:val="20"/>
                </w:rPr>
                <w:t>Articles of Restatement of Kimco Realty Corporation, dated January 14, 2011</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02/28/11</w:t>
            </w:r>
          </w:p>
        </w:tc>
        <w:tc>
          <w:tcPr>
            <w:tcW w:w="370" w:type="pct"/>
            <w:hideMark/>
          </w:tcPr>
          <w:p w:rsidR="00000000" w:rsidRDefault="001D2166">
            <w:pPr>
              <w:pStyle w:val="a3"/>
              <w:spacing w:before="0" w:beforeAutospacing="0" w:after="0" w:afterAutospacing="0"/>
              <w:jc w:val="center"/>
              <w:rPr>
                <w:sz w:val="20"/>
                <w:szCs w:val="20"/>
              </w:rPr>
            </w:pPr>
            <w:r>
              <w:rPr>
                <w:sz w:val="20"/>
                <w:szCs w:val="20"/>
              </w:rPr>
              <w:t>3.1(a)</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3.1(b)</w:t>
            </w:r>
          </w:p>
        </w:tc>
        <w:tc>
          <w:tcPr>
            <w:tcW w:w="2070" w:type="pct"/>
            <w:hideMark/>
          </w:tcPr>
          <w:p w:rsidR="00000000" w:rsidRDefault="001D2166">
            <w:pPr>
              <w:pStyle w:val="a3"/>
              <w:spacing w:before="0" w:beforeAutospacing="0" w:after="0" w:afterAutospacing="0"/>
              <w:rPr>
                <w:sz w:val="20"/>
                <w:szCs w:val="20"/>
              </w:rPr>
            </w:pPr>
            <w:hyperlink r:id="rId9" w:history="1">
              <w:r>
                <w:rPr>
                  <w:rStyle w:val="a4"/>
                  <w:sz w:val="20"/>
                  <w:szCs w:val="20"/>
                </w:rPr>
                <w:t>Amendment to Articles of Restatement of Ki</w:t>
              </w:r>
              <w:r>
                <w:rPr>
                  <w:rStyle w:val="a4"/>
                  <w:sz w:val="20"/>
                  <w:szCs w:val="20"/>
                </w:rPr>
                <w:t>mco Realty Corporation, dated May 8, 2014</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02/27/17</w:t>
            </w:r>
          </w:p>
        </w:tc>
        <w:tc>
          <w:tcPr>
            <w:tcW w:w="370" w:type="pct"/>
            <w:hideMark/>
          </w:tcPr>
          <w:p w:rsidR="00000000" w:rsidRDefault="001D2166">
            <w:pPr>
              <w:pStyle w:val="a3"/>
              <w:spacing w:before="0" w:beforeAutospacing="0" w:after="0" w:afterAutospacing="0"/>
              <w:jc w:val="center"/>
              <w:rPr>
                <w:sz w:val="20"/>
                <w:szCs w:val="20"/>
              </w:rPr>
            </w:pPr>
            <w:r>
              <w:rPr>
                <w:sz w:val="20"/>
                <w:szCs w:val="20"/>
              </w:rPr>
              <w:t>3.1(b)</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3.1(c)</w:t>
            </w:r>
          </w:p>
        </w:tc>
        <w:tc>
          <w:tcPr>
            <w:tcW w:w="2070" w:type="pct"/>
            <w:hideMark/>
          </w:tcPr>
          <w:p w:rsidR="00000000" w:rsidRDefault="001D2166">
            <w:pPr>
              <w:pStyle w:val="a3"/>
              <w:spacing w:before="0" w:beforeAutospacing="0" w:after="0" w:afterAutospacing="0"/>
              <w:rPr>
                <w:sz w:val="20"/>
                <w:szCs w:val="20"/>
              </w:rPr>
            </w:pPr>
            <w:hyperlink r:id="rId10" w:history="1">
              <w:r>
                <w:rPr>
                  <w:rStyle w:val="a4"/>
                  <w:sz w:val="20"/>
                  <w:szCs w:val="20"/>
                </w:rPr>
                <w:t>Articles Supplementary of Kimco Realty Corporation, dated November 8, 2010</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02/28/11</w:t>
            </w:r>
          </w:p>
        </w:tc>
        <w:tc>
          <w:tcPr>
            <w:tcW w:w="370" w:type="pct"/>
            <w:hideMark/>
          </w:tcPr>
          <w:p w:rsidR="00000000" w:rsidRDefault="001D2166">
            <w:pPr>
              <w:pStyle w:val="a3"/>
              <w:spacing w:before="0" w:beforeAutospacing="0" w:after="0" w:afterAutospacing="0"/>
              <w:jc w:val="center"/>
              <w:rPr>
                <w:sz w:val="20"/>
                <w:szCs w:val="20"/>
              </w:rPr>
            </w:pPr>
            <w:r>
              <w:rPr>
                <w:sz w:val="20"/>
                <w:szCs w:val="20"/>
              </w:rPr>
              <w:t>3.1(b)</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3.1(d)</w:t>
            </w:r>
          </w:p>
        </w:tc>
        <w:tc>
          <w:tcPr>
            <w:tcW w:w="2070" w:type="pct"/>
            <w:hideMark/>
          </w:tcPr>
          <w:p w:rsidR="00000000" w:rsidRDefault="001D2166">
            <w:pPr>
              <w:pStyle w:val="a3"/>
              <w:spacing w:before="0" w:beforeAutospacing="0" w:after="0" w:afterAutospacing="0"/>
              <w:rPr>
                <w:sz w:val="20"/>
                <w:szCs w:val="20"/>
              </w:rPr>
            </w:pPr>
            <w:hyperlink r:id="rId11" w:history="1">
              <w:r>
                <w:rPr>
                  <w:rStyle w:val="a4"/>
                  <w:sz w:val="20"/>
                  <w:szCs w:val="20"/>
                </w:rPr>
                <w:t>Articles Supplementary of Kimco Realty Corporation, dated March 12, 2012</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8-A12B</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03/13/12</w:t>
            </w:r>
          </w:p>
        </w:tc>
        <w:tc>
          <w:tcPr>
            <w:tcW w:w="370" w:type="pct"/>
            <w:hideMark/>
          </w:tcPr>
          <w:p w:rsidR="00000000" w:rsidRDefault="001D2166">
            <w:pPr>
              <w:pStyle w:val="a3"/>
              <w:spacing w:before="0" w:beforeAutospacing="0" w:after="0" w:afterAutospacing="0"/>
              <w:jc w:val="center"/>
              <w:rPr>
                <w:sz w:val="20"/>
                <w:szCs w:val="20"/>
              </w:rPr>
            </w:pPr>
            <w:r>
              <w:rPr>
                <w:sz w:val="20"/>
                <w:szCs w:val="20"/>
              </w:rPr>
              <w:t>3.2</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3.1(e)</w:t>
            </w:r>
          </w:p>
        </w:tc>
        <w:tc>
          <w:tcPr>
            <w:tcW w:w="2070" w:type="pct"/>
            <w:hideMark/>
          </w:tcPr>
          <w:p w:rsidR="00000000" w:rsidRDefault="001D2166">
            <w:pPr>
              <w:pStyle w:val="a3"/>
              <w:spacing w:before="0" w:beforeAutospacing="0" w:after="0" w:afterAutospacing="0"/>
              <w:rPr>
                <w:sz w:val="20"/>
                <w:szCs w:val="20"/>
              </w:rPr>
            </w:pPr>
            <w:hyperlink r:id="rId12" w:history="1">
              <w:r>
                <w:rPr>
                  <w:rStyle w:val="a4"/>
                  <w:sz w:val="20"/>
                  <w:szCs w:val="20"/>
                </w:rPr>
                <w:t>Articles Supplementary of Kimco Realty Corporation, dated July 17, 2012</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8-A12B</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07/18/12</w:t>
            </w:r>
          </w:p>
        </w:tc>
        <w:tc>
          <w:tcPr>
            <w:tcW w:w="370" w:type="pct"/>
            <w:hideMark/>
          </w:tcPr>
          <w:p w:rsidR="00000000" w:rsidRDefault="001D2166">
            <w:pPr>
              <w:pStyle w:val="a3"/>
              <w:spacing w:before="0" w:beforeAutospacing="0" w:after="0" w:afterAutospacing="0"/>
              <w:jc w:val="center"/>
              <w:rPr>
                <w:sz w:val="20"/>
                <w:szCs w:val="20"/>
              </w:rPr>
            </w:pPr>
            <w:r>
              <w:rPr>
                <w:sz w:val="20"/>
                <w:szCs w:val="20"/>
              </w:rPr>
              <w:t>3.2</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3.1(f)</w:t>
            </w:r>
          </w:p>
        </w:tc>
        <w:tc>
          <w:tcPr>
            <w:tcW w:w="2070" w:type="pct"/>
            <w:hideMark/>
          </w:tcPr>
          <w:p w:rsidR="00000000" w:rsidRDefault="001D2166">
            <w:pPr>
              <w:pStyle w:val="a3"/>
              <w:spacing w:before="0" w:beforeAutospacing="0" w:after="0" w:afterAutospacing="0"/>
              <w:rPr>
                <w:sz w:val="20"/>
                <w:szCs w:val="20"/>
              </w:rPr>
            </w:pPr>
            <w:hyperlink r:id="rId13" w:history="1">
              <w:r>
                <w:rPr>
                  <w:rStyle w:val="a4"/>
                  <w:sz w:val="20"/>
                  <w:szCs w:val="20"/>
                </w:rPr>
                <w:t>Articles Supplementary of Kimco Realty Corporation, dated November 30, 2012</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8-A12B</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12/03/12</w:t>
            </w:r>
          </w:p>
        </w:tc>
        <w:tc>
          <w:tcPr>
            <w:tcW w:w="370" w:type="pct"/>
            <w:hideMark/>
          </w:tcPr>
          <w:p w:rsidR="00000000" w:rsidRDefault="001D2166">
            <w:pPr>
              <w:pStyle w:val="a3"/>
              <w:spacing w:before="0" w:beforeAutospacing="0" w:after="0" w:afterAutospacing="0"/>
              <w:jc w:val="center"/>
              <w:rPr>
                <w:sz w:val="20"/>
                <w:szCs w:val="20"/>
              </w:rPr>
            </w:pPr>
            <w:r>
              <w:rPr>
                <w:sz w:val="20"/>
                <w:szCs w:val="20"/>
              </w:rPr>
              <w:t>3.2</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3.1(g)</w:t>
            </w:r>
          </w:p>
        </w:tc>
        <w:tc>
          <w:tcPr>
            <w:tcW w:w="2070" w:type="pct"/>
            <w:hideMark/>
          </w:tcPr>
          <w:p w:rsidR="00000000" w:rsidRDefault="001D2166">
            <w:pPr>
              <w:pStyle w:val="a3"/>
              <w:spacing w:before="0" w:beforeAutospacing="0" w:after="0" w:afterAutospacing="0"/>
              <w:rPr>
                <w:sz w:val="20"/>
                <w:szCs w:val="20"/>
              </w:rPr>
            </w:pPr>
            <w:hyperlink r:id="rId14" w:history="1">
              <w:r>
                <w:rPr>
                  <w:rStyle w:val="a4"/>
                  <w:sz w:val="20"/>
                  <w:szCs w:val="20"/>
                </w:rPr>
                <w:t>Articles S</w:t>
              </w:r>
              <w:r>
                <w:rPr>
                  <w:rStyle w:val="a4"/>
                  <w:sz w:val="20"/>
                  <w:szCs w:val="20"/>
                </w:rPr>
                <w:t>upplementary of Kimco Realty Corporation, dated August 8, 2017</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8-A12B</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08/08/17</w:t>
            </w:r>
          </w:p>
        </w:tc>
        <w:tc>
          <w:tcPr>
            <w:tcW w:w="370" w:type="pct"/>
            <w:hideMark/>
          </w:tcPr>
          <w:p w:rsidR="00000000" w:rsidRDefault="001D2166">
            <w:pPr>
              <w:pStyle w:val="a3"/>
              <w:spacing w:before="0" w:beforeAutospacing="0" w:after="0" w:afterAutospacing="0"/>
              <w:jc w:val="center"/>
              <w:rPr>
                <w:sz w:val="20"/>
                <w:szCs w:val="20"/>
              </w:rPr>
            </w:pPr>
            <w:r>
              <w:rPr>
                <w:sz w:val="20"/>
                <w:szCs w:val="20"/>
              </w:rPr>
              <w:t>3.3</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3.1(h)</w:t>
            </w:r>
          </w:p>
        </w:tc>
        <w:tc>
          <w:tcPr>
            <w:tcW w:w="2070" w:type="pct"/>
            <w:hideMark/>
          </w:tcPr>
          <w:p w:rsidR="00000000" w:rsidRDefault="001D2166">
            <w:pPr>
              <w:pStyle w:val="a3"/>
              <w:spacing w:before="0" w:beforeAutospacing="0" w:after="0" w:afterAutospacing="0"/>
              <w:rPr>
                <w:sz w:val="20"/>
                <w:szCs w:val="20"/>
              </w:rPr>
            </w:pPr>
            <w:hyperlink r:id="rId15" w:history="1">
              <w:r>
                <w:rPr>
                  <w:rStyle w:val="a4"/>
                  <w:sz w:val="20"/>
                  <w:szCs w:val="20"/>
                </w:rPr>
                <w:t>Articles Supplementary of Kimco Realty Corporation, dated December 12, 2017</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8-A12B</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12/12/17</w:t>
            </w:r>
          </w:p>
        </w:tc>
        <w:tc>
          <w:tcPr>
            <w:tcW w:w="370" w:type="pct"/>
            <w:hideMark/>
          </w:tcPr>
          <w:p w:rsidR="00000000" w:rsidRDefault="001D2166">
            <w:pPr>
              <w:pStyle w:val="a3"/>
              <w:spacing w:before="0" w:beforeAutospacing="0" w:after="0" w:afterAutospacing="0"/>
              <w:jc w:val="center"/>
              <w:rPr>
                <w:sz w:val="20"/>
                <w:szCs w:val="20"/>
              </w:rPr>
            </w:pPr>
            <w:r>
              <w:rPr>
                <w:sz w:val="20"/>
                <w:szCs w:val="20"/>
              </w:rPr>
              <w:t>3.3</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3.2</w:t>
            </w:r>
          </w:p>
        </w:tc>
        <w:tc>
          <w:tcPr>
            <w:tcW w:w="2070" w:type="pct"/>
            <w:hideMark/>
          </w:tcPr>
          <w:p w:rsidR="00000000" w:rsidRDefault="001D2166">
            <w:pPr>
              <w:pStyle w:val="a3"/>
              <w:spacing w:before="0" w:beforeAutospacing="0" w:after="0" w:afterAutospacing="0"/>
              <w:rPr>
                <w:sz w:val="20"/>
                <w:szCs w:val="20"/>
              </w:rPr>
            </w:pPr>
            <w:hyperlink r:id="rId16" w:history="1">
              <w:r>
                <w:rPr>
                  <w:rStyle w:val="a4"/>
                  <w:sz w:val="20"/>
                  <w:szCs w:val="20"/>
                </w:rPr>
                <w:t>Amended and Restated Bylaws of Kimco Realty Corporation, dated February 25, 2009</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02/27/09</w:t>
            </w:r>
          </w:p>
        </w:tc>
        <w:tc>
          <w:tcPr>
            <w:tcW w:w="370" w:type="pct"/>
            <w:hideMark/>
          </w:tcPr>
          <w:p w:rsidR="00000000" w:rsidRDefault="001D2166">
            <w:pPr>
              <w:pStyle w:val="a3"/>
              <w:spacing w:before="0" w:beforeAutospacing="0" w:after="0" w:afterAutospacing="0"/>
              <w:jc w:val="center"/>
              <w:rPr>
                <w:sz w:val="20"/>
                <w:szCs w:val="20"/>
              </w:rPr>
            </w:pPr>
            <w:r>
              <w:rPr>
                <w:sz w:val="20"/>
                <w:szCs w:val="20"/>
              </w:rPr>
              <w:t>3.2</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4.2</w:t>
            </w:r>
          </w:p>
        </w:tc>
        <w:tc>
          <w:tcPr>
            <w:tcW w:w="2070" w:type="pct"/>
            <w:hideMark/>
          </w:tcPr>
          <w:p w:rsidR="00000000" w:rsidRDefault="001D2166">
            <w:pPr>
              <w:pStyle w:val="a3"/>
              <w:spacing w:before="0" w:beforeAutospacing="0" w:after="0" w:afterAutospacing="0"/>
              <w:rPr>
                <w:sz w:val="20"/>
                <w:szCs w:val="20"/>
              </w:rPr>
            </w:pPr>
            <w:r>
              <w:rPr>
                <w:sz w:val="20"/>
                <w:szCs w:val="20"/>
              </w:rPr>
              <w:t>Indenture dated September 1, 1993, between Kimco Realty Corporation and Bank of New York (as successor to IBJ Schroder Bank and Trust Company)</w:t>
            </w:r>
          </w:p>
        </w:tc>
        <w:tc>
          <w:tcPr>
            <w:tcW w:w="410" w:type="pct"/>
            <w:hideMark/>
          </w:tcPr>
          <w:p w:rsidR="00000000" w:rsidRDefault="001D2166">
            <w:pPr>
              <w:pStyle w:val="a3"/>
              <w:spacing w:before="0" w:beforeAutospacing="0" w:after="0" w:afterAutospacing="0"/>
              <w:jc w:val="center"/>
              <w:rPr>
                <w:sz w:val="20"/>
                <w:szCs w:val="20"/>
              </w:rPr>
            </w:pPr>
            <w:r>
              <w:rPr>
                <w:sz w:val="20"/>
                <w:szCs w:val="20"/>
              </w:rPr>
              <w:t>S-3</w:t>
            </w:r>
          </w:p>
        </w:tc>
        <w:tc>
          <w:tcPr>
            <w:tcW w:w="455" w:type="pct"/>
            <w:hideMark/>
          </w:tcPr>
          <w:p w:rsidR="00000000" w:rsidRDefault="001D2166">
            <w:pPr>
              <w:pStyle w:val="a3"/>
              <w:spacing w:before="0" w:beforeAutospacing="0" w:after="0" w:afterAutospacing="0"/>
              <w:jc w:val="center"/>
              <w:rPr>
                <w:sz w:val="20"/>
                <w:szCs w:val="20"/>
              </w:rPr>
            </w:pPr>
            <w:r>
              <w:rPr>
                <w:sz w:val="20"/>
                <w:szCs w:val="20"/>
              </w:rPr>
              <w:t>333-67552</w:t>
            </w:r>
          </w:p>
        </w:tc>
        <w:tc>
          <w:tcPr>
            <w:tcW w:w="495" w:type="pct"/>
            <w:hideMark/>
          </w:tcPr>
          <w:p w:rsidR="00000000" w:rsidRDefault="001D2166">
            <w:pPr>
              <w:pStyle w:val="a3"/>
              <w:spacing w:before="0" w:beforeAutospacing="0" w:after="0" w:afterAutospacing="0"/>
              <w:jc w:val="center"/>
              <w:rPr>
                <w:sz w:val="20"/>
                <w:szCs w:val="20"/>
              </w:rPr>
            </w:pPr>
            <w:r>
              <w:rPr>
                <w:sz w:val="20"/>
                <w:szCs w:val="20"/>
              </w:rPr>
              <w:t>09/10/93</w:t>
            </w:r>
          </w:p>
        </w:tc>
        <w:tc>
          <w:tcPr>
            <w:tcW w:w="370" w:type="pct"/>
            <w:hideMark/>
          </w:tcPr>
          <w:p w:rsidR="00000000" w:rsidRDefault="001D2166">
            <w:pPr>
              <w:pStyle w:val="a3"/>
              <w:spacing w:before="0" w:beforeAutospacing="0" w:after="0" w:afterAutospacing="0"/>
              <w:jc w:val="center"/>
              <w:rPr>
                <w:sz w:val="20"/>
                <w:szCs w:val="20"/>
              </w:rPr>
            </w:pPr>
            <w:r>
              <w:rPr>
                <w:sz w:val="20"/>
                <w:szCs w:val="20"/>
              </w:rPr>
              <w:t>4(a)</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4.3</w:t>
            </w:r>
          </w:p>
        </w:tc>
        <w:tc>
          <w:tcPr>
            <w:tcW w:w="2070" w:type="pct"/>
            <w:hideMark/>
          </w:tcPr>
          <w:p w:rsidR="00000000" w:rsidRDefault="001D2166">
            <w:pPr>
              <w:pStyle w:val="a3"/>
              <w:spacing w:before="0" w:beforeAutospacing="0" w:after="0" w:afterAutospacing="0"/>
              <w:rPr>
                <w:sz w:val="20"/>
                <w:szCs w:val="20"/>
              </w:rPr>
            </w:pPr>
            <w:r>
              <w:rPr>
                <w:sz w:val="20"/>
                <w:szCs w:val="20"/>
              </w:rPr>
              <w:t>First Supplemental Indenture, dated August 4, 1994, between Kimco Realty Cor</w:t>
            </w:r>
            <w:r>
              <w:rPr>
                <w:sz w:val="20"/>
                <w:szCs w:val="20"/>
              </w:rPr>
              <w:t>poration and Bank of New York (as successor to IBJ Schroder Bank and Trust Company)</w:t>
            </w:r>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03/28/96</w:t>
            </w:r>
          </w:p>
        </w:tc>
        <w:tc>
          <w:tcPr>
            <w:tcW w:w="370" w:type="pct"/>
            <w:hideMark/>
          </w:tcPr>
          <w:p w:rsidR="00000000" w:rsidRDefault="001D2166">
            <w:pPr>
              <w:pStyle w:val="a3"/>
              <w:spacing w:before="0" w:beforeAutospacing="0" w:after="0" w:afterAutospacing="0"/>
              <w:jc w:val="center"/>
              <w:rPr>
                <w:sz w:val="20"/>
                <w:szCs w:val="20"/>
              </w:rPr>
            </w:pPr>
            <w:r>
              <w:rPr>
                <w:sz w:val="20"/>
                <w:szCs w:val="20"/>
              </w:rPr>
              <w:t>4.6</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4.4</w:t>
            </w:r>
          </w:p>
        </w:tc>
        <w:tc>
          <w:tcPr>
            <w:tcW w:w="2070" w:type="pct"/>
            <w:hideMark/>
          </w:tcPr>
          <w:p w:rsidR="00000000" w:rsidRDefault="001D2166">
            <w:pPr>
              <w:pStyle w:val="a3"/>
              <w:spacing w:before="0" w:beforeAutospacing="0" w:after="0" w:afterAutospacing="0"/>
              <w:rPr>
                <w:sz w:val="20"/>
                <w:szCs w:val="20"/>
              </w:rPr>
            </w:pPr>
            <w:r>
              <w:rPr>
                <w:sz w:val="20"/>
                <w:szCs w:val="20"/>
              </w:rPr>
              <w:t>Second Supplemental Indenture, dated April 7, 1995, between Kimco Realty Corporation and Bank of New York (as successor to IBJ Schroder B</w:t>
            </w:r>
            <w:r>
              <w:rPr>
                <w:sz w:val="20"/>
                <w:szCs w:val="20"/>
              </w:rPr>
              <w:t>ank and Trust Company)</w:t>
            </w:r>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04/07/95</w:t>
            </w:r>
          </w:p>
        </w:tc>
        <w:tc>
          <w:tcPr>
            <w:tcW w:w="370" w:type="pct"/>
            <w:hideMark/>
          </w:tcPr>
          <w:p w:rsidR="00000000" w:rsidRDefault="001D2166">
            <w:pPr>
              <w:pStyle w:val="a3"/>
              <w:spacing w:before="0" w:beforeAutospacing="0" w:after="0" w:afterAutospacing="0"/>
              <w:jc w:val="center"/>
              <w:rPr>
                <w:sz w:val="20"/>
                <w:szCs w:val="20"/>
              </w:rPr>
            </w:pPr>
            <w:r>
              <w:rPr>
                <w:sz w:val="20"/>
                <w:szCs w:val="20"/>
              </w:rPr>
              <w:t>4(a)</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4.5</w:t>
            </w:r>
          </w:p>
        </w:tc>
        <w:tc>
          <w:tcPr>
            <w:tcW w:w="2070" w:type="pct"/>
            <w:hideMark/>
          </w:tcPr>
          <w:p w:rsidR="00000000" w:rsidRDefault="001D2166">
            <w:pPr>
              <w:pStyle w:val="a3"/>
              <w:spacing w:before="0" w:beforeAutospacing="0" w:after="0" w:afterAutospacing="0"/>
              <w:rPr>
                <w:sz w:val="20"/>
                <w:szCs w:val="20"/>
              </w:rPr>
            </w:pPr>
            <w:hyperlink r:id="rId17" w:history="1">
              <w:r>
                <w:rPr>
                  <w:rStyle w:val="a4"/>
                  <w:sz w:val="20"/>
                  <w:szCs w:val="20"/>
                </w:rPr>
                <w:t>Third Supplemental Indenture, dated June 2, 2006, between Kimco Realty Corporation and The Bank of New York, as Trustee</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06/05/06</w:t>
            </w:r>
          </w:p>
        </w:tc>
        <w:tc>
          <w:tcPr>
            <w:tcW w:w="370" w:type="pct"/>
            <w:hideMark/>
          </w:tcPr>
          <w:p w:rsidR="00000000" w:rsidRDefault="001D2166">
            <w:pPr>
              <w:pStyle w:val="a3"/>
              <w:spacing w:before="0" w:beforeAutospacing="0" w:after="0" w:afterAutospacing="0"/>
              <w:jc w:val="center"/>
              <w:rPr>
                <w:sz w:val="20"/>
                <w:szCs w:val="20"/>
              </w:rPr>
            </w:pPr>
            <w:r>
              <w:rPr>
                <w:sz w:val="20"/>
                <w:szCs w:val="20"/>
              </w:rPr>
              <w:t>4.1</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4.6</w:t>
            </w:r>
          </w:p>
        </w:tc>
        <w:tc>
          <w:tcPr>
            <w:tcW w:w="2070" w:type="pct"/>
            <w:hideMark/>
          </w:tcPr>
          <w:p w:rsidR="00000000" w:rsidRDefault="001D2166">
            <w:pPr>
              <w:pStyle w:val="a3"/>
              <w:spacing w:before="0" w:beforeAutospacing="0" w:after="0" w:afterAutospacing="0"/>
              <w:rPr>
                <w:sz w:val="20"/>
                <w:szCs w:val="20"/>
              </w:rPr>
            </w:pPr>
            <w:hyperlink r:id="rId18" w:history="1">
              <w:r>
                <w:rPr>
                  <w:rStyle w:val="a4"/>
                  <w:sz w:val="20"/>
                  <w:szCs w:val="20"/>
                </w:rPr>
                <w:t>Four</w:t>
              </w:r>
              <w:r>
                <w:rPr>
                  <w:rStyle w:val="a4"/>
                  <w:sz w:val="20"/>
                  <w:szCs w:val="20"/>
                </w:rPr>
                <w:t>th Supplemental Indenture, dated April 26, 2007, between Kimco Realty Corporation and The Bank of New York, as Trustee</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04/26/07</w:t>
            </w:r>
          </w:p>
        </w:tc>
        <w:tc>
          <w:tcPr>
            <w:tcW w:w="370" w:type="pct"/>
            <w:hideMark/>
          </w:tcPr>
          <w:p w:rsidR="00000000" w:rsidRDefault="001D2166">
            <w:pPr>
              <w:pStyle w:val="a3"/>
              <w:spacing w:before="0" w:beforeAutospacing="0" w:after="0" w:afterAutospacing="0"/>
              <w:jc w:val="center"/>
              <w:rPr>
                <w:sz w:val="20"/>
                <w:szCs w:val="20"/>
              </w:rPr>
            </w:pPr>
            <w:r>
              <w:rPr>
                <w:sz w:val="20"/>
                <w:szCs w:val="20"/>
              </w:rPr>
              <w:t>1.3</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4.7</w:t>
            </w:r>
          </w:p>
        </w:tc>
        <w:tc>
          <w:tcPr>
            <w:tcW w:w="2070" w:type="pct"/>
            <w:hideMark/>
          </w:tcPr>
          <w:p w:rsidR="00000000" w:rsidRDefault="001D2166">
            <w:pPr>
              <w:pStyle w:val="a3"/>
              <w:spacing w:before="0" w:beforeAutospacing="0" w:after="0" w:afterAutospacing="0"/>
              <w:rPr>
                <w:sz w:val="20"/>
                <w:szCs w:val="20"/>
              </w:rPr>
            </w:pPr>
            <w:hyperlink r:id="rId19" w:history="1">
              <w:r>
                <w:rPr>
                  <w:rStyle w:val="a4"/>
                  <w:sz w:val="20"/>
                  <w:szCs w:val="20"/>
                </w:rPr>
                <w:t>Fifth Supplemental Indenture, dated September 24, 2009, between Kimco Realty Corporation and The Bank of New York Mellon, as Trustee</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09/24/09</w:t>
            </w:r>
          </w:p>
        </w:tc>
        <w:tc>
          <w:tcPr>
            <w:tcW w:w="370" w:type="pct"/>
            <w:hideMark/>
          </w:tcPr>
          <w:p w:rsidR="00000000" w:rsidRDefault="001D2166">
            <w:pPr>
              <w:pStyle w:val="a3"/>
              <w:spacing w:before="0" w:beforeAutospacing="0" w:after="0" w:afterAutospacing="0"/>
              <w:jc w:val="center"/>
              <w:rPr>
                <w:sz w:val="20"/>
                <w:szCs w:val="20"/>
              </w:rPr>
            </w:pPr>
            <w:r>
              <w:rPr>
                <w:sz w:val="20"/>
                <w:szCs w:val="20"/>
              </w:rPr>
              <w:t>4.1</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w:t>
            </w:r>
            <w:r>
              <w:rPr>
                <w:sz w:val="20"/>
                <w:szCs w:val="20"/>
              </w:rPr>
              <w:t>.8</w:t>
            </w:r>
          </w:p>
        </w:tc>
        <w:tc>
          <w:tcPr>
            <w:tcW w:w="2070" w:type="pct"/>
            <w:hideMark/>
          </w:tcPr>
          <w:p w:rsidR="00000000" w:rsidRDefault="001D2166">
            <w:pPr>
              <w:pStyle w:val="a3"/>
              <w:spacing w:before="0" w:beforeAutospacing="0" w:after="0" w:afterAutospacing="0"/>
              <w:rPr>
                <w:sz w:val="20"/>
                <w:szCs w:val="20"/>
              </w:rPr>
            </w:pPr>
            <w:hyperlink r:id="rId20" w:history="1">
              <w:r>
                <w:rPr>
                  <w:rStyle w:val="a4"/>
                  <w:sz w:val="20"/>
                  <w:szCs w:val="20"/>
                </w:rPr>
                <w:t>Sixth Supplemental Indenture, dated May 23, 2013, between Kimco Realty Corporation and The Bank of New York Mellon, as Trustee</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05/23/13</w:t>
            </w:r>
          </w:p>
        </w:tc>
        <w:tc>
          <w:tcPr>
            <w:tcW w:w="370" w:type="pct"/>
            <w:hideMark/>
          </w:tcPr>
          <w:p w:rsidR="00000000" w:rsidRDefault="001D2166">
            <w:pPr>
              <w:pStyle w:val="a3"/>
              <w:spacing w:before="0" w:beforeAutospacing="0" w:after="0" w:afterAutospacing="0"/>
              <w:jc w:val="center"/>
              <w:rPr>
                <w:sz w:val="20"/>
                <w:szCs w:val="20"/>
              </w:rPr>
            </w:pPr>
            <w:r>
              <w:rPr>
                <w:sz w:val="20"/>
                <w:szCs w:val="20"/>
              </w:rPr>
              <w:t>4.1</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4.9</w:t>
            </w:r>
          </w:p>
        </w:tc>
        <w:tc>
          <w:tcPr>
            <w:tcW w:w="2070" w:type="pct"/>
            <w:hideMark/>
          </w:tcPr>
          <w:p w:rsidR="00000000" w:rsidRDefault="001D2166">
            <w:pPr>
              <w:pStyle w:val="a3"/>
              <w:spacing w:before="0" w:beforeAutospacing="0" w:after="0" w:afterAutospacing="0"/>
              <w:rPr>
                <w:sz w:val="20"/>
                <w:szCs w:val="20"/>
              </w:rPr>
            </w:pPr>
            <w:hyperlink r:id="rId21" w:history="1">
              <w:r>
                <w:rPr>
                  <w:rStyle w:val="a4"/>
                  <w:sz w:val="20"/>
                  <w:szCs w:val="20"/>
                </w:rPr>
                <w:t>Seventh Supplemental Indenture, dated April 24, 2014, between Kimco Realty Corporation and The Bank of New York Mellon, as Trustee</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04/24/14</w:t>
            </w:r>
          </w:p>
        </w:tc>
        <w:tc>
          <w:tcPr>
            <w:tcW w:w="370" w:type="pct"/>
            <w:hideMark/>
          </w:tcPr>
          <w:p w:rsidR="00000000" w:rsidRDefault="001D2166">
            <w:pPr>
              <w:pStyle w:val="a3"/>
              <w:spacing w:before="0" w:beforeAutospacing="0" w:after="0" w:afterAutospacing="0"/>
              <w:jc w:val="center"/>
              <w:rPr>
                <w:sz w:val="20"/>
                <w:szCs w:val="20"/>
              </w:rPr>
            </w:pPr>
            <w:r>
              <w:rPr>
                <w:sz w:val="20"/>
                <w:szCs w:val="20"/>
              </w:rPr>
              <w:t>4.1</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4.10</w:t>
            </w:r>
          </w:p>
        </w:tc>
        <w:tc>
          <w:tcPr>
            <w:tcW w:w="2070" w:type="pct"/>
            <w:hideMark/>
          </w:tcPr>
          <w:p w:rsidR="00000000" w:rsidRDefault="001D2166">
            <w:pPr>
              <w:pStyle w:val="a3"/>
              <w:spacing w:before="0" w:beforeAutospacing="0" w:after="0" w:afterAutospacing="0"/>
              <w:rPr>
                <w:sz w:val="20"/>
                <w:szCs w:val="20"/>
              </w:rPr>
            </w:pPr>
            <w:hyperlink r:id="rId22" w:history="1">
              <w:r>
                <w:rPr>
                  <w:rStyle w:val="a4"/>
                  <w:sz w:val="20"/>
                  <w:szCs w:val="20"/>
                </w:rPr>
                <w:t>Description of Securities</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02/25/20</w:t>
            </w:r>
          </w:p>
        </w:tc>
        <w:tc>
          <w:tcPr>
            <w:tcW w:w="370" w:type="pct"/>
            <w:hideMark/>
          </w:tcPr>
          <w:p w:rsidR="00000000" w:rsidRDefault="001D2166">
            <w:pPr>
              <w:pStyle w:val="a3"/>
              <w:spacing w:before="0" w:beforeAutospacing="0" w:after="0" w:afterAutospacing="0"/>
              <w:jc w:val="center"/>
              <w:rPr>
                <w:sz w:val="20"/>
                <w:szCs w:val="20"/>
              </w:rPr>
            </w:pPr>
            <w:r>
              <w:rPr>
                <w:sz w:val="20"/>
                <w:szCs w:val="20"/>
              </w:rPr>
              <w:t>4.10</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4.11</w:t>
            </w:r>
          </w:p>
        </w:tc>
        <w:tc>
          <w:tcPr>
            <w:tcW w:w="2070" w:type="pct"/>
            <w:hideMark/>
          </w:tcPr>
          <w:p w:rsidR="00000000" w:rsidRDefault="001D2166">
            <w:pPr>
              <w:pStyle w:val="a3"/>
              <w:spacing w:before="0" w:beforeAutospacing="0" w:after="0" w:afterAutospacing="0"/>
              <w:rPr>
                <w:sz w:val="20"/>
                <w:szCs w:val="20"/>
              </w:rPr>
            </w:pPr>
            <w:hyperlink r:id="rId23" w:history="1">
              <w:r>
                <w:rPr>
                  <w:rStyle w:val="a4"/>
                  <w:sz w:val="20"/>
                  <w:szCs w:val="20"/>
                </w:rPr>
                <w:t>Form o</w:t>
              </w:r>
              <w:r>
                <w:rPr>
                  <w:rStyle w:val="a4"/>
                  <w:sz w:val="20"/>
                  <w:szCs w:val="20"/>
                </w:rPr>
                <w:t xml:space="preserve">f Indenture for Senior Debt Securities dated as of May 1, 1995 between Weingarten Realty Investors and The Bank of New York Mellon Trust Company, N.A. (successor to J.P. Morgan Trust Company, National Association, successor to Texas Commerce Bank National </w:t>
              </w:r>
              <w:r>
                <w:rPr>
                  <w:rStyle w:val="a4"/>
                  <w:sz w:val="20"/>
                  <w:szCs w:val="20"/>
                </w:rPr>
                <w:t>Association).</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S-3</w:t>
            </w:r>
          </w:p>
        </w:tc>
        <w:tc>
          <w:tcPr>
            <w:tcW w:w="455" w:type="pct"/>
            <w:hideMark/>
          </w:tcPr>
          <w:p w:rsidR="00000000" w:rsidRDefault="001D2166">
            <w:pPr>
              <w:pStyle w:val="a3"/>
              <w:spacing w:before="0" w:beforeAutospacing="0" w:after="0" w:afterAutospacing="0"/>
              <w:jc w:val="center"/>
              <w:rPr>
                <w:sz w:val="20"/>
                <w:szCs w:val="20"/>
              </w:rPr>
            </w:pPr>
            <w:r>
              <w:rPr>
                <w:sz w:val="20"/>
                <w:szCs w:val="20"/>
              </w:rPr>
              <w:t>33-57659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02/10/95</w:t>
            </w:r>
          </w:p>
        </w:tc>
        <w:tc>
          <w:tcPr>
            <w:tcW w:w="370" w:type="pct"/>
            <w:hideMark/>
          </w:tcPr>
          <w:p w:rsidR="00000000" w:rsidRDefault="001D2166">
            <w:pPr>
              <w:pStyle w:val="a3"/>
              <w:spacing w:before="0" w:beforeAutospacing="0" w:after="0" w:afterAutospacing="0"/>
              <w:jc w:val="center"/>
              <w:rPr>
                <w:sz w:val="20"/>
                <w:szCs w:val="20"/>
              </w:rPr>
            </w:pPr>
            <w:r>
              <w:rPr>
                <w:sz w:val="20"/>
                <w:szCs w:val="20"/>
              </w:rPr>
              <w:t>4(a)</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4.12</w:t>
            </w:r>
          </w:p>
        </w:tc>
        <w:tc>
          <w:tcPr>
            <w:tcW w:w="2070" w:type="pct"/>
            <w:hideMark/>
          </w:tcPr>
          <w:p w:rsidR="00000000" w:rsidRDefault="001D2166">
            <w:pPr>
              <w:pStyle w:val="a3"/>
              <w:spacing w:before="0" w:beforeAutospacing="0" w:after="0" w:afterAutospacing="0"/>
              <w:rPr>
                <w:sz w:val="20"/>
                <w:szCs w:val="20"/>
              </w:rPr>
            </w:pPr>
            <w:hyperlink r:id="rId24" w:history="1">
              <w:r>
                <w:rPr>
                  <w:rStyle w:val="a4"/>
                  <w:sz w:val="20"/>
                  <w:szCs w:val="20"/>
                </w:rPr>
                <w:t>Second Supplemental Indenture, dated October 9, 2012, between Weingarten Realty Investors and The Bank of N</w:t>
              </w:r>
              <w:r>
                <w:rPr>
                  <w:rStyle w:val="a4"/>
                  <w:sz w:val="20"/>
                  <w:szCs w:val="20"/>
                </w:rPr>
                <w:t>ew York Mellon Trust Company, N.A. (successor to J.P. Morgan Trust Company, National Association, successor to Texas Commerce Bank National Association). </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33-57659</w:t>
            </w:r>
          </w:p>
        </w:tc>
        <w:tc>
          <w:tcPr>
            <w:tcW w:w="495" w:type="pct"/>
            <w:hideMark/>
          </w:tcPr>
          <w:p w:rsidR="00000000" w:rsidRDefault="001D2166">
            <w:pPr>
              <w:pStyle w:val="a3"/>
              <w:spacing w:before="0" w:beforeAutospacing="0" w:after="0" w:afterAutospacing="0"/>
              <w:jc w:val="center"/>
              <w:rPr>
                <w:sz w:val="20"/>
                <w:szCs w:val="20"/>
              </w:rPr>
            </w:pPr>
            <w:r>
              <w:rPr>
                <w:sz w:val="20"/>
                <w:szCs w:val="20"/>
              </w:rPr>
              <w:t>10/09/12</w:t>
            </w:r>
          </w:p>
        </w:tc>
        <w:tc>
          <w:tcPr>
            <w:tcW w:w="370" w:type="pct"/>
            <w:hideMark/>
          </w:tcPr>
          <w:p w:rsidR="00000000" w:rsidRDefault="001D2166">
            <w:pPr>
              <w:pStyle w:val="a3"/>
              <w:spacing w:before="0" w:beforeAutospacing="0" w:after="0" w:afterAutospacing="0"/>
              <w:jc w:val="center"/>
              <w:rPr>
                <w:sz w:val="20"/>
                <w:szCs w:val="20"/>
              </w:rPr>
            </w:pPr>
            <w:r>
              <w:rPr>
                <w:sz w:val="20"/>
                <w:szCs w:val="20"/>
              </w:rPr>
              <w:t>4.1</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w:t>
            </w:r>
          </w:p>
        </w:tc>
        <w:tc>
          <w:tcPr>
            <w:tcW w:w="2070" w:type="pct"/>
            <w:hideMark/>
          </w:tcPr>
          <w:p w:rsidR="00000000" w:rsidRDefault="001D2166">
            <w:pPr>
              <w:pStyle w:val="a3"/>
              <w:spacing w:before="0" w:beforeAutospacing="0" w:after="0" w:afterAutospacing="0"/>
              <w:rPr>
                <w:sz w:val="20"/>
                <w:szCs w:val="20"/>
              </w:rPr>
            </w:pPr>
            <w:r>
              <w:rPr>
                <w:sz w:val="20"/>
                <w:szCs w:val="20"/>
              </w:rPr>
              <w:t>Amended and Restated Stock Option Plan</w:t>
            </w:r>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03/28/95</w:t>
            </w:r>
          </w:p>
        </w:tc>
        <w:tc>
          <w:tcPr>
            <w:tcW w:w="370" w:type="pct"/>
            <w:hideMark/>
          </w:tcPr>
          <w:p w:rsidR="00000000" w:rsidRDefault="001D2166">
            <w:pPr>
              <w:pStyle w:val="a3"/>
              <w:spacing w:before="0" w:beforeAutospacing="0" w:after="0" w:afterAutospacing="0"/>
              <w:jc w:val="center"/>
              <w:rPr>
                <w:sz w:val="20"/>
                <w:szCs w:val="20"/>
              </w:rPr>
            </w:pPr>
            <w:r>
              <w:rPr>
                <w:sz w:val="20"/>
                <w:szCs w:val="20"/>
              </w:rPr>
              <w:t>10.3</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05411272"/>
        <w:rPr>
          <w:rFonts w:eastAsia="Times New Roman"/>
          <w:sz w:val="20"/>
          <w:szCs w:val="20"/>
        </w:rPr>
      </w:pPr>
      <w:r>
        <w:rPr>
          <w:rFonts w:eastAsia="Times New Roman"/>
          <w:sz w:val="20"/>
          <w:szCs w:val="20"/>
        </w:rPr>
        <w:t xml:space="preserve">45 </w:t>
      </w:r>
    </w:p>
    <w:p w:rsidR="00000000" w:rsidRDefault="001D2166">
      <w:pPr>
        <w:divId w:val="1307902473"/>
        <w:rPr>
          <w:rFonts w:eastAsia="Times New Roman"/>
          <w:sz w:val="20"/>
          <w:szCs w:val="20"/>
        </w:rPr>
      </w:pPr>
      <w:r>
        <w:rPr>
          <w:rFonts w:eastAsia="Times New Roman"/>
          <w:sz w:val="20"/>
          <w:szCs w:val="20"/>
        </w:rPr>
        <w:pict>
          <v:rect id="_x0000_i1077" style="width:415.3pt;height:1.5pt" o:hralign="center" o:hrstd="t" o:hrnoshade="t" o:hr="t" fillcolor="black" stroked="f"/>
        </w:pict>
      </w:r>
    </w:p>
    <w:p w:rsidR="00000000" w:rsidRDefault="001D2166">
      <w:pPr>
        <w:divId w:val="105696971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3318"/>
        <w:gridCol w:w="573"/>
        <w:gridCol w:w="648"/>
        <w:gridCol w:w="714"/>
        <w:gridCol w:w="712"/>
        <w:gridCol w:w="879"/>
        <w:gridCol w:w="712"/>
      </w:tblGrid>
      <w:tr w:rsidR="00000000">
        <w:trPr>
          <w:tblCellSpacing w:w="0" w:type="dxa"/>
        </w:trPr>
        <w:tc>
          <w:tcPr>
            <w:tcW w:w="510" w:type="pct"/>
            <w:hideMark/>
          </w:tcPr>
          <w:p w:rsidR="00000000" w:rsidRDefault="001D2166">
            <w:pPr>
              <w:rPr>
                <w:rFonts w:eastAsia="Times New Roman"/>
                <w:sz w:val="20"/>
                <w:szCs w:val="20"/>
              </w:rPr>
            </w:pPr>
            <w:r>
              <w:rPr>
                <w:rFonts w:eastAsia="Times New Roman"/>
                <w:sz w:val="20"/>
                <w:szCs w:val="20"/>
              </w:rPr>
              <w:t> </w:t>
            </w:r>
          </w:p>
        </w:tc>
        <w:tc>
          <w:tcPr>
            <w:tcW w:w="2070" w:type="pct"/>
            <w:hideMark/>
          </w:tcPr>
          <w:p w:rsidR="00000000" w:rsidRDefault="001D2166">
            <w:pPr>
              <w:rPr>
                <w:rFonts w:eastAsia="Times New Roman"/>
                <w:sz w:val="20"/>
                <w:szCs w:val="20"/>
              </w:rPr>
            </w:pPr>
            <w:r>
              <w:rPr>
                <w:rFonts w:eastAsia="Times New Roman"/>
                <w:sz w:val="20"/>
                <w:szCs w:val="20"/>
              </w:rPr>
              <w:t> </w:t>
            </w:r>
          </w:p>
        </w:tc>
        <w:tc>
          <w:tcPr>
            <w:tcW w:w="410" w:type="pct"/>
            <w:gridSpan w:val="4"/>
            <w:hideMark/>
          </w:tcPr>
          <w:p w:rsidR="00000000" w:rsidRDefault="001D2166">
            <w:pPr>
              <w:jc w:val="center"/>
              <w:rPr>
                <w:rFonts w:eastAsia="Times New Roman"/>
                <w:sz w:val="20"/>
                <w:szCs w:val="20"/>
              </w:rPr>
            </w:pPr>
            <w:r>
              <w:rPr>
                <w:rFonts w:eastAsia="Times New Roman"/>
                <w:b/>
                <w:bCs/>
                <w:sz w:val="20"/>
                <w:szCs w:val="20"/>
                <w:u w:val="single"/>
              </w:rPr>
              <w:t>Incorporated by Reference</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vAlign w:val="bottom"/>
            <w:hideMark/>
          </w:tcPr>
          <w:p w:rsidR="00000000" w:rsidRDefault="001D2166">
            <w:pPr>
              <w:pStyle w:val="a3"/>
              <w:spacing w:before="0" w:beforeAutospacing="0" w:after="0" w:afterAutospacing="0"/>
              <w:jc w:val="center"/>
              <w:rPr>
                <w:sz w:val="20"/>
                <w:szCs w:val="20"/>
              </w:rPr>
            </w:pPr>
            <w:r>
              <w:rPr>
                <w:b/>
                <w:bCs/>
                <w:sz w:val="20"/>
                <w:szCs w:val="20"/>
              </w:rPr>
              <w:t xml:space="preserve">Exhibit </w:t>
            </w:r>
          </w:p>
          <w:p w:rsidR="00000000" w:rsidRDefault="001D2166">
            <w:pPr>
              <w:pStyle w:val="a3"/>
              <w:spacing w:before="0" w:beforeAutospacing="0" w:after="0" w:afterAutospacing="0"/>
              <w:jc w:val="center"/>
              <w:rPr>
                <w:sz w:val="20"/>
                <w:szCs w:val="20"/>
              </w:rPr>
            </w:pPr>
            <w:r>
              <w:rPr>
                <w:b/>
                <w:bCs/>
                <w:sz w:val="20"/>
                <w:szCs w:val="20"/>
                <w:u w:val="single"/>
              </w:rPr>
              <w:t>Number</w:t>
            </w:r>
          </w:p>
        </w:tc>
        <w:tc>
          <w:tcPr>
            <w:tcW w:w="2070" w:type="pct"/>
            <w:vAlign w:val="bottom"/>
            <w:hideMark/>
          </w:tcPr>
          <w:p w:rsidR="00000000" w:rsidRDefault="001D2166">
            <w:pPr>
              <w:jc w:val="center"/>
              <w:rPr>
                <w:rFonts w:eastAsia="Times New Roman"/>
                <w:sz w:val="20"/>
                <w:szCs w:val="20"/>
              </w:rPr>
            </w:pPr>
            <w:r>
              <w:rPr>
                <w:rFonts w:eastAsia="Times New Roman"/>
                <w:b/>
                <w:bCs/>
                <w:sz w:val="20"/>
                <w:szCs w:val="20"/>
                <w:u w:val="single"/>
              </w:rPr>
              <w:t>Exhibit Description</w:t>
            </w:r>
          </w:p>
        </w:tc>
        <w:tc>
          <w:tcPr>
            <w:tcW w:w="410" w:type="pct"/>
            <w:vAlign w:val="bottom"/>
            <w:hideMark/>
          </w:tcPr>
          <w:p w:rsidR="00000000" w:rsidRDefault="001D2166">
            <w:pPr>
              <w:jc w:val="center"/>
              <w:rPr>
                <w:rFonts w:eastAsia="Times New Roman"/>
                <w:sz w:val="20"/>
                <w:szCs w:val="20"/>
              </w:rPr>
            </w:pPr>
            <w:r>
              <w:rPr>
                <w:rFonts w:eastAsia="Times New Roman"/>
                <w:b/>
                <w:bCs/>
                <w:sz w:val="20"/>
                <w:szCs w:val="20"/>
                <w:u w:val="single"/>
              </w:rPr>
              <w:t>Form</w:t>
            </w:r>
          </w:p>
        </w:tc>
        <w:tc>
          <w:tcPr>
            <w:tcW w:w="455" w:type="pct"/>
            <w:vAlign w:val="bottom"/>
            <w:hideMark/>
          </w:tcPr>
          <w:p w:rsidR="00000000" w:rsidRDefault="001D2166">
            <w:pPr>
              <w:jc w:val="center"/>
              <w:rPr>
                <w:rFonts w:eastAsia="Times New Roman"/>
                <w:sz w:val="20"/>
                <w:szCs w:val="20"/>
              </w:rPr>
            </w:pPr>
            <w:r>
              <w:rPr>
                <w:rFonts w:eastAsia="Times New Roman"/>
                <w:b/>
                <w:bCs/>
                <w:sz w:val="20"/>
                <w:szCs w:val="20"/>
                <w:u w:val="single"/>
              </w:rPr>
              <w:t>File No.</w:t>
            </w:r>
          </w:p>
        </w:tc>
        <w:tc>
          <w:tcPr>
            <w:tcW w:w="495" w:type="pct"/>
            <w:vAlign w:val="bottom"/>
            <w:hideMark/>
          </w:tcPr>
          <w:p w:rsidR="00000000" w:rsidRDefault="001D2166">
            <w:pPr>
              <w:pStyle w:val="a3"/>
              <w:spacing w:before="0" w:beforeAutospacing="0" w:after="0" w:afterAutospacing="0"/>
              <w:jc w:val="center"/>
              <w:rPr>
                <w:sz w:val="20"/>
                <w:szCs w:val="20"/>
              </w:rPr>
            </w:pPr>
            <w:r>
              <w:rPr>
                <w:b/>
                <w:bCs/>
                <w:sz w:val="20"/>
                <w:szCs w:val="20"/>
              </w:rPr>
              <w:t>Date of</w:t>
            </w:r>
          </w:p>
          <w:p w:rsidR="00000000" w:rsidRDefault="001D2166">
            <w:pPr>
              <w:pStyle w:val="a3"/>
              <w:spacing w:before="0" w:beforeAutospacing="0" w:after="0" w:afterAutospacing="0"/>
              <w:jc w:val="center"/>
              <w:rPr>
                <w:sz w:val="20"/>
                <w:szCs w:val="20"/>
              </w:rPr>
            </w:pPr>
            <w:r>
              <w:rPr>
                <w:b/>
                <w:bCs/>
                <w:sz w:val="20"/>
                <w:szCs w:val="20"/>
                <w:u w:val="single"/>
              </w:rPr>
              <w:t>Filing</w:t>
            </w:r>
          </w:p>
        </w:tc>
        <w:tc>
          <w:tcPr>
            <w:tcW w:w="370" w:type="pct"/>
            <w:vAlign w:val="bottom"/>
            <w:hideMark/>
          </w:tcPr>
          <w:p w:rsidR="00000000" w:rsidRDefault="001D2166">
            <w:pPr>
              <w:pStyle w:val="a3"/>
              <w:spacing w:before="0" w:beforeAutospacing="0" w:after="0" w:afterAutospacing="0"/>
              <w:jc w:val="center"/>
              <w:rPr>
                <w:sz w:val="20"/>
                <w:szCs w:val="20"/>
              </w:rPr>
            </w:pPr>
            <w:r>
              <w:rPr>
                <w:b/>
                <w:bCs/>
                <w:sz w:val="20"/>
                <w:szCs w:val="20"/>
              </w:rPr>
              <w:t>Exhibit</w:t>
            </w:r>
          </w:p>
          <w:p w:rsidR="00000000" w:rsidRDefault="001D2166">
            <w:pPr>
              <w:pStyle w:val="a3"/>
              <w:spacing w:before="0" w:beforeAutospacing="0" w:after="0" w:afterAutospacing="0"/>
              <w:jc w:val="center"/>
              <w:rPr>
                <w:sz w:val="20"/>
                <w:szCs w:val="20"/>
              </w:rPr>
            </w:pPr>
            <w:r>
              <w:rPr>
                <w:b/>
                <w:bCs/>
                <w:sz w:val="20"/>
                <w:szCs w:val="20"/>
                <w:u w:val="single"/>
              </w:rPr>
              <w:t>Number</w:t>
            </w:r>
          </w:p>
        </w:tc>
        <w:tc>
          <w:tcPr>
            <w:tcW w:w="410" w:type="pct"/>
            <w:vAlign w:val="bottom"/>
            <w:hideMark/>
          </w:tcPr>
          <w:p w:rsidR="00000000" w:rsidRDefault="001D2166">
            <w:pPr>
              <w:pStyle w:val="a3"/>
              <w:spacing w:before="0" w:beforeAutospacing="0" w:after="0" w:afterAutospacing="0"/>
              <w:jc w:val="center"/>
              <w:rPr>
                <w:sz w:val="20"/>
                <w:szCs w:val="20"/>
              </w:rPr>
            </w:pPr>
            <w:r>
              <w:rPr>
                <w:b/>
                <w:bCs/>
                <w:sz w:val="20"/>
                <w:szCs w:val="20"/>
              </w:rPr>
              <w:t>Filed/</w:t>
            </w:r>
          </w:p>
          <w:p w:rsidR="00000000" w:rsidRDefault="001D2166">
            <w:pPr>
              <w:pStyle w:val="a3"/>
              <w:spacing w:before="0" w:beforeAutospacing="0" w:after="0" w:afterAutospacing="0"/>
              <w:jc w:val="center"/>
              <w:rPr>
                <w:sz w:val="20"/>
                <w:szCs w:val="20"/>
              </w:rPr>
            </w:pPr>
            <w:r>
              <w:rPr>
                <w:b/>
                <w:bCs/>
                <w:sz w:val="20"/>
                <w:szCs w:val="20"/>
              </w:rPr>
              <w:t xml:space="preserve">Furnished </w:t>
            </w:r>
          </w:p>
          <w:p w:rsidR="00000000" w:rsidRDefault="001D2166">
            <w:pPr>
              <w:pStyle w:val="a3"/>
              <w:spacing w:before="0" w:beforeAutospacing="0" w:after="0" w:afterAutospacing="0"/>
              <w:jc w:val="center"/>
              <w:rPr>
                <w:sz w:val="20"/>
                <w:szCs w:val="20"/>
              </w:rPr>
            </w:pPr>
            <w:r>
              <w:rPr>
                <w:b/>
                <w:bCs/>
                <w:sz w:val="20"/>
                <w:szCs w:val="20"/>
                <w:u w:val="single"/>
              </w:rPr>
              <w:t>Herewith</w:t>
            </w:r>
          </w:p>
        </w:tc>
        <w:tc>
          <w:tcPr>
            <w:tcW w:w="330" w:type="pct"/>
            <w:vAlign w:val="bottom"/>
            <w:hideMark/>
          </w:tcPr>
          <w:p w:rsidR="00000000" w:rsidRDefault="001D2166">
            <w:pPr>
              <w:pStyle w:val="a3"/>
              <w:spacing w:before="0" w:beforeAutospacing="0" w:after="0" w:afterAutospacing="0"/>
              <w:jc w:val="center"/>
              <w:rPr>
                <w:sz w:val="20"/>
                <w:szCs w:val="20"/>
              </w:rPr>
            </w:pPr>
            <w:r>
              <w:rPr>
                <w:b/>
                <w:bCs/>
                <w:sz w:val="20"/>
                <w:szCs w:val="20"/>
              </w:rPr>
              <w:t>Page</w:t>
            </w:r>
          </w:p>
          <w:p w:rsidR="00000000" w:rsidRDefault="001D2166">
            <w:pPr>
              <w:pStyle w:val="a3"/>
              <w:spacing w:before="0" w:beforeAutospacing="0" w:after="0" w:afterAutospacing="0"/>
              <w:jc w:val="center"/>
              <w:rPr>
                <w:sz w:val="20"/>
                <w:szCs w:val="20"/>
              </w:rPr>
            </w:pPr>
            <w:r>
              <w:rPr>
                <w:b/>
                <w:bCs/>
                <w:sz w:val="20"/>
                <w:szCs w:val="20"/>
                <w:u w:val="single"/>
              </w:rPr>
              <w:t>Number</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10.2</w:t>
            </w:r>
          </w:p>
        </w:tc>
        <w:tc>
          <w:tcPr>
            <w:tcW w:w="2070" w:type="pct"/>
            <w:hideMark/>
          </w:tcPr>
          <w:p w:rsidR="00000000" w:rsidRDefault="001D2166">
            <w:pPr>
              <w:pStyle w:val="a3"/>
              <w:spacing w:before="0" w:beforeAutospacing="0" w:after="0" w:afterAutospacing="0"/>
              <w:rPr>
                <w:sz w:val="20"/>
                <w:szCs w:val="20"/>
              </w:rPr>
            </w:pPr>
            <w:hyperlink r:id="rId25" w:history="1">
              <w:r>
                <w:rPr>
                  <w:rStyle w:val="a4"/>
                  <w:sz w:val="20"/>
                  <w:szCs w:val="20"/>
                </w:rPr>
                <w:t>Second Amended and Restated 1998 Equity Participation Plan of Kimco Realty Corporation (restated February 25, 2009)</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02/27/09</w:t>
            </w:r>
          </w:p>
        </w:tc>
        <w:tc>
          <w:tcPr>
            <w:tcW w:w="370" w:type="pct"/>
            <w:hideMark/>
          </w:tcPr>
          <w:p w:rsidR="00000000" w:rsidRDefault="001D2166">
            <w:pPr>
              <w:pStyle w:val="a3"/>
              <w:spacing w:before="0" w:beforeAutospacing="0" w:after="0" w:afterAutospacing="0"/>
              <w:jc w:val="center"/>
              <w:rPr>
                <w:sz w:val="20"/>
                <w:szCs w:val="20"/>
              </w:rPr>
            </w:pPr>
            <w:r>
              <w:rPr>
                <w:sz w:val="20"/>
                <w:szCs w:val="20"/>
              </w:rPr>
              <w:t>10.9</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10.3</w:t>
            </w:r>
          </w:p>
        </w:tc>
        <w:tc>
          <w:tcPr>
            <w:tcW w:w="2070" w:type="pct"/>
            <w:hideMark/>
          </w:tcPr>
          <w:p w:rsidR="00000000" w:rsidRDefault="001D2166">
            <w:pPr>
              <w:pStyle w:val="a3"/>
              <w:spacing w:before="0" w:beforeAutospacing="0" w:after="0" w:afterAutospacing="0"/>
              <w:rPr>
                <w:sz w:val="20"/>
                <w:szCs w:val="20"/>
              </w:rPr>
            </w:pPr>
            <w:hyperlink r:id="rId26" w:history="1">
              <w:r>
                <w:rPr>
                  <w:rStyle w:val="a4"/>
                  <w:sz w:val="20"/>
                  <w:szCs w:val="20"/>
                </w:rPr>
                <w:t>Form of Indemnification Agreement</w:t>
              </w:r>
            </w:hyperlink>
          </w:p>
        </w:tc>
        <w:tc>
          <w:tcPr>
            <w:tcW w:w="410"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02/27/09</w:t>
            </w:r>
          </w:p>
        </w:tc>
        <w:tc>
          <w:tcPr>
            <w:tcW w:w="370" w:type="pct"/>
            <w:hideMark/>
          </w:tcPr>
          <w:p w:rsidR="00000000" w:rsidRDefault="001D2166">
            <w:pPr>
              <w:pStyle w:val="a3"/>
              <w:spacing w:before="0" w:beforeAutospacing="0" w:after="0" w:afterAutospacing="0"/>
              <w:jc w:val="center"/>
              <w:rPr>
                <w:sz w:val="20"/>
                <w:szCs w:val="20"/>
              </w:rPr>
            </w:pPr>
            <w:r>
              <w:rPr>
                <w:sz w:val="20"/>
                <w:szCs w:val="20"/>
              </w:rPr>
              <w:t>99.1</w:t>
            </w:r>
          </w:p>
        </w:tc>
        <w:tc>
          <w:tcPr>
            <w:tcW w:w="410" w:type="pct"/>
            <w:hideMark/>
          </w:tcPr>
          <w:p w:rsidR="00000000" w:rsidRDefault="001D2166">
            <w:pPr>
              <w:rPr>
                <w:rFonts w:eastAsia="Times New Roman"/>
                <w:sz w:val="20"/>
                <w:szCs w:val="20"/>
              </w:rPr>
            </w:pPr>
            <w:r>
              <w:rPr>
                <w:rFonts w:eastAsia="Times New Roman"/>
                <w:sz w:val="20"/>
                <w:szCs w:val="20"/>
              </w:rPr>
              <w:t> </w:t>
            </w:r>
          </w:p>
        </w:tc>
        <w:tc>
          <w:tcPr>
            <w:tcW w:w="33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10.4</w:t>
            </w:r>
          </w:p>
        </w:tc>
        <w:tc>
          <w:tcPr>
            <w:tcW w:w="2070" w:type="pct"/>
            <w:hideMark/>
          </w:tcPr>
          <w:p w:rsidR="00000000" w:rsidRDefault="001D2166">
            <w:pPr>
              <w:pStyle w:val="a3"/>
              <w:spacing w:before="0" w:beforeAutospacing="0" w:after="0" w:afterAutospacing="0"/>
              <w:rPr>
                <w:sz w:val="20"/>
                <w:szCs w:val="20"/>
              </w:rPr>
            </w:pPr>
            <w:hyperlink r:id="rId27" w:history="1">
              <w:r>
                <w:rPr>
                  <w:rStyle w:val="a4"/>
                  <w:sz w:val="20"/>
                  <w:szCs w:val="20"/>
                </w:rPr>
                <w:t>Kimco Realty Corporation Executive Severance Plan, dated March 15, 2010</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03/19/10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10.5</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10.5</w:t>
            </w:r>
          </w:p>
        </w:tc>
        <w:tc>
          <w:tcPr>
            <w:tcW w:w="2070" w:type="pct"/>
            <w:hideMark/>
          </w:tcPr>
          <w:p w:rsidR="00000000" w:rsidRDefault="001D2166">
            <w:pPr>
              <w:pStyle w:val="a3"/>
              <w:spacing w:before="0" w:beforeAutospacing="0" w:after="0" w:afterAutospacing="0"/>
              <w:rPr>
                <w:sz w:val="20"/>
                <w:szCs w:val="20"/>
              </w:rPr>
            </w:pPr>
            <w:hyperlink r:id="rId28" w:history="1">
              <w:r>
                <w:rPr>
                  <w:rStyle w:val="a4"/>
                  <w:sz w:val="20"/>
                  <w:szCs w:val="20"/>
                </w:rPr>
                <w:t>Restated Kimco Realty Corporation 2010 Equity Participation Plan</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02/27/17</w:t>
            </w:r>
          </w:p>
        </w:tc>
        <w:tc>
          <w:tcPr>
            <w:tcW w:w="355" w:type="pct"/>
            <w:hideMark/>
          </w:tcPr>
          <w:p w:rsidR="00000000" w:rsidRDefault="001D2166">
            <w:pPr>
              <w:pStyle w:val="a3"/>
              <w:spacing w:before="0" w:beforeAutospacing="0" w:after="0" w:afterAutospacing="0"/>
              <w:jc w:val="center"/>
              <w:rPr>
                <w:sz w:val="20"/>
                <w:szCs w:val="20"/>
              </w:rPr>
            </w:pPr>
            <w:r>
              <w:rPr>
                <w:sz w:val="20"/>
                <w:szCs w:val="20"/>
              </w:rPr>
              <w:t>10.6</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10.6</w:t>
            </w:r>
          </w:p>
        </w:tc>
        <w:tc>
          <w:tcPr>
            <w:tcW w:w="2070" w:type="pct"/>
            <w:hideMark/>
          </w:tcPr>
          <w:p w:rsidR="00000000" w:rsidRDefault="001D2166">
            <w:pPr>
              <w:pStyle w:val="a3"/>
              <w:spacing w:before="0" w:beforeAutospacing="0" w:after="0" w:afterAutospacing="0"/>
              <w:rPr>
                <w:sz w:val="20"/>
                <w:szCs w:val="20"/>
              </w:rPr>
            </w:pPr>
            <w:hyperlink r:id="rId29" w:history="1">
              <w:r>
                <w:rPr>
                  <w:rStyle w:val="a4"/>
                  <w:sz w:val="20"/>
                  <w:szCs w:val="20"/>
                </w:rPr>
                <w:t>Amendment No. 1 to the Kimco Realty Corporation 2010 Equity Participation Plan</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02/23/18</w:t>
            </w:r>
          </w:p>
        </w:tc>
        <w:tc>
          <w:tcPr>
            <w:tcW w:w="355" w:type="pct"/>
            <w:hideMark/>
          </w:tcPr>
          <w:p w:rsidR="00000000" w:rsidRDefault="001D2166">
            <w:pPr>
              <w:pStyle w:val="a3"/>
              <w:spacing w:before="0" w:beforeAutospacing="0" w:after="0" w:afterAutospacing="0"/>
              <w:jc w:val="center"/>
              <w:rPr>
                <w:sz w:val="20"/>
                <w:szCs w:val="20"/>
              </w:rPr>
            </w:pPr>
            <w:r>
              <w:rPr>
                <w:sz w:val="20"/>
                <w:szCs w:val="20"/>
              </w:rPr>
              <w:t>10.7</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10.7</w:t>
            </w:r>
          </w:p>
        </w:tc>
        <w:tc>
          <w:tcPr>
            <w:tcW w:w="2070" w:type="pct"/>
            <w:hideMark/>
          </w:tcPr>
          <w:p w:rsidR="00000000" w:rsidRDefault="001D2166">
            <w:pPr>
              <w:pStyle w:val="a3"/>
              <w:spacing w:before="0" w:beforeAutospacing="0" w:after="0" w:afterAutospacing="0"/>
              <w:rPr>
                <w:sz w:val="20"/>
                <w:szCs w:val="20"/>
              </w:rPr>
            </w:pPr>
            <w:hyperlink r:id="rId30" w:history="1">
              <w:r>
                <w:rPr>
                  <w:rStyle w:val="a4"/>
                  <w:sz w:val="20"/>
                  <w:szCs w:val="20"/>
                </w:rPr>
                <w:t>Form of Perfor</w:t>
              </w:r>
              <w:r>
                <w:rPr>
                  <w:rStyle w:val="a4"/>
                  <w:sz w:val="20"/>
                  <w:szCs w:val="20"/>
                </w:rPr>
                <w:t>mance Share Award Grant Notice and Performance Share Award Agreement</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03/19/10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10.8</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10.8</w:t>
            </w:r>
          </w:p>
        </w:tc>
        <w:tc>
          <w:tcPr>
            <w:tcW w:w="2070" w:type="pct"/>
            <w:vAlign w:val="bottom"/>
            <w:hideMark/>
          </w:tcPr>
          <w:p w:rsidR="00000000" w:rsidRDefault="001D2166">
            <w:pPr>
              <w:pStyle w:val="a3"/>
              <w:spacing w:before="0" w:beforeAutospacing="0" w:after="0" w:afterAutospacing="0"/>
              <w:rPr>
                <w:sz w:val="20"/>
                <w:szCs w:val="20"/>
              </w:rPr>
            </w:pPr>
            <w:hyperlink r:id="rId31" w:history="1">
              <w:r>
                <w:rPr>
                  <w:rStyle w:val="a4"/>
                  <w:sz w:val="20"/>
                  <w:szCs w:val="20"/>
                </w:rPr>
                <w:t>First Amendment to the Kimco Realty Corporation Executive Severance Plan, dated March 20, 2012</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10-Q</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05/10/12</w:t>
            </w:r>
          </w:p>
        </w:tc>
        <w:tc>
          <w:tcPr>
            <w:tcW w:w="355" w:type="pct"/>
            <w:hideMark/>
          </w:tcPr>
          <w:p w:rsidR="00000000" w:rsidRDefault="001D2166">
            <w:pPr>
              <w:pStyle w:val="a3"/>
              <w:spacing w:before="0" w:beforeAutospacing="0" w:after="0" w:afterAutospacing="0"/>
              <w:jc w:val="center"/>
              <w:rPr>
                <w:sz w:val="20"/>
                <w:szCs w:val="20"/>
              </w:rPr>
            </w:pPr>
            <w:r>
              <w:rPr>
                <w:sz w:val="20"/>
                <w:szCs w:val="20"/>
              </w:rPr>
              <w:t>10.3</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10.9</w:t>
            </w:r>
          </w:p>
        </w:tc>
        <w:tc>
          <w:tcPr>
            <w:tcW w:w="2070" w:type="pct"/>
            <w:vAlign w:val="bottom"/>
            <w:hideMark/>
          </w:tcPr>
          <w:p w:rsidR="00000000" w:rsidRDefault="001D2166">
            <w:pPr>
              <w:pStyle w:val="a3"/>
              <w:spacing w:before="0" w:beforeAutospacing="0" w:after="0" w:afterAutospacing="0"/>
              <w:rPr>
                <w:sz w:val="20"/>
                <w:szCs w:val="20"/>
              </w:rPr>
            </w:pPr>
            <w:hyperlink r:id="rId32" w:history="1">
              <w:r>
                <w:rPr>
                  <w:rStyle w:val="a4"/>
                  <w:sz w:val="20"/>
                  <w:szCs w:val="20"/>
                </w:rPr>
                <w:t>Amended and Restated Credit Agreement, dated as of February 27, 2020, among Kimco Realty Corporation, the subsidiaries of Kimco from time to time parties thereto, the several banks, financial inst</w:t>
              </w:r>
              <w:r>
                <w:rPr>
                  <w:rStyle w:val="a4"/>
                  <w:sz w:val="20"/>
                  <w:szCs w:val="20"/>
                </w:rPr>
                <w:t>itutions and other entities from time to time party thereto and JPMorgan Chase Bank, N.A., as administrative agent for the Lenders thereunder</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8-K</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03/02/20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10.1</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10.10</w:t>
            </w:r>
          </w:p>
        </w:tc>
        <w:tc>
          <w:tcPr>
            <w:tcW w:w="2070" w:type="pct"/>
            <w:vAlign w:val="bottom"/>
            <w:hideMark/>
          </w:tcPr>
          <w:p w:rsidR="00000000" w:rsidRDefault="001D2166">
            <w:pPr>
              <w:pStyle w:val="a3"/>
              <w:spacing w:before="0" w:beforeAutospacing="0" w:after="0" w:afterAutospacing="0"/>
              <w:rPr>
                <w:sz w:val="20"/>
                <w:szCs w:val="20"/>
              </w:rPr>
            </w:pPr>
            <w:hyperlink r:id="rId33" w:anchor="ANNEXB68" w:history="1">
              <w:r>
                <w:rPr>
                  <w:rStyle w:val="a4"/>
                  <w:sz w:val="20"/>
                  <w:szCs w:val="20"/>
                </w:rPr>
                <w:t>Kimco Realty Corporation 2020 Equity Participation Plan</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DEF 14A</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03/18/20</w:t>
            </w:r>
          </w:p>
        </w:tc>
        <w:tc>
          <w:tcPr>
            <w:tcW w:w="355" w:type="pct"/>
            <w:hideMark/>
          </w:tcPr>
          <w:p w:rsidR="00000000" w:rsidRDefault="001D2166">
            <w:pPr>
              <w:pStyle w:val="a3"/>
              <w:spacing w:before="0" w:beforeAutospacing="0" w:after="0" w:afterAutospacing="0"/>
              <w:jc w:val="center"/>
              <w:rPr>
                <w:sz w:val="20"/>
                <w:szCs w:val="20"/>
              </w:rPr>
            </w:pPr>
            <w:r>
              <w:rPr>
                <w:sz w:val="20"/>
                <w:szCs w:val="20"/>
              </w:rPr>
              <w:t>Annex B</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10.11</w:t>
            </w:r>
          </w:p>
        </w:tc>
        <w:tc>
          <w:tcPr>
            <w:tcW w:w="2070" w:type="pct"/>
            <w:hideMark/>
          </w:tcPr>
          <w:p w:rsidR="00000000" w:rsidRDefault="001D2166">
            <w:pPr>
              <w:pStyle w:val="a3"/>
              <w:spacing w:before="0" w:beforeAutospacing="0" w:after="0" w:afterAutospacing="0"/>
              <w:rPr>
                <w:sz w:val="20"/>
                <w:szCs w:val="20"/>
              </w:rPr>
            </w:pPr>
            <w:hyperlink r:id="rId34" w:history="1">
              <w:r>
                <w:rPr>
                  <w:rStyle w:val="a4"/>
                  <w:sz w:val="20"/>
                  <w:szCs w:val="20"/>
                </w:rPr>
                <w:t>Credit Agreement, dated April 1, 2020, among Kimco Realty Corporation and each of the parties named therein</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10-Q</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08/07/20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10.1</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10.12</w:t>
            </w:r>
          </w:p>
        </w:tc>
        <w:tc>
          <w:tcPr>
            <w:tcW w:w="2070" w:type="pct"/>
            <w:hideMark/>
          </w:tcPr>
          <w:p w:rsidR="00000000" w:rsidRDefault="001D2166">
            <w:pPr>
              <w:pStyle w:val="a3"/>
              <w:spacing w:before="0" w:beforeAutospacing="0" w:after="0" w:afterAutospacing="0"/>
              <w:rPr>
                <w:sz w:val="20"/>
                <w:szCs w:val="20"/>
              </w:rPr>
            </w:pPr>
            <w:hyperlink r:id="rId35" w:history="1">
              <w:r>
                <w:rPr>
                  <w:rStyle w:val="a4"/>
                  <w:sz w:val="20"/>
                  <w:szCs w:val="20"/>
                </w:rPr>
                <w:t>Amendment No.1 to Credit Agreement, dated April 20, 2020, among Kimco Realty Corporation and each of the parties named therein.</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10-Q</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08/07/20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10.2</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10.13</w:t>
            </w:r>
          </w:p>
        </w:tc>
        <w:tc>
          <w:tcPr>
            <w:tcW w:w="2070" w:type="pct"/>
            <w:hideMark/>
          </w:tcPr>
          <w:p w:rsidR="00000000" w:rsidRDefault="001D2166">
            <w:pPr>
              <w:pStyle w:val="a3"/>
              <w:spacing w:before="0" w:beforeAutospacing="0" w:after="0" w:afterAutospacing="0"/>
              <w:rPr>
                <w:sz w:val="20"/>
                <w:szCs w:val="20"/>
              </w:rPr>
            </w:pPr>
            <w:hyperlink r:id="rId36" w:history="1">
              <w:r>
                <w:rPr>
                  <w:rStyle w:val="a4"/>
                  <w:sz w:val="20"/>
                  <w:szCs w:val="20"/>
                </w:rPr>
                <w:t>Amendment No.2 to Credit Agreement, dated April 24, 2020, among Kimco Realty Corporation and each of the parties named therein.</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10-Q</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08/07/20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10.3</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w:t>
            </w:r>
            <w:r>
              <w:rPr>
                <w:sz w:val="20"/>
                <w:szCs w:val="20"/>
              </w:rPr>
              <w:t>0.14</w:t>
            </w:r>
          </w:p>
        </w:tc>
        <w:tc>
          <w:tcPr>
            <w:tcW w:w="2070" w:type="pct"/>
            <w:hideMark/>
          </w:tcPr>
          <w:p w:rsidR="00000000" w:rsidRDefault="001D2166">
            <w:pPr>
              <w:pStyle w:val="a3"/>
              <w:spacing w:before="0" w:beforeAutospacing="0" w:after="0" w:afterAutospacing="0"/>
              <w:rPr>
                <w:sz w:val="20"/>
                <w:szCs w:val="20"/>
              </w:rPr>
            </w:pPr>
            <w:hyperlink r:id="rId37" w:history="1">
              <w:r>
                <w:rPr>
                  <w:rStyle w:val="a4"/>
                  <w:sz w:val="20"/>
                  <w:szCs w:val="20"/>
                </w:rPr>
                <w:t>Form of Kimco Realty Corporation 2020 Equity Participation Plan Performance Share Award Grant Notice and Performance Share Award Agreement.</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10-Q</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08/</w:t>
            </w:r>
            <w:r>
              <w:rPr>
                <w:sz w:val="20"/>
                <w:szCs w:val="20"/>
              </w:rPr>
              <w:t>07/20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10.4</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10.15</w:t>
            </w:r>
          </w:p>
        </w:tc>
        <w:tc>
          <w:tcPr>
            <w:tcW w:w="2070" w:type="pct"/>
            <w:hideMark/>
          </w:tcPr>
          <w:p w:rsidR="00000000" w:rsidRDefault="001D2166">
            <w:pPr>
              <w:pStyle w:val="a3"/>
              <w:spacing w:before="0" w:beforeAutospacing="0" w:after="0" w:afterAutospacing="0"/>
              <w:rPr>
                <w:sz w:val="20"/>
                <w:szCs w:val="20"/>
              </w:rPr>
            </w:pPr>
            <w:hyperlink r:id="rId38" w:history="1">
              <w:r>
                <w:rPr>
                  <w:rStyle w:val="a4"/>
                  <w:sz w:val="20"/>
                  <w:szCs w:val="20"/>
                </w:rPr>
                <w:t>Form of Kimco Realty Corporation 2020 Equity Participation Plan Restricted Stock Award Grant Notice and Restricted Stock Award Agreement.</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10-Q</w:t>
            </w:r>
          </w:p>
        </w:tc>
        <w:tc>
          <w:tcPr>
            <w:tcW w:w="455" w:type="pct"/>
            <w:hideMark/>
          </w:tcPr>
          <w:p w:rsidR="00000000" w:rsidRDefault="001D2166">
            <w:pPr>
              <w:pStyle w:val="a3"/>
              <w:spacing w:before="0" w:beforeAutospacing="0" w:after="0" w:afterAutospacing="0"/>
              <w:jc w:val="center"/>
              <w:rPr>
                <w:sz w:val="20"/>
                <w:szCs w:val="20"/>
              </w:rPr>
            </w:pPr>
            <w:r>
              <w:rPr>
                <w:sz w:val="20"/>
                <w:szCs w:val="20"/>
              </w:rPr>
              <w:t>1-10899</w:t>
            </w:r>
          </w:p>
        </w:tc>
        <w:tc>
          <w:tcPr>
            <w:tcW w:w="495" w:type="pct"/>
            <w:hideMark/>
          </w:tcPr>
          <w:p w:rsidR="00000000" w:rsidRDefault="001D2166">
            <w:pPr>
              <w:pStyle w:val="a3"/>
              <w:spacing w:before="0" w:beforeAutospacing="0" w:after="0" w:afterAutospacing="0"/>
              <w:jc w:val="center"/>
              <w:rPr>
                <w:sz w:val="20"/>
                <w:szCs w:val="20"/>
              </w:rPr>
            </w:pPr>
            <w:r>
              <w:rPr>
                <w:sz w:val="20"/>
                <w:szCs w:val="20"/>
              </w:rPr>
              <w:t>08/07/20</w:t>
            </w:r>
          </w:p>
        </w:tc>
        <w:tc>
          <w:tcPr>
            <w:tcW w:w="355" w:type="pct"/>
            <w:hideMark/>
          </w:tcPr>
          <w:p w:rsidR="00000000" w:rsidRDefault="001D2166">
            <w:pPr>
              <w:pStyle w:val="a3"/>
              <w:spacing w:before="0" w:beforeAutospacing="0" w:after="0" w:afterAutospacing="0"/>
              <w:jc w:val="center"/>
              <w:rPr>
                <w:sz w:val="20"/>
                <w:szCs w:val="20"/>
              </w:rPr>
            </w:pPr>
            <w:r>
              <w:rPr>
                <w:sz w:val="20"/>
                <w:szCs w:val="20"/>
              </w:rPr>
              <w:t>10.5</w:t>
            </w:r>
          </w:p>
        </w:tc>
        <w:tc>
          <w:tcPr>
            <w:tcW w:w="395" w:type="pct"/>
            <w:hideMark/>
          </w:tcPr>
          <w:p w:rsidR="00000000" w:rsidRDefault="001D2166">
            <w:pPr>
              <w:rPr>
                <w:rFonts w:eastAsia="Times New Roman"/>
                <w:sz w:val="20"/>
                <w:szCs w:val="20"/>
              </w:rPr>
            </w:pPr>
            <w:r>
              <w:rPr>
                <w:rFonts w:eastAsia="Times New Roman"/>
                <w:sz w:val="20"/>
                <w:szCs w:val="20"/>
              </w:rPr>
              <w:t> </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21.1</w:t>
            </w:r>
          </w:p>
        </w:tc>
        <w:tc>
          <w:tcPr>
            <w:tcW w:w="2070" w:type="pct"/>
            <w:hideMark/>
          </w:tcPr>
          <w:p w:rsidR="00000000" w:rsidRDefault="001D2166">
            <w:pPr>
              <w:pStyle w:val="a3"/>
              <w:spacing w:before="0" w:beforeAutospacing="0" w:after="0" w:afterAutospacing="0"/>
              <w:rPr>
                <w:sz w:val="20"/>
                <w:szCs w:val="20"/>
              </w:rPr>
            </w:pPr>
            <w:hyperlink r:id="rId39" w:history="1">
              <w:r>
                <w:rPr>
                  <w:rStyle w:val="a4"/>
                  <w:sz w:val="20"/>
                  <w:szCs w:val="20"/>
                </w:rPr>
                <w:t>Significant Subsidiaries of the Company</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23.1</w:t>
            </w:r>
          </w:p>
        </w:tc>
        <w:tc>
          <w:tcPr>
            <w:tcW w:w="2070" w:type="pct"/>
            <w:hideMark/>
          </w:tcPr>
          <w:p w:rsidR="00000000" w:rsidRDefault="001D2166">
            <w:pPr>
              <w:pStyle w:val="a3"/>
              <w:spacing w:before="0" w:beforeAutospacing="0" w:after="0" w:afterAutospacing="0"/>
              <w:rPr>
                <w:sz w:val="20"/>
                <w:szCs w:val="20"/>
              </w:rPr>
            </w:pPr>
            <w:hyperlink r:id="rId40" w:history="1">
              <w:r>
                <w:rPr>
                  <w:rStyle w:val="a4"/>
                  <w:sz w:val="20"/>
                  <w:szCs w:val="20"/>
                </w:rPr>
                <w:t>Consent of PricewaterhouseCoopers LLP</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31.1</w:t>
            </w:r>
          </w:p>
        </w:tc>
        <w:tc>
          <w:tcPr>
            <w:tcW w:w="2070" w:type="pct"/>
            <w:hideMark/>
          </w:tcPr>
          <w:p w:rsidR="00000000" w:rsidRDefault="001D2166">
            <w:pPr>
              <w:pStyle w:val="a3"/>
              <w:spacing w:before="0" w:beforeAutospacing="0" w:after="0" w:afterAutospacing="0"/>
              <w:rPr>
                <w:sz w:val="20"/>
                <w:szCs w:val="20"/>
              </w:rPr>
            </w:pPr>
            <w:hyperlink r:id="rId41" w:history="1">
              <w:r>
                <w:rPr>
                  <w:rStyle w:val="a4"/>
                  <w:sz w:val="20"/>
                  <w:szCs w:val="20"/>
                </w:rPr>
                <w:t>Certification of the Company’</w:t>
              </w:r>
              <w:r>
                <w:rPr>
                  <w:rStyle w:val="a4"/>
                  <w:sz w:val="20"/>
                  <w:szCs w:val="20"/>
                </w:rPr>
                <w:t>s Chief Executive Officer, Conor C. Flynn, pursuant to Section 302 of the Sarbanes-Oxley Act of 2002</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31.2</w:t>
            </w:r>
          </w:p>
        </w:tc>
        <w:tc>
          <w:tcPr>
            <w:tcW w:w="2070" w:type="pct"/>
            <w:hideMark/>
          </w:tcPr>
          <w:p w:rsidR="00000000" w:rsidRDefault="001D2166">
            <w:pPr>
              <w:pStyle w:val="a3"/>
              <w:spacing w:before="0" w:beforeAutospacing="0" w:after="0" w:afterAutospacing="0"/>
              <w:rPr>
                <w:sz w:val="20"/>
                <w:szCs w:val="20"/>
              </w:rPr>
            </w:pPr>
            <w:hyperlink r:id="rId42" w:history="1">
              <w:r>
                <w:rPr>
                  <w:rStyle w:val="a4"/>
                  <w:sz w:val="20"/>
                  <w:szCs w:val="20"/>
                </w:rPr>
                <w:t>Certification of the Company’s Chief Financial Officer, Glenn G. Cohen, pursuant to Section 302 of the Sarb</w:t>
              </w:r>
              <w:r>
                <w:rPr>
                  <w:rStyle w:val="a4"/>
                  <w:sz w:val="20"/>
                  <w:szCs w:val="20"/>
                </w:rPr>
                <w:t>anes-Oxley Act of 2002</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32.1</w:t>
            </w:r>
          </w:p>
        </w:tc>
        <w:tc>
          <w:tcPr>
            <w:tcW w:w="2070" w:type="pct"/>
            <w:hideMark/>
          </w:tcPr>
          <w:p w:rsidR="00000000" w:rsidRDefault="001D2166">
            <w:pPr>
              <w:pStyle w:val="a3"/>
              <w:spacing w:before="0" w:beforeAutospacing="0" w:after="0" w:afterAutospacing="0"/>
              <w:rPr>
                <w:sz w:val="20"/>
                <w:szCs w:val="20"/>
              </w:rPr>
            </w:pPr>
            <w:hyperlink r:id="rId43" w:history="1">
              <w:r>
                <w:rPr>
                  <w:rStyle w:val="a4"/>
                  <w:sz w:val="20"/>
                  <w:szCs w:val="20"/>
                </w:rPr>
                <w:t>Certification of the Company’s Chief Executive Officer, Conor C. Flynn, and the Company’s Chief Financial Officer, Glenn G. Cohen, pursuant to Section 906 of the Sarbanes-Oxley Act of 2</w:t>
              </w:r>
              <w:r>
                <w:rPr>
                  <w:rStyle w:val="a4"/>
                  <w:sz w:val="20"/>
                  <w:szCs w:val="20"/>
                </w:rPr>
                <w:t>002</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99.1</w:t>
            </w:r>
          </w:p>
        </w:tc>
        <w:tc>
          <w:tcPr>
            <w:tcW w:w="2070" w:type="pct"/>
            <w:hideMark/>
          </w:tcPr>
          <w:p w:rsidR="00000000" w:rsidRDefault="001D2166">
            <w:pPr>
              <w:pStyle w:val="a3"/>
              <w:spacing w:before="0" w:beforeAutospacing="0" w:after="0" w:afterAutospacing="0"/>
              <w:rPr>
                <w:sz w:val="20"/>
                <w:szCs w:val="20"/>
              </w:rPr>
            </w:pPr>
            <w:hyperlink r:id="rId44" w:history="1">
              <w:r>
                <w:rPr>
                  <w:rStyle w:val="a4"/>
                  <w:sz w:val="20"/>
                  <w:szCs w:val="20"/>
                </w:rPr>
                <w:t>Property Chart</w:t>
              </w:r>
            </w:hyperlink>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101.INS</w:t>
            </w:r>
          </w:p>
        </w:tc>
        <w:tc>
          <w:tcPr>
            <w:tcW w:w="2070" w:type="pct"/>
            <w:hideMark/>
          </w:tcPr>
          <w:p w:rsidR="00000000" w:rsidRDefault="001D2166">
            <w:pPr>
              <w:pStyle w:val="a3"/>
              <w:spacing w:before="0" w:beforeAutospacing="0" w:after="0" w:afterAutospacing="0"/>
              <w:rPr>
                <w:sz w:val="20"/>
                <w:szCs w:val="20"/>
              </w:rPr>
            </w:pPr>
            <w:r>
              <w:rPr>
                <w:sz w:val="20"/>
                <w:szCs w:val="20"/>
              </w:rPr>
              <w:t>XBRL Instance Document - the instance document does not appear in the Interactive Data File because its XBRL tags are embedded within the Inline XBRL document</w:t>
            </w:r>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101.SCH</w:t>
            </w:r>
          </w:p>
        </w:tc>
        <w:tc>
          <w:tcPr>
            <w:tcW w:w="2070" w:type="pct"/>
            <w:hideMark/>
          </w:tcPr>
          <w:p w:rsidR="00000000" w:rsidRDefault="001D2166">
            <w:pPr>
              <w:pStyle w:val="a3"/>
              <w:spacing w:before="0" w:beforeAutospacing="0" w:after="0" w:afterAutospacing="0"/>
              <w:rPr>
                <w:sz w:val="20"/>
                <w:szCs w:val="20"/>
              </w:rPr>
            </w:pPr>
            <w:r>
              <w:rPr>
                <w:sz w:val="20"/>
                <w:szCs w:val="20"/>
              </w:rPr>
              <w:t>Inline XBRL Taxonomy Extension Schema</w:t>
            </w:r>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101.CAL</w:t>
            </w:r>
          </w:p>
        </w:tc>
        <w:tc>
          <w:tcPr>
            <w:tcW w:w="2070" w:type="pct"/>
            <w:hideMark/>
          </w:tcPr>
          <w:p w:rsidR="00000000" w:rsidRDefault="001D2166">
            <w:pPr>
              <w:pStyle w:val="a3"/>
              <w:spacing w:before="0" w:beforeAutospacing="0" w:after="0" w:afterAutospacing="0"/>
              <w:rPr>
                <w:sz w:val="20"/>
                <w:szCs w:val="20"/>
              </w:rPr>
            </w:pPr>
            <w:r>
              <w:rPr>
                <w:sz w:val="20"/>
                <w:szCs w:val="20"/>
              </w:rPr>
              <w:t>Inline XBRL Taxonomy Extension Calculation Linkbase</w:t>
            </w:r>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101.DEF</w:t>
            </w:r>
          </w:p>
        </w:tc>
        <w:tc>
          <w:tcPr>
            <w:tcW w:w="2070" w:type="pct"/>
            <w:hideMark/>
          </w:tcPr>
          <w:p w:rsidR="00000000" w:rsidRDefault="001D2166">
            <w:pPr>
              <w:pStyle w:val="a3"/>
              <w:spacing w:before="0" w:beforeAutospacing="0" w:after="0" w:afterAutospacing="0"/>
              <w:rPr>
                <w:sz w:val="20"/>
                <w:szCs w:val="20"/>
              </w:rPr>
            </w:pPr>
            <w:r>
              <w:rPr>
                <w:sz w:val="20"/>
                <w:szCs w:val="20"/>
              </w:rPr>
              <w:t>Inline XBRL Taxonomy Extension Definition Linkbase</w:t>
            </w:r>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101.LAB</w:t>
            </w:r>
          </w:p>
        </w:tc>
        <w:tc>
          <w:tcPr>
            <w:tcW w:w="2070" w:type="pct"/>
            <w:hideMark/>
          </w:tcPr>
          <w:p w:rsidR="00000000" w:rsidRDefault="001D2166">
            <w:pPr>
              <w:pStyle w:val="a3"/>
              <w:spacing w:before="0" w:beforeAutospacing="0" w:after="0" w:afterAutospacing="0"/>
              <w:rPr>
                <w:sz w:val="20"/>
                <w:szCs w:val="20"/>
              </w:rPr>
            </w:pPr>
            <w:r>
              <w:rPr>
                <w:sz w:val="20"/>
                <w:szCs w:val="20"/>
              </w:rPr>
              <w:t>Inline XBRL Taxonomy Extension Label Linkbase</w:t>
            </w:r>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101.PRE</w:t>
            </w:r>
          </w:p>
        </w:tc>
        <w:tc>
          <w:tcPr>
            <w:tcW w:w="2070" w:type="pct"/>
            <w:hideMark/>
          </w:tcPr>
          <w:p w:rsidR="00000000" w:rsidRDefault="001D2166">
            <w:pPr>
              <w:pStyle w:val="a3"/>
              <w:spacing w:before="0" w:beforeAutospacing="0" w:after="0" w:afterAutospacing="0"/>
              <w:rPr>
                <w:sz w:val="20"/>
                <w:szCs w:val="20"/>
              </w:rPr>
            </w:pPr>
            <w:r>
              <w:rPr>
                <w:sz w:val="20"/>
                <w:szCs w:val="20"/>
              </w:rPr>
              <w:t>Inline XBRL Taxonomy Extension Presentation Linkbase</w:t>
            </w:r>
          </w:p>
        </w:tc>
        <w:tc>
          <w:tcPr>
            <w:tcW w:w="385" w:type="pct"/>
            <w:hideMark/>
          </w:tcPr>
          <w:p w:rsidR="00000000" w:rsidRDefault="001D2166">
            <w:pPr>
              <w:pStyle w:val="a3"/>
              <w:spacing w:before="0" w:beforeAutospacing="0" w:after="0" w:afterAutospacing="0"/>
              <w:jc w:val="center"/>
              <w:rPr>
                <w:sz w:val="20"/>
                <w:szCs w:val="20"/>
              </w:rPr>
            </w:pPr>
            <w:r>
              <w:rPr>
                <w:sz w:val="20"/>
                <w:szCs w:val="20"/>
              </w:rPr>
              <w:t>—</w:t>
            </w:r>
          </w:p>
        </w:tc>
        <w:tc>
          <w:tcPr>
            <w:tcW w:w="455" w:type="pct"/>
            <w:hideMark/>
          </w:tcPr>
          <w:p w:rsidR="00000000" w:rsidRDefault="001D2166">
            <w:pPr>
              <w:pStyle w:val="a3"/>
              <w:spacing w:before="0" w:beforeAutospacing="0" w:after="0" w:afterAutospacing="0"/>
              <w:jc w:val="center"/>
              <w:rPr>
                <w:sz w:val="20"/>
                <w:szCs w:val="20"/>
              </w:rPr>
            </w:pPr>
            <w:r>
              <w:rPr>
                <w:sz w:val="20"/>
                <w:szCs w:val="20"/>
              </w:rPr>
              <w:t>—</w:t>
            </w:r>
          </w:p>
        </w:tc>
        <w:tc>
          <w:tcPr>
            <w:tcW w:w="495" w:type="pct"/>
            <w:hideMark/>
          </w:tcPr>
          <w:p w:rsidR="00000000" w:rsidRDefault="001D2166">
            <w:pPr>
              <w:pStyle w:val="a3"/>
              <w:spacing w:before="0" w:beforeAutospacing="0" w:after="0" w:afterAutospacing="0"/>
              <w:jc w:val="center"/>
              <w:rPr>
                <w:sz w:val="20"/>
                <w:szCs w:val="20"/>
              </w:rPr>
            </w:pPr>
            <w:r>
              <w:rPr>
                <w:sz w:val="20"/>
                <w:szCs w:val="20"/>
              </w:rPr>
              <w:t>—</w:t>
            </w:r>
          </w:p>
        </w:tc>
        <w:tc>
          <w:tcPr>
            <w:tcW w:w="355" w:type="pct"/>
            <w:hideMark/>
          </w:tcPr>
          <w:p w:rsidR="00000000" w:rsidRDefault="001D2166">
            <w:pPr>
              <w:pStyle w:val="a3"/>
              <w:spacing w:before="0" w:beforeAutospacing="0" w:after="0" w:afterAutospacing="0"/>
              <w:jc w:val="center"/>
              <w:rPr>
                <w:sz w:val="20"/>
                <w:szCs w:val="20"/>
              </w:rPr>
            </w:pPr>
            <w:r>
              <w:rPr>
                <w:sz w:val="20"/>
                <w:szCs w:val="20"/>
              </w:rPr>
              <w:t>—</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510" w:type="pct"/>
            <w:hideMark/>
          </w:tcPr>
          <w:p w:rsidR="00000000" w:rsidRDefault="001D2166">
            <w:pPr>
              <w:pStyle w:val="a3"/>
              <w:spacing w:before="0" w:beforeAutospacing="0" w:after="0" w:afterAutospacing="0"/>
              <w:rPr>
                <w:sz w:val="20"/>
                <w:szCs w:val="20"/>
              </w:rPr>
            </w:pPr>
            <w:r>
              <w:rPr>
                <w:sz w:val="20"/>
                <w:szCs w:val="20"/>
              </w:rPr>
              <w:t>104</w:t>
            </w:r>
          </w:p>
        </w:tc>
        <w:tc>
          <w:tcPr>
            <w:tcW w:w="2070" w:type="pct"/>
            <w:hideMark/>
          </w:tcPr>
          <w:p w:rsidR="00000000" w:rsidRDefault="001D2166">
            <w:pPr>
              <w:pStyle w:val="a3"/>
              <w:spacing w:before="0" w:beforeAutospacing="0" w:after="0" w:afterAutospacing="0"/>
              <w:rPr>
                <w:sz w:val="20"/>
                <w:szCs w:val="20"/>
              </w:rPr>
            </w:pPr>
            <w:r>
              <w:rPr>
                <w:sz w:val="20"/>
                <w:szCs w:val="20"/>
              </w:rPr>
              <w:t>Cover Page Interactive Data File (formatted as Inline XBRL and contained in Exhibit 101)</w:t>
            </w:r>
          </w:p>
        </w:tc>
        <w:tc>
          <w:tcPr>
            <w:tcW w:w="385" w:type="pct"/>
            <w:hideMark/>
          </w:tcPr>
          <w:p w:rsidR="00000000" w:rsidRDefault="001D2166">
            <w:pPr>
              <w:rPr>
                <w:rFonts w:eastAsia="Times New Roman"/>
                <w:sz w:val="20"/>
                <w:szCs w:val="20"/>
              </w:rPr>
            </w:pPr>
            <w:r>
              <w:rPr>
                <w:rFonts w:eastAsia="Times New Roman"/>
                <w:sz w:val="20"/>
                <w:szCs w:val="20"/>
              </w:rPr>
              <w:t> </w:t>
            </w:r>
          </w:p>
        </w:tc>
        <w:tc>
          <w:tcPr>
            <w:tcW w:w="455" w:type="pct"/>
            <w:hideMark/>
          </w:tcPr>
          <w:p w:rsidR="00000000" w:rsidRDefault="001D2166">
            <w:pPr>
              <w:rPr>
                <w:rFonts w:eastAsia="Times New Roman"/>
                <w:sz w:val="20"/>
                <w:szCs w:val="20"/>
              </w:rPr>
            </w:pPr>
            <w:r>
              <w:rPr>
                <w:rFonts w:eastAsia="Times New Roman"/>
                <w:sz w:val="20"/>
                <w:szCs w:val="20"/>
              </w:rPr>
              <w:t> </w:t>
            </w:r>
          </w:p>
        </w:tc>
        <w:tc>
          <w:tcPr>
            <w:tcW w:w="495" w:type="pct"/>
            <w:hideMark/>
          </w:tcPr>
          <w:p w:rsidR="00000000" w:rsidRDefault="001D2166">
            <w:pPr>
              <w:rPr>
                <w:rFonts w:eastAsia="Times New Roman"/>
                <w:sz w:val="20"/>
                <w:szCs w:val="20"/>
              </w:rPr>
            </w:pPr>
            <w:r>
              <w:rPr>
                <w:rFonts w:eastAsia="Times New Roman"/>
                <w:sz w:val="20"/>
                <w:szCs w:val="20"/>
              </w:rPr>
              <w:t> </w:t>
            </w:r>
          </w:p>
        </w:tc>
        <w:tc>
          <w:tcPr>
            <w:tcW w:w="355" w:type="pct"/>
            <w:hideMark/>
          </w:tcPr>
          <w:p w:rsidR="00000000" w:rsidRDefault="001D2166">
            <w:pPr>
              <w:rPr>
                <w:rFonts w:eastAsia="Times New Roman"/>
                <w:sz w:val="20"/>
                <w:szCs w:val="20"/>
              </w:rPr>
            </w:pPr>
            <w:r>
              <w:rPr>
                <w:rFonts w:eastAsia="Times New Roman"/>
                <w:sz w:val="20"/>
                <w:szCs w:val="20"/>
              </w:rPr>
              <w:t> </w:t>
            </w:r>
          </w:p>
        </w:tc>
        <w:tc>
          <w:tcPr>
            <w:tcW w:w="395" w:type="pct"/>
            <w:hideMark/>
          </w:tcPr>
          <w:p w:rsidR="00000000" w:rsidRDefault="001D2166">
            <w:pPr>
              <w:pStyle w:val="a3"/>
              <w:spacing w:before="0" w:beforeAutospacing="0" w:after="0" w:afterAutospacing="0"/>
              <w:jc w:val="center"/>
              <w:rPr>
                <w:sz w:val="20"/>
                <w:szCs w:val="20"/>
              </w:rPr>
            </w:pPr>
            <w:r>
              <w:rPr>
                <w:sz w:val="20"/>
                <w:szCs w:val="20"/>
              </w:rPr>
              <w:t>*</w:t>
            </w:r>
          </w:p>
        </w:tc>
        <w:tc>
          <w:tcPr>
            <w:tcW w:w="370" w:type="pct"/>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Filed herewith</w:t>
      </w:r>
    </w:p>
    <w:p w:rsidR="00000000" w:rsidRDefault="001D2166">
      <w:pPr>
        <w:pStyle w:val="a3"/>
        <w:spacing w:before="0" w:beforeAutospacing="0" w:after="0" w:afterAutospacing="0"/>
        <w:rPr>
          <w:sz w:val="20"/>
          <w:szCs w:val="20"/>
        </w:rPr>
      </w:pPr>
      <w:r>
        <w:rPr>
          <w:sz w:val="20"/>
          <w:szCs w:val="20"/>
        </w:rPr>
        <w:t>** Furnished herewith</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566574797"/>
        <w:rPr>
          <w:rFonts w:eastAsia="Times New Roman"/>
          <w:sz w:val="20"/>
          <w:szCs w:val="20"/>
        </w:rPr>
      </w:pPr>
      <w:r>
        <w:rPr>
          <w:rFonts w:eastAsia="Times New Roman"/>
          <w:sz w:val="20"/>
          <w:szCs w:val="20"/>
        </w:rPr>
        <w:t xml:space="preserve">46 </w:t>
      </w:r>
    </w:p>
    <w:p w:rsidR="00000000" w:rsidRDefault="001D2166">
      <w:pPr>
        <w:divId w:val="566574797"/>
        <w:rPr>
          <w:rFonts w:eastAsia="Times New Roman"/>
          <w:sz w:val="20"/>
          <w:szCs w:val="20"/>
        </w:rPr>
      </w:pPr>
      <w:r>
        <w:rPr>
          <w:rFonts w:eastAsia="Times New Roman"/>
          <w:sz w:val="20"/>
          <w:szCs w:val="20"/>
        </w:rPr>
        <w:pict>
          <v:rect id="_x0000_i1078" style="width:415.3pt;height:1.5pt" o:hralign="center" o:hrstd="t" o:hrnoshade="t" o:hr="t" fillcolor="black" stroked="f"/>
        </w:pict>
      </w:r>
    </w:p>
    <w:p w:rsidR="00000000" w:rsidRDefault="001D2166">
      <w:pPr>
        <w:divId w:val="110986208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b/>
          <w:bCs/>
          <w:sz w:val="20"/>
          <w:szCs w:val="20"/>
          <w:u w:val="single"/>
        </w:rPr>
        <w:t>SIGNATURES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39"/>
        <w:gridCol w:w="289"/>
        <w:gridCol w:w="2894"/>
        <w:gridCol w:w="984"/>
      </w:tblGrid>
      <w:tr w:rsidR="00000000">
        <w:trPr>
          <w:tblCellSpacing w:w="0" w:type="dxa"/>
        </w:trPr>
        <w:tc>
          <w:tcPr>
            <w:tcW w:w="2500" w:type="pct"/>
            <w:hideMark/>
          </w:tcPr>
          <w:p w:rsidR="00000000" w:rsidRDefault="001D2166">
            <w:pPr>
              <w:pStyle w:val="a3"/>
              <w:spacing w:before="0" w:beforeAutospacing="0" w:after="0" w:afterAutospacing="0"/>
              <w:rPr>
                <w:sz w:val="20"/>
                <w:szCs w:val="20"/>
              </w:rPr>
            </w:pPr>
            <w:r>
              <w:rPr>
                <w:sz w:val="20"/>
                <w:szCs w:val="20"/>
              </w:rPr>
              <w:t> </w:t>
            </w:r>
          </w:p>
        </w:tc>
        <w:tc>
          <w:tcPr>
            <w:tcW w:w="1900" w:type="pct"/>
            <w:gridSpan w:val="2"/>
            <w:hideMark/>
          </w:tcPr>
          <w:p w:rsidR="00000000" w:rsidRDefault="001D2166">
            <w:pPr>
              <w:pStyle w:val="a3"/>
              <w:spacing w:before="0" w:beforeAutospacing="0" w:after="0" w:afterAutospacing="0"/>
              <w:rPr>
                <w:sz w:val="20"/>
                <w:szCs w:val="20"/>
              </w:rPr>
            </w:pPr>
            <w:r>
              <w:rPr>
                <w:sz w:val="20"/>
                <w:szCs w:val="20"/>
              </w:rPr>
              <w:t>KIMCO REALTY CORPORATION</w:t>
            </w:r>
          </w:p>
        </w:tc>
        <w:tc>
          <w:tcPr>
            <w:tcW w:w="600" w:type="pct"/>
            <w:hideMark/>
          </w:tcPr>
          <w:p w:rsidR="00000000" w:rsidRDefault="001D2166">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1D2166">
            <w:pPr>
              <w:pStyle w:val="a3"/>
              <w:spacing w:before="0" w:beforeAutospacing="0" w:after="0" w:afterAutospacing="0"/>
              <w:rPr>
                <w:sz w:val="20"/>
                <w:szCs w:val="20"/>
              </w:rPr>
            </w:pPr>
            <w:r>
              <w:rPr>
                <w:sz w:val="20"/>
                <w:szCs w:val="20"/>
              </w:rPr>
              <w:t> </w:t>
            </w:r>
          </w:p>
        </w:tc>
        <w:tc>
          <w:tcPr>
            <w:tcW w:w="150" w:type="pct"/>
            <w:hideMark/>
          </w:tcPr>
          <w:p w:rsidR="00000000" w:rsidRDefault="001D2166">
            <w:pPr>
              <w:pStyle w:val="a3"/>
              <w:spacing w:before="0" w:beforeAutospacing="0" w:after="0" w:afterAutospacing="0"/>
              <w:rPr>
                <w:sz w:val="20"/>
                <w:szCs w:val="20"/>
              </w:rPr>
            </w:pPr>
            <w:r>
              <w:rPr>
                <w:sz w:val="20"/>
                <w:szCs w:val="20"/>
              </w:rPr>
              <w:t> </w:t>
            </w:r>
          </w:p>
        </w:tc>
        <w:tc>
          <w:tcPr>
            <w:tcW w:w="1750" w:type="pct"/>
            <w:hideMark/>
          </w:tcPr>
          <w:p w:rsidR="00000000" w:rsidRDefault="001D2166">
            <w:pPr>
              <w:pStyle w:val="a3"/>
              <w:spacing w:before="0" w:beforeAutospacing="0" w:after="0" w:afterAutospacing="0"/>
              <w:rPr>
                <w:sz w:val="20"/>
                <w:szCs w:val="20"/>
              </w:rPr>
            </w:pPr>
            <w:r>
              <w:rPr>
                <w:sz w:val="20"/>
                <w:szCs w:val="20"/>
              </w:rPr>
              <w:t> </w:t>
            </w:r>
          </w:p>
        </w:tc>
        <w:tc>
          <w:tcPr>
            <w:tcW w:w="600" w:type="pct"/>
            <w:hideMark/>
          </w:tcPr>
          <w:p w:rsidR="00000000" w:rsidRDefault="001D2166">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1D2166">
            <w:pPr>
              <w:pStyle w:val="a3"/>
              <w:spacing w:before="0" w:beforeAutospacing="0" w:after="0" w:afterAutospacing="0"/>
              <w:rPr>
                <w:sz w:val="20"/>
                <w:szCs w:val="20"/>
              </w:rPr>
            </w:pPr>
            <w:r>
              <w:rPr>
                <w:sz w:val="20"/>
                <w:szCs w:val="20"/>
              </w:rPr>
              <w:t> </w:t>
            </w:r>
          </w:p>
        </w:tc>
        <w:tc>
          <w:tcPr>
            <w:tcW w:w="150" w:type="pct"/>
            <w:hideMark/>
          </w:tcPr>
          <w:p w:rsidR="00000000" w:rsidRDefault="001D2166">
            <w:pPr>
              <w:pStyle w:val="a3"/>
              <w:spacing w:before="0" w:beforeAutospacing="0" w:after="0" w:afterAutospacing="0"/>
              <w:rPr>
                <w:sz w:val="20"/>
                <w:szCs w:val="20"/>
              </w:rPr>
            </w:pPr>
            <w:r>
              <w:rPr>
                <w:sz w:val="20"/>
                <w:szCs w:val="20"/>
              </w:rPr>
              <w:t> </w:t>
            </w:r>
          </w:p>
        </w:tc>
        <w:tc>
          <w:tcPr>
            <w:tcW w:w="1750" w:type="pct"/>
            <w:vAlign w:val="bottom"/>
            <w:hideMark/>
          </w:tcPr>
          <w:p w:rsidR="00000000" w:rsidRDefault="001D2166">
            <w:pPr>
              <w:pStyle w:val="a3"/>
              <w:spacing w:before="0" w:beforeAutospacing="0" w:after="0" w:afterAutospacing="0"/>
              <w:rPr>
                <w:sz w:val="20"/>
                <w:szCs w:val="20"/>
              </w:rPr>
            </w:pPr>
            <w:r>
              <w:rPr>
                <w:sz w:val="20"/>
                <w:szCs w:val="20"/>
              </w:rPr>
              <w:t> </w:t>
            </w:r>
          </w:p>
        </w:tc>
        <w:tc>
          <w:tcPr>
            <w:tcW w:w="600" w:type="pct"/>
            <w:hideMark/>
          </w:tcPr>
          <w:p w:rsidR="00000000" w:rsidRDefault="001D2166">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1D2166">
            <w:pPr>
              <w:pStyle w:val="a3"/>
              <w:spacing w:before="0" w:beforeAutospacing="0" w:after="0" w:afterAutospacing="0"/>
              <w:rPr>
                <w:sz w:val="20"/>
                <w:szCs w:val="20"/>
              </w:rPr>
            </w:pPr>
            <w:r>
              <w:rPr>
                <w:sz w:val="20"/>
                <w:szCs w:val="20"/>
              </w:rPr>
              <w:t> </w:t>
            </w:r>
          </w:p>
        </w:tc>
        <w:tc>
          <w:tcPr>
            <w:tcW w:w="0" w:type="auto"/>
            <w:hideMark/>
          </w:tcPr>
          <w:p w:rsidR="00000000" w:rsidRDefault="001D2166">
            <w:pPr>
              <w:pStyle w:val="a3"/>
              <w:spacing w:before="0" w:beforeAutospacing="0" w:after="0" w:afterAutospacing="0"/>
              <w:rPr>
                <w:sz w:val="20"/>
                <w:szCs w:val="20"/>
              </w:rPr>
            </w:pPr>
            <w:r>
              <w:rPr>
                <w:sz w:val="20"/>
                <w:szCs w:val="20"/>
              </w:rPr>
              <w:t xml:space="preserve">By: </w:t>
            </w:r>
          </w:p>
        </w:tc>
        <w:tc>
          <w:tcPr>
            <w:tcW w:w="1750" w:type="pct"/>
            <w:hideMark/>
          </w:tcPr>
          <w:p w:rsidR="00000000" w:rsidRDefault="001D2166">
            <w:pPr>
              <w:pStyle w:val="a3"/>
              <w:spacing w:before="0" w:beforeAutospacing="0" w:after="0" w:afterAutospacing="0"/>
              <w:rPr>
                <w:sz w:val="20"/>
                <w:szCs w:val="20"/>
              </w:rPr>
            </w:pPr>
            <w:r>
              <w:rPr>
                <w:sz w:val="20"/>
                <w:szCs w:val="20"/>
                <w:u w:val="single"/>
              </w:rPr>
              <w:t>/s/ Conor C. Flynn</w:t>
            </w:r>
          </w:p>
        </w:tc>
        <w:tc>
          <w:tcPr>
            <w:tcW w:w="600" w:type="pct"/>
            <w:hideMark/>
          </w:tcPr>
          <w:p w:rsidR="00000000" w:rsidRDefault="001D2166">
            <w:pPr>
              <w:pStyle w:val="a3"/>
              <w:spacing w:before="0" w:beforeAutospacing="0" w:after="0" w:afterAutospacing="0"/>
              <w:rPr>
                <w:sz w:val="20"/>
                <w:szCs w:val="20"/>
              </w:rPr>
            </w:pPr>
            <w:r>
              <w:rPr>
                <w:sz w:val="20"/>
                <w:szCs w:val="20"/>
              </w:rPr>
              <w:t> </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tblCellSpacing w:w="0" w:type="dxa"/>
        </w:trPr>
        <w:tc>
          <w:tcPr>
            <w:tcW w:w="2500" w:type="pct"/>
            <w:hideMark/>
          </w:tcPr>
          <w:p w:rsidR="00000000" w:rsidRDefault="001D2166">
            <w:pPr>
              <w:pStyle w:val="a3"/>
              <w:spacing w:before="0" w:beforeAutospacing="0" w:after="0" w:afterAutospacing="0"/>
              <w:rPr>
                <w:sz w:val="20"/>
                <w:szCs w:val="20"/>
              </w:rPr>
            </w:pPr>
            <w:r>
              <w:rPr>
                <w:sz w:val="20"/>
                <w:szCs w:val="20"/>
              </w:rPr>
              <w:t> </w:t>
            </w:r>
          </w:p>
        </w:tc>
        <w:tc>
          <w:tcPr>
            <w:tcW w:w="2500" w:type="pct"/>
            <w:hideMark/>
          </w:tcPr>
          <w:p w:rsidR="00000000" w:rsidRDefault="001D2166">
            <w:pPr>
              <w:pStyle w:val="a3"/>
              <w:spacing w:before="0" w:beforeAutospacing="0" w:after="0" w:afterAutospacing="0"/>
              <w:rPr>
                <w:sz w:val="20"/>
                <w:szCs w:val="20"/>
              </w:rPr>
            </w:pPr>
            <w:r>
              <w:rPr>
                <w:sz w:val="20"/>
                <w:szCs w:val="20"/>
              </w:rPr>
              <w:t>Conor C. Flynn</w:t>
            </w:r>
          </w:p>
        </w:tc>
      </w:tr>
      <w:tr w:rsidR="00000000">
        <w:trPr>
          <w:tblCellSpacing w:w="0" w:type="dxa"/>
        </w:trPr>
        <w:tc>
          <w:tcPr>
            <w:tcW w:w="2500" w:type="pct"/>
            <w:hideMark/>
          </w:tcPr>
          <w:p w:rsidR="00000000" w:rsidRDefault="001D2166">
            <w:pPr>
              <w:rPr>
                <w:rFonts w:eastAsia="Times New Roman"/>
                <w:sz w:val="20"/>
                <w:szCs w:val="20"/>
              </w:rPr>
            </w:pPr>
            <w:r>
              <w:rPr>
                <w:rFonts w:eastAsia="Times New Roman"/>
                <w:sz w:val="20"/>
                <w:szCs w:val="20"/>
              </w:rPr>
              <w:t> </w:t>
            </w:r>
          </w:p>
        </w:tc>
        <w:tc>
          <w:tcPr>
            <w:tcW w:w="2500" w:type="pct"/>
            <w:hideMark/>
          </w:tcPr>
          <w:p w:rsidR="00000000" w:rsidRDefault="001D2166">
            <w:pPr>
              <w:rPr>
                <w:rFonts w:eastAsia="Times New Roman"/>
                <w:sz w:val="20"/>
                <w:szCs w:val="20"/>
              </w:rPr>
            </w:pPr>
            <w:r>
              <w:rPr>
                <w:rFonts w:eastAsia="Times New Roman"/>
                <w:sz w:val="20"/>
                <w:szCs w:val="20"/>
              </w:rPr>
              <w:t>Chief Executive Officer</w:t>
            </w:r>
          </w:p>
        </w:tc>
      </w:tr>
    </w:tbl>
    <w:p w:rsidR="00000000" w:rsidRDefault="001D2166">
      <w:pPr>
        <w:pStyle w:val="a3"/>
        <w:spacing w:before="0" w:beforeAutospacing="0" w:after="0" w:afterAutospacing="0"/>
        <w:ind w:left="468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Dated:  February 28, 2022</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42"/>
        <w:gridCol w:w="282"/>
        <w:gridCol w:w="3763"/>
        <w:gridCol w:w="1819"/>
      </w:tblGrid>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u w:val="single"/>
              </w:rPr>
              <w:t>Signature</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u w:val="single"/>
              </w:rPr>
              <w:t>Title</w:t>
            </w:r>
          </w:p>
        </w:tc>
        <w:tc>
          <w:tcPr>
            <w:tcW w:w="1150" w:type="pct"/>
            <w:hideMark/>
          </w:tcPr>
          <w:p w:rsidR="00000000" w:rsidRDefault="001D2166">
            <w:pPr>
              <w:pStyle w:val="a3"/>
              <w:spacing w:before="0" w:beforeAutospacing="0" w:after="0" w:afterAutospacing="0"/>
              <w:ind w:firstLine="360"/>
              <w:rPr>
                <w:sz w:val="20"/>
                <w:szCs w:val="20"/>
              </w:rPr>
            </w:pPr>
            <w:r>
              <w:rPr>
                <w:sz w:val="20"/>
                <w:szCs w:val="20"/>
                <w:u w:val="single"/>
              </w:rPr>
              <w:t>Date</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Milton Cooper</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Executive Chairman of the Board of Directors</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Milton Cooper</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Conor C. Flynn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left="360" w:firstLine="20"/>
              <w:rPr>
                <w:sz w:val="20"/>
                <w:szCs w:val="20"/>
              </w:rPr>
            </w:pPr>
            <w:r>
              <w:rPr>
                <w:sz w:val="20"/>
                <w:szCs w:val="20"/>
              </w:rPr>
              <w:t>Chief Executive Officer and Director</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Conor C. Flynn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Frank Lourenso</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Frank Lourenso</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Richard Saltzman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Richard Saltzman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Philip Coviello</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Philip Coviello</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Mary Hogan Preusse</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Mary Hogan Preusse</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Valerie Richardson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Valerie Richardson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Henry Moniz</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Director</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Henry Moniz</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Glenn G. Cohen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Executive Vice President -</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Glenn G. Cohen</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Chief Financial Officer and Treasurer</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hideMark/>
          </w:tcPr>
          <w:p w:rsidR="00000000" w:rsidRDefault="001D2166">
            <w:pPr>
              <w:rPr>
                <w:rFonts w:eastAsia="Times New Roman"/>
                <w:sz w:val="20"/>
                <w:szCs w:val="20"/>
              </w:rPr>
            </w:pPr>
            <w:r>
              <w:rPr>
                <w:rFonts w:eastAsia="Times New Roman"/>
                <w:sz w:val="20"/>
                <w:szCs w:val="20"/>
              </w:rPr>
              <w:t> </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rPr>
                <w:rFonts w:eastAsia="Times New Roman"/>
                <w:sz w:val="20"/>
                <w:szCs w:val="20"/>
              </w:rPr>
            </w:pPr>
            <w:r>
              <w:rPr>
                <w:rFonts w:eastAsia="Times New Roman"/>
                <w:sz w:val="20"/>
                <w:szCs w:val="20"/>
              </w:rPr>
              <w:t> </w:t>
            </w:r>
          </w:p>
        </w:tc>
        <w:tc>
          <w:tcPr>
            <w:tcW w:w="1150" w:type="pct"/>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70" w:type="pct"/>
            <w:tcBorders>
              <w:bottom w:val="single" w:sz="6" w:space="0" w:color="000000"/>
            </w:tcBorders>
            <w:hideMark/>
          </w:tcPr>
          <w:p w:rsidR="00000000" w:rsidRDefault="001D2166">
            <w:pPr>
              <w:pStyle w:val="a3"/>
              <w:spacing w:before="0" w:beforeAutospacing="0" w:after="0" w:afterAutospacing="0"/>
              <w:ind w:firstLine="360"/>
              <w:rPr>
                <w:sz w:val="20"/>
                <w:szCs w:val="20"/>
              </w:rPr>
            </w:pPr>
            <w:r>
              <w:rPr>
                <w:sz w:val="20"/>
                <w:szCs w:val="20"/>
              </w:rPr>
              <w:t>/s/ Paul Westbrook</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Vice President -</w:t>
            </w:r>
          </w:p>
        </w:tc>
        <w:tc>
          <w:tcPr>
            <w:tcW w:w="1150" w:type="pct"/>
            <w:hideMark/>
          </w:tcPr>
          <w:p w:rsidR="00000000" w:rsidRDefault="001D2166">
            <w:pPr>
              <w:pStyle w:val="a3"/>
              <w:spacing w:before="0" w:beforeAutospacing="0" w:after="0" w:afterAutospacing="0"/>
              <w:ind w:firstLine="360"/>
              <w:rPr>
                <w:sz w:val="20"/>
                <w:szCs w:val="20"/>
              </w:rPr>
            </w:pPr>
            <w:r>
              <w:rPr>
                <w:sz w:val="20"/>
                <w:szCs w:val="20"/>
              </w:rPr>
              <w:t>February 28, 2022</w:t>
            </w:r>
          </w:p>
        </w:tc>
      </w:tr>
      <w:tr w:rsidR="00000000">
        <w:trPr>
          <w:tblCellSpacing w:w="0" w:type="dxa"/>
        </w:trPr>
        <w:tc>
          <w:tcPr>
            <w:tcW w:w="1470" w:type="pct"/>
            <w:hideMark/>
          </w:tcPr>
          <w:p w:rsidR="00000000" w:rsidRDefault="001D2166">
            <w:pPr>
              <w:pStyle w:val="a3"/>
              <w:spacing w:before="0" w:beforeAutospacing="0" w:after="0" w:afterAutospacing="0"/>
              <w:ind w:firstLine="360"/>
              <w:rPr>
                <w:sz w:val="20"/>
                <w:szCs w:val="20"/>
              </w:rPr>
            </w:pPr>
            <w:r>
              <w:rPr>
                <w:sz w:val="20"/>
                <w:szCs w:val="20"/>
              </w:rPr>
              <w:t>Paul Westbrook</w:t>
            </w:r>
          </w:p>
        </w:tc>
        <w:tc>
          <w:tcPr>
            <w:tcW w:w="170" w:type="pct"/>
            <w:hideMark/>
          </w:tcPr>
          <w:p w:rsidR="00000000" w:rsidRDefault="001D2166">
            <w:pPr>
              <w:rPr>
                <w:rFonts w:eastAsia="Times New Roman"/>
                <w:sz w:val="20"/>
                <w:szCs w:val="20"/>
              </w:rPr>
            </w:pPr>
            <w:r>
              <w:rPr>
                <w:rFonts w:eastAsia="Times New Roman"/>
                <w:sz w:val="20"/>
                <w:szCs w:val="20"/>
              </w:rPr>
              <w:t> </w:t>
            </w:r>
          </w:p>
        </w:tc>
        <w:tc>
          <w:tcPr>
            <w:tcW w:w="2265" w:type="pct"/>
            <w:hideMark/>
          </w:tcPr>
          <w:p w:rsidR="00000000" w:rsidRDefault="001D2166">
            <w:pPr>
              <w:pStyle w:val="a3"/>
              <w:spacing w:before="0" w:beforeAutospacing="0" w:after="0" w:afterAutospacing="0"/>
              <w:ind w:firstLine="360"/>
              <w:rPr>
                <w:sz w:val="20"/>
                <w:szCs w:val="20"/>
              </w:rPr>
            </w:pPr>
            <w:r>
              <w:rPr>
                <w:sz w:val="20"/>
                <w:szCs w:val="20"/>
              </w:rPr>
              <w:t>Chief Accounting Officer</w:t>
            </w:r>
          </w:p>
        </w:tc>
        <w:tc>
          <w:tcPr>
            <w:tcW w:w="1150" w:type="pct"/>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624117056"/>
        <w:rPr>
          <w:rFonts w:eastAsia="Times New Roman"/>
          <w:sz w:val="20"/>
          <w:szCs w:val="20"/>
        </w:rPr>
      </w:pPr>
      <w:r>
        <w:rPr>
          <w:rFonts w:eastAsia="Times New Roman"/>
          <w:sz w:val="20"/>
          <w:szCs w:val="20"/>
        </w:rPr>
        <w:t xml:space="preserve">47 </w:t>
      </w:r>
    </w:p>
    <w:p w:rsidR="00000000" w:rsidRDefault="001D2166">
      <w:pPr>
        <w:divId w:val="624117056"/>
        <w:rPr>
          <w:rFonts w:eastAsia="Times New Roman"/>
          <w:sz w:val="20"/>
          <w:szCs w:val="20"/>
        </w:rPr>
      </w:pPr>
      <w:r>
        <w:rPr>
          <w:rFonts w:eastAsia="Times New Roman"/>
          <w:sz w:val="20"/>
          <w:szCs w:val="20"/>
        </w:rPr>
        <w:pict>
          <v:rect id="_x0000_i1079" style="width:415.3pt;height:1.5pt" o:hralign="center" o:hrstd="t" o:hrnoshade="t" o:hr="t" fillcolor="black" stroked="f"/>
        </w:pict>
      </w:r>
    </w:p>
    <w:p w:rsidR="00000000" w:rsidRDefault="001D2166">
      <w:pPr>
        <w:divId w:val="14148627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60" w:firstLine="360"/>
        <w:jc w:val="center"/>
        <w:rPr>
          <w:sz w:val="20"/>
          <w:szCs w:val="20"/>
        </w:rPr>
      </w:pPr>
      <w:r>
        <w:rPr>
          <w:sz w:val="20"/>
          <w:szCs w:val="20"/>
        </w:rPr>
        <w:t>ANNUAL REPORT ON FORM 10-K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60" w:firstLine="360"/>
        <w:jc w:val="center"/>
        <w:rPr>
          <w:sz w:val="20"/>
          <w:szCs w:val="20"/>
        </w:rPr>
      </w:pPr>
      <w:r>
        <w:rPr>
          <w:sz w:val="20"/>
          <w:szCs w:val="20"/>
        </w:rPr>
        <w:t>ITEM 8, ITEM 15 (a) (1) and (2)</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60" w:firstLine="360"/>
        <w:jc w:val="center"/>
        <w:rPr>
          <w:sz w:val="20"/>
          <w:szCs w:val="20"/>
        </w:rPr>
      </w:pPr>
      <w:r>
        <w:rPr>
          <w:sz w:val="20"/>
          <w:szCs w:val="20"/>
        </w:rPr>
        <w:t>INDEX TO FINANCIAL STATEMENTS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60" w:firstLine="360"/>
        <w:jc w:val="center"/>
        <w:rPr>
          <w:sz w:val="20"/>
          <w:szCs w:val="20"/>
        </w:rPr>
      </w:pPr>
      <w:r>
        <w:rPr>
          <w:sz w:val="20"/>
          <w:szCs w:val="20"/>
        </w:rPr>
        <w:t>AND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40" w:firstLine="360"/>
        <w:jc w:val="center"/>
        <w:rPr>
          <w:sz w:val="20"/>
          <w:szCs w:val="20"/>
        </w:rPr>
      </w:pPr>
      <w:r>
        <w:rPr>
          <w:sz w:val="20"/>
          <w:szCs w:val="20"/>
        </w:rPr>
        <w:t>FINANCIAL STATEMENT SCHEDULES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96"/>
        <w:gridCol w:w="6271"/>
        <w:gridCol w:w="739"/>
      </w:tblGrid>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sz w:val="20"/>
                <w:szCs w:val="20"/>
              </w:rPr>
              <w:t>Form 10-K</w:t>
            </w:r>
            <w:r>
              <w:rPr>
                <w:sz w:val="20"/>
                <w:szCs w:val="20"/>
              </w:rPr>
              <w:br/>
              <w:t>Page</w:t>
            </w:r>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ind w:left="80" w:firstLine="360"/>
              <w:rPr>
                <w:sz w:val="20"/>
                <w:szCs w:val="20"/>
              </w:rPr>
            </w:pPr>
            <w:r>
              <w:rPr>
                <w:sz w:val="20"/>
                <w:szCs w:val="20"/>
              </w:rPr>
              <w:t>KIMCO REALTY CORPORATION AND SUBSIDIARIES</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ind w:left="80" w:firstLine="360"/>
              <w:rPr>
                <w:sz w:val="20"/>
                <w:szCs w:val="20"/>
              </w:rPr>
            </w:pPr>
            <w:hyperlink w:anchor="audit_rpt" w:history="1">
              <w:r>
                <w:rPr>
                  <w:rStyle w:val="a4"/>
                  <w:sz w:val="20"/>
                  <w:szCs w:val="20"/>
                </w:rPr>
                <w:t>Report of Independent Registered Public Accounting Firm (PCAOB ID 238)</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audit_rpt" w:history="1">
              <w:r>
                <w:rPr>
                  <w:rStyle w:val="a4"/>
                  <w:sz w:val="20"/>
                  <w:szCs w:val="20"/>
                </w:rPr>
                <w:t>49</w:t>
              </w:r>
            </w:hyperlink>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ind w:left="80" w:firstLine="360"/>
              <w:rPr>
                <w:sz w:val="20"/>
                <w:szCs w:val="20"/>
              </w:rPr>
            </w:pPr>
            <w:r>
              <w:rPr>
                <w:sz w:val="20"/>
                <w:szCs w:val="20"/>
              </w:rPr>
              <w:t>Consolidated Financial Statements and Financial Statement Schedules:</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rPr>
                <w:sz w:val="20"/>
                <w:szCs w:val="20"/>
              </w:rPr>
            </w:pPr>
            <w:r>
              <w:rPr>
                <w:sz w:val="20"/>
                <w:szCs w:val="20"/>
              </w:rPr>
              <w:t>                   </w:t>
            </w:r>
            <w:r>
              <w:rPr>
                <w:sz w:val="20"/>
                <w:szCs w:val="20"/>
              </w:rPr>
              <w:t> </w:t>
            </w:r>
            <w:hyperlink w:anchor="bal_sheet" w:history="1">
              <w:r>
                <w:rPr>
                  <w:rStyle w:val="a4"/>
                  <w:sz w:val="20"/>
                  <w:szCs w:val="20"/>
                </w:rPr>
                <w:t>Consolidated Balance Sheets as of December 31, 2021 and 2020</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bal_sheet" w:history="1">
              <w:r>
                <w:rPr>
                  <w:rStyle w:val="a4"/>
                  <w:sz w:val="20"/>
                  <w:szCs w:val="20"/>
                </w:rPr>
                <w:t>51</w:t>
              </w:r>
            </w:hyperlink>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rPr>
                <w:sz w:val="20"/>
                <w:szCs w:val="20"/>
              </w:rPr>
            </w:pPr>
            <w:r>
              <w:rPr>
                <w:sz w:val="20"/>
                <w:szCs w:val="20"/>
              </w:rPr>
              <w:t>                   </w:t>
            </w:r>
            <w:r>
              <w:rPr>
                <w:sz w:val="20"/>
                <w:szCs w:val="20"/>
              </w:rPr>
              <w:t> </w:t>
            </w:r>
            <w:hyperlink w:anchor="ops" w:history="1">
              <w:r>
                <w:rPr>
                  <w:rStyle w:val="a4"/>
                  <w:sz w:val="20"/>
                  <w:szCs w:val="20"/>
                </w:rPr>
                <w:t>Consolidated Statements of Income for the years ended December 31, 2021, 2020 and 2019</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ops" w:history="1">
              <w:r>
                <w:rPr>
                  <w:rStyle w:val="a4"/>
                  <w:sz w:val="20"/>
                  <w:szCs w:val="20"/>
                </w:rPr>
                <w:t>52</w:t>
              </w:r>
            </w:hyperlink>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ind w:left="1540" w:hanging="1540"/>
              <w:rPr>
                <w:sz w:val="20"/>
                <w:szCs w:val="20"/>
              </w:rPr>
            </w:pPr>
            <w:r>
              <w:rPr>
                <w:sz w:val="20"/>
                <w:szCs w:val="20"/>
              </w:rPr>
              <w:t>                   </w:t>
            </w:r>
            <w:r>
              <w:rPr>
                <w:sz w:val="20"/>
                <w:szCs w:val="20"/>
              </w:rPr>
              <w:t> </w:t>
            </w:r>
            <w:hyperlink w:anchor="comp_income" w:history="1">
              <w:r>
                <w:rPr>
                  <w:rStyle w:val="a4"/>
                  <w:sz w:val="20"/>
                  <w:szCs w:val="20"/>
                </w:rPr>
                <w:t xml:space="preserve">Consolidated Statements of Comprehensive Income for </w:t>
              </w:r>
              <w:r>
                <w:rPr>
                  <w:rStyle w:val="a4"/>
                  <w:sz w:val="20"/>
                  <w:szCs w:val="20"/>
                </w:rPr>
                <w:t>the years ended December 31, 2021, 2020 and 2019</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comp_income" w:history="1">
              <w:r>
                <w:rPr>
                  <w:rStyle w:val="a4"/>
                  <w:sz w:val="20"/>
                  <w:szCs w:val="20"/>
                </w:rPr>
                <w:t>53</w:t>
              </w:r>
            </w:hyperlink>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rPr>
                <w:sz w:val="20"/>
                <w:szCs w:val="20"/>
              </w:rPr>
            </w:pPr>
            <w:r>
              <w:rPr>
                <w:sz w:val="20"/>
                <w:szCs w:val="20"/>
              </w:rPr>
              <w:t>                   </w:t>
            </w:r>
            <w:r>
              <w:rPr>
                <w:sz w:val="20"/>
                <w:szCs w:val="20"/>
              </w:rPr>
              <w:t> </w:t>
            </w:r>
            <w:hyperlink w:anchor="equity" w:history="1">
              <w:r>
                <w:rPr>
                  <w:rStyle w:val="a4"/>
                  <w:sz w:val="20"/>
                  <w:szCs w:val="20"/>
                </w:rPr>
                <w:t>Consolidated Statements of Changes in Equity for the years ended December 31, 2021, 2020 and 2019</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equity" w:history="1">
              <w:r>
                <w:rPr>
                  <w:rStyle w:val="a4"/>
                  <w:sz w:val="20"/>
                  <w:szCs w:val="20"/>
                </w:rPr>
                <w:t>54</w:t>
              </w:r>
            </w:hyperlink>
          </w:p>
        </w:tc>
      </w:tr>
      <w:tr w:rsidR="00000000">
        <w:trPr>
          <w:tblCellSpacing w:w="0" w:type="dxa"/>
        </w:trPr>
        <w:tc>
          <w:tcPr>
            <w:tcW w:w="4550" w:type="pct"/>
            <w:gridSpan w:val="2"/>
            <w:hideMark/>
          </w:tcPr>
          <w:p w:rsidR="00000000" w:rsidRDefault="001D2166">
            <w:pPr>
              <w:pStyle w:val="a3"/>
              <w:spacing w:before="0" w:beforeAutospacing="0" w:after="0" w:afterAutospacing="0"/>
              <w:ind w:firstLine="360"/>
              <w:rPr>
                <w:sz w:val="20"/>
                <w:szCs w:val="20"/>
              </w:rPr>
            </w:pPr>
            <w:r>
              <w:rPr>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rPr>
                <w:sz w:val="20"/>
                <w:szCs w:val="20"/>
              </w:rPr>
            </w:pPr>
            <w:r>
              <w:rPr>
                <w:sz w:val="20"/>
                <w:szCs w:val="20"/>
              </w:rPr>
              <w:t>                   </w:t>
            </w:r>
            <w:r>
              <w:rPr>
                <w:sz w:val="20"/>
                <w:szCs w:val="20"/>
              </w:rPr>
              <w:t> </w:t>
            </w:r>
            <w:hyperlink w:anchor="cash_flow" w:history="1">
              <w:r>
                <w:rPr>
                  <w:rStyle w:val="a4"/>
                  <w:sz w:val="20"/>
                  <w:szCs w:val="20"/>
                </w:rPr>
                <w:t>Consolidated Statements of Cash Flows for the years ended December</w:t>
              </w:r>
              <w:r>
                <w:rPr>
                  <w:rStyle w:val="a4"/>
                  <w:sz w:val="20"/>
                  <w:szCs w:val="20"/>
                </w:rPr>
                <w:t xml:space="preserve"> 31, 2021, 2020 and 2019</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cash_flow" w:history="1">
              <w:r>
                <w:rPr>
                  <w:rStyle w:val="a4"/>
                  <w:sz w:val="20"/>
                  <w:szCs w:val="20"/>
                </w:rPr>
                <w:t>55</w:t>
              </w:r>
            </w:hyperlink>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rPr>
                <w:sz w:val="20"/>
                <w:szCs w:val="20"/>
              </w:rPr>
            </w:pPr>
            <w:r>
              <w:rPr>
                <w:sz w:val="20"/>
                <w:szCs w:val="20"/>
              </w:rPr>
              <w:t>        </w:t>
            </w:r>
            <w:r>
              <w:rPr>
                <w:sz w:val="20"/>
                <w:szCs w:val="20"/>
              </w:rPr>
              <w:t> </w:t>
            </w:r>
            <w:hyperlink w:anchor="notes" w:history="1">
              <w:r>
                <w:rPr>
                  <w:rStyle w:val="a4"/>
                  <w:sz w:val="20"/>
                  <w:szCs w:val="20"/>
                </w:rPr>
                <w:t>Notes to Consolidated Financial Statements</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notes" w:history="1">
              <w:r>
                <w:rPr>
                  <w:rStyle w:val="a4"/>
                  <w:sz w:val="20"/>
                  <w:szCs w:val="20"/>
                </w:rPr>
                <w:t>56</w:t>
              </w:r>
            </w:hyperlink>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pStyle w:val="a3"/>
              <w:spacing w:before="0" w:beforeAutospacing="0" w:after="0" w:afterAutospacing="0"/>
              <w:rPr>
                <w:sz w:val="20"/>
                <w:szCs w:val="20"/>
              </w:rPr>
            </w:pPr>
            <w:r>
              <w:rPr>
                <w:sz w:val="20"/>
                <w:szCs w:val="20"/>
              </w:rPr>
              <w:t>         Financial Statement Schedules:</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1D2166">
            <w:pPr>
              <w:rPr>
                <w:rFonts w:eastAsia="Times New Roman"/>
                <w:sz w:val="20"/>
                <w:szCs w:val="20"/>
              </w:rPr>
            </w:pPr>
            <w:r>
              <w:rPr>
                <w:rFonts w:eastAsia="Times New Roman"/>
                <w:sz w:val="20"/>
                <w:szCs w:val="20"/>
              </w:rPr>
              <w:t> </w:t>
            </w:r>
          </w:p>
        </w:tc>
        <w:tc>
          <w:tcPr>
            <w:tcW w:w="4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780" w:type="pct"/>
            <w:hideMark/>
          </w:tcPr>
          <w:p w:rsidR="00000000" w:rsidRDefault="001D2166">
            <w:pPr>
              <w:pStyle w:val="a3"/>
              <w:spacing w:before="0" w:beforeAutospacing="0" w:after="0" w:afterAutospacing="0"/>
              <w:ind w:left="640" w:firstLine="360"/>
              <w:rPr>
                <w:sz w:val="20"/>
                <w:szCs w:val="20"/>
              </w:rPr>
            </w:pPr>
            <w:r>
              <w:rPr>
                <w:sz w:val="20"/>
                <w:szCs w:val="20"/>
              </w:rPr>
              <w:t>II.</w:t>
            </w:r>
          </w:p>
        </w:tc>
        <w:tc>
          <w:tcPr>
            <w:tcW w:w="3775" w:type="pct"/>
            <w:hideMark/>
          </w:tcPr>
          <w:p w:rsidR="00000000" w:rsidRDefault="001D2166">
            <w:pPr>
              <w:pStyle w:val="a3"/>
              <w:spacing w:before="0" w:beforeAutospacing="0" w:after="0" w:afterAutospacing="0"/>
              <w:ind w:left="120" w:hanging="40"/>
              <w:rPr>
                <w:sz w:val="20"/>
                <w:szCs w:val="20"/>
              </w:rPr>
            </w:pPr>
            <w:hyperlink w:anchor="sc_2" w:history="1">
              <w:r>
                <w:rPr>
                  <w:rStyle w:val="a4"/>
                  <w:sz w:val="20"/>
                  <w:szCs w:val="20"/>
                </w:rPr>
                <w:t>Valuation and Qualifying Accounts years ended December 31, 2021, 2020 and 2019</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sc_2" w:history="1">
              <w:r>
                <w:rPr>
                  <w:rStyle w:val="a4"/>
                  <w:sz w:val="20"/>
                  <w:szCs w:val="20"/>
                </w:rPr>
                <w:t>97</w:t>
              </w:r>
            </w:hyperlink>
          </w:p>
        </w:tc>
      </w:tr>
      <w:tr w:rsidR="00000000">
        <w:trPr>
          <w:tblCellSpacing w:w="0" w:type="dxa"/>
        </w:trPr>
        <w:tc>
          <w:tcPr>
            <w:tcW w:w="780" w:type="pct"/>
            <w:hideMark/>
          </w:tcPr>
          <w:p w:rsidR="00000000" w:rsidRDefault="001D2166">
            <w:pPr>
              <w:pStyle w:val="a3"/>
              <w:spacing w:before="0" w:beforeAutospacing="0" w:after="0" w:afterAutospacing="0"/>
              <w:ind w:left="640" w:firstLine="360"/>
              <w:rPr>
                <w:sz w:val="20"/>
                <w:szCs w:val="20"/>
              </w:rPr>
            </w:pPr>
            <w:r>
              <w:rPr>
                <w:sz w:val="20"/>
                <w:szCs w:val="20"/>
              </w:rPr>
              <w:t>III.</w:t>
            </w:r>
          </w:p>
        </w:tc>
        <w:tc>
          <w:tcPr>
            <w:tcW w:w="3775" w:type="pct"/>
            <w:hideMark/>
          </w:tcPr>
          <w:p w:rsidR="00000000" w:rsidRDefault="001D2166">
            <w:pPr>
              <w:pStyle w:val="a3"/>
              <w:spacing w:before="0" w:beforeAutospacing="0" w:after="0" w:afterAutospacing="0"/>
              <w:ind w:left="120" w:hanging="40"/>
              <w:rPr>
                <w:sz w:val="20"/>
                <w:szCs w:val="20"/>
              </w:rPr>
            </w:pPr>
            <w:hyperlink w:anchor="sc_3" w:history="1">
              <w:r>
                <w:rPr>
                  <w:rStyle w:val="a4"/>
                  <w:sz w:val="20"/>
                  <w:szCs w:val="20"/>
                </w:rPr>
                <w:t>Real Estate and Accumulated Depreciation as of December 31, 2021</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sc_3" w:history="1">
              <w:r>
                <w:rPr>
                  <w:rStyle w:val="a4"/>
                  <w:sz w:val="20"/>
                  <w:szCs w:val="20"/>
                </w:rPr>
                <w:t>98</w:t>
              </w:r>
            </w:hyperlink>
          </w:p>
        </w:tc>
      </w:tr>
      <w:tr w:rsidR="00000000">
        <w:trPr>
          <w:tblCellSpacing w:w="0" w:type="dxa"/>
        </w:trPr>
        <w:tc>
          <w:tcPr>
            <w:tcW w:w="780" w:type="pct"/>
            <w:hideMark/>
          </w:tcPr>
          <w:p w:rsidR="00000000" w:rsidRDefault="001D2166">
            <w:pPr>
              <w:pStyle w:val="a3"/>
              <w:spacing w:before="0" w:beforeAutospacing="0" w:after="0" w:afterAutospacing="0"/>
              <w:ind w:left="640" w:firstLine="360"/>
              <w:rPr>
                <w:sz w:val="20"/>
                <w:szCs w:val="20"/>
              </w:rPr>
            </w:pPr>
            <w:r>
              <w:rPr>
                <w:sz w:val="20"/>
                <w:szCs w:val="20"/>
              </w:rPr>
              <w:t>IV.</w:t>
            </w:r>
          </w:p>
        </w:tc>
        <w:tc>
          <w:tcPr>
            <w:tcW w:w="3775" w:type="pct"/>
            <w:hideMark/>
          </w:tcPr>
          <w:p w:rsidR="00000000" w:rsidRDefault="001D2166">
            <w:pPr>
              <w:pStyle w:val="a3"/>
              <w:spacing w:before="0" w:beforeAutospacing="0" w:after="0" w:afterAutospacing="0"/>
              <w:ind w:left="120" w:hanging="40"/>
              <w:rPr>
                <w:sz w:val="20"/>
                <w:szCs w:val="20"/>
              </w:rPr>
            </w:pPr>
            <w:hyperlink w:anchor="sc_4" w:history="1">
              <w:r>
                <w:rPr>
                  <w:rStyle w:val="a4"/>
                  <w:sz w:val="20"/>
                  <w:szCs w:val="20"/>
                </w:rPr>
                <w:t>Mortgage Loans on Real Estate as of December 31, 2021</w:t>
              </w:r>
            </w:hyperlink>
          </w:p>
        </w:tc>
        <w:tc>
          <w:tcPr>
            <w:tcW w:w="450" w:type="pct"/>
            <w:vAlign w:val="bottom"/>
            <w:hideMark/>
          </w:tcPr>
          <w:p w:rsidR="00000000" w:rsidRDefault="001D2166">
            <w:pPr>
              <w:pStyle w:val="a3"/>
              <w:spacing w:before="0" w:beforeAutospacing="0" w:after="0" w:afterAutospacing="0"/>
              <w:ind w:firstLine="360"/>
              <w:jc w:val="center"/>
              <w:rPr>
                <w:sz w:val="20"/>
                <w:szCs w:val="20"/>
              </w:rPr>
            </w:pPr>
            <w:hyperlink w:anchor="sc_4" w:history="1">
              <w:r>
                <w:rPr>
                  <w:rStyle w:val="a4"/>
                  <w:sz w:val="20"/>
                  <w:szCs w:val="20"/>
                </w:rPr>
                <w:t>100</w:t>
              </w:r>
            </w:hyperlink>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452789633"/>
        <w:rPr>
          <w:rFonts w:eastAsia="Times New Roman"/>
          <w:sz w:val="20"/>
          <w:szCs w:val="20"/>
        </w:rPr>
      </w:pPr>
      <w:r>
        <w:rPr>
          <w:rFonts w:eastAsia="Times New Roman"/>
          <w:sz w:val="20"/>
          <w:szCs w:val="20"/>
        </w:rPr>
        <w:t xml:space="preserve">48 </w:t>
      </w:r>
    </w:p>
    <w:p w:rsidR="00000000" w:rsidRDefault="001D2166">
      <w:pPr>
        <w:divId w:val="452789633"/>
        <w:rPr>
          <w:rFonts w:eastAsia="Times New Roman"/>
          <w:sz w:val="20"/>
          <w:szCs w:val="20"/>
        </w:rPr>
      </w:pPr>
      <w:r>
        <w:rPr>
          <w:rFonts w:eastAsia="Times New Roman"/>
          <w:sz w:val="20"/>
          <w:szCs w:val="20"/>
        </w:rPr>
        <w:pict>
          <v:rect id="_x0000_i1080" style="width:415.3pt;height:1.5pt" o:hralign="center" o:hrstd="t" o:hrnoshade="t" o:hr="t" fillcolor="black" stroked="f"/>
        </w:pict>
      </w:r>
    </w:p>
    <w:p w:rsidR="00000000" w:rsidRDefault="001D2166">
      <w:pPr>
        <w:divId w:val="21268023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b/>
          <w:bCs/>
          <w:sz w:val="20"/>
          <w:szCs w:val="20"/>
        </w:rPr>
        <w:t xml:space="preserve">Report of Independent Registered </w:t>
      </w:r>
      <w:r>
        <w:rPr>
          <w:b/>
          <w:bCs/>
          <w:sz w:val="20"/>
          <w:szCs w:val="20"/>
        </w:rPr>
        <w:t>Public Accounting Firm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To the Board of Directors and Stockholders of Kimco Realty Corporation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b/>
          <w:bCs/>
          <w:i/>
          <w:iCs/>
          <w:sz w:val="20"/>
          <w:szCs w:val="20"/>
        </w:rPr>
        <w:t>Opinions on the Financial Statements and Internal Control over Financial Reporting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We have audited the consolidated financial statements, including the rela</w:t>
      </w:r>
      <w:r>
        <w:rPr>
          <w:sz w:val="20"/>
          <w:szCs w:val="20"/>
        </w:rPr>
        <w:t>ted notes, as listed in the index appearing under Item 15(a)(1), and the financial statement schedules listed in the index appearing under Item 15(a)(2), of Kimco Realty Corporation and its subsidiaries (the “Company”) (collectively referred to as the “con</w:t>
      </w:r>
      <w:r>
        <w:rPr>
          <w:sz w:val="20"/>
          <w:szCs w:val="20"/>
        </w:rPr>
        <w:t xml:space="preserve">solidated financial statements”). We also have audited the Company's internal control over financial reporting as of December 31, 2021, based on criteria established in </w:t>
      </w:r>
      <w:r>
        <w:rPr>
          <w:i/>
          <w:iCs/>
          <w:sz w:val="20"/>
          <w:szCs w:val="20"/>
        </w:rPr>
        <w:t>Internal Control - Integrated Framework</w:t>
      </w:r>
      <w:r>
        <w:rPr>
          <w:sz w:val="20"/>
          <w:szCs w:val="20"/>
        </w:rPr>
        <w:t xml:space="preserve"> (2013) issued by the Committee of Sponsoring Or</w:t>
      </w:r>
      <w:r>
        <w:rPr>
          <w:sz w:val="20"/>
          <w:szCs w:val="20"/>
        </w:rPr>
        <w:t>ganizations of the Treadway Commission (COSO).</w:t>
      </w:r>
    </w:p>
    <w:p w:rsidR="00000000" w:rsidRDefault="001D2166">
      <w:pPr>
        <w:pStyle w:val="a3"/>
        <w:spacing w:before="0" w:beforeAutospacing="0" w:after="0" w:afterAutospacing="0"/>
        <w:ind w:left="16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In our opinion, the consolidated financial statements referred to above present fairly, in all material respects, the financial position of the Company as of December 31, 2021 and 2020, and the results of its operations and its cash flows for each of the t</w:t>
      </w:r>
      <w:r>
        <w:rPr>
          <w:sz w:val="20"/>
          <w:szCs w:val="20"/>
        </w:rPr>
        <w:t>hree years in the period ended December 31, 2021 in conformity with accounting principles generally accepted in the United States of America. Also in our opinion, the Company maintained, in all material respects, effective internal control over financial r</w:t>
      </w:r>
      <w:r>
        <w:rPr>
          <w:sz w:val="20"/>
          <w:szCs w:val="20"/>
        </w:rPr>
        <w:t xml:space="preserve">eporting as of December 31, 2021, based on criteria established in </w:t>
      </w:r>
      <w:r>
        <w:rPr>
          <w:i/>
          <w:iCs/>
          <w:sz w:val="20"/>
          <w:szCs w:val="20"/>
        </w:rPr>
        <w:t>Internal Control - Integrated Framework</w:t>
      </w:r>
      <w:r>
        <w:rPr>
          <w:sz w:val="20"/>
          <w:szCs w:val="20"/>
        </w:rPr>
        <w:t xml:space="preserve"> (2013) issued by the COSO.</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Basis for Opinions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The Company's management is responsible for these consolidated financial statements, for maintainin</w:t>
      </w:r>
      <w:r>
        <w:rPr>
          <w:sz w:val="20"/>
          <w:szCs w:val="20"/>
        </w:rPr>
        <w:t>g effective internal control over financial reporting, and for its assessment of the effectiveness of internal control over financial reporting, included in Management’s Report on Internal Control over Financial Reporting appearing under Item 9A. Our respo</w:t>
      </w:r>
      <w:r>
        <w:rPr>
          <w:sz w:val="20"/>
          <w:szCs w:val="20"/>
        </w:rPr>
        <w:t xml:space="preserve">nsibility is to express opinions on the Company’s consolidated financial statements and on the Company's internal control over financial reporting based on our audits. We are a public accounting firm registered with the Public Company Accounting Oversight </w:t>
      </w:r>
      <w:r>
        <w:rPr>
          <w:sz w:val="20"/>
          <w:szCs w:val="20"/>
        </w:rPr>
        <w:t>Board (United States) (PCAOB) and are required to be independent with respect to the Company in accordance with the U.S. federal securities laws and the applicable rules and regulations of the Securities and Exchange Commission and the PCAOB.</w:t>
      </w:r>
    </w:p>
    <w:p w:rsidR="00000000" w:rsidRDefault="001D2166">
      <w:pPr>
        <w:pStyle w:val="a3"/>
        <w:spacing w:before="0" w:beforeAutospacing="0" w:after="0" w:afterAutospacing="0"/>
        <w:ind w:left="16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We conducte</w:t>
      </w:r>
      <w:r>
        <w:rPr>
          <w:sz w:val="20"/>
          <w:szCs w:val="20"/>
        </w:rPr>
        <w:t>d our audits in accordance with the standards of the PCAOB. Those standards require that we plan and perform the audits to obtain reasonable assurance about whether the consolidated financial statements are free of material misstatement, whether due to err</w:t>
      </w:r>
      <w:r>
        <w:rPr>
          <w:sz w:val="20"/>
          <w:szCs w:val="20"/>
        </w:rPr>
        <w:t>or or fraud, and whether effective internal control over financial reporting was maintained in all material respects.</w:t>
      </w:r>
    </w:p>
    <w:p w:rsidR="00000000" w:rsidRDefault="001D2166">
      <w:pPr>
        <w:pStyle w:val="a3"/>
        <w:spacing w:before="0" w:beforeAutospacing="0" w:after="0" w:afterAutospacing="0"/>
        <w:ind w:left="16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Our audits of the consolidated financial statements included performing procedures to assess the risks of material misstatement of the c</w:t>
      </w:r>
      <w:r>
        <w:rPr>
          <w:sz w:val="20"/>
          <w:szCs w:val="20"/>
        </w:rPr>
        <w:t>onsolidated financial statements, whether due to error or fraud, and performing procedures that respond to those risks. Such procedures included examining, on a test basis, evidence regarding the amounts and disclosures in the consolidated financial statem</w:t>
      </w:r>
      <w:r>
        <w:rPr>
          <w:sz w:val="20"/>
          <w:szCs w:val="20"/>
        </w:rPr>
        <w:t>ents. Our audits also included evaluating the accounting principles used and significant estimates made by management, as well as evaluating the overall presentation of the consolidated financial statements. Our audit of internal control over financial rep</w:t>
      </w:r>
      <w:r>
        <w:rPr>
          <w:sz w:val="20"/>
          <w:szCs w:val="20"/>
        </w:rPr>
        <w:t>orting included obtaining an understanding of internal control over financial reporting, assessing the risk that a material weakness exists, and testing and evaluating the design and operating effectiveness of internal control based on the assessed risk. O</w:t>
      </w:r>
      <w:r>
        <w:rPr>
          <w:sz w:val="20"/>
          <w:szCs w:val="20"/>
        </w:rPr>
        <w:t>ur audits also included performing such other procedures as we considered necessary in the circumstances. We believe that our audits provide a reasonable basis for our opinions.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Definition and Limitations of Internal Control over Financial Reporting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 xml:space="preserve">A </w:t>
      </w:r>
      <w:r>
        <w:rPr>
          <w:sz w:val="20"/>
          <w:szCs w:val="20"/>
        </w:rPr>
        <w:t>company’s internal control over financial reporting is a process designed to provide reasonable assurance regarding the reliability of financial reporting and the preparation of financial statements for external purposes in accordance with generally accept</w:t>
      </w:r>
      <w:r>
        <w:rPr>
          <w:sz w:val="20"/>
          <w:szCs w:val="20"/>
        </w:rPr>
        <w:t>ed accounting principles. A company’s internal control over financial reporting includes those policies and procedures that (i) pertain to the maintenance of records that, in reasonable detail, accurately and fairly reflect the transactions and disposition</w:t>
      </w:r>
      <w:r>
        <w:rPr>
          <w:sz w:val="20"/>
          <w:szCs w:val="20"/>
        </w:rPr>
        <w:t>s of the assets of the company; (ii) provide reasonable assurance that transactions are recorded as necessary to permit preparation of financial statements in accordance with generally accepted accounting principles, and that receipts and expenditures of t</w:t>
      </w:r>
      <w:r>
        <w:rPr>
          <w:sz w:val="20"/>
          <w:szCs w:val="20"/>
        </w:rPr>
        <w:t>he company are being made only in accordance with authorizations of management and directors of the company; and (iii) provide reasonable assurance regarding prevention or timely detection of unauthorized acquisition, use, or disposition of the company’s a</w:t>
      </w:r>
      <w:r>
        <w:rPr>
          <w:sz w:val="20"/>
          <w:szCs w:val="20"/>
        </w:rPr>
        <w:t>ssets that could have a material effect on the financial statements.</w:t>
      </w:r>
    </w:p>
    <w:p w:rsidR="00000000" w:rsidRDefault="001D2166">
      <w:pPr>
        <w:pStyle w:val="a3"/>
        <w:spacing w:before="0" w:beforeAutospacing="0" w:after="0" w:afterAutospacing="0"/>
        <w:ind w:left="16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Because of its inherent limitations, internal control over financial reporting may not prevent or detect misstatements. Also, projections of any evaluation of effectiveness to future pe</w:t>
      </w:r>
      <w:r>
        <w:rPr>
          <w:sz w:val="20"/>
          <w:szCs w:val="20"/>
        </w:rPr>
        <w:t>riods are subject to the risk that controls may become inadequate because of changes in conditions, or that the degree of compliance with the policies or procedures may deteriorate.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b/>
          <w:bCs/>
          <w:i/>
          <w:iCs/>
          <w:sz w:val="20"/>
          <w:szCs w:val="20"/>
        </w:rPr>
        <w:t>Critical Audit Matters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rPr>
          <w:sz w:val="20"/>
          <w:szCs w:val="20"/>
        </w:rPr>
      </w:pPr>
      <w:r>
        <w:rPr>
          <w:sz w:val="20"/>
          <w:szCs w:val="20"/>
        </w:rPr>
        <w:t>The critical audit matters communicated below a</w:t>
      </w:r>
      <w:r>
        <w:rPr>
          <w:sz w:val="20"/>
          <w:szCs w:val="20"/>
        </w:rPr>
        <w:t>re matters arising from the current period audit of the consolidated financial statements that were communicated or required to be communicated to the audit committee and that (i) relate to accounts or disclosures that are material to the consolidated fina</w:t>
      </w:r>
      <w:r>
        <w:rPr>
          <w:sz w:val="20"/>
          <w:szCs w:val="20"/>
        </w:rPr>
        <w:t>ncial statements and (ii) involved our especially challenging, subjective, or complex judgments. The communication of critical audit matters does not alter in any way our opinion on the consolidated financial statements, taken as a whole, and we are not, b</w:t>
      </w:r>
      <w:r>
        <w:rPr>
          <w:sz w:val="20"/>
          <w:szCs w:val="20"/>
        </w:rPr>
        <w:t>y communicating the critical audit matters below, providing separate opinions on the critical audit matters or on the accounts or disclosures to which they relate.</w:t>
      </w:r>
    </w:p>
    <w:p w:rsidR="00000000" w:rsidRDefault="001D2166">
      <w:pPr>
        <w:pStyle w:val="a3"/>
        <w:spacing w:before="0" w:beforeAutospacing="0" w:after="0" w:afterAutospacing="0"/>
        <w:ind w:left="-20"/>
        <w:rPr>
          <w:sz w:val="20"/>
          <w:szCs w:val="20"/>
        </w:rPr>
      </w:pPr>
      <w:r>
        <w:rPr>
          <w:sz w:val="20"/>
          <w:szCs w:val="20"/>
        </w:rPr>
        <w:t> </w:t>
      </w:r>
    </w:p>
    <w:p w:rsidR="00000000" w:rsidRDefault="001D2166">
      <w:pPr>
        <w:pStyle w:val="a3"/>
        <w:spacing w:before="0" w:beforeAutospacing="0" w:after="0" w:afterAutospacing="0"/>
        <w:ind w:left="-20"/>
        <w:rPr>
          <w:sz w:val="20"/>
          <w:szCs w:val="20"/>
        </w:rPr>
      </w:pPr>
      <w:r>
        <w:rPr>
          <w:i/>
          <w:iCs/>
          <w:sz w:val="20"/>
          <w:szCs w:val="20"/>
        </w:rPr>
        <w:t>Analysis of Real Estate Properties for Indicators of Impairment</w:t>
      </w:r>
    </w:p>
    <w:p w:rsidR="00000000" w:rsidRDefault="001D2166">
      <w:pPr>
        <w:pStyle w:val="a3"/>
        <w:spacing w:before="0" w:beforeAutospacing="0" w:after="0" w:afterAutospacing="0"/>
        <w:ind w:left="-20"/>
        <w:rPr>
          <w:sz w:val="20"/>
          <w:szCs w:val="20"/>
        </w:rPr>
      </w:pPr>
      <w:r>
        <w:rPr>
          <w:sz w:val="20"/>
          <w:szCs w:val="20"/>
        </w:rPr>
        <w:t> </w:t>
      </w:r>
    </w:p>
    <w:p w:rsidR="00000000" w:rsidRDefault="001D2166">
      <w:pPr>
        <w:pStyle w:val="a3"/>
        <w:spacing w:before="0" w:beforeAutospacing="0" w:after="0" w:afterAutospacing="0"/>
        <w:ind w:left="-20"/>
        <w:rPr>
          <w:sz w:val="20"/>
          <w:szCs w:val="20"/>
        </w:rPr>
      </w:pPr>
      <w:r>
        <w:rPr>
          <w:sz w:val="20"/>
          <w:szCs w:val="20"/>
        </w:rPr>
        <w:t>As described in Notes 1 and 6 to the consolidated financial statements, the net carrying value of the Company’s real estate net was $15.0 billion. On a continuous basis, management assesses whether there are indicators, including property operating perform</w:t>
      </w:r>
      <w:r>
        <w:rPr>
          <w:sz w:val="20"/>
          <w:szCs w:val="20"/>
        </w:rPr>
        <w:t>ance, changes in anticipated holding period, and general market conditions, that the value of the Company’s real estate properties may be impaired. An impairment is recognized on properties held for use when the expected undiscounted cash flows for a prope</w:t>
      </w:r>
      <w:r>
        <w:rPr>
          <w:sz w:val="20"/>
          <w:szCs w:val="20"/>
        </w:rPr>
        <w:t>rty are less than its carrying amount, at which time, the property is written-down to its estimated fair value.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30688584"/>
        <w:rPr>
          <w:rFonts w:eastAsia="Times New Roman"/>
          <w:sz w:val="20"/>
          <w:szCs w:val="20"/>
        </w:rPr>
      </w:pPr>
      <w:r>
        <w:rPr>
          <w:rFonts w:eastAsia="Times New Roman"/>
          <w:sz w:val="20"/>
          <w:szCs w:val="20"/>
        </w:rPr>
        <w:t xml:space="preserve">49 </w:t>
      </w:r>
    </w:p>
    <w:p w:rsidR="00000000" w:rsidRDefault="001D2166">
      <w:pPr>
        <w:divId w:val="769008387"/>
        <w:rPr>
          <w:rFonts w:eastAsia="Times New Roman"/>
          <w:sz w:val="20"/>
          <w:szCs w:val="20"/>
        </w:rPr>
      </w:pPr>
      <w:r>
        <w:rPr>
          <w:rFonts w:eastAsia="Times New Roman"/>
          <w:sz w:val="20"/>
          <w:szCs w:val="20"/>
        </w:rPr>
        <w:pict>
          <v:rect id="_x0000_i1081" style="width:415.3pt;height:1.5pt" o:hralign="center" o:hrstd="t" o:hrnoshade="t" o:hr="t" fillcolor="black" stroked="f"/>
        </w:pict>
      </w:r>
    </w:p>
    <w:p w:rsidR="00000000" w:rsidRDefault="001D2166">
      <w:pPr>
        <w:divId w:val="100181301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The principal considerations for our determination that performing procedures relating to the analysis of real estate properties for indicato</w:t>
      </w:r>
      <w:r>
        <w:rPr>
          <w:sz w:val="20"/>
          <w:szCs w:val="20"/>
        </w:rPr>
        <w:t>rs of impairment of property carrying values is a critical audit matter are (i) the significant judgment by management to identify indicators of impairment related to property operating performance, changes in anticipated holding period, and general market</w:t>
      </w:r>
      <w:r>
        <w:rPr>
          <w:sz w:val="20"/>
          <w:szCs w:val="20"/>
        </w:rPr>
        <w:t xml:space="preserve"> conditions which led to (ii) a high degree of auditor judgment, subjectivity, and effort in performing procedures and evaluating audit evidence related to management’s determination of impairment indicators related to property operating performance, chang</w:t>
      </w:r>
      <w:r>
        <w:rPr>
          <w:sz w:val="20"/>
          <w:szCs w:val="20"/>
        </w:rPr>
        <w:t>es in anticipated holding period, and general market conditions.</w:t>
      </w:r>
    </w:p>
    <w:p w:rsidR="00000000" w:rsidRDefault="001D2166">
      <w:pPr>
        <w:pStyle w:val="a3"/>
        <w:spacing w:before="0" w:beforeAutospacing="0" w:after="0" w:afterAutospacing="0"/>
        <w:ind w:left="-20"/>
        <w:jc w:val="both"/>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 xml:space="preserve">Addressing the matter involved performing procedures and evaluating audit evidence in connection with forming our overall opinion on the consolidated financial statements. These procedures </w:t>
      </w:r>
      <w:r>
        <w:rPr>
          <w:sz w:val="20"/>
          <w:szCs w:val="20"/>
        </w:rPr>
        <w:t>included testing the effectiveness of controls relating to management’s analysis of real estate properties for indicators of impairment. These procedures also included, among others (i) testing management’s process for identifying real estate properties fo</w:t>
      </w:r>
      <w:r>
        <w:rPr>
          <w:sz w:val="20"/>
          <w:szCs w:val="20"/>
        </w:rPr>
        <w:t>r indicators of impairment, (ii) evaluating the appropriateness of management’s undiscounted cash flow analysis, (iii) testing the underlying data used in the analysis, and (iv) evaluating the reasonableness of management’s determination of impairment indi</w:t>
      </w:r>
      <w:r>
        <w:rPr>
          <w:sz w:val="20"/>
          <w:szCs w:val="20"/>
        </w:rPr>
        <w:t>cators related to property operating performance, changes in anticipated holding period, and general market conditions.  Evaluating the reasonableness of management’s determination of impairment indicators included (i) evaluating property operating perform</w:t>
      </w:r>
      <w:r>
        <w:rPr>
          <w:sz w:val="20"/>
          <w:szCs w:val="20"/>
        </w:rPr>
        <w:t>ance and management’s intent with respect to holding or disposing of properties, (ii) evaluating the consistency of the sales prices utilized by management with external market and industry data, and (iii) assessing management’s considerations of general m</w:t>
      </w:r>
      <w:r>
        <w:rPr>
          <w:sz w:val="20"/>
          <w:szCs w:val="20"/>
        </w:rPr>
        <w:t>arket conditions.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rPr>
          <w:sz w:val="20"/>
          <w:szCs w:val="20"/>
        </w:rPr>
      </w:pPr>
      <w:r>
        <w:rPr>
          <w:i/>
          <w:iCs/>
          <w:sz w:val="20"/>
          <w:szCs w:val="20"/>
        </w:rPr>
        <w:t>Fair value of real estate assets acquired in the Weingarten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As described in Note 2 to the consolidated financial statements, the Company completed a merger with Weingarten Realty Investors, with the Company continuing as the su</w:t>
      </w:r>
      <w:r>
        <w:rPr>
          <w:sz w:val="20"/>
          <w:szCs w:val="20"/>
        </w:rPr>
        <w:t>rviving public company, and accounted for the merger as a business combination using the acquisition method of accounting. The total purchase price of $4.1 billion was allocated to the fair value of the assets acquired, and the liabilities assumed, which i</w:t>
      </w:r>
      <w:r>
        <w:rPr>
          <w:sz w:val="20"/>
          <w:szCs w:val="20"/>
        </w:rPr>
        <w:t>ncluded $5.6 billion relating to real estate assets acquired. The fair value of the real estate assets acquired were determined using various methods, including (i) a direct capitalization method or (ii) a discounted cash flow analysis. Under the direct ca</w:t>
      </w:r>
      <w:r>
        <w:rPr>
          <w:sz w:val="20"/>
          <w:szCs w:val="20"/>
        </w:rPr>
        <w:t xml:space="preserve">pitalization method, management derived a normalized net operating income and applied a current market capitalization rate for each property. The estimates of normalized net operating income are based on a number of factors, including historical operating </w:t>
      </w:r>
      <w:r>
        <w:rPr>
          <w:sz w:val="20"/>
          <w:szCs w:val="20"/>
        </w:rPr>
        <w:t>results, known trends, fair market lease rates and market/economic conditions. The discounted cash flow analyses were based on estimated future cash flow projections that utilize discount rates, terminal capitalization rates and planned capital expenditure</w:t>
      </w:r>
      <w:r>
        <w:rPr>
          <w:sz w:val="20"/>
          <w:szCs w:val="20"/>
        </w:rPr>
        <w: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The principal considerations for our determination that performing procedures relating to the fair value measurement of real estate assets acquired in the Weingarten Merger is a critical audit matter are (i) the significant judgment by management when</w:t>
      </w:r>
      <w:r>
        <w:rPr>
          <w:sz w:val="20"/>
          <w:szCs w:val="20"/>
        </w:rPr>
        <w:t xml:space="preserve"> determining the fair value of the real estate assets acquired, which in turn led to a high degree of auditor judgment, subjectivity and effort in performing procedures and evaluating audit evidence relating to the significant assumptions used in determini</w:t>
      </w:r>
      <w:r>
        <w:rPr>
          <w:sz w:val="20"/>
          <w:szCs w:val="20"/>
        </w:rPr>
        <w:t>ng the fair value of the real estate assets acquired related to the current market capitalization rates and the fair market lease rates used in the direct capitalization method, and (ii) the audit effort involved the use of professionals with specialized s</w:t>
      </w:r>
      <w:r>
        <w:rPr>
          <w:sz w:val="20"/>
          <w:szCs w:val="20"/>
        </w:rPr>
        <w:t>kill and knowledge.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20"/>
        <w:jc w:val="both"/>
        <w:rPr>
          <w:sz w:val="20"/>
          <w:szCs w:val="20"/>
        </w:rPr>
      </w:pPr>
      <w:r>
        <w:rPr>
          <w:sz w:val="20"/>
          <w:szCs w:val="20"/>
        </w:rPr>
        <w:t>Addressing the matter involved performing procedures and evaluating audit evidence in connection with forming our overall opinion on the consolidated financial statements. These procedures included testing the effectiveness of control</w:t>
      </w:r>
      <w:r>
        <w:rPr>
          <w:sz w:val="20"/>
          <w:szCs w:val="20"/>
        </w:rPr>
        <w:t xml:space="preserve">s relating to the valuation process of real estate assets acquired in the Weingarten Merger, including controls over the methodologies used and significant assumptions used in the direct capitalization method related to current market capitalization rates </w:t>
      </w:r>
      <w:r>
        <w:rPr>
          <w:sz w:val="20"/>
          <w:szCs w:val="20"/>
        </w:rPr>
        <w:t>and the fair market lease rates. These procedures also included, among others, testing management’s process for determining the fair value of real estate assets acquired, which included (i) evaluating the appropriateness of management's use of the direct c</w:t>
      </w:r>
      <w:r>
        <w:rPr>
          <w:sz w:val="20"/>
          <w:szCs w:val="20"/>
        </w:rPr>
        <w:t>apitalization method, (ii) testing the completeness and accuracy of the underlying data used, and (iii) evaluating the reasonableness of the significant assumptions related to current market capitalization rates and the fair market lease rates, which invol</w:t>
      </w:r>
      <w:r>
        <w:rPr>
          <w:sz w:val="20"/>
          <w:szCs w:val="20"/>
        </w:rPr>
        <w:t>ved considering the consistency of the assumptions with current and past performance of the business, the consistency with external market and industry data and whether these assumptions were consistent with evidence obtained in other areas of the audit. P</w:t>
      </w:r>
      <w:r>
        <w:rPr>
          <w:sz w:val="20"/>
          <w:szCs w:val="20"/>
        </w:rPr>
        <w:t>rofessionals with specialized skill and knowledge were used to assist in evaluation of the significant assumptions of the current market capitalization rates and the fair market lease rates.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/s/ PricewaterhouseCoopers LLP</w:t>
      </w:r>
    </w:p>
    <w:p w:rsidR="00000000" w:rsidRDefault="001D2166">
      <w:pPr>
        <w:pStyle w:val="a3"/>
        <w:spacing w:before="0" w:beforeAutospacing="0" w:after="0" w:afterAutospacing="0"/>
        <w:jc w:val="both"/>
        <w:rPr>
          <w:sz w:val="20"/>
          <w:szCs w:val="20"/>
        </w:rPr>
      </w:pPr>
      <w:r>
        <w:rPr>
          <w:sz w:val="20"/>
          <w:szCs w:val="20"/>
        </w:rPr>
        <w:t>New York, New York</w:t>
      </w:r>
    </w:p>
    <w:p w:rsidR="00000000" w:rsidRDefault="001D2166">
      <w:pPr>
        <w:pStyle w:val="a3"/>
        <w:spacing w:before="0" w:beforeAutospacing="0" w:after="0" w:afterAutospacing="0"/>
        <w:jc w:val="both"/>
        <w:rPr>
          <w:sz w:val="20"/>
          <w:szCs w:val="20"/>
        </w:rPr>
      </w:pPr>
      <w:r>
        <w:rPr>
          <w:sz w:val="20"/>
          <w:szCs w:val="20"/>
        </w:rPr>
        <w:t>February 28</w:t>
      </w:r>
      <w:r>
        <w:rPr>
          <w:sz w:val="20"/>
          <w:szCs w:val="20"/>
        </w:rPr>
        <w:t>, 2022</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We have served as the Company’</w:t>
      </w:r>
      <w:r>
        <w:rPr>
          <w:sz w:val="20"/>
          <w:szCs w:val="20"/>
        </w:rPr>
        <w:t>s auditor since at least 1991.We have not been able to determine the specific year we began serving as auditor of the Company.</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601331811"/>
        <w:rPr>
          <w:rFonts w:eastAsia="Times New Roman"/>
          <w:sz w:val="20"/>
          <w:szCs w:val="20"/>
        </w:rPr>
      </w:pPr>
      <w:r>
        <w:rPr>
          <w:rFonts w:eastAsia="Times New Roman"/>
          <w:sz w:val="20"/>
          <w:szCs w:val="20"/>
        </w:rPr>
        <w:t xml:space="preserve">50 </w:t>
      </w:r>
    </w:p>
    <w:p w:rsidR="00000000" w:rsidRDefault="001D2166">
      <w:pPr>
        <w:divId w:val="1601331811"/>
        <w:rPr>
          <w:rFonts w:eastAsia="Times New Roman"/>
          <w:sz w:val="20"/>
          <w:szCs w:val="20"/>
        </w:rPr>
      </w:pPr>
      <w:r>
        <w:rPr>
          <w:rFonts w:eastAsia="Times New Roman"/>
          <w:sz w:val="20"/>
          <w:szCs w:val="20"/>
        </w:rPr>
        <w:pict>
          <v:rect id="_x0000_i1082" style="width:415.3pt;height:1.5pt" o:hralign="center" o:hrstd="t" o:hrnoshade="t" o:hr="t" fillcolor="black" stroked="f"/>
        </w:pict>
      </w:r>
    </w:p>
    <w:p w:rsidR="00000000" w:rsidRDefault="001D2166">
      <w:pPr>
        <w:divId w:val="120437158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divId w:val="374544999"/>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center"/>
        <w:rPr>
          <w:sz w:val="20"/>
          <w:szCs w:val="20"/>
        </w:rPr>
      </w:pPr>
      <w:r>
        <w:rPr>
          <w:sz w:val="20"/>
          <w:szCs w:val="20"/>
        </w:rPr>
        <w:t>KIMCO REALTY CORPORATION AND SUBSIDIARIES</w:t>
      </w:r>
    </w:p>
    <w:p w:rsidR="00000000" w:rsidRDefault="001D2166">
      <w:pPr>
        <w:pStyle w:val="a3"/>
        <w:spacing w:before="0" w:beforeAutospacing="0" w:after="0" w:afterAutospacing="0"/>
        <w:jc w:val="center"/>
        <w:rPr>
          <w:sz w:val="20"/>
          <w:szCs w:val="20"/>
        </w:rPr>
      </w:pPr>
      <w:r>
        <w:rPr>
          <w:sz w:val="20"/>
          <w:szCs w:val="20"/>
        </w:rPr>
        <w:t>CONSOLIDATED BALANCE SHEETS</w:t>
      </w:r>
    </w:p>
    <w:p w:rsidR="00000000" w:rsidRDefault="001D2166">
      <w:pPr>
        <w:pStyle w:val="a3"/>
        <w:spacing w:before="0" w:beforeAutospacing="0" w:after="0" w:afterAutospacing="0"/>
        <w:jc w:val="center"/>
        <w:rPr>
          <w:sz w:val="20"/>
          <w:szCs w:val="20"/>
        </w:rPr>
      </w:pPr>
      <w:r>
        <w:rPr>
          <w:sz w:val="20"/>
          <w:szCs w:val="20"/>
        </w:rPr>
        <w:t>(in thousands, except share data)</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359309415"/>
          <w:tblCellSpacing w:w="0" w:type="dxa"/>
        </w:trPr>
        <w:tc>
          <w:tcPr>
            <w:tcW w:w="35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Assets: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Real estate: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tcMar>
              <w:top w:w="0" w:type="dxa"/>
              <w:left w:w="720" w:type="dxa"/>
              <w:bottom w:w="0" w:type="dxa"/>
              <w:right w:w="0" w:type="dxa"/>
            </w:tcMar>
            <w:vAlign w:val="bottom"/>
            <w:hideMark/>
          </w:tcPr>
          <w:p w:rsidR="00000000" w:rsidRDefault="001D2166">
            <w:pPr>
              <w:rPr>
                <w:rFonts w:eastAsia="Times New Roman"/>
                <w:sz w:val="20"/>
                <w:szCs w:val="20"/>
              </w:rPr>
            </w:pPr>
            <w:r>
              <w:rPr>
                <w:rFonts w:eastAsia="Times New Roman"/>
                <w:sz w:val="20"/>
                <w:szCs w:val="20"/>
              </w:rPr>
              <w:t>Land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3,978,775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2,781,888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tcMar>
              <w:top w:w="0" w:type="dxa"/>
              <w:left w:w="720" w:type="dxa"/>
              <w:bottom w:w="0" w:type="dxa"/>
              <w:right w:w="0" w:type="dxa"/>
            </w:tcMar>
            <w:vAlign w:val="bottom"/>
            <w:hideMark/>
          </w:tcPr>
          <w:p w:rsidR="00000000" w:rsidRDefault="001D2166">
            <w:pPr>
              <w:rPr>
                <w:rFonts w:eastAsia="Times New Roman"/>
                <w:sz w:val="20"/>
                <w:szCs w:val="20"/>
              </w:rPr>
            </w:pPr>
            <w:r>
              <w:rPr>
                <w:rFonts w:eastAsia="Times New Roman"/>
                <w:sz w:val="20"/>
                <w:szCs w:val="20"/>
              </w:rPr>
              <w:t>Building and improvements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14,067,824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9,281,267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tcMar>
              <w:top w:w="0" w:type="dxa"/>
              <w:left w:w="720" w:type="dxa"/>
              <w:bottom w:w="0" w:type="dxa"/>
              <w:right w:w="0" w:type="dxa"/>
            </w:tcMar>
            <w:vAlign w:val="bottom"/>
            <w:hideMark/>
          </w:tcPr>
          <w:p w:rsidR="00000000" w:rsidRDefault="001D2166">
            <w:pPr>
              <w:rPr>
                <w:rFonts w:eastAsia="Times New Roman"/>
                <w:sz w:val="20"/>
                <w:szCs w:val="20"/>
              </w:rPr>
            </w:pPr>
            <w:r>
              <w:rPr>
                <w:rFonts w:eastAsia="Times New Roman"/>
                <w:sz w:val="20"/>
                <w:szCs w:val="20"/>
              </w:rPr>
              <w:t>Real estate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18,046,599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12,063,155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tcMar>
              <w:top w:w="0" w:type="dxa"/>
              <w:left w:w="720" w:type="dxa"/>
              <w:bottom w:w="0" w:type="dxa"/>
              <w:right w:w="0" w:type="dxa"/>
            </w:tcMar>
            <w:vAlign w:val="bottom"/>
            <w:hideMark/>
          </w:tcPr>
          <w:p w:rsidR="00000000" w:rsidRDefault="001D2166">
            <w:pPr>
              <w:rPr>
                <w:rFonts w:eastAsia="Times New Roman"/>
                <w:sz w:val="20"/>
                <w:szCs w:val="20"/>
              </w:rPr>
            </w:pPr>
            <w:r>
              <w:rPr>
                <w:rFonts w:eastAsia="Times New Roman"/>
                <w:sz w:val="20"/>
                <w:szCs w:val="20"/>
              </w:rPr>
              <w:t>Less: accumulated depreciation and amortization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(3,010,699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(2,717,114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Total real estate,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15,035,900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9,346,041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1,006,899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590,694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Other investments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122,015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117,140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334,663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293,188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Marketable securities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254,677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219,248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Deferred charges and prepaid expenses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144,461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135,967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147,458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102,369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195,715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97,225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assets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18,459,199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11,614,498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Liabilities: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Notes payable,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7,027,050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5,044,208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Mortgages payable,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448,652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311,272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Accounts payable and accrued expenses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220,308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146,457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Dividends payable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123,779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96,619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510,382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324,538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8,335,537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5,928,460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13,480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Commitments and contingencies (Footnote 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Stockholders' equity:</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tcMar>
              <w:top w:w="0" w:type="dxa"/>
              <w:left w:w="540" w:type="dxa"/>
              <w:bottom w:w="0" w:type="dxa"/>
              <w:right w:w="0" w:type="dxa"/>
            </w:tcMar>
            <w:vAlign w:val="bottom"/>
            <w:hideMark/>
          </w:tcPr>
          <w:p w:rsidR="00000000" w:rsidRDefault="001D2166">
            <w:pPr>
              <w:ind w:hanging="180"/>
              <w:rPr>
                <w:rFonts w:eastAsia="Times New Roman"/>
                <w:sz w:val="20"/>
                <w:szCs w:val="20"/>
              </w:rPr>
            </w:pPr>
            <w:r>
              <w:rPr>
                <w:rFonts w:eastAsia="Times New Roman"/>
                <w:sz w:val="20"/>
                <w:szCs w:val="20"/>
              </w:rPr>
              <w:t> </w:t>
            </w:r>
            <w:r>
              <w:rPr>
                <w:rFonts w:eastAsia="Times New Roman"/>
                <w:sz w:val="20"/>
                <w:szCs w:val="20"/>
              </w:rPr>
              <w:t xml:space="preserve">Preferred stock, </w:t>
            </w:r>
            <w:r>
              <w:rPr>
                <w:rFonts w:eastAsia="Times New Roman"/>
                <w:sz w:val="20"/>
                <w:szCs w:val="20"/>
              </w:rPr>
              <w:t>$</w:t>
            </w:r>
            <w:r>
              <w:rPr>
                <w:rFonts w:eastAsia="Times New Roman"/>
                <w:sz w:val="20"/>
                <w:szCs w:val="20"/>
              </w:rPr>
              <w:t>1.0</w:t>
            </w:r>
            <w:r>
              <w:rPr>
                <w:rFonts w:eastAsia="Times New Roman"/>
                <w:sz w:val="20"/>
                <w:szCs w:val="20"/>
              </w:rPr>
              <w:t>0</w:t>
            </w:r>
            <w:r>
              <w:rPr>
                <w:rFonts w:eastAsia="Times New Roman"/>
                <w:sz w:val="20"/>
                <w:szCs w:val="20"/>
              </w:rPr>
              <w:t xml:space="preserve"> par value, authorized</w:t>
            </w:r>
            <w:r>
              <w:rPr>
                <w:rFonts w:eastAsia="Times New Roman"/>
                <w:sz w:val="20"/>
                <w:szCs w:val="20"/>
              </w:rPr>
              <w:t xml:space="preserve"> </w:t>
            </w:r>
            <w:r>
              <w:rPr>
                <w:rFonts w:eastAsia="Times New Roman"/>
                <w:sz w:val="20"/>
                <w:szCs w:val="20"/>
              </w:rPr>
              <w:t>7,054,00</w:t>
            </w:r>
            <w:r>
              <w:rPr>
                <w:rFonts w:eastAsia="Times New Roman"/>
                <w:sz w:val="20"/>
                <w:szCs w:val="20"/>
              </w:rPr>
              <w:t>0</w:t>
            </w:r>
            <w:r>
              <w:rPr>
                <w:rFonts w:eastAsia="Times New Roman"/>
                <w:sz w:val="20"/>
                <w:szCs w:val="20"/>
              </w:rPr>
              <w:t xml:space="preserve"> shares; Issued and outstanding (in series)</w:t>
            </w:r>
            <w:r>
              <w:rPr>
                <w:rFonts w:eastAsia="Times New Roman"/>
                <w:sz w:val="20"/>
                <w:szCs w:val="20"/>
              </w:rPr>
              <w:t xml:space="preserve"> </w:t>
            </w:r>
            <w:r>
              <w:rPr>
                <w:rFonts w:eastAsia="Times New Roman"/>
                <w:sz w:val="20"/>
                <w:szCs w:val="20"/>
              </w:rPr>
              <w:t>19,58</w:t>
            </w:r>
            <w:r>
              <w:rPr>
                <w:rFonts w:eastAsia="Times New Roman"/>
                <w:sz w:val="20"/>
                <w:szCs w:val="20"/>
              </w:rPr>
              <w:t>0</w:t>
            </w:r>
            <w:r>
              <w:rPr>
                <w:rFonts w:eastAsia="Times New Roman"/>
                <w:sz w:val="20"/>
                <w:szCs w:val="20"/>
              </w:rPr>
              <w:t xml:space="preserve"> shares; Aggregate liquidation preference </w:t>
            </w:r>
            <w:r>
              <w:rPr>
                <w:rFonts w:eastAsia="Times New Roman"/>
                <w:sz w:val="20"/>
                <w:szCs w:val="20"/>
              </w:rPr>
              <w:t>$</w:t>
            </w:r>
            <w:r>
              <w:rPr>
                <w:rFonts w:eastAsia="Times New Roman"/>
                <w:sz w:val="20"/>
                <w:szCs w:val="20"/>
              </w:rPr>
              <w:t>489,50</w:t>
            </w:r>
            <w:r>
              <w:rPr>
                <w:rFonts w:eastAsia="Times New Roman"/>
                <w:sz w:val="20"/>
                <w:szCs w:val="20"/>
              </w:rPr>
              <w:t>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tcMar>
              <w:top w:w="0" w:type="dxa"/>
              <w:left w:w="540" w:type="dxa"/>
              <w:bottom w:w="0" w:type="dxa"/>
              <w:right w:w="0" w:type="dxa"/>
            </w:tcMar>
            <w:vAlign w:val="bottom"/>
            <w:hideMark/>
          </w:tcPr>
          <w:p w:rsidR="00000000" w:rsidRDefault="001D2166">
            <w:pPr>
              <w:ind w:hanging="180"/>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w:t>
            </w:r>
            <w:r>
              <w:rPr>
                <w:rFonts w:eastAsia="Times New Roman"/>
                <w:sz w:val="20"/>
                <w:szCs w:val="20"/>
              </w:rPr>
              <w:t>1</w:t>
            </w:r>
            <w:r>
              <w:rPr>
                <w:rFonts w:eastAsia="Times New Roman"/>
                <w:sz w:val="20"/>
                <w:szCs w:val="20"/>
              </w:rPr>
              <w:t xml:space="preserve"> par value, authorized</w:t>
            </w:r>
            <w:r>
              <w:rPr>
                <w:rFonts w:eastAsia="Times New Roman"/>
                <w:sz w:val="20"/>
                <w:szCs w:val="20"/>
              </w:rPr>
              <w:t xml:space="preserve"> </w:t>
            </w:r>
            <w:r>
              <w:rPr>
                <w:rFonts w:eastAsia="Times New Roman"/>
                <w:sz w:val="20"/>
                <w:szCs w:val="20"/>
              </w:rPr>
              <w:t>750,000,00</w:t>
            </w:r>
            <w:r>
              <w:rPr>
                <w:rFonts w:eastAsia="Times New Roman"/>
                <w:sz w:val="20"/>
                <w:szCs w:val="20"/>
              </w:rPr>
              <w:t>0</w:t>
            </w:r>
            <w:r>
              <w:rPr>
                <w:rFonts w:eastAsia="Times New Roman"/>
                <w:sz w:val="20"/>
                <w:szCs w:val="20"/>
              </w:rPr>
              <w:t xml:space="preserve"> shares; issued and outstandin</w:t>
            </w:r>
            <w:r>
              <w:rPr>
                <w:rFonts w:eastAsia="Times New Roman"/>
                <w:sz w:val="20"/>
                <w:szCs w:val="20"/>
              </w:rPr>
              <w:t>g</w:t>
            </w:r>
            <w:r>
              <w:rPr>
                <w:rFonts w:eastAsia="Times New Roman"/>
                <w:sz w:val="20"/>
                <w:szCs w:val="20"/>
              </w:rPr>
              <w:t xml:space="preserve"> </w:t>
            </w:r>
            <w:r>
              <w:rPr>
                <w:rFonts w:eastAsia="Times New Roman"/>
                <w:sz w:val="20"/>
                <w:szCs w:val="20"/>
              </w:rPr>
              <w:t>616,658,59</w:t>
            </w:r>
            <w:r>
              <w:rPr>
                <w:rFonts w:eastAsia="Times New Roman"/>
                <w:sz w:val="20"/>
                <w:szCs w:val="20"/>
              </w:rPr>
              <w:t>3</w:t>
            </w:r>
            <w:r>
              <w:rPr>
                <w:rFonts w:eastAsia="Times New Roman"/>
                <w:sz w:val="20"/>
                <w:szCs w:val="20"/>
              </w:rPr>
              <w:t>, and</w:t>
            </w:r>
            <w:r>
              <w:rPr>
                <w:rFonts w:eastAsia="Times New Roman"/>
                <w:sz w:val="20"/>
                <w:szCs w:val="20"/>
              </w:rPr>
              <w:t xml:space="preserve"> </w:t>
            </w:r>
            <w:r>
              <w:rPr>
                <w:rFonts w:eastAsia="Times New Roman"/>
                <w:sz w:val="20"/>
                <w:szCs w:val="20"/>
              </w:rPr>
              <w:t>432,518,74</w:t>
            </w:r>
            <w:r>
              <w:rPr>
                <w:rFonts w:eastAsia="Times New Roman"/>
                <w:sz w:val="20"/>
                <w:szCs w:val="20"/>
              </w:rPr>
              <w:t>3</w:t>
            </w:r>
            <w:r>
              <w:rPr>
                <w:rFonts w:eastAsia="Times New Roman"/>
                <w:sz w:val="20"/>
                <w:szCs w:val="20"/>
              </w:rPr>
              <w:t xml:space="preserve"> shares, respectively</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6,167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Paid-in capital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9,591,871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5,766,511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Retained earnings/(cumulative distributions in excess of net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299,115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(162,812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Accumulated other comprehensive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stockholders' equity</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9,899,389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5,608,044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210,793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62,210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equity</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10,110,182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5,670,254</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359309415"/>
          <w:tblCellSpacing w:w="0" w:type="dxa"/>
        </w:trPr>
        <w:tc>
          <w:tcPr>
            <w:tcW w:w="35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liabilities and equity</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18,459,199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11,614,498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0"/>
        <w:gridCol w:w="7936"/>
      </w:tblGrid>
      <w:tr w:rsidR="00000000">
        <w:trPr>
          <w:tblCellSpacing w:w="0" w:type="dxa"/>
        </w:trPr>
        <w:tc>
          <w:tcPr>
            <w:tcW w:w="220" w:type="pct"/>
            <w:hideMark/>
          </w:tcPr>
          <w:p w:rsidR="00000000" w:rsidRDefault="001D2166">
            <w:pPr>
              <w:pStyle w:val="a3"/>
              <w:spacing w:before="0" w:beforeAutospacing="0" w:after="0" w:afterAutospacing="0"/>
              <w:jc w:val="center"/>
              <w:rPr>
                <w:sz w:val="20"/>
                <w:szCs w:val="20"/>
              </w:rPr>
            </w:pPr>
            <w:r>
              <w:rPr>
                <w:sz w:val="20"/>
                <w:szCs w:val="20"/>
              </w:rPr>
              <w:t>(1)</w:t>
            </w:r>
          </w:p>
        </w:tc>
        <w:tc>
          <w:tcPr>
            <w:tcW w:w="4720" w:type="pct"/>
            <w:hideMark/>
          </w:tcPr>
          <w:p w:rsidR="00000000" w:rsidRDefault="001D2166">
            <w:pPr>
              <w:pStyle w:val="a3"/>
              <w:spacing w:before="0" w:beforeAutospacing="0" w:after="0" w:afterAutospacing="0"/>
              <w:rPr>
                <w:sz w:val="20"/>
                <w:szCs w:val="20"/>
              </w:rPr>
            </w:pPr>
            <w:r>
              <w:rPr>
                <w:sz w:val="20"/>
                <w:szCs w:val="20"/>
              </w:rPr>
              <w:t>Includes restricted assets of consolidated variable interest entities (“VIEs”) at December 31, 2021 and December 31, 2020 of $227,858 and $102,482, respectively.  See Footnote 11 of the Notes to Consolidated Financial Statements.</w:t>
            </w:r>
          </w:p>
        </w:tc>
      </w:tr>
      <w:tr w:rsidR="00000000">
        <w:trPr>
          <w:tblCellSpacing w:w="0" w:type="dxa"/>
        </w:trPr>
        <w:tc>
          <w:tcPr>
            <w:tcW w:w="220" w:type="pct"/>
            <w:hideMark/>
          </w:tcPr>
          <w:p w:rsidR="00000000" w:rsidRDefault="001D2166">
            <w:pPr>
              <w:pStyle w:val="a3"/>
              <w:spacing w:before="0" w:beforeAutospacing="0" w:after="0" w:afterAutospacing="0"/>
              <w:jc w:val="center"/>
              <w:rPr>
                <w:sz w:val="20"/>
                <w:szCs w:val="20"/>
              </w:rPr>
            </w:pPr>
            <w:r>
              <w:rPr>
                <w:sz w:val="20"/>
                <w:szCs w:val="20"/>
              </w:rPr>
              <w:t>(2)</w:t>
            </w:r>
          </w:p>
        </w:tc>
        <w:tc>
          <w:tcPr>
            <w:tcW w:w="4720" w:type="pct"/>
            <w:hideMark/>
          </w:tcPr>
          <w:p w:rsidR="00000000" w:rsidRDefault="001D2166">
            <w:pPr>
              <w:pStyle w:val="a3"/>
              <w:spacing w:before="0" w:beforeAutospacing="0" w:after="0" w:afterAutospacing="0"/>
              <w:rPr>
                <w:sz w:val="20"/>
                <w:szCs w:val="20"/>
              </w:rPr>
            </w:pPr>
            <w:r>
              <w:rPr>
                <w:sz w:val="20"/>
                <w:szCs w:val="20"/>
              </w:rPr>
              <w:t>Includes non-r</w:t>
            </w:r>
            <w:r>
              <w:rPr>
                <w:sz w:val="20"/>
                <w:szCs w:val="20"/>
              </w:rPr>
              <w:t>ecourse liabilities of consolidated VIEs at December 31, 2021 and December 31, 2020 of $153,924 and $62,076, respectively.  See Footnote 11 of the Notes to Consolidated Financial Statements.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1D2166">
      <w:pPr>
        <w:pStyle w:val="a3"/>
        <w:spacing w:before="0" w:beforeAutospacing="0" w:after="0" w:afterAutospacing="0"/>
        <w:jc w:val="center"/>
        <w:rPr>
          <w:sz w:val="20"/>
          <w:szCs w:val="20"/>
        </w:rPr>
      </w:pPr>
      <w:r>
        <w:rPr>
          <w:sz w:val="20"/>
          <w:szCs w:val="20"/>
        </w:rPr>
        <w:t> </w:t>
      </w:r>
    </w:p>
    <w:p w:rsidR="00000000" w:rsidRDefault="001D2166">
      <w:pPr>
        <w:jc w:val="center"/>
        <w:divId w:val="676808035"/>
        <w:rPr>
          <w:rFonts w:eastAsia="Times New Roman"/>
          <w:sz w:val="20"/>
          <w:szCs w:val="20"/>
        </w:rPr>
      </w:pPr>
      <w:r>
        <w:rPr>
          <w:rFonts w:eastAsia="Times New Roman"/>
          <w:sz w:val="20"/>
          <w:szCs w:val="20"/>
        </w:rPr>
        <w:t xml:space="preserve">51 </w:t>
      </w:r>
    </w:p>
    <w:p w:rsidR="00000000" w:rsidRDefault="001D2166">
      <w:pPr>
        <w:divId w:val="676808035"/>
        <w:rPr>
          <w:rFonts w:eastAsia="Times New Roman"/>
          <w:sz w:val="20"/>
          <w:szCs w:val="20"/>
        </w:rPr>
      </w:pPr>
      <w:r>
        <w:rPr>
          <w:rFonts w:eastAsia="Times New Roman"/>
          <w:sz w:val="20"/>
          <w:szCs w:val="20"/>
        </w:rPr>
        <w:pict>
          <v:rect id="_x0000_i1083" style="width:415.3pt;height:1.5pt" o:hralign="center" o:hrstd="t" o:hrnoshade="t" o:hr="t" fillcolor="black" stroked="f"/>
        </w:pict>
      </w:r>
    </w:p>
    <w:p w:rsidR="00000000" w:rsidRDefault="001D2166">
      <w:pPr>
        <w:divId w:val="1778671497"/>
        <w:rPr>
          <w:rFonts w:eastAsia="Times New Roman"/>
          <w:sz w:val="20"/>
          <w:szCs w:val="20"/>
        </w:rPr>
      </w:pPr>
      <w:r>
        <w:rPr>
          <w:rFonts w:eastAsia="Times New Roman"/>
          <w:sz w:val="20"/>
          <w:szCs w:val="20"/>
        </w:rPr>
        <w:t xml:space="preserve">  </w:t>
      </w:r>
    </w:p>
    <w:p w:rsidR="00000000" w:rsidRDefault="001D2166">
      <w:pPr>
        <w:divId w:val="2090033541"/>
        <w:rPr>
          <w:rFonts w:eastAsia="Times New Roman"/>
          <w:sz w:val="20"/>
          <w:szCs w:val="20"/>
        </w:rPr>
      </w:pPr>
      <w:r>
        <w:rPr>
          <w:rFonts w:eastAsia="Times New Roman"/>
          <w:sz w:val="20"/>
          <w:szCs w:val="20"/>
        </w:rPr>
        <w:t xml:space="preserve">  </w:t>
      </w:r>
    </w:p>
    <w:p w:rsidR="00000000" w:rsidRDefault="001D2166">
      <w:pPr>
        <w:divId w:val="1181702242"/>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KIM</w:t>
      </w:r>
      <w:r>
        <w:rPr>
          <w:sz w:val="20"/>
          <w:szCs w:val="20"/>
        </w:rPr>
        <w:t>CO REALTY CORPORATION AND SUBSIDIARIES</w:t>
      </w:r>
    </w:p>
    <w:p w:rsidR="00000000" w:rsidRDefault="001D2166">
      <w:pPr>
        <w:pStyle w:val="a3"/>
        <w:spacing w:before="0" w:beforeAutospacing="0" w:after="0" w:afterAutospacing="0"/>
        <w:jc w:val="center"/>
        <w:rPr>
          <w:sz w:val="20"/>
          <w:szCs w:val="20"/>
        </w:rPr>
      </w:pPr>
      <w:r>
        <w:rPr>
          <w:sz w:val="20"/>
          <w:szCs w:val="20"/>
        </w:rPr>
        <w:t>CONSOLIDATED STATEMENTS OF INCOME</w:t>
      </w:r>
    </w:p>
    <w:p w:rsidR="00000000" w:rsidRDefault="001D2166">
      <w:pPr>
        <w:pStyle w:val="a3"/>
        <w:spacing w:before="0" w:beforeAutospacing="0" w:after="0" w:afterAutospacing="0"/>
        <w:jc w:val="center"/>
        <w:rPr>
          <w:sz w:val="20"/>
          <w:szCs w:val="20"/>
        </w:rPr>
      </w:pPr>
      <w:r>
        <w:rPr>
          <w:sz w:val="20"/>
          <w:szCs w:val="20"/>
        </w:rPr>
        <w:t>(in thousands, except per share data)</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572422864"/>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27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1,349,702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1,044,888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1,142,334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14,883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13,005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16,550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tcMar>
              <w:top w:w="0" w:type="dxa"/>
              <w:left w:w="900" w:type="dxa"/>
              <w:bottom w:w="0" w:type="dxa"/>
              <w:right w:w="0" w:type="dxa"/>
            </w:tcMar>
            <w:vAlign w:val="bottom"/>
            <w:hideMark/>
          </w:tcPr>
          <w:p w:rsidR="00000000" w:rsidRDefault="001D2166">
            <w:pPr>
              <w:rPr>
                <w:rFonts w:eastAsia="Times New Roman"/>
                <w:sz w:val="20"/>
                <w:szCs w:val="20"/>
              </w:rPr>
            </w:pPr>
            <w:r>
              <w:rPr>
                <w:rFonts w:eastAsia="Times New Roman"/>
                <w:sz w:val="20"/>
                <w:szCs w:val="20"/>
              </w:rPr>
              <w:t>Total revenues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1,364,585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1,057,893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1,158,884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Rent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(13,773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(11,270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(11,311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(181,256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(157,661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(153,659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Operating and maintenance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(222,882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(174,038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(171,981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General and administrative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(104,121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(93,217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(96,942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Impairment charges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(48,743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Merger charges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(395,320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(288,955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(277,879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FFFFFF"/>
            <w:tcMar>
              <w:top w:w="0" w:type="dxa"/>
              <w:left w:w="900" w:type="dxa"/>
              <w:bottom w:w="0" w:type="dxa"/>
              <w:right w:w="0" w:type="dxa"/>
            </w:tcMar>
            <w:vAlign w:val="bottom"/>
            <w:hideMark/>
          </w:tcPr>
          <w:p w:rsidR="00000000" w:rsidRDefault="001D2166">
            <w:pPr>
              <w:rPr>
                <w:rFonts w:eastAsia="Times New Roman"/>
                <w:sz w:val="20"/>
                <w:szCs w:val="20"/>
              </w:rPr>
            </w:pPr>
            <w:r>
              <w:rPr>
                <w:rFonts w:eastAsia="Times New Roman"/>
                <w:sz w:val="20"/>
                <w:szCs w:val="20"/>
              </w:rPr>
              <w:t>Total operating expenses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(971,140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(731,765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(760,515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30,841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6,484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79,218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424,286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332,612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477,587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Other income,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19,810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4,119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10,985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Gain on marketable securities,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505,163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594,753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829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Gain on sale of cost method investment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Interest expense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(204,133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(186,904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(177,395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(7,538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investments,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745,126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927,874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312,006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(Provision)/benefit for income taxes,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(978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84,778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47,353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72,162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Equity in income of other investments,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23,172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28,628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720"/>
              <w:rPr>
                <w:sz w:val="20"/>
                <w:szCs w:val="20"/>
              </w:rPr>
            </w:pPr>
            <w:r>
              <w:rPr>
                <w:sz w:val="20"/>
                <w:szCs w:val="20"/>
              </w:rPr>
              <w:t>Net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849,696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Net income attributable to 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(5,637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(2,044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(2,956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720"/>
              <w:rPr>
                <w:sz w:val="20"/>
                <w:szCs w:val="20"/>
              </w:rPr>
            </w:pPr>
            <w:r>
              <w:rPr>
                <w:sz w:val="20"/>
                <w:szCs w:val="20"/>
              </w:rPr>
              <w:t>Net income attributable to the Company</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844,059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1,000,833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410,605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Preferred stock redemption charges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(18,528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Preferred dividends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(25,416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(25,416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(52,089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572422864"/>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72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818,643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975,417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339,988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Net income available to the Company's common shareholders: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900"/>
              <w:rPr>
                <w:sz w:val="20"/>
                <w:szCs w:val="20"/>
              </w:rPr>
            </w:pPr>
            <w:r>
              <w:rPr>
                <w:sz w:val="20"/>
                <w:szCs w:val="20"/>
              </w:rPr>
              <w:t>-Basic</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2.26</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0.80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900"/>
              <w:rPr>
                <w:sz w:val="20"/>
                <w:szCs w:val="20"/>
              </w:rPr>
            </w:pPr>
            <w:r>
              <w:rPr>
                <w:sz w:val="20"/>
                <w:szCs w:val="20"/>
              </w:rPr>
              <w:t>-Diluted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1.60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0.80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CCEEFF"/>
            <w:vAlign w:val="bottom"/>
            <w:hideMark/>
          </w:tcPr>
          <w:p w:rsidR="00000000" w:rsidRDefault="001D2166">
            <w:pPr>
              <w:pStyle w:val="a3"/>
              <w:spacing w:before="0" w:beforeAutospacing="0" w:after="0" w:afterAutospacing="0"/>
              <w:ind w:left="900"/>
              <w:rPr>
                <w:sz w:val="20"/>
                <w:szCs w:val="20"/>
              </w:rPr>
            </w:pPr>
            <w:r>
              <w:rPr>
                <w:sz w:val="20"/>
                <w:szCs w:val="20"/>
              </w:rPr>
              <w:t>-Basic</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506,248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429,950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420,370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572422864"/>
          <w:tblCellSpacing w:w="0" w:type="dxa"/>
        </w:trPr>
        <w:tc>
          <w:tcPr>
            <w:tcW w:w="0" w:type="auto"/>
            <w:shd w:val="clear" w:color="auto" w:fill="FFFFFF"/>
            <w:vAlign w:val="bottom"/>
            <w:hideMark/>
          </w:tcPr>
          <w:p w:rsidR="00000000" w:rsidRDefault="001D2166">
            <w:pPr>
              <w:pStyle w:val="a3"/>
              <w:spacing w:before="0" w:beforeAutospacing="0" w:after="0" w:afterAutospacing="0"/>
              <w:ind w:left="900"/>
              <w:rPr>
                <w:sz w:val="20"/>
                <w:szCs w:val="20"/>
              </w:rPr>
            </w:pPr>
            <w:r>
              <w:rPr>
                <w:sz w:val="20"/>
                <w:szCs w:val="20"/>
              </w:rPr>
              <w:t>-Diluted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511,385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431,633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421,799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19246031"/>
        <w:rPr>
          <w:rFonts w:eastAsia="Times New Roman"/>
          <w:sz w:val="20"/>
          <w:szCs w:val="20"/>
        </w:rPr>
      </w:pPr>
      <w:r>
        <w:rPr>
          <w:rFonts w:eastAsia="Times New Roman"/>
          <w:sz w:val="20"/>
          <w:szCs w:val="20"/>
        </w:rPr>
        <w:t xml:space="preserve">52 </w:t>
      </w:r>
    </w:p>
    <w:p w:rsidR="00000000" w:rsidRDefault="001D2166">
      <w:pPr>
        <w:divId w:val="1734549784"/>
        <w:rPr>
          <w:rFonts w:eastAsia="Times New Roman"/>
          <w:sz w:val="20"/>
          <w:szCs w:val="20"/>
        </w:rPr>
      </w:pPr>
      <w:r>
        <w:rPr>
          <w:rFonts w:eastAsia="Times New Roman"/>
          <w:sz w:val="20"/>
          <w:szCs w:val="20"/>
        </w:rPr>
        <w:pict>
          <v:rect id="_x0000_i1084" style="width:415.3pt;height:1.5pt" o:hralign="center" o:hrstd="t" o:hrnoshade="t" o:hr="t" fillcolor="black" stroked="f"/>
        </w:pict>
      </w:r>
    </w:p>
    <w:p w:rsidR="00000000" w:rsidRDefault="001D2166">
      <w:pPr>
        <w:divId w:val="976494493"/>
        <w:rPr>
          <w:rFonts w:eastAsia="Times New Roman"/>
          <w:sz w:val="20"/>
          <w:szCs w:val="20"/>
        </w:rPr>
      </w:pPr>
      <w:r>
        <w:rPr>
          <w:rFonts w:eastAsia="Times New Roman"/>
          <w:sz w:val="20"/>
          <w:szCs w:val="20"/>
        </w:rPr>
        <w:t xml:space="preserve">  </w:t>
      </w:r>
    </w:p>
    <w:p w:rsidR="00000000" w:rsidRDefault="001D2166">
      <w:pPr>
        <w:divId w:val="830222360"/>
        <w:rPr>
          <w:rFonts w:eastAsia="Times New Roman"/>
          <w:sz w:val="20"/>
          <w:szCs w:val="20"/>
        </w:rPr>
      </w:pPr>
      <w:r>
        <w:rPr>
          <w:rFonts w:eastAsia="Times New Roman"/>
          <w:sz w:val="20"/>
          <w:szCs w:val="20"/>
        </w:rPr>
        <w:t xml:space="preserve">  </w:t>
      </w:r>
    </w:p>
    <w:p w:rsidR="00000000" w:rsidRDefault="001D2166">
      <w:pPr>
        <w:divId w:val="816535503"/>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KIMCO REALTY CORPORATION AND SUBSIDIARIES</w:t>
      </w:r>
    </w:p>
    <w:p w:rsidR="00000000" w:rsidRDefault="001D2166">
      <w:pPr>
        <w:pStyle w:val="a3"/>
        <w:spacing w:before="0" w:beforeAutospacing="0" w:after="0" w:afterAutospacing="0"/>
        <w:jc w:val="center"/>
        <w:rPr>
          <w:sz w:val="20"/>
          <w:szCs w:val="20"/>
        </w:rPr>
      </w:pPr>
      <w:r>
        <w:rPr>
          <w:sz w:val="20"/>
          <w:szCs w:val="20"/>
        </w:rPr>
        <w:t>CONSOLIDATED STATEMENTS OF COMPREHENSIVE INCOME</w:t>
      </w:r>
    </w:p>
    <w:p w:rsidR="00000000" w:rsidRDefault="001D2166">
      <w:pPr>
        <w:pStyle w:val="a3"/>
        <w:spacing w:before="0" w:beforeAutospacing="0" w:after="0" w:afterAutospacing="0"/>
        <w:jc w:val="center"/>
        <w:rPr>
          <w:sz w:val="20"/>
          <w:szCs w:val="20"/>
        </w:rPr>
      </w:pPr>
      <w:r>
        <w:rPr>
          <w:sz w:val="20"/>
          <w:szCs w:val="20"/>
        </w:rPr>
        <w:t>(in thousands)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390271086"/>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27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849,696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1,002,877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413,561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Change in unrealized gains related to defined benefit plan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comprehensive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851,912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Comprehensive income attributable to 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(5,637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(2,044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(2,956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390271086"/>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390271086"/>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846,275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1,000,833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410,605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336684644"/>
        <w:rPr>
          <w:rFonts w:eastAsia="Times New Roman"/>
          <w:sz w:val="20"/>
          <w:szCs w:val="20"/>
        </w:rPr>
      </w:pPr>
      <w:r>
        <w:rPr>
          <w:rFonts w:eastAsia="Times New Roman"/>
          <w:sz w:val="20"/>
          <w:szCs w:val="20"/>
        </w:rPr>
        <w:t xml:space="preserve">53 </w:t>
      </w:r>
    </w:p>
    <w:p w:rsidR="00000000" w:rsidRDefault="001D2166">
      <w:pPr>
        <w:divId w:val="886571468"/>
        <w:rPr>
          <w:rFonts w:eastAsia="Times New Roman"/>
          <w:sz w:val="20"/>
          <w:szCs w:val="20"/>
        </w:rPr>
      </w:pPr>
      <w:r>
        <w:rPr>
          <w:rFonts w:eastAsia="Times New Roman"/>
          <w:sz w:val="20"/>
          <w:szCs w:val="20"/>
        </w:rPr>
        <w:pict>
          <v:rect id="_x0000_i1085" style="width:415.3pt;height:1.5pt" o:hralign="center" o:hrstd="t" o:hrnoshade="t" o:hr="t" fillcolor="black" stroked="f"/>
        </w:pict>
      </w:r>
    </w:p>
    <w:p w:rsidR="00000000" w:rsidRDefault="001D2166">
      <w:pPr>
        <w:divId w:val="2146775899"/>
        <w:rPr>
          <w:rFonts w:eastAsia="Times New Roman"/>
          <w:sz w:val="20"/>
          <w:szCs w:val="20"/>
        </w:rPr>
      </w:pPr>
      <w:r>
        <w:rPr>
          <w:rFonts w:eastAsia="Times New Roman"/>
          <w:sz w:val="20"/>
          <w:szCs w:val="20"/>
        </w:rPr>
        <w:t xml:space="preserve">  </w:t>
      </w:r>
    </w:p>
    <w:p w:rsidR="00000000" w:rsidRDefault="001D2166">
      <w:pPr>
        <w:divId w:val="1690569650"/>
        <w:rPr>
          <w:rFonts w:eastAsia="Times New Roman"/>
          <w:sz w:val="20"/>
          <w:szCs w:val="20"/>
        </w:rPr>
      </w:pPr>
      <w:r>
        <w:rPr>
          <w:rFonts w:eastAsia="Times New Roman"/>
          <w:sz w:val="20"/>
          <w:szCs w:val="20"/>
        </w:rPr>
        <w:t xml:space="preserve">  </w:t>
      </w:r>
    </w:p>
    <w:p w:rsidR="00000000" w:rsidRDefault="001D2166">
      <w:pPr>
        <w:divId w:val="897934363"/>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KIMCO REALTY CORPORATION AND SUBSIDI</w:t>
      </w:r>
      <w:r>
        <w:rPr>
          <w:sz w:val="20"/>
          <w:szCs w:val="20"/>
        </w:rPr>
        <w:t>ARIES</w:t>
      </w:r>
    </w:p>
    <w:p w:rsidR="00000000" w:rsidRDefault="001D2166">
      <w:pPr>
        <w:pStyle w:val="a3"/>
        <w:spacing w:before="0" w:beforeAutospacing="0" w:after="0" w:afterAutospacing="0"/>
        <w:jc w:val="center"/>
        <w:rPr>
          <w:sz w:val="20"/>
          <w:szCs w:val="20"/>
        </w:rPr>
      </w:pPr>
      <w:r>
        <w:rPr>
          <w:sz w:val="20"/>
          <w:szCs w:val="20"/>
        </w:rPr>
        <w:t>CONSOLIDATED STATEMENTS OF CHANGES IN EQUITY</w:t>
      </w:r>
    </w:p>
    <w:p w:rsidR="00000000" w:rsidRDefault="001D2166">
      <w:pPr>
        <w:pStyle w:val="a3"/>
        <w:spacing w:before="0" w:beforeAutospacing="0" w:after="0" w:afterAutospacing="0"/>
        <w:jc w:val="center"/>
        <w:rPr>
          <w:sz w:val="20"/>
          <w:szCs w:val="20"/>
        </w:rPr>
      </w:pPr>
      <w:r>
        <w:rPr>
          <w:sz w:val="20"/>
          <w:szCs w:val="20"/>
        </w:rPr>
        <w:t>For the Years Ended December 31, 2021, 2020 and 2019</w:t>
      </w:r>
    </w:p>
    <w:p w:rsidR="00000000" w:rsidRDefault="001D2166">
      <w:pPr>
        <w:pStyle w:val="a3"/>
        <w:spacing w:before="0" w:beforeAutospacing="0" w:after="0" w:afterAutospacing="0"/>
        <w:jc w:val="center"/>
        <w:rPr>
          <w:sz w:val="20"/>
          <w:szCs w:val="20"/>
        </w:rPr>
      </w:pPr>
      <w:r>
        <w:rPr>
          <w:sz w:val="20"/>
          <w:szCs w:val="20"/>
        </w:rPr>
        <w:t>(in thousands)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149"/>
        <w:gridCol w:w="749"/>
        <w:gridCol w:w="54"/>
        <w:gridCol w:w="40"/>
        <w:gridCol w:w="178"/>
        <w:gridCol w:w="890"/>
        <w:gridCol w:w="40"/>
        <w:gridCol w:w="40"/>
        <w:gridCol w:w="73"/>
        <w:gridCol w:w="364"/>
        <w:gridCol w:w="55"/>
        <w:gridCol w:w="47"/>
        <w:gridCol w:w="94"/>
        <w:gridCol w:w="467"/>
        <w:gridCol w:w="54"/>
        <w:gridCol w:w="40"/>
        <w:gridCol w:w="40"/>
        <w:gridCol w:w="520"/>
        <w:gridCol w:w="54"/>
        <w:gridCol w:w="40"/>
        <w:gridCol w:w="94"/>
        <w:gridCol w:w="467"/>
        <w:gridCol w:w="54"/>
        <w:gridCol w:w="40"/>
        <w:gridCol w:w="80"/>
        <w:gridCol w:w="640"/>
        <w:gridCol w:w="54"/>
        <w:gridCol w:w="40"/>
        <w:gridCol w:w="156"/>
        <w:gridCol w:w="778"/>
        <w:gridCol w:w="54"/>
        <w:gridCol w:w="40"/>
        <w:gridCol w:w="172"/>
        <w:gridCol w:w="860"/>
        <w:gridCol w:w="54"/>
        <w:gridCol w:w="40"/>
        <w:gridCol w:w="80"/>
        <w:gridCol w:w="720"/>
        <w:gridCol w:w="54"/>
      </w:tblGrid>
      <w:tr w:rsidR="00000000">
        <w:trPr>
          <w:divId w:val="1012295776"/>
          <w:tblCellSpacing w:w="0" w:type="dxa"/>
        </w:trPr>
        <w:tc>
          <w:tcPr>
            <w:tcW w:w="4185" w:type="dxa"/>
            <w:vAlign w:val="bottom"/>
            <w:hideMark/>
          </w:tcPr>
          <w:p w:rsidR="00000000" w:rsidRDefault="001D2166">
            <w:pPr>
              <w:rPr>
                <w:rFonts w:eastAsia="Times New Roman"/>
                <w:sz w:val="16"/>
                <w:szCs w:val="16"/>
              </w:rPr>
            </w:pPr>
            <w:r>
              <w:rPr>
                <w:rFonts w:eastAsia="Times New Roman"/>
                <w:sz w:val="16"/>
                <w:szCs w:val="16"/>
              </w:rPr>
              <w:t> </w:t>
            </w:r>
          </w:p>
        </w:tc>
        <w:tc>
          <w:tcPr>
            <w:tcW w:w="75" w:type="dxa"/>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Retained Earnings/</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r>
      <w:tr w:rsidR="00000000">
        <w:trPr>
          <w:divId w:val="1012295776"/>
          <w:tblCellSpacing w:w="0" w:type="dxa"/>
        </w:trPr>
        <w:tc>
          <w:tcPr>
            <w:tcW w:w="4185" w:type="dxa"/>
            <w:vAlign w:val="bottom"/>
            <w:hideMark/>
          </w:tcPr>
          <w:p w:rsidR="00000000" w:rsidRDefault="001D2166">
            <w:pPr>
              <w:rPr>
                <w:rFonts w:eastAsia="Times New Roman"/>
                <w:sz w:val="16"/>
                <w:szCs w:val="16"/>
              </w:rPr>
            </w:pPr>
            <w:r>
              <w:rPr>
                <w:rFonts w:eastAsia="Times New Roman"/>
                <w:sz w:val="16"/>
                <w:szCs w:val="16"/>
              </w:rPr>
              <w:t> </w:t>
            </w:r>
          </w:p>
        </w:tc>
        <w:tc>
          <w:tcPr>
            <w:tcW w:w="75" w:type="dxa"/>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 (Cumulative</w:t>
            </w:r>
          </w:p>
          <w:p w:rsidR="00000000" w:rsidRDefault="001D2166">
            <w:pPr>
              <w:pStyle w:val="a3"/>
              <w:spacing w:before="0" w:beforeAutospacing="0" w:after="0" w:afterAutospacing="0"/>
              <w:jc w:val="center"/>
              <w:rPr>
                <w:sz w:val="16"/>
                <w:szCs w:val="16"/>
              </w:rPr>
            </w:pPr>
            <w:r>
              <w:rPr>
                <w:b/>
                <w:bCs/>
                <w:sz w:val="16"/>
                <w:szCs w:val="16"/>
              </w:rPr>
              <w:t>Distributions in</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Accumulated Other</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c>
          <w:tcPr>
            <w:tcW w:w="250" w:type="pct"/>
            <w:vAlign w:val="bottom"/>
            <w:hideMark/>
          </w:tcPr>
          <w:p w:rsidR="00000000" w:rsidRDefault="001D2166">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1D2166">
            <w:pPr>
              <w:rPr>
                <w:rFonts w:eastAsia="Times New Roman"/>
                <w:sz w:val="16"/>
                <w:szCs w:val="16"/>
              </w:rPr>
            </w:pPr>
            <w:r>
              <w:rPr>
                <w:rFonts w:eastAsia="Times New Roman"/>
                <w:b/>
                <w:bCs/>
                <w:sz w:val="16"/>
                <w:szCs w:val="16"/>
              </w:rPr>
              <w:t> </w:t>
            </w:r>
          </w:p>
        </w:tc>
      </w:tr>
      <w:tr w:rsidR="00000000">
        <w:trPr>
          <w:divId w:val="1012295776"/>
          <w:tblCellSpacing w:w="0" w:type="dxa"/>
        </w:trPr>
        <w:tc>
          <w:tcPr>
            <w:tcW w:w="4185" w:type="dxa"/>
            <w:vAlign w:val="bottom"/>
            <w:hideMark/>
          </w:tcPr>
          <w:p w:rsidR="00000000" w:rsidRDefault="001D2166">
            <w:pPr>
              <w:rPr>
                <w:rFonts w:eastAsia="Times New Roman"/>
                <w:sz w:val="16"/>
                <w:szCs w:val="16"/>
              </w:rPr>
            </w:pPr>
            <w:r>
              <w:rPr>
                <w:rFonts w:eastAsia="Times New Roman"/>
                <w:sz w:val="16"/>
                <w:szCs w:val="16"/>
              </w:rPr>
              <w:t> </w:t>
            </w:r>
          </w:p>
        </w:tc>
        <w:tc>
          <w:tcPr>
            <w:tcW w:w="75" w:type="dxa"/>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Excess of Net</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vAlign w:val="bottom"/>
            <w:hideMark/>
          </w:tcPr>
          <w:p w:rsidR="00000000" w:rsidRDefault="001D2166">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r>
      <w:tr w:rsidR="00000000">
        <w:trPr>
          <w:divId w:val="1012295776"/>
          <w:tblCellSpacing w:w="0" w:type="dxa"/>
        </w:trPr>
        <w:tc>
          <w:tcPr>
            <w:tcW w:w="4185" w:type="dxa"/>
            <w:vAlign w:val="bottom"/>
            <w:hideMark/>
          </w:tcPr>
          <w:p w:rsidR="00000000" w:rsidRDefault="001D2166">
            <w:pPr>
              <w:rPr>
                <w:rFonts w:eastAsia="Times New Roman"/>
                <w:sz w:val="16"/>
                <w:szCs w:val="16"/>
              </w:rPr>
            </w:pPr>
            <w:r>
              <w:rPr>
                <w:rFonts w:eastAsia="Times New Roman"/>
                <w:sz w:val="16"/>
                <w:szCs w:val="16"/>
              </w:rPr>
              <w:t> </w:t>
            </w:r>
          </w:p>
        </w:tc>
        <w:tc>
          <w:tcPr>
            <w:tcW w:w="75" w:type="dxa"/>
            <w:tcMar>
              <w:top w:w="0" w:type="dxa"/>
              <w:left w:w="0" w:type="dxa"/>
              <w:bottom w:w="15" w:type="dxa"/>
              <w:right w:w="0" w:type="dxa"/>
            </w:tcMar>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 Income)</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Equity</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Interests</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vAlign w:val="bottom"/>
            <w:hideMark/>
          </w:tcPr>
          <w:p w:rsidR="00000000" w:rsidRDefault="001D2166">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Balance, January 1, 2019</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(787,707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421,389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4,214</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6,117,254</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5,333,804</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77,249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5,411,053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Net income</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410,605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410,605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2,956</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413,561</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Redeemable noncontrolling interests income</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(358</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(358</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Dividends declared to common and preferred shares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(527,577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(527,577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(527,577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Distributions to noncontrolling interests</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(10,638</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(10,638</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Issuance of common stock</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10,399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105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200,028</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200,133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200,133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Surrender of restricted common stock</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(242</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(4,027</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(4,030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(4,030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Exercise of common stock options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269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3,878</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3,880</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3,880</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Amortization of equity awards</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19,083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19,083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19,083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Acquisition of noncontrolling interests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3,994</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3,994</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(5,194</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(1,200</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Redemption of preferred stock</w:t>
            </w:r>
          </w:p>
        </w:tc>
        <w:tc>
          <w:tcPr>
            <w:tcW w:w="75" w:type="dxa"/>
            <w:shd w:val="clear" w:color="auto" w:fill="FFFFFF"/>
            <w:tcMar>
              <w:top w:w="0" w:type="dxa"/>
              <w:left w:w="0" w:type="dxa"/>
              <w:bottom w:w="15" w:type="dxa"/>
              <w:right w:w="0" w:type="dxa"/>
            </w:tcMar>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(23</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(23</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(574,977</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(575,000</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1D2166">
            <w:pPr>
              <w:jc w:val="right"/>
              <w:rPr>
                <w:rFonts w:eastAsia="Times New Roman"/>
                <w:sz w:val="16"/>
                <w:szCs w:val="16"/>
              </w:rPr>
            </w:pPr>
            <w:r>
              <w:rPr>
                <w:rFonts w:eastAsia="Times New Roman"/>
                <w:sz w:val="16"/>
                <w:szCs w:val="16"/>
              </w:rPr>
              <w:t>(575,000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Balance, December 31, 2019</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(904,679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431,815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4,318</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5,765,233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4,864,892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64,015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4,928,907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Contributions from noncontrolling interests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149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149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Net income</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1,000,833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1,000,833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2,044</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1,002,877</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Redeemable noncontrolling interests income</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(1,022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(1,022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Dividends declared to common and preferred shares</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Distributions to noncontrolling interests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(1,705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(1,705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Issuance of common stock</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944</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Surrender of restricted common stock</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(303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(5,392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(5,395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(5,395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Exercise of common stock options</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63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980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Amortization of equity awards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Acquisition of noncontrolling interests</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r>
              <w:rPr>
                <w:rFonts w:eastAsia="Times New Roman"/>
                <w:sz w:val="16"/>
                <w:szCs w:val="16"/>
              </w:rPr>
              <w:t>19,348</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(19,348</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(1,271</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(20,619</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Adjustment of redeemable noncontrolling interests to estimated fair value</w:t>
            </w:r>
          </w:p>
        </w:tc>
        <w:tc>
          <w:tcPr>
            <w:tcW w:w="75" w:type="dxa"/>
            <w:shd w:val="clear" w:color="auto" w:fill="CCEEFF"/>
            <w:tcMar>
              <w:top w:w="0" w:type="dxa"/>
              <w:left w:w="0" w:type="dxa"/>
              <w:bottom w:w="15" w:type="dxa"/>
              <w:right w:w="0" w:type="dxa"/>
            </w:tcMar>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2,160</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2,160</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2,160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Balance, December 31, 2020</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(162,812</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432,519</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4,325</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5,766,511</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5,608,044</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62,210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5,670,254</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Comprehensive income:</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ind w:firstLine="180"/>
              <w:rPr>
                <w:sz w:val="16"/>
                <w:szCs w:val="16"/>
              </w:rPr>
            </w:pPr>
            <w:r>
              <w:rPr>
                <w:sz w:val="16"/>
                <w:szCs w:val="16"/>
              </w:rPr>
              <w:t>Net income</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844,059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844,059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5,637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849,696</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ind w:firstLine="180"/>
              <w:rPr>
                <w:sz w:val="16"/>
                <w:szCs w:val="16"/>
              </w:rPr>
            </w:pPr>
            <w:r>
              <w:rPr>
                <w:sz w:val="16"/>
                <w:szCs w:val="16"/>
              </w:rPr>
              <w:t>Other comprehensive income:</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ind w:firstLine="360"/>
              <w:rPr>
                <w:sz w:val="16"/>
                <w:szCs w:val="16"/>
              </w:rPr>
            </w:pPr>
            <w:r>
              <w:rPr>
                <w:sz w:val="16"/>
                <w:szCs w:val="16"/>
              </w:rPr>
              <w:t>Change in unrealized gains related to defined benefit plan</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Redeemable noncontrolling interests income</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(751</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(751</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Dividends declared to common and preferred shares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(382,132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(382,132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(382,132</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Distributions to noncontrolling interests</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(28,707</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(28,707</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Issuance of common stock, net of issuance costs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4,958</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50</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76,879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76,929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76,929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Issuance of common stock for merger (1)</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179,920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1,799</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3,736,936</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3,738,735</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Surrender of common stock for taxes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(1,127</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(20,898</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(20,909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(20,909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Exercise of common stock options</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316</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6,057</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6,060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6,060</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Amortization of equity awards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22,543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22,543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22,543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FFFFFF"/>
            <w:vAlign w:val="bottom"/>
            <w:hideMark/>
          </w:tcPr>
          <w:p w:rsidR="00000000" w:rsidRDefault="001D2166">
            <w:pPr>
              <w:pStyle w:val="a3"/>
              <w:spacing w:before="0" w:beforeAutospacing="0" w:after="0" w:afterAutospacing="0"/>
              <w:rPr>
                <w:sz w:val="16"/>
                <w:szCs w:val="16"/>
              </w:rPr>
            </w:pPr>
            <w:r>
              <w:rPr>
                <w:sz w:val="16"/>
                <w:szCs w:val="16"/>
              </w:rPr>
              <w:t>Noncontrolling interests assumed from the merger (1)</w:t>
            </w:r>
          </w:p>
        </w:tc>
        <w:tc>
          <w:tcPr>
            <w:tcW w:w="75" w:type="dxa"/>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177,039</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1D2166">
            <w:pPr>
              <w:jc w:val="right"/>
              <w:rPr>
                <w:rFonts w:eastAsia="Times New Roman"/>
                <w:sz w:val="16"/>
                <w:szCs w:val="16"/>
              </w:rPr>
            </w:pPr>
            <w:r>
              <w:rPr>
                <w:rFonts w:eastAsia="Times New Roman"/>
                <w:sz w:val="16"/>
                <w:szCs w:val="16"/>
              </w:rPr>
              <w:t>177,039</w:t>
            </w:r>
          </w:p>
        </w:tc>
        <w:tc>
          <w:tcPr>
            <w:tcW w:w="50" w:type="pct"/>
            <w:shd w:val="clear" w:color="auto" w:fill="FFFFFF"/>
            <w:vAlign w:val="bottom"/>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Redemption/conversion of noncontrolling interests</w:t>
            </w:r>
          </w:p>
        </w:tc>
        <w:tc>
          <w:tcPr>
            <w:tcW w:w="75" w:type="dxa"/>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73</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1,539</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1,540</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(4,635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1D2166">
            <w:pPr>
              <w:jc w:val="right"/>
              <w:rPr>
                <w:rFonts w:eastAsia="Times New Roman"/>
                <w:sz w:val="16"/>
                <w:szCs w:val="16"/>
              </w:rPr>
            </w:pPr>
            <w:r>
              <w:rPr>
                <w:rFonts w:eastAsia="Times New Roman"/>
                <w:sz w:val="16"/>
                <w:szCs w:val="16"/>
              </w:rPr>
              <w:t>(3,095</w:t>
            </w:r>
          </w:p>
        </w:tc>
        <w:tc>
          <w:tcPr>
            <w:tcW w:w="50" w:type="pct"/>
            <w:shd w:val="clear" w:color="auto" w:fill="CCEEFF"/>
            <w:vAlign w:val="bottom"/>
            <w:hideMark/>
          </w:tcPr>
          <w:p w:rsidR="00000000" w:rsidRDefault="001D2166">
            <w:pPr>
              <w:rPr>
                <w:rFonts w:eastAsia="Times New Roman"/>
                <w:sz w:val="16"/>
                <w:szCs w:val="16"/>
              </w:rPr>
            </w:pPr>
            <w:r>
              <w:rPr>
                <w:rFonts w:eastAsia="Times New Roman"/>
                <w:sz w:val="16"/>
                <w:szCs w:val="16"/>
              </w:rPr>
              <w:t>)</w:t>
            </w:r>
          </w:p>
        </w:tc>
      </w:tr>
      <w:tr w:rsidR="001D2166">
        <w:trPr>
          <w:divId w:val="1012295776"/>
          <w:tblCellSpacing w:w="0" w:type="dxa"/>
        </w:trPr>
        <w:tc>
          <w:tcPr>
            <w:tcW w:w="4185" w:type="dxa"/>
            <w:shd w:val="clear" w:color="auto" w:fill="FFFFFF"/>
            <w:vAlign w:val="center"/>
            <w:hideMark/>
          </w:tcPr>
          <w:p w:rsidR="00000000" w:rsidRDefault="001D2166">
            <w:pPr>
              <w:rPr>
                <w:rFonts w:eastAsia="Times New Roman"/>
                <w:sz w:val="16"/>
                <w:szCs w:val="16"/>
              </w:rPr>
            </w:pPr>
            <w:r>
              <w:rPr>
                <w:rFonts w:eastAsia="Times New Roman"/>
                <w:sz w:val="16"/>
                <w:szCs w:val="16"/>
              </w:rPr>
              <w:t>Adjustment of redeemable noncontrolling interests to estimated fair value</w:t>
            </w:r>
          </w:p>
        </w:tc>
        <w:tc>
          <w:tcPr>
            <w:tcW w:w="75" w:type="dxa"/>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Style w:val="a6"/>
                <w:rFonts w:eastAsia="Times New Roman"/>
                <w:sz w:val="16"/>
                <w:szCs w:val="16"/>
              </w:rPr>
              <w:t>-</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Style w:val="a6"/>
                <w:rFonts w:eastAsia="Times New Roman"/>
                <w:sz w:val="16"/>
                <w:szCs w:val="16"/>
              </w:rPr>
              <w:t>-</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2,304</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2,304</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50" w:type="pct"/>
            <w:tcBorders>
              <w:bottom w:val="single" w:sz="24" w:space="0" w:color="000000"/>
            </w:tcBorders>
            <w:shd w:val="clear" w:color="auto" w:fill="FFFFFF"/>
            <w:vAlign w:val="center"/>
            <w:hideMark/>
          </w:tcPr>
          <w:p w:rsidR="00000000" w:rsidRDefault="001D2166">
            <w:pPr>
              <w:rPr>
                <w:rFonts w:eastAsia="Times New Roman"/>
                <w:sz w:val="16"/>
                <w:szCs w:val="16"/>
              </w:rPr>
            </w:pPr>
            <w:r>
              <w:rPr>
                <w:rFonts w:eastAsia="Times New Roman"/>
                <w:sz w:val="16"/>
                <w:szCs w:val="16"/>
              </w:rPr>
              <w:t> </w:t>
            </w:r>
          </w:p>
        </w:tc>
        <w:tc>
          <w:tcPr>
            <w:tcW w:w="250" w:type="pct"/>
            <w:tcBorders>
              <w:bottom w:val="single" w:sz="24" w:space="0" w:color="000000"/>
            </w:tcBorders>
            <w:shd w:val="clear" w:color="auto" w:fill="FFFFFF"/>
            <w:vAlign w:val="center"/>
            <w:hideMark/>
          </w:tcPr>
          <w:p w:rsidR="00000000" w:rsidRDefault="001D2166">
            <w:pPr>
              <w:jc w:val="right"/>
              <w:rPr>
                <w:rFonts w:eastAsia="Times New Roman"/>
                <w:sz w:val="16"/>
                <w:szCs w:val="16"/>
              </w:rPr>
            </w:pPr>
            <w:r>
              <w:rPr>
                <w:rFonts w:eastAsia="Times New Roman"/>
                <w:sz w:val="16"/>
                <w:szCs w:val="16"/>
              </w:rPr>
              <w:t>2,304</w:t>
            </w:r>
          </w:p>
        </w:tc>
        <w:tc>
          <w:tcPr>
            <w:tcW w:w="50" w:type="pct"/>
            <w:shd w:val="clear" w:color="auto" w:fill="FFFFFF"/>
            <w:vAlign w:val="center"/>
            <w:hideMark/>
          </w:tcPr>
          <w:p w:rsidR="00000000" w:rsidRDefault="001D2166">
            <w:pPr>
              <w:rPr>
                <w:rFonts w:eastAsia="Times New Roman"/>
                <w:sz w:val="16"/>
                <w:szCs w:val="16"/>
              </w:rPr>
            </w:pPr>
            <w:r>
              <w:rPr>
                <w:rFonts w:eastAsia="Times New Roman"/>
                <w:sz w:val="16"/>
                <w:szCs w:val="16"/>
              </w:rPr>
              <w:t> </w:t>
            </w:r>
          </w:p>
        </w:tc>
      </w:tr>
      <w:tr w:rsidR="001D2166">
        <w:trPr>
          <w:divId w:val="1012295776"/>
          <w:tblCellSpacing w:w="0" w:type="dxa"/>
        </w:trPr>
        <w:tc>
          <w:tcPr>
            <w:tcW w:w="4185" w:type="dxa"/>
            <w:shd w:val="clear" w:color="auto" w:fill="CCEEFF"/>
            <w:vAlign w:val="bottom"/>
            <w:hideMark/>
          </w:tcPr>
          <w:p w:rsidR="00000000" w:rsidRDefault="001D2166">
            <w:pPr>
              <w:pStyle w:val="a3"/>
              <w:spacing w:before="0" w:beforeAutospacing="0" w:after="0" w:afterAutospacing="0"/>
              <w:rPr>
                <w:sz w:val="16"/>
                <w:szCs w:val="16"/>
              </w:rPr>
            </w:pPr>
            <w:r>
              <w:rPr>
                <w:sz w:val="16"/>
                <w:szCs w:val="16"/>
              </w:rPr>
              <w:t>Balance at December 31, 2021</w:t>
            </w:r>
          </w:p>
        </w:tc>
        <w:tc>
          <w:tcPr>
            <w:tcW w:w="75" w:type="dxa"/>
            <w:shd w:val="clear" w:color="auto" w:fill="CCEEFF"/>
            <w:tcMar>
              <w:top w:w="0" w:type="dxa"/>
              <w:left w:w="0" w:type="dxa"/>
              <w:bottom w:w="45" w:type="dxa"/>
              <w:right w:w="0" w:type="dxa"/>
            </w:tcMar>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299,115</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2,216</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616,659</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6,167</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9,591,871</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9,899,389</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210,793</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1D2166">
            <w:pPr>
              <w:jc w:val="right"/>
              <w:rPr>
                <w:rFonts w:eastAsia="Times New Roman"/>
                <w:sz w:val="16"/>
                <w:szCs w:val="16"/>
              </w:rPr>
            </w:pPr>
            <w:r>
              <w:rPr>
                <w:rFonts w:eastAsia="Times New Roman"/>
                <w:sz w:val="16"/>
                <w:szCs w:val="16"/>
              </w:rPr>
              <w:t>10,110,182</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16"/>
                <w:szCs w:val="16"/>
              </w:rPr>
            </w:pPr>
            <w:r>
              <w:rPr>
                <w:rFonts w:eastAsia="Times New Roman"/>
                <w:sz w:val="16"/>
                <w:szCs w:val="16"/>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60"/>
        <w:gridCol w:w="360"/>
        <w:gridCol w:w="6486"/>
      </w:tblGrid>
      <w:tr w:rsidR="00000000">
        <w:trPr>
          <w:tblCellSpacing w:w="0" w:type="dxa"/>
        </w:trPr>
        <w:tc>
          <w:tcPr>
            <w:tcW w:w="14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(1)</w:t>
            </w:r>
          </w:p>
        </w:tc>
        <w:tc>
          <w:tcPr>
            <w:tcW w:w="0" w:type="auto"/>
            <w:hideMark/>
          </w:tcPr>
          <w:p w:rsidR="00000000" w:rsidRDefault="001D2166">
            <w:pPr>
              <w:pStyle w:val="a3"/>
              <w:spacing w:before="0" w:beforeAutospacing="0" w:after="0" w:afterAutospacing="0"/>
              <w:rPr>
                <w:sz w:val="20"/>
                <w:szCs w:val="20"/>
              </w:rPr>
            </w:pPr>
            <w:r>
              <w:rPr>
                <w:sz w:val="20"/>
                <w:szCs w:val="20"/>
              </w:rPr>
              <w:t>See Footnotes 1 and 2 of the Notes to Consolidated Financial Statements for further details.</w:t>
            </w:r>
          </w:p>
        </w:tc>
      </w:tr>
    </w:tbl>
    <w:p w:rsidR="00000000" w:rsidRDefault="001D2166">
      <w:pPr>
        <w:pStyle w:val="a3"/>
        <w:spacing w:before="0" w:beforeAutospacing="0" w:after="0" w:afterAutospacing="0"/>
        <w:jc w:val="center"/>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1D2166">
      <w:pPr>
        <w:pStyle w:val="a3"/>
        <w:spacing w:before="0" w:beforeAutospacing="0" w:after="0" w:afterAutospacing="0"/>
        <w:jc w:val="center"/>
        <w:rPr>
          <w:sz w:val="20"/>
          <w:szCs w:val="20"/>
        </w:rPr>
      </w:pPr>
      <w:r>
        <w:rPr>
          <w:sz w:val="20"/>
          <w:szCs w:val="20"/>
        </w:rPr>
        <w:t> </w:t>
      </w:r>
    </w:p>
    <w:p w:rsidR="00000000" w:rsidRDefault="001D2166">
      <w:pPr>
        <w:jc w:val="center"/>
        <w:divId w:val="2042437333"/>
        <w:rPr>
          <w:rFonts w:eastAsia="Times New Roman"/>
          <w:sz w:val="20"/>
          <w:szCs w:val="20"/>
        </w:rPr>
      </w:pPr>
      <w:r>
        <w:rPr>
          <w:rFonts w:eastAsia="Times New Roman"/>
          <w:sz w:val="20"/>
          <w:szCs w:val="20"/>
        </w:rPr>
        <w:t xml:space="preserve">54 </w:t>
      </w:r>
    </w:p>
    <w:p w:rsidR="00000000" w:rsidRDefault="001D2166">
      <w:pPr>
        <w:divId w:val="1978298697"/>
        <w:rPr>
          <w:rFonts w:eastAsia="Times New Roman"/>
          <w:sz w:val="20"/>
          <w:szCs w:val="20"/>
        </w:rPr>
      </w:pPr>
      <w:r>
        <w:rPr>
          <w:rFonts w:eastAsia="Times New Roman"/>
          <w:sz w:val="20"/>
          <w:szCs w:val="20"/>
        </w:rPr>
        <w:pict>
          <v:rect id="_x0000_i1086" style="width:415.3pt;height:1.5pt" o:hralign="center" o:hrstd="t" o:hrnoshade="t" o:hr="t" fillcolor="black" stroked="f"/>
        </w:pict>
      </w:r>
    </w:p>
    <w:p w:rsidR="00000000" w:rsidRDefault="001D2166">
      <w:pPr>
        <w:divId w:val="1618567024"/>
        <w:rPr>
          <w:rFonts w:eastAsia="Times New Roman"/>
          <w:sz w:val="20"/>
          <w:szCs w:val="20"/>
        </w:rPr>
      </w:pPr>
      <w:r>
        <w:rPr>
          <w:rFonts w:eastAsia="Times New Roman"/>
          <w:sz w:val="20"/>
          <w:szCs w:val="20"/>
        </w:rPr>
        <w:t xml:space="preserve">  </w:t>
      </w:r>
    </w:p>
    <w:p w:rsidR="00000000" w:rsidRDefault="001D2166">
      <w:pPr>
        <w:divId w:val="606233481"/>
        <w:rPr>
          <w:rFonts w:eastAsia="Times New Roman"/>
          <w:sz w:val="20"/>
          <w:szCs w:val="20"/>
        </w:rPr>
      </w:pPr>
      <w:r>
        <w:rPr>
          <w:rFonts w:eastAsia="Times New Roman"/>
          <w:sz w:val="20"/>
          <w:szCs w:val="20"/>
        </w:rPr>
        <w:t xml:space="preserve">  </w:t>
      </w:r>
    </w:p>
    <w:p w:rsidR="00000000" w:rsidRDefault="001D2166">
      <w:pPr>
        <w:divId w:val="69141873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KIMCO REALTY CORPORATION AND SUBSIDIARIES</w:t>
      </w:r>
    </w:p>
    <w:p w:rsidR="00000000" w:rsidRDefault="001D2166">
      <w:pPr>
        <w:pStyle w:val="a3"/>
        <w:spacing w:before="0" w:beforeAutospacing="0" w:after="0" w:afterAutospacing="0"/>
        <w:jc w:val="center"/>
        <w:rPr>
          <w:sz w:val="20"/>
          <w:szCs w:val="20"/>
        </w:rPr>
      </w:pPr>
      <w:r>
        <w:rPr>
          <w:sz w:val="20"/>
          <w:szCs w:val="20"/>
        </w:rPr>
        <w:t>CONSOLIDATED STATEMENTS OF CASH FLOWS</w:t>
      </w:r>
    </w:p>
    <w:p w:rsidR="00000000" w:rsidRDefault="001D2166">
      <w:pPr>
        <w:pStyle w:val="a3"/>
        <w:spacing w:before="0" w:beforeAutospacing="0" w:after="0" w:afterAutospacing="0"/>
        <w:jc w:val="center"/>
        <w:rPr>
          <w:sz w:val="20"/>
          <w:szCs w:val="20"/>
        </w:rPr>
      </w:pPr>
      <w:r>
        <w:rPr>
          <w:sz w:val="20"/>
          <w:szCs w:val="20"/>
        </w:rPr>
        <w:t>(in thousands)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16029493"/>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27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849,696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395,320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288,955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277,879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3,597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48,743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Equity award expense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23,150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23,685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20,200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(6,484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(79,218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Gain </w:t>
            </w:r>
            <w:r>
              <w:rPr>
                <w:sz w:val="20"/>
                <w:szCs w:val="20"/>
              </w:rPr>
              <w:t>on marketable securities,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(505,163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(594,753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(84,778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(47,353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(72,162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Equity in income from other investments,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(23,172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(28,628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Distributions from joint ventures and other investments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91,507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149,022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93,877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Change in accounts and notes receivable,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(18,079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(34,160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(104,712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5,576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(3,611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Change in other operating assets and liabilities, net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22,350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(25,755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(54,576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618,875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589,913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583,628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Cash flow from investing activities: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Acquisition of operating real estate and other related net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(355,953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(12,644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(1,957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(163,699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(221,278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r>
              <w:rPr>
                <w:rFonts w:eastAsia="Times New Roman"/>
                <w:sz w:val="20"/>
                <w:szCs w:val="20"/>
              </w:rPr>
              <w:t>324,821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(22,358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(118,841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Acquisition of Weingarten Realty Investors, net of cash acquired of $56,451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(263,973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Investment in marketable securities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(244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Proceeds from sale/repayments of marketable securities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Proceeds from sale of cost method investment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227,270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(12,571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(15,882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(27,665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47,862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4,499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21,759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Investments in and advances to other investments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(67,090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(15,418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(15,316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Reimbursements of investments in and advances to other investments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64,068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13,435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5,960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(41,897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13,776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Proceeds from sale of properties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302,841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30,545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324,280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2,450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4,000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720"/>
              <w:rPr>
                <w:sz w:val="20"/>
                <w:szCs w:val="20"/>
              </w:rPr>
            </w:pPr>
            <w:r>
              <w:rPr>
                <w:sz w:val="20"/>
                <w:szCs w:val="20"/>
              </w:rPr>
              <w:t>Net cash flow used for investing activities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(476,259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(33,273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(120,421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(229,288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(158,556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(6,539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(10,622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(10,693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(12,212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Proceeds from mortgage and construction loan financings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16,028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Proceeds from issuance of unsecured term loan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590,000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500,000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900,000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350,000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(Repayments)/proceeds from the unsecured revolving credit facility,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(200,000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Repayments of unsecured term loan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(590,000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Repayments under unsecured notes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(484,905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Financing origination costs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(8,197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(18,040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(7,707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(34,610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(23,345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(15,134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Dividends paid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(382,132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(379,874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(531,565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82,989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981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204,012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Redemption of preferred stock</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(575,000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Shares repurchased for employee tax withholding on equity awards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(20,842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(5,379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(3,971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Change in tenants' security deposits</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1,561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(199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778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(101,141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(387,399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(482,841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change in cash, cash equivalents and restricted cash</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41,475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169,241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(19,634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divId w:val="116029493"/>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Cash, </w:t>
            </w:r>
            <w:r>
              <w:rPr>
                <w:sz w:val="20"/>
                <w:szCs w:val="20"/>
              </w:rPr>
              <w:t>cash equivalents and restricted cash, beginning of year</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293,188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123,947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143,581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720"/>
              <w:rPr>
                <w:sz w:val="20"/>
                <w:szCs w:val="20"/>
              </w:rPr>
            </w:pPr>
            <w:r>
              <w:rPr>
                <w:sz w:val="20"/>
                <w:szCs w:val="20"/>
              </w:rPr>
              <w:t>Cash, cash equivalents and restricted cash, end of year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shd w:val="clear" w:color="auto" w:fill="CCEEFF"/>
            <w:vAlign w:val="bottom"/>
            <w:hideMark/>
          </w:tcPr>
          <w:p w:rsidR="00000000" w:rsidRDefault="001D2166">
            <w:pPr>
              <w:pStyle w:val="a3"/>
              <w:spacing w:before="0" w:beforeAutospacing="0" w:after="0" w:afterAutospacing="0"/>
              <w:ind w:left="180" w:hanging="180"/>
              <w:rPr>
                <w:sz w:val="20"/>
                <w:szCs w:val="20"/>
              </w:rPr>
            </w:pPr>
            <w:r>
              <w:rPr>
                <w:sz w:val="20"/>
                <w:szCs w:val="20"/>
              </w:rPr>
              <w:t xml:space="preserve">Interest paid during the year including payment of early extinguishment of debt charges of </w:t>
            </w:r>
            <w:r>
              <w:rPr>
                <w:sz w:val="20"/>
                <w:szCs w:val="20"/>
              </w:rPr>
              <w:t>$</w:t>
            </w:r>
            <w:r>
              <w:rPr>
                <w:sz w:val="20"/>
                <w:szCs w:val="20"/>
              </w:rPr>
              <w:t>0</w:t>
            </w:r>
            <w:r>
              <w:rPr>
                <w:sz w:val="20"/>
                <w:szCs w:val="20"/>
              </w:rPr>
              <w:t xml:space="preserve">, </w:t>
            </w:r>
            <w:r>
              <w:rPr>
                <w:sz w:val="20"/>
                <w:szCs w:val="20"/>
              </w:rPr>
              <w:t>$</w:t>
            </w:r>
            <w:r>
              <w:rPr>
                <w:sz w:val="20"/>
                <w:szCs w:val="20"/>
              </w:rPr>
              <w:t>7,53</w:t>
            </w:r>
            <w:r>
              <w:rPr>
                <w:sz w:val="20"/>
                <w:szCs w:val="20"/>
              </w:rPr>
              <w:t>8</w:t>
            </w:r>
            <w:r>
              <w:rPr>
                <w:sz w:val="20"/>
                <w:szCs w:val="20"/>
              </w:rPr>
              <w:t xml:space="preserve"> and </w:t>
            </w:r>
            <w:r>
              <w:rPr>
                <w:sz w:val="20"/>
                <w:szCs w:val="20"/>
              </w:rPr>
              <w:t>$</w:t>
            </w:r>
            <w:r>
              <w:rPr>
                <w:sz w:val="20"/>
                <w:szCs w:val="20"/>
              </w:rPr>
              <w:t>1,53</w:t>
            </w:r>
            <w:r>
              <w:rPr>
                <w:sz w:val="20"/>
                <w:szCs w:val="20"/>
              </w:rPr>
              <w:t>1</w:t>
            </w:r>
            <w:r>
              <w:rPr>
                <w:sz w:val="20"/>
                <w:szCs w:val="20"/>
              </w:rPr>
              <w:t xml:space="preserve">, respectively (net of capitalized interest of </w:t>
            </w:r>
            <w:r>
              <w:rPr>
                <w:sz w:val="20"/>
                <w:szCs w:val="20"/>
              </w:rPr>
              <w:t>$</w:t>
            </w:r>
            <w:r>
              <w:rPr>
                <w:sz w:val="20"/>
                <w:szCs w:val="20"/>
              </w:rPr>
              <w:t>58</w:t>
            </w:r>
            <w:r>
              <w:rPr>
                <w:sz w:val="20"/>
                <w:szCs w:val="20"/>
              </w:rPr>
              <w:t>3</w:t>
            </w:r>
            <w:r>
              <w:rPr>
                <w:sz w:val="20"/>
                <w:szCs w:val="20"/>
              </w:rPr>
              <w:t xml:space="preserve">, </w:t>
            </w:r>
            <w:r>
              <w:rPr>
                <w:sz w:val="20"/>
                <w:szCs w:val="20"/>
              </w:rPr>
              <w:t>$</w:t>
            </w:r>
            <w:r>
              <w:rPr>
                <w:sz w:val="20"/>
                <w:szCs w:val="20"/>
              </w:rPr>
              <w:t>13,68</w:t>
            </w:r>
            <w:r>
              <w:rPr>
                <w:sz w:val="20"/>
                <w:szCs w:val="20"/>
              </w:rPr>
              <w:t>3</w:t>
            </w:r>
            <w:r>
              <w:rPr>
                <w:sz w:val="20"/>
                <w:szCs w:val="20"/>
              </w:rPr>
              <w:t xml:space="preserve"> and </w:t>
            </w:r>
            <w:r>
              <w:rPr>
                <w:sz w:val="20"/>
                <w:szCs w:val="20"/>
              </w:rPr>
              <w:t>$</w:t>
            </w:r>
            <w:r>
              <w:rPr>
                <w:sz w:val="20"/>
                <w:szCs w:val="20"/>
              </w:rPr>
              <w:t>15,69</w:t>
            </w:r>
            <w:r>
              <w:rPr>
                <w:sz w:val="20"/>
                <w:szCs w:val="20"/>
              </w:rPr>
              <w:t>0</w:t>
            </w:r>
            <w:r>
              <w:rPr>
                <w:sz w:val="20"/>
                <w:szCs w:val="20"/>
              </w:rPr>
              <w:t>, respectively)</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197,947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183,558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169,026</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divId w:val="116029493"/>
          <w:tblCellSpacing w:w="0" w:type="dxa"/>
        </w:trPr>
        <w:tc>
          <w:tcPr>
            <w:tcW w:w="0" w:type="auto"/>
            <w:vAlign w:val="center"/>
            <w:hideMark/>
          </w:tcPr>
          <w:p w:rsidR="00000000" w:rsidRDefault="001D2166">
            <w:pPr>
              <w:rPr>
                <w:rFonts w:eastAsia="Times New Roman"/>
                <w:sz w:val="20"/>
                <w:szCs w:val="20"/>
              </w:rPr>
            </w:pPr>
            <w:r>
              <w:rPr>
                <w:rFonts w:eastAsia="Times New Roman"/>
                <w:sz w:val="20"/>
                <w:szCs w:val="20"/>
              </w:rPr>
              <w:t xml:space="preserve">Income taxes paid/(received) during the year (net of refunds received of </w:t>
            </w:r>
            <w:r>
              <w:rPr>
                <w:rFonts w:eastAsia="Times New Roman"/>
                <w:sz w:val="20"/>
                <w:szCs w:val="20"/>
              </w:rPr>
              <w:t>$</w:t>
            </w:r>
            <w:r>
              <w:rPr>
                <w:rFonts w:eastAsia="Times New Roman"/>
                <w:sz w:val="20"/>
                <w:szCs w:val="20"/>
              </w:rPr>
              <w:t>0</w:t>
            </w:r>
            <w:r>
              <w:rPr>
                <w:rFonts w:eastAsia="Times New Roman"/>
                <w:sz w:val="20"/>
                <w:szCs w:val="20"/>
              </w:rPr>
              <w:t xml:space="preserve">, </w:t>
            </w:r>
            <w:r>
              <w:rPr>
                <w:rFonts w:eastAsia="Times New Roman"/>
                <w:sz w:val="20"/>
                <w:szCs w:val="20"/>
              </w:rPr>
              <w:t>$</w:t>
            </w:r>
            <w:r>
              <w:rPr>
                <w:rFonts w:eastAsia="Times New Roman"/>
                <w:sz w:val="20"/>
                <w:szCs w:val="20"/>
              </w:rPr>
              <w:t>4</w:t>
            </w:r>
            <w:r>
              <w:rPr>
                <w:rFonts w:eastAsia="Times New Roman"/>
                <w:sz w:val="20"/>
                <w:szCs w:val="20"/>
              </w:rPr>
              <w:t>7</w:t>
            </w:r>
            <w:r>
              <w:rPr>
                <w:rFonts w:eastAsia="Times New Roman"/>
                <w:sz w:val="20"/>
                <w:szCs w:val="20"/>
              </w:rPr>
              <w:t xml:space="preserve"> and </w:t>
            </w:r>
            <w:r>
              <w:rPr>
                <w:rFonts w:eastAsia="Times New Roman"/>
                <w:sz w:val="20"/>
                <w:szCs w:val="20"/>
              </w:rPr>
              <w:t>$</w:t>
            </w:r>
            <w:r>
              <w:rPr>
                <w:rFonts w:eastAsia="Times New Roman"/>
                <w:sz w:val="20"/>
                <w:szCs w:val="20"/>
              </w:rPr>
              <w:t>3,45</w:t>
            </w:r>
            <w:r>
              <w:rPr>
                <w:rFonts w:eastAsia="Times New Roman"/>
                <w:sz w:val="20"/>
                <w:szCs w:val="20"/>
              </w:rPr>
              <w:t>2</w:t>
            </w:r>
            <w:r>
              <w:rPr>
                <w:rFonts w:eastAsia="Times New Roman"/>
                <w:sz w:val="20"/>
                <w:szCs w:val="20"/>
              </w:rPr>
              <w:t>, respectively)</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vAlign w:val="center"/>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vAlign w:val="center"/>
            <w:hideMark/>
          </w:tcPr>
          <w:p w:rsidR="00000000" w:rsidRDefault="001D2166">
            <w:pPr>
              <w:jc w:val="right"/>
              <w:rPr>
                <w:rFonts w:eastAsia="Times New Roman"/>
                <w:sz w:val="20"/>
                <w:szCs w:val="20"/>
              </w:rPr>
            </w:pPr>
            <w:r>
              <w:rPr>
                <w:rFonts w:eastAsia="Times New Roman"/>
                <w:sz w:val="20"/>
                <w:szCs w:val="20"/>
              </w:rPr>
              <w:t>1,961</w:t>
            </w:r>
          </w:p>
        </w:tc>
        <w:tc>
          <w:tcPr>
            <w:tcW w:w="50" w:type="pct"/>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vAlign w:val="center"/>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vAlign w:val="center"/>
            <w:hideMark/>
          </w:tcPr>
          <w:p w:rsidR="00000000" w:rsidRDefault="001D2166">
            <w:pPr>
              <w:jc w:val="right"/>
              <w:rPr>
                <w:rFonts w:eastAsia="Times New Roman"/>
                <w:sz w:val="20"/>
                <w:szCs w:val="20"/>
              </w:rPr>
            </w:pPr>
            <w:r>
              <w:rPr>
                <w:rFonts w:eastAsia="Times New Roman"/>
                <w:sz w:val="20"/>
                <w:szCs w:val="20"/>
              </w:rPr>
              <w:t>747</w:t>
            </w:r>
          </w:p>
        </w:tc>
        <w:tc>
          <w:tcPr>
            <w:tcW w:w="50" w:type="pct"/>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c>
          <w:tcPr>
            <w:tcW w:w="50" w:type="pct"/>
            <w:vAlign w:val="center"/>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vAlign w:val="center"/>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vAlign w:val="center"/>
            <w:hideMark/>
          </w:tcPr>
          <w:p w:rsidR="00000000" w:rsidRDefault="001D2166">
            <w:pPr>
              <w:jc w:val="right"/>
              <w:rPr>
                <w:rFonts w:eastAsia="Times New Roman"/>
                <w:sz w:val="20"/>
                <w:szCs w:val="20"/>
              </w:rPr>
            </w:pPr>
            <w:r>
              <w:rPr>
                <w:rFonts w:eastAsia="Times New Roman"/>
                <w:sz w:val="20"/>
                <w:szCs w:val="20"/>
              </w:rPr>
              <w:t>(1,106</w:t>
            </w:r>
            <w:r>
              <w:rPr>
                <w:rFonts w:eastAsia="Times New Roman"/>
                <w:sz w:val="20"/>
                <w:szCs w:val="20"/>
              </w:rPr>
              <w:t>)</w:t>
            </w:r>
          </w:p>
        </w:tc>
        <w:tc>
          <w:tcPr>
            <w:tcW w:w="50" w:type="pct"/>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1D2166">
      <w:pPr>
        <w:pStyle w:val="a3"/>
        <w:spacing w:before="0" w:beforeAutospacing="0" w:after="0" w:afterAutospacing="0"/>
        <w:jc w:val="center"/>
        <w:rPr>
          <w:sz w:val="20"/>
          <w:szCs w:val="20"/>
        </w:rPr>
      </w:pPr>
      <w:r>
        <w:rPr>
          <w:sz w:val="20"/>
          <w:szCs w:val="20"/>
        </w:rPr>
        <w:t> </w:t>
      </w:r>
    </w:p>
    <w:p w:rsidR="00000000" w:rsidRDefault="001D2166">
      <w:pPr>
        <w:jc w:val="center"/>
        <w:divId w:val="1029180459"/>
        <w:rPr>
          <w:rFonts w:eastAsia="Times New Roman"/>
          <w:sz w:val="20"/>
          <w:szCs w:val="20"/>
        </w:rPr>
      </w:pPr>
      <w:r>
        <w:rPr>
          <w:rFonts w:eastAsia="Times New Roman"/>
          <w:sz w:val="20"/>
          <w:szCs w:val="20"/>
        </w:rPr>
        <w:t xml:space="preserve">55 </w:t>
      </w:r>
    </w:p>
    <w:p w:rsidR="00000000" w:rsidRDefault="001D2166">
      <w:pPr>
        <w:divId w:val="85616618"/>
        <w:rPr>
          <w:rFonts w:eastAsia="Times New Roman"/>
          <w:sz w:val="20"/>
          <w:szCs w:val="20"/>
        </w:rPr>
      </w:pPr>
      <w:r>
        <w:rPr>
          <w:rFonts w:eastAsia="Times New Roman"/>
          <w:sz w:val="20"/>
          <w:szCs w:val="20"/>
        </w:rPr>
        <w:pict>
          <v:rect id="_x0000_i1087" style="width:415.3pt;height:1.5pt" o:hralign="center" o:hrstd="t" o:hrnoshade="t" o:hr="t" fillcolor="black" stroked="f"/>
        </w:pict>
      </w:r>
    </w:p>
    <w:p w:rsidR="00000000" w:rsidRDefault="001D2166">
      <w:pPr>
        <w:divId w:val="13678342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KIMCO REALTY CORPORATION AND SUBSIDIARIES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NOTES TO CONSOLIDATED FINANCIAL STATEMENTS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Amounts relating to the number of buildings, square footage, tenant and occupancy data, joint venture debt and average interest rates and terms on joint venture debt a</w:t>
      </w:r>
      <w:r>
        <w:rPr>
          <w:sz w:val="20"/>
          <w:szCs w:val="20"/>
        </w:rPr>
        <w:t>re unaudited.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jc w:val="both"/>
        <w:rPr>
          <w:sz w:val="20"/>
          <w:szCs w:val="20"/>
        </w:rPr>
      </w:pPr>
      <w:r>
        <w:rPr>
          <w:sz w:val="20"/>
          <w:szCs w:val="20"/>
        </w:rPr>
        <w:t>The terms “Kimco”, the “Company” and “our” each refer to Kimco Realty Corporation and its subsidiaries, unless the context indicates otherwise. In statements regarding qualification as a REIT, such terms refer solely to Kimco Realty Corpora</w:t>
      </w:r>
      <w:r>
        <w:rPr>
          <w:sz w:val="20"/>
          <w:szCs w:val="20"/>
        </w:rPr>
        <w:t>tion.</w:t>
      </w:r>
    </w:p>
    <w:p w:rsidR="00000000" w:rsidRDefault="001D2166">
      <w:pPr>
        <w:pStyle w:val="a3"/>
        <w:spacing w:before="0" w:beforeAutospacing="0" w:after="0" w:afterAutospacing="0"/>
        <w:rPr>
          <w:sz w:val="20"/>
          <w:szCs w:val="20"/>
        </w:rPr>
      </w:pPr>
      <w:r>
        <w:rPr>
          <w:sz w:val="20"/>
          <w:szCs w:val="20"/>
        </w:rPr>
        <w:t> </w:t>
      </w:r>
    </w:p>
    <w:p w:rsidR="00000000" w:rsidRDefault="001D2166">
      <w:pPr>
        <w:divId w:val="46092195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1.</w:t>
      </w:r>
      <w:r>
        <w:rPr>
          <w:sz w:val="20"/>
          <w:szCs w:val="20"/>
        </w:rPr>
        <w:t>   </w:t>
      </w:r>
      <w:r>
        <w:rPr>
          <w:sz w:val="20"/>
          <w:szCs w:val="20"/>
          <w:u w:val="single"/>
        </w:rPr>
        <w:t>Summary of Significant Accounting Policies: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Business and Organization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operates as a Real Estate Investment Trust (“REIT”) and is engaged principally in the ownership, management, development and operation of open-air shoppin</w:t>
      </w:r>
      <w:r>
        <w:rPr>
          <w:sz w:val="20"/>
          <w:szCs w:val="20"/>
        </w:rPr>
        <w:t>g centers, which are anchored primarily by grocery stores, off-price retailers, discounters or service-oriented tenants. Additionally, the Company provides complementary services that capitalize on the Company’s established retail real estate expertise. Th</w:t>
      </w:r>
      <w:r>
        <w:rPr>
          <w:sz w:val="20"/>
          <w:szCs w:val="20"/>
        </w:rPr>
        <w:t xml:space="preserve">e Company evaluates performance on a property specific or transactional basis and does </w:t>
      </w:r>
      <w:r>
        <w:rPr>
          <w:rStyle w:val="a6"/>
          <w:sz w:val="20"/>
          <w:szCs w:val="20"/>
        </w:rPr>
        <w:t>not</w:t>
      </w:r>
      <w:r>
        <w:rPr>
          <w:sz w:val="20"/>
          <w:szCs w:val="20"/>
        </w:rPr>
        <w:t xml:space="preserve"> distinguish its principal business or group its operations on a geographical basis for purposes of measuring performance. Accordingly, the Company believes it has a </w:t>
      </w:r>
      <w:r>
        <w:rPr>
          <w:sz w:val="20"/>
          <w:szCs w:val="20"/>
        </w:rPr>
        <w:t>single reportable segment for disclosure purposes in accordance with accounting principles generally accepted in the United States of America ("GAAP").</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has elected to be taxed as a REIT for federal income tax purposes under the Internal Reven</w:t>
      </w:r>
      <w:r>
        <w:rPr>
          <w:sz w:val="20"/>
          <w:szCs w:val="20"/>
        </w:rPr>
        <w:t xml:space="preserve">ue Code of </w:t>
      </w:r>
      <w:r>
        <w:rPr>
          <w:rStyle w:val="a6"/>
          <w:sz w:val="20"/>
          <w:szCs w:val="20"/>
        </w:rPr>
        <w:t>1986,</w:t>
      </w:r>
      <w:r>
        <w:rPr>
          <w:sz w:val="20"/>
          <w:szCs w:val="20"/>
        </w:rPr>
        <w:t xml:space="preserve"> as amended (the "Code"). The Company is organized and operates in a manner that enables it to qualify as a REIT under the Code.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Weingarten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August 3, 2021, </w:t>
      </w:r>
      <w:r>
        <w:rPr>
          <w:sz w:val="20"/>
          <w:szCs w:val="20"/>
        </w:rPr>
        <w:t>Weingarten Realty Investors (“Weingarten”) merged with and into the Co</w:t>
      </w:r>
      <w:r>
        <w:rPr>
          <w:sz w:val="20"/>
          <w:szCs w:val="20"/>
        </w:rPr>
        <w:t xml:space="preserve">mpany, with the Company continuing as the surviving public company (the “Merger”), pursuant to the definitive merger agreement (the “Merger Agreement”) between the Company and Weingarten entered into on </w:t>
      </w:r>
      <w:r>
        <w:rPr>
          <w:rStyle w:val="a6"/>
          <w:sz w:val="20"/>
          <w:szCs w:val="20"/>
        </w:rPr>
        <w:t xml:space="preserve">April 15, 2021. </w:t>
      </w:r>
      <w:r>
        <w:rPr>
          <w:sz w:val="20"/>
          <w:szCs w:val="20"/>
        </w:rPr>
        <w:t>Under the terms of the Merger Agreeme</w:t>
      </w:r>
      <w:r>
        <w:rPr>
          <w:sz w:val="20"/>
          <w:szCs w:val="20"/>
        </w:rPr>
        <w:t>nt, each Weingarten common share was entitled to 1.408 newly issued shares of the Company’s common stock plus $2.89 in cash, subject to certain adjustments specified in the Merger Agreement.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July 15, 2021, </w:t>
      </w:r>
      <w:r>
        <w:rPr>
          <w:sz w:val="20"/>
          <w:szCs w:val="20"/>
        </w:rPr>
        <w:t>Weingarten’</w:t>
      </w:r>
      <w:r>
        <w:rPr>
          <w:sz w:val="20"/>
          <w:szCs w:val="20"/>
        </w:rPr>
        <w:t>s Board of Trust Managers declared a special cash distribution of $0.69 per Weingarten common share (the “Special Distribution”) paid on</w:t>
      </w:r>
      <w:r>
        <w:rPr>
          <w:sz w:val="20"/>
          <w:szCs w:val="20"/>
        </w:rPr>
        <w:t xml:space="preserve"> </w:t>
      </w:r>
      <w:r>
        <w:rPr>
          <w:rStyle w:val="a6"/>
          <w:sz w:val="20"/>
          <w:szCs w:val="20"/>
        </w:rPr>
        <w:t>August 2, 202</w:t>
      </w:r>
      <w:r>
        <w:rPr>
          <w:rStyle w:val="a6"/>
          <w:sz w:val="20"/>
          <w:szCs w:val="20"/>
        </w:rPr>
        <w:t>1</w:t>
      </w:r>
      <w:r>
        <w:rPr>
          <w:rStyle w:val="a6"/>
          <w:sz w:val="20"/>
          <w:szCs w:val="20"/>
        </w:rPr>
        <w:t xml:space="preserve"> </w:t>
      </w:r>
      <w:r>
        <w:rPr>
          <w:sz w:val="20"/>
          <w:szCs w:val="20"/>
        </w:rPr>
        <w:t>to shareholders of record on</w:t>
      </w:r>
      <w:r>
        <w:rPr>
          <w:sz w:val="20"/>
          <w:szCs w:val="20"/>
        </w:rPr>
        <w:t xml:space="preserve"> </w:t>
      </w:r>
      <w:r>
        <w:rPr>
          <w:rStyle w:val="a6"/>
          <w:sz w:val="20"/>
          <w:szCs w:val="20"/>
        </w:rPr>
        <w:t>July 28, 202</w:t>
      </w:r>
      <w:r>
        <w:rPr>
          <w:rStyle w:val="a6"/>
          <w:sz w:val="20"/>
          <w:szCs w:val="20"/>
        </w:rPr>
        <w:t>1</w:t>
      </w:r>
      <w:r>
        <w:rPr>
          <w:rStyle w:val="a6"/>
          <w:sz w:val="20"/>
          <w:szCs w:val="20"/>
        </w:rPr>
        <w:t xml:space="preserve">.  </w:t>
      </w:r>
      <w:r>
        <w:rPr>
          <w:sz w:val="20"/>
          <w:szCs w:val="20"/>
        </w:rPr>
        <w:t>The Special Distribution was paid in connection with the Me</w:t>
      </w:r>
      <w:r>
        <w:rPr>
          <w:sz w:val="20"/>
          <w:szCs w:val="20"/>
        </w:rPr>
        <w:t>rger and to satisfy REIT taxable income distribution requirements.  Under the terms of the Merger Agreement, Weingarten’s payment of the Special Distribution adjusted the cash consideration paid by the Company at the closing of the Merger from $2.89 per We</w:t>
      </w:r>
      <w:r>
        <w:rPr>
          <w:sz w:val="20"/>
          <w:szCs w:val="20"/>
        </w:rPr>
        <w:t xml:space="preserve">ingarten common share to $2.20 per Weingarten common share and had </w:t>
      </w:r>
      <w:r>
        <w:rPr>
          <w:rStyle w:val="a6"/>
          <w:sz w:val="20"/>
          <w:szCs w:val="20"/>
        </w:rPr>
        <w:t>no</w:t>
      </w:r>
      <w:r>
        <w:rPr>
          <w:sz w:val="20"/>
          <w:szCs w:val="20"/>
        </w:rPr>
        <w:t xml:space="preserve"> impact on the payment of the common share consideration of 1.408 newly issued shares of Company common stock for each Weingarten common share owned immediately prior to the effective tim</w:t>
      </w:r>
      <w:r>
        <w:rPr>
          <w:sz w:val="20"/>
          <w:szCs w:val="20"/>
        </w:rPr>
        <w:t xml:space="preserve">e of the Merger. During the year ended </w:t>
      </w:r>
      <w:r>
        <w:rPr>
          <w:rStyle w:val="a6"/>
          <w:sz w:val="20"/>
          <w:szCs w:val="20"/>
        </w:rPr>
        <w:t xml:space="preserve">December 31, 2021, </w:t>
      </w:r>
      <w:r>
        <w:rPr>
          <w:sz w:val="20"/>
          <w:szCs w:val="20"/>
        </w:rPr>
        <w:t xml:space="preserve">the Company incurred merger related expenses of $50.2 million associated with the Merger. These charges are primarily comprised of severance, professional fees and legal fees. See Footnote </w:t>
      </w:r>
      <w:r>
        <w:rPr>
          <w:rStyle w:val="a6"/>
          <w:sz w:val="20"/>
          <w:szCs w:val="20"/>
        </w:rPr>
        <w:t>2</w:t>
      </w:r>
      <w:r>
        <w:rPr>
          <w:sz w:val="20"/>
          <w:szCs w:val="20"/>
        </w:rPr>
        <w:t xml:space="preserve"> of the </w:t>
      </w:r>
      <w:r>
        <w:rPr>
          <w:sz w:val="20"/>
          <w:szCs w:val="20"/>
        </w:rPr>
        <w:t>Company’s Consolidated Financial Statements for further details.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 xml:space="preserve">Coronavirus Disease </w:t>
      </w:r>
      <w:r>
        <w:rPr>
          <w:rStyle w:val="a6"/>
          <w:sz w:val="20"/>
          <w:szCs w:val="20"/>
          <w:u w:val="single"/>
        </w:rPr>
        <w:t>2019</w:t>
      </w:r>
      <w:r>
        <w:rPr>
          <w:sz w:val="20"/>
          <w:szCs w:val="20"/>
          <w:u w:val="single"/>
        </w:rPr>
        <w:t xml:space="preserve"> (“COVID-</w:t>
      </w:r>
      <w:r>
        <w:rPr>
          <w:rStyle w:val="a6"/>
          <w:sz w:val="20"/>
          <w:szCs w:val="20"/>
          <w:u w:val="single"/>
        </w:rPr>
        <w:t>19”</w:t>
      </w:r>
      <w:r>
        <w:rPr>
          <w:sz w:val="20"/>
          <w:szCs w:val="20"/>
          <w:u w:val="single"/>
        </w:rPr>
        <w:t>) Pandemic</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COVID-</w:t>
      </w:r>
      <w:r>
        <w:rPr>
          <w:rStyle w:val="a6"/>
          <w:sz w:val="20"/>
          <w:szCs w:val="20"/>
        </w:rPr>
        <w:t>19</w:t>
      </w:r>
      <w:r>
        <w:rPr>
          <w:sz w:val="20"/>
          <w:szCs w:val="20"/>
        </w:rPr>
        <w:t xml:space="preserve"> pandemic has resulted in a widespread health crisis that has adversely affected businesses, economies, and financial markets wo</w:t>
      </w:r>
      <w:r>
        <w:rPr>
          <w:sz w:val="20"/>
          <w:szCs w:val="20"/>
        </w:rPr>
        <w:t>rldwide and has caused significant volatility in U.S. and international debt and equity markets. The impact of COVID-</w:t>
      </w:r>
      <w:r>
        <w:rPr>
          <w:rStyle w:val="a6"/>
          <w:sz w:val="20"/>
          <w:szCs w:val="20"/>
        </w:rPr>
        <w:t>19</w:t>
      </w:r>
      <w:r>
        <w:rPr>
          <w:sz w:val="20"/>
          <w:szCs w:val="20"/>
        </w:rPr>
        <w:t xml:space="preserve"> on the retail industry for both landlords and tenants has been wide ranging, including, but </w:t>
      </w:r>
      <w:r>
        <w:rPr>
          <w:rStyle w:val="a6"/>
          <w:sz w:val="20"/>
          <w:szCs w:val="20"/>
        </w:rPr>
        <w:t>not</w:t>
      </w:r>
      <w:r>
        <w:rPr>
          <w:sz w:val="20"/>
          <w:szCs w:val="20"/>
        </w:rPr>
        <w:t xml:space="preserve"> </w:t>
      </w:r>
      <w:r>
        <w:rPr>
          <w:sz w:val="20"/>
          <w:szCs w:val="20"/>
        </w:rPr>
        <w:t>limited to, the temporary closures of many businesses, "shelter in place" orders, social distancing guidelines and other governmental, business and individual actions taken in response to the COVID-</w:t>
      </w:r>
      <w:r>
        <w:rPr>
          <w:rStyle w:val="a6"/>
          <w:sz w:val="20"/>
          <w:szCs w:val="20"/>
        </w:rPr>
        <w:t>19</w:t>
      </w:r>
      <w:r>
        <w:rPr>
          <w:sz w:val="20"/>
          <w:szCs w:val="20"/>
        </w:rPr>
        <w:t xml:space="preserve"> pandemic. There has also been reduced consumer spending</w:t>
      </w:r>
      <w:r>
        <w:rPr>
          <w:sz w:val="20"/>
          <w:szCs w:val="20"/>
        </w:rPr>
        <w:t xml:space="preserve"> due to job losses, government restrictions in response to COVID-</w:t>
      </w:r>
      <w:r>
        <w:rPr>
          <w:rStyle w:val="a6"/>
          <w:sz w:val="20"/>
          <w:szCs w:val="20"/>
        </w:rPr>
        <w:t>19</w:t>
      </w:r>
      <w:r>
        <w:rPr>
          <w:sz w:val="20"/>
          <w:szCs w:val="20"/>
        </w:rPr>
        <w:t xml:space="preserve"> and other effects attributable to COVID-</w:t>
      </w:r>
      <w:r>
        <w:rPr>
          <w:rStyle w:val="a6"/>
          <w:sz w:val="20"/>
          <w:szCs w:val="20"/>
        </w:rPr>
        <w:t>19.</w:t>
      </w: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development and distribution of COVID-</w:t>
      </w:r>
      <w:r>
        <w:rPr>
          <w:rStyle w:val="a6"/>
          <w:sz w:val="20"/>
          <w:szCs w:val="20"/>
        </w:rPr>
        <w:t>19</w:t>
      </w:r>
      <w:r>
        <w:rPr>
          <w:sz w:val="20"/>
          <w:szCs w:val="20"/>
        </w:rPr>
        <w:t xml:space="preserve"> vaccines has assisted in allowing many restrictions to be lifted, providing a path to recovery. </w:t>
      </w:r>
      <w:r>
        <w:rPr>
          <w:sz w:val="20"/>
          <w:szCs w:val="20"/>
        </w:rPr>
        <w:t>The U.S. economy continues to build upon the reopening trend as businesses reopen to full capacity and stimulus is flowing through to the consumer. The overall economy continues to recover but several issues including the lack of qualified employees, infla</w:t>
      </w:r>
      <w:r>
        <w:rPr>
          <w:sz w:val="20"/>
          <w:szCs w:val="20"/>
        </w:rPr>
        <w:t>tion risk, supply chain bottlenecks and COVID-</w:t>
      </w:r>
      <w:r>
        <w:rPr>
          <w:rStyle w:val="a6"/>
          <w:sz w:val="20"/>
          <w:szCs w:val="20"/>
        </w:rPr>
        <w:t>19</w:t>
      </w:r>
      <w:r>
        <w:rPr>
          <w:sz w:val="20"/>
          <w:szCs w:val="20"/>
        </w:rPr>
        <w:t xml:space="preserve"> variants have impacted the pace of the recovery.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COVID-</w:t>
      </w:r>
      <w:r>
        <w:rPr>
          <w:rStyle w:val="a6"/>
          <w:sz w:val="20"/>
          <w:szCs w:val="20"/>
        </w:rPr>
        <w:t>19</w:t>
      </w:r>
      <w:r>
        <w:rPr>
          <w:sz w:val="20"/>
          <w:szCs w:val="20"/>
        </w:rPr>
        <w:t> pandemic continues to impact the retail real estate industry for both landlords and tenants. The extent to which the COVID-</w:t>
      </w:r>
      <w:r>
        <w:rPr>
          <w:rStyle w:val="a6"/>
          <w:sz w:val="20"/>
          <w:szCs w:val="20"/>
        </w:rPr>
        <w:t>19</w:t>
      </w:r>
      <w:r>
        <w:rPr>
          <w:sz w:val="20"/>
          <w:szCs w:val="20"/>
        </w:rPr>
        <w:t xml:space="preserve"> pandemic impacts</w:t>
      </w:r>
      <w:r>
        <w:rPr>
          <w:sz w:val="20"/>
          <w:szCs w:val="20"/>
        </w:rPr>
        <w:t xml:space="preserve"> the Company’s financial condition, results of operations and cash flows, in the near term, will continue to depend on future developments, which are uncertain at this time. The Company’s business, operations and financial results will depend on numerous e</w:t>
      </w:r>
      <w:r>
        <w:rPr>
          <w:sz w:val="20"/>
          <w:szCs w:val="20"/>
        </w:rPr>
        <w:t>volving factors, including the duration and scope of the pandemic, governmental, business and individual actions that have been and continue to be taken in response to the pandemic, the distribution and effectiveness of vaccines, impacts on economic activi</w:t>
      </w:r>
      <w:r>
        <w:rPr>
          <w:sz w:val="20"/>
          <w:szCs w:val="20"/>
        </w:rPr>
        <w:t>ty from the pandemic and actions taken in response, the effects of the pandemic on the Company’s tenants and their businesses, the ability of tenants to make their rental payments, additional closures of tenants’ businesses and impacts of opening and reclo</w:t>
      </w:r>
      <w:r>
        <w:rPr>
          <w:sz w:val="20"/>
          <w:szCs w:val="20"/>
        </w:rPr>
        <w:t>sing of communities in response to the increase in positive COVID-</w:t>
      </w:r>
      <w:r>
        <w:rPr>
          <w:rStyle w:val="a6"/>
          <w:sz w:val="20"/>
          <w:szCs w:val="20"/>
        </w:rPr>
        <w:t>19</w:t>
      </w:r>
      <w:r>
        <w:rPr>
          <w:sz w:val="20"/>
          <w:szCs w:val="20"/>
        </w:rPr>
        <w:t xml:space="preserve"> cases. Any of these events could materially adversely impact the Company’s business, financial condition, results of operations or stock price. The Company will continue to monitor the ec</w:t>
      </w:r>
      <w:r>
        <w:rPr>
          <w:sz w:val="20"/>
          <w:szCs w:val="20"/>
        </w:rPr>
        <w:t>onomic, financial, and social conditions resulting from the COVID-</w:t>
      </w:r>
      <w:r>
        <w:rPr>
          <w:rStyle w:val="a6"/>
          <w:sz w:val="20"/>
          <w:szCs w:val="20"/>
        </w:rPr>
        <w:t>19</w:t>
      </w:r>
      <w:r>
        <w:rPr>
          <w:sz w:val="20"/>
          <w:szCs w:val="20"/>
        </w:rPr>
        <w:t xml:space="preserve"> pandemic and will assess its asset portfolio for any impairment indicators. In addition, the Company will continue to monitor for any material or adverse effects resulting from the COVID-</w:t>
      </w:r>
      <w:r>
        <w:rPr>
          <w:rStyle w:val="a6"/>
          <w:sz w:val="20"/>
          <w:szCs w:val="20"/>
        </w:rPr>
        <w:t>19</w:t>
      </w:r>
      <w:r>
        <w:rPr>
          <w:sz w:val="20"/>
          <w:szCs w:val="20"/>
        </w:rPr>
        <w:t xml:space="preserve"> pandemic. If the Company has determined that any of its assets are impaired, the Company would be required to take impairment charges, and such amounts could be material.</w:t>
      </w:r>
    </w:p>
    <w:p w:rsidR="00000000" w:rsidRDefault="001D2166">
      <w:pPr>
        <w:divId w:val="1533299490"/>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010059778"/>
        <w:rPr>
          <w:rFonts w:eastAsia="Times New Roman"/>
          <w:sz w:val="20"/>
          <w:szCs w:val="20"/>
        </w:rPr>
      </w:pPr>
      <w:r>
        <w:rPr>
          <w:rStyle w:val="a6"/>
          <w:rFonts w:eastAsia="Times New Roman"/>
          <w:sz w:val="20"/>
          <w:szCs w:val="20"/>
        </w:rPr>
        <w:t>56</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88" style="width:415.3pt;height:1.5pt" o:hralign="center" o:hrstd="t" o:hrnoshade="t" o:hr="t" fillcolor="black" stroked="f"/>
        </w:pict>
      </w:r>
    </w:p>
    <w:p w:rsidR="00000000" w:rsidRDefault="001D2166">
      <w:pPr>
        <w:divId w:val="6744572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092625569"/>
        <w:rPr>
          <w:rFonts w:eastAsia="Times New Roman"/>
          <w:sz w:val="20"/>
          <w:szCs w:val="20"/>
        </w:rPr>
      </w:pPr>
      <w:r>
        <w:rPr>
          <w:rFonts w:eastAsia="Times New Roman"/>
          <w:sz w:val="20"/>
          <w:szCs w:val="20"/>
        </w:rPr>
        <w:t xml:space="preserve">KIMCO REALTY CORPORATION AND SUBSIDIARIES </w:t>
      </w:r>
    </w:p>
    <w:p w:rsidR="00000000" w:rsidRDefault="001D2166">
      <w:pPr>
        <w:divId w:val="1082146801"/>
        <w:rPr>
          <w:rFonts w:eastAsia="Times New Roman"/>
          <w:sz w:val="20"/>
          <w:szCs w:val="20"/>
        </w:rPr>
      </w:pPr>
      <w:r>
        <w:rPr>
          <w:rFonts w:eastAsia="Times New Roman"/>
          <w:sz w:val="20"/>
          <w:szCs w:val="20"/>
        </w:rPr>
        <w:t xml:space="preserve">  </w:t>
      </w:r>
    </w:p>
    <w:p w:rsidR="00000000" w:rsidRDefault="001D2166">
      <w:pPr>
        <w:jc w:val="center"/>
        <w:divId w:val="1047340288"/>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Although the Company continues to see an increase in collections of rental payments, the effects COVID-</w:t>
      </w:r>
      <w:r>
        <w:rPr>
          <w:rStyle w:val="a6"/>
          <w:sz w:val="20"/>
          <w:szCs w:val="20"/>
        </w:rPr>
        <w:t>19</w:t>
      </w:r>
      <w:r>
        <w:rPr>
          <w:sz w:val="20"/>
          <w:szCs w:val="20"/>
        </w:rPr>
        <w:t xml:space="preserve"> have had on its tenants are still heavily co</w:t>
      </w:r>
      <w:r>
        <w:rPr>
          <w:sz w:val="20"/>
          <w:szCs w:val="20"/>
        </w:rPr>
        <w:t>nsidered when evaluating the collectability of the tenant’s total accounts receivable balance, including the corresponding straight-line rent receivable. Management’s estimate of the collectability of accrued rents and accounts receivable is based on the b</w:t>
      </w:r>
      <w:r>
        <w:rPr>
          <w:sz w:val="20"/>
          <w:szCs w:val="20"/>
        </w:rPr>
        <w:t>est information available to management at the time of evaluation.</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Basis of Presentation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accompanying </w:t>
      </w:r>
      <w:r>
        <w:rPr>
          <w:sz w:val="20"/>
          <w:szCs w:val="20"/>
        </w:rPr>
        <w:t>Consolidated Financial Statements include the accounts of the Company. The Company’s subsidiaries include subsidiaries which are wholly owned or which the Company has a controlling interest, including where the Company has been determined to be a primary b</w:t>
      </w:r>
      <w:r>
        <w:rPr>
          <w:sz w:val="20"/>
          <w:szCs w:val="20"/>
        </w:rPr>
        <w:t xml:space="preserve">eneficiary of a variable interest entity (“VIE”) in accordance with the consolidation guidance of the Financial Accounting Standards Board (“FASB”) Accounting Standards Codification (“ASC”). All inter-company balances and transactions have been eliminated </w:t>
      </w:r>
      <w:r>
        <w:rPr>
          <w:sz w:val="20"/>
          <w:szCs w:val="20"/>
        </w:rPr>
        <w:t>in consolidation.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Use of Estimates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GAAP requires the Company's management to make estimates and assumptions that affect the reported amounts of assets and liabilities, the disclosure of contingent assets and liabilities and the reported amounts of reve</w:t>
      </w:r>
      <w:r>
        <w:rPr>
          <w:sz w:val="20"/>
          <w:szCs w:val="20"/>
        </w:rPr>
        <w:t>nues and expenses during a reporting period. The most significant assumptions and estimates relate to the valuation of real estate and related intangible assets and liabilities, equity method investments, other investments, including the assessment of impa</w:t>
      </w:r>
      <w:r>
        <w:rPr>
          <w:sz w:val="20"/>
          <w:szCs w:val="20"/>
        </w:rPr>
        <w:t>irments, as well as, depreciable lives, revenue recognition, and the collectability of trade accounts receivable. Application of these assumptions requires the exercise of judgment as to future uncertainties, and, as a result, actual results could differ f</w:t>
      </w:r>
      <w:r>
        <w:rPr>
          <w:sz w:val="20"/>
          <w:szCs w:val="20"/>
        </w:rPr>
        <w:t>rom these estimates.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Subsequent Events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 xml:space="preserve">The Company has evaluated subsequent events and transactions for potential recognition or disclosure in its consolidated financial statements (see Footnote </w:t>
      </w:r>
      <w:r>
        <w:rPr>
          <w:rStyle w:val="a6"/>
          <w:sz w:val="20"/>
          <w:szCs w:val="20"/>
        </w:rPr>
        <w:t>14</w:t>
      </w:r>
      <w:r>
        <w:rPr>
          <w:sz w:val="20"/>
          <w:szCs w:val="20"/>
        </w:rPr>
        <w:t xml:space="preserve"> of the Notes to Consolidated Financial Statements).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Real Estate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Real estate assets are stated at cost, less accumulated depreciation and amortization. The Company periodically assesses the useful lives of its depreciable real estate assets, including those expected to be redeveloped in future periods, and</w:t>
      </w:r>
      <w:r>
        <w:rPr>
          <w:sz w:val="20"/>
          <w:szCs w:val="20"/>
        </w:rPr>
        <w:t xml:space="preserve"> accounts for any revisions prospectively. Expenditures for maintenance, repairs and demolition costs are charged to operations as incurred. Significant renovations and replacements, which improve or extend the life of the asset, are capitalized.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w:t>
      </w:r>
      <w:r>
        <w:rPr>
          <w:sz w:val="20"/>
          <w:szCs w:val="20"/>
        </w:rPr>
        <w:t>pany evaluates each acquisition transaction to determine whether the acquired asset meets the definition of a business and therefore accounted for as a business combination or if the acquisition transaction should be accounted for as an asset acquisition. </w:t>
      </w:r>
      <w:r>
        <w:rPr>
          <w:sz w:val="20"/>
          <w:szCs w:val="20"/>
        </w:rPr>
        <w:t xml:space="preserve"> Under </w:t>
      </w:r>
      <w:r>
        <w:rPr>
          <w:i/>
          <w:iCs/>
          <w:sz w:val="20"/>
          <w:szCs w:val="20"/>
        </w:rPr>
        <w:t xml:space="preserve">Business Combinations (Topic </w:t>
      </w:r>
      <w:r>
        <w:rPr>
          <w:rStyle w:val="a6"/>
          <w:sz w:val="20"/>
          <w:szCs w:val="20"/>
        </w:rPr>
        <w:t>805</w:t>
      </w:r>
      <w:r>
        <w:rPr>
          <w:i/>
          <w:iCs/>
          <w:sz w:val="20"/>
          <w:szCs w:val="20"/>
        </w:rPr>
        <w:t>),</w:t>
      </w:r>
      <w:r>
        <w:rPr>
          <w:sz w:val="20"/>
          <w:szCs w:val="20"/>
        </w:rPr>
        <w:t xml:space="preserve"> an acquisition does </w:t>
      </w:r>
      <w:r>
        <w:rPr>
          <w:rStyle w:val="a6"/>
          <w:sz w:val="20"/>
          <w:szCs w:val="20"/>
        </w:rPr>
        <w:t>not</w:t>
      </w:r>
      <w:r>
        <w:rPr>
          <w:sz w:val="20"/>
          <w:szCs w:val="20"/>
        </w:rPr>
        <w:t xml:space="preserve"> qualify as a business when (i) substantially all of the fair value is concentrated in a single identifiable asset or group of similar identifiable assets or (ii) the acquisition does </w:t>
      </w:r>
      <w:r>
        <w:rPr>
          <w:rStyle w:val="a6"/>
          <w:sz w:val="20"/>
          <w:szCs w:val="20"/>
        </w:rPr>
        <w:t>not</w:t>
      </w:r>
      <w:r>
        <w:rPr>
          <w:sz w:val="20"/>
          <w:szCs w:val="20"/>
        </w:rPr>
        <w:t xml:space="preserve"> inc</w:t>
      </w:r>
      <w:r>
        <w:rPr>
          <w:sz w:val="20"/>
          <w:szCs w:val="20"/>
        </w:rPr>
        <w:t>lude a substantive process in the form of an acquired workforce or (iii) an acquired contract that cannot be replaced without significant cost, effort or delay. Transaction costs related to acquisitions that qualify as asset acquisitions are capitalized as</w:t>
      </w:r>
      <w:r>
        <w:rPr>
          <w:sz w:val="20"/>
          <w:szCs w:val="20"/>
        </w:rPr>
        <w:t xml:space="preserve"> part of the cost basis of the acquired assets, while transaction costs for acquisitions that are deemed to be acquisitions of a business are expensed as incurred.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When substantially all of the fair value is </w:t>
      </w:r>
      <w:r>
        <w:rPr>
          <w:rStyle w:val="a6"/>
          <w:sz w:val="20"/>
          <w:szCs w:val="20"/>
        </w:rPr>
        <w:t>not</w:t>
      </w:r>
      <w:r>
        <w:rPr>
          <w:sz w:val="20"/>
          <w:szCs w:val="20"/>
        </w:rPr>
        <w:t xml:space="preserve"> concentrated in a group of similar identif</w:t>
      </w:r>
      <w:r>
        <w:rPr>
          <w:sz w:val="20"/>
          <w:szCs w:val="20"/>
        </w:rPr>
        <w:t>iable assets, the set of assets will generally be considered a business and the Company applies the purchase method of accounting for business combinations, where all tangible and identifiable intangible assets acquired, and all liabilities assumed are rec</w:t>
      </w:r>
      <w:r>
        <w:rPr>
          <w:sz w:val="20"/>
          <w:szCs w:val="20"/>
        </w:rPr>
        <w:t>orded at fair value. In a business combination, the difference, if any, between the purchase price and the fair value of identifiable net assets acquired is either recorded as goodwill or as a bargain purchase gain. </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79649194"/>
        <w:rPr>
          <w:rFonts w:eastAsia="Times New Roman"/>
          <w:sz w:val="20"/>
          <w:szCs w:val="20"/>
        </w:rPr>
      </w:pPr>
      <w:r>
        <w:rPr>
          <w:rStyle w:val="a6"/>
          <w:rFonts w:eastAsia="Times New Roman"/>
          <w:sz w:val="20"/>
          <w:szCs w:val="20"/>
        </w:rPr>
        <w:t>57</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89" style="width:415.3pt;height:1.5pt" o:hralign="center" o:hrstd="t" o:hrnoshade="t" o:hr="t" fillcolor="black" stroked="f"/>
        </w:pict>
      </w:r>
    </w:p>
    <w:p w:rsidR="00000000" w:rsidRDefault="001D2166">
      <w:pPr>
        <w:divId w:val="130269028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3844344"/>
        <w:rPr>
          <w:rFonts w:eastAsia="Times New Roman"/>
          <w:sz w:val="20"/>
          <w:szCs w:val="20"/>
        </w:rPr>
      </w:pPr>
      <w:r>
        <w:rPr>
          <w:rFonts w:eastAsia="Times New Roman"/>
          <w:sz w:val="20"/>
          <w:szCs w:val="20"/>
        </w:rPr>
        <w:t>KIMCO REALTY CORPORATION AND SU</w:t>
      </w:r>
      <w:r>
        <w:rPr>
          <w:rFonts w:eastAsia="Times New Roman"/>
          <w:sz w:val="20"/>
          <w:szCs w:val="20"/>
        </w:rPr>
        <w:t xml:space="preserve">BSIDIARIES </w:t>
      </w:r>
    </w:p>
    <w:p w:rsidR="00000000" w:rsidRDefault="001D2166">
      <w:pPr>
        <w:divId w:val="39668390"/>
        <w:rPr>
          <w:rFonts w:eastAsia="Times New Roman"/>
          <w:sz w:val="20"/>
          <w:szCs w:val="20"/>
        </w:rPr>
      </w:pPr>
      <w:r>
        <w:rPr>
          <w:rFonts w:eastAsia="Times New Roman"/>
          <w:sz w:val="20"/>
          <w:szCs w:val="20"/>
        </w:rPr>
        <w:t xml:space="preserve">  </w:t>
      </w:r>
    </w:p>
    <w:p w:rsidR="00000000" w:rsidRDefault="001D2166">
      <w:pPr>
        <w:jc w:val="center"/>
        <w:divId w:val="1062828959"/>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In both a business combination </w:t>
      </w:r>
      <w:r>
        <w:rPr>
          <w:sz w:val="20"/>
          <w:szCs w:val="20"/>
        </w:rPr>
        <w:t>and an asset acquisition, the Company allocates the purchase price of acquired properties to tangible and identifiable intangible assets or liabilities based on their respective fair values. The fair value of any tangible real estate assets acquired is det</w:t>
      </w:r>
      <w:r>
        <w:rPr>
          <w:sz w:val="20"/>
          <w:szCs w:val="20"/>
        </w:rPr>
        <w:t>ermined by valuing the building as if it were vacant, and the fair value is then allocated to land, buildings, and improvements based on available information including replacement cost, appraisal or using net operating income capitalization rates, discoun</w:t>
      </w:r>
      <w:r>
        <w:rPr>
          <w:sz w:val="20"/>
          <w:szCs w:val="20"/>
        </w:rPr>
        <w:t>ted cash flow analysis or similar fair value models. Fair value estimates are also made using significant assumptions such as capitalization rates, discount rates, fair market lease rates, land values per square foot and other market data. Estimates of fut</w:t>
      </w:r>
      <w:r>
        <w:rPr>
          <w:sz w:val="20"/>
          <w:szCs w:val="20"/>
        </w:rPr>
        <w:t xml:space="preserve">ure cash flows are based on a number of factors including the historical operating results, known and anticipated trends, and market and economic conditions.  Tangible assets </w:t>
      </w:r>
      <w:r>
        <w:rPr>
          <w:rStyle w:val="a6"/>
          <w:sz w:val="20"/>
          <w:szCs w:val="20"/>
        </w:rPr>
        <w:t xml:space="preserve">may </w:t>
      </w:r>
      <w:r>
        <w:rPr>
          <w:sz w:val="20"/>
          <w:szCs w:val="20"/>
        </w:rPr>
        <w:t xml:space="preserve">include land, land improvements, buildings, building improvements and tenant </w:t>
      </w:r>
      <w:r>
        <w:rPr>
          <w:sz w:val="20"/>
          <w:szCs w:val="20"/>
        </w:rPr>
        <w:t xml:space="preserve">improvements. Intangible assets </w:t>
      </w:r>
      <w:r>
        <w:rPr>
          <w:rStyle w:val="a6"/>
          <w:sz w:val="20"/>
          <w:szCs w:val="20"/>
        </w:rPr>
        <w:t xml:space="preserve">may </w:t>
      </w:r>
      <w:r>
        <w:rPr>
          <w:sz w:val="20"/>
          <w:szCs w:val="20"/>
        </w:rPr>
        <w:t>include the value of in-place leases and above and below-market leases and other identifiable assets or liabilities based on lease or property specific characteristics.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allocating the purchase price to identified i</w:t>
      </w:r>
      <w:r>
        <w:rPr>
          <w:sz w:val="20"/>
          <w:szCs w:val="20"/>
        </w:rPr>
        <w:t xml:space="preserve">ntangible assets and liabilities of an acquired property, the value of above-market and below-market leases is estimated based on the present value of the difference between the contractual amounts, including fixed rate below-market lease renewal options, </w:t>
      </w:r>
      <w:r>
        <w:rPr>
          <w:sz w:val="20"/>
          <w:szCs w:val="20"/>
        </w:rPr>
        <w:t>to be paid pursuant to the leases and management’s estimate of the market lease rates and other lease provisions (e.g., expense recapture, base rental changes) measured over a period equal to the estimated remaining term of the lease. The capitalized above</w:t>
      </w:r>
      <w:r>
        <w:rPr>
          <w:sz w:val="20"/>
          <w:szCs w:val="20"/>
        </w:rPr>
        <w:t>-market or below-market intangible is amortized to rental income over the estimated remaining term of the respective leases, which includes the expected renewal option period for below-market leases. Mortgage debt discounts or premiums are amortized into i</w:t>
      </w:r>
      <w:r>
        <w:rPr>
          <w:sz w:val="20"/>
          <w:szCs w:val="20"/>
        </w:rPr>
        <w:t>nterest expense over the remaining term of the related debt instrument.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determining the value of in-place leases, management considers current market conditions and costs to execute similar leases in arriving at an estimate of the carrying costs durin</w:t>
      </w:r>
      <w:r>
        <w:rPr>
          <w:sz w:val="20"/>
          <w:szCs w:val="20"/>
        </w:rPr>
        <w:t>g the expected lease-up period from vacant to existing occupancy. In estimating carrying costs, management includes real estate taxes, insurance, other operating expenses, estimates of lost rental revenue during the expected lease-up periods and costs to e</w:t>
      </w:r>
      <w:r>
        <w:rPr>
          <w:sz w:val="20"/>
          <w:szCs w:val="20"/>
        </w:rPr>
        <w:t xml:space="preserve">xecute similar leases including leasing commissions, legal and other related costs based on current market demand. The value assigned to in-place leases and tenant relationships is amortized over the estimated remaining term of the leases. If a lease were </w:t>
      </w:r>
      <w:r>
        <w:rPr>
          <w:sz w:val="20"/>
          <w:szCs w:val="20"/>
        </w:rPr>
        <w:t>to be terminated prior to its scheduled expiration, all unamortized costs relating to that lease would be written off.</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useful lives of amortizable intangible assets are evaluated each reporting period with any changes in estimated useful lives being </w:t>
      </w:r>
      <w:r>
        <w:rPr>
          <w:sz w:val="20"/>
          <w:szCs w:val="20"/>
        </w:rPr>
        <w:t>accounted for over the revised remaining useful life.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Depreciation and amortization are provided on the straight-line method over the estimated useful lives of the assets, as follows:</w:t>
      </w:r>
    </w:p>
    <w:p w:rsidR="00000000" w:rsidRDefault="001D2166">
      <w:pPr>
        <w:pStyle w:val="a3"/>
        <w:spacing w:before="0" w:beforeAutospacing="0" w:after="0" w:afterAutospacing="0"/>
        <w:rPr>
          <w:sz w:val="20"/>
          <w:szCs w:val="20"/>
        </w:rPr>
      </w:pPr>
      <w:r>
        <w:rPr>
          <w:sz w:val="20"/>
          <w:szCs w:val="20"/>
        </w:rPr>
        <w:t> </w:t>
      </w:r>
    </w:p>
    <w:tbl>
      <w:tblPr>
        <w:tblW w:w="2875" w:type="pct"/>
        <w:tblCellSpacing w:w="0" w:type="dxa"/>
        <w:tblCellMar>
          <w:left w:w="0" w:type="dxa"/>
          <w:right w:w="0" w:type="dxa"/>
        </w:tblCellMar>
        <w:tblLook w:val="04A0" w:firstRow="1" w:lastRow="0" w:firstColumn="1" w:lastColumn="0" w:noHBand="0" w:noVBand="1"/>
      </w:tblPr>
      <w:tblGrid>
        <w:gridCol w:w="2847"/>
        <w:gridCol w:w="162"/>
        <w:gridCol w:w="1767"/>
      </w:tblGrid>
      <w:tr w:rsidR="00000000">
        <w:trPr>
          <w:tblCellSpacing w:w="0" w:type="dxa"/>
        </w:trPr>
        <w:tc>
          <w:tcPr>
            <w:tcW w:w="2980"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Buildings and building improvements (in years)</w:t>
            </w:r>
          </w:p>
        </w:tc>
        <w:tc>
          <w:tcPr>
            <w:tcW w:w="170" w:type="pct"/>
            <w:shd w:val="clear" w:color="auto" w:fill="CCEEFF"/>
            <w:hideMark/>
          </w:tcPr>
          <w:p w:rsidR="00000000" w:rsidRDefault="001D2166">
            <w:pPr>
              <w:rPr>
                <w:rFonts w:eastAsia="Times New Roman"/>
                <w:sz w:val="20"/>
                <w:szCs w:val="20"/>
              </w:rPr>
            </w:pPr>
            <w:r>
              <w:rPr>
                <w:rFonts w:eastAsia="Times New Roman"/>
                <w:sz w:val="20"/>
                <w:szCs w:val="20"/>
              </w:rPr>
              <w:t> </w:t>
            </w:r>
          </w:p>
        </w:tc>
        <w:tc>
          <w:tcPr>
            <w:tcW w:w="1930" w:type="pct"/>
            <w:shd w:val="clear" w:color="auto" w:fill="CCEEFF"/>
            <w:hideMark/>
          </w:tcPr>
          <w:p w:rsidR="00000000" w:rsidRDefault="001D2166">
            <w:pPr>
              <w:pStyle w:val="a3"/>
              <w:spacing w:before="0" w:beforeAutospacing="0" w:after="0" w:afterAutospacing="0"/>
              <w:jc w:val="both"/>
              <w:rPr>
                <w:sz w:val="20"/>
                <w:szCs w:val="20"/>
              </w:rPr>
            </w:pPr>
            <w:r>
              <w:rPr>
                <w:sz w:val="20"/>
                <w:szCs w:val="20"/>
              </w:rPr>
              <w:t>5 to 50</w:t>
            </w:r>
          </w:p>
        </w:tc>
      </w:tr>
      <w:tr w:rsidR="00000000">
        <w:trPr>
          <w:tblCellSpacing w:w="0" w:type="dxa"/>
        </w:trPr>
        <w:tc>
          <w:tcPr>
            <w:tcW w:w="2980" w:type="pct"/>
            <w:shd w:val="clear" w:color="auto" w:fill="FFFFFF"/>
            <w:hideMark/>
          </w:tcPr>
          <w:p w:rsidR="00000000" w:rsidRDefault="001D2166">
            <w:pPr>
              <w:pStyle w:val="a3"/>
              <w:spacing w:before="0" w:beforeAutospacing="0" w:after="0" w:afterAutospacing="0"/>
              <w:ind w:left="180" w:hanging="180"/>
              <w:jc w:val="both"/>
              <w:rPr>
                <w:sz w:val="20"/>
                <w:szCs w:val="20"/>
              </w:rPr>
            </w:pPr>
            <w:r>
              <w:rPr>
                <w:sz w:val="20"/>
                <w:szCs w:val="20"/>
              </w:rPr>
              <w:t xml:space="preserve">Fixtures, </w:t>
            </w:r>
            <w:r>
              <w:rPr>
                <w:sz w:val="20"/>
                <w:szCs w:val="20"/>
              </w:rPr>
              <w:t>leasehold and tenant improvements (including certain identified intangible assets)</w:t>
            </w:r>
          </w:p>
        </w:tc>
        <w:tc>
          <w:tcPr>
            <w:tcW w:w="170" w:type="pct"/>
            <w:shd w:val="clear" w:color="auto" w:fill="FFFFFF"/>
            <w:hideMark/>
          </w:tcPr>
          <w:p w:rsidR="00000000" w:rsidRDefault="001D2166">
            <w:pPr>
              <w:rPr>
                <w:rFonts w:eastAsia="Times New Roman"/>
                <w:sz w:val="20"/>
                <w:szCs w:val="20"/>
              </w:rPr>
            </w:pPr>
            <w:r>
              <w:rPr>
                <w:rFonts w:eastAsia="Times New Roman"/>
                <w:sz w:val="20"/>
                <w:szCs w:val="20"/>
              </w:rPr>
              <w:t> </w:t>
            </w:r>
          </w:p>
        </w:tc>
        <w:tc>
          <w:tcPr>
            <w:tcW w:w="1930" w:type="pct"/>
            <w:shd w:val="clear" w:color="auto" w:fill="FFFFFF"/>
            <w:hideMark/>
          </w:tcPr>
          <w:p w:rsidR="00000000" w:rsidRDefault="001D2166">
            <w:pPr>
              <w:pStyle w:val="a3"/>
              <w:spacing w:before="0" w:beforeAutospacing="0" w:after="0" w:afterAutospacing="0"/>
              <w:jc w:val="both"/>
              <w:rPr>
                <w:sz w:val="20"/>
                <w:szCs w:val="20"/>
              </w:rPr>
            </w:pPr>
            <w:r>
              <w:rPr>
                <w:sz w:val="20"/>
                <w:szCs w:val="20"/>
              </w:rPr>
              <w:t>Terms of leases or useful lives, whichever is shorter</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difference between the fair value and the face value of debt </w:t>
      </w:r>
      <w:r>
        <w:rPr>
          <w:sz w:val="20"/>
          <w:szCs w:val="20"/>
        </w:rPr>
        <w:t>assumed, if any, in connection with an acquisition is recorded as a premium or discount and is amortized on a straight-line basis, which approximates the effective interest method, over the terms of the related debt agreements.  The fair value of debt is e</w:t>
      </w:r>
      <w:r>
        <w:rPr>
          <w:sz w:val="20"/>
          <w:szCs w:val="20"/>
        </w:rPr>
        <w:t>stimated based upon contractual future cash flows discounted using borrowing spreads and market interest rates that would have been available for debt with similar terms and maturities.</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When a real estate asset is identified by management as held-for-sal</w:t>
      </w:r>
      <w:r>
        <w:rPr>
          <w:sz w:val="20"/>
          <w:szCs w:val="20"/>
        </w:rPr>
        <w:t>e, the Company ceases depreciation of the asset and estimates the fair value. If the fair value of the asset, less cost to sell, is less than the net book value of the asset, an adjustment to the carrying value would be recorded to reflect the estimated fa</w:t>
      </w:r>
      <w:r>
        <w:rPr>
          <w:sz w:val="20"/>
          <w:szCs w:val="20"/>
        </w:rPr>
        <w:t>ir value of the property, less estimated costs of sale and the asset is classified as other assets.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063799465"/>
        <w:rPr>
          <w:rFonts w:eastAsia="Times New Roman"/>
          <w:sz w:val="20"/>
          <w:szCs w:val="20"/>
        </w:rPr>
      </w:pPr>
      <w:r>
        <w:rPr>
          <w:rStyle w:val="a6"/>
          <w:rFonts w:eastAsia="Times New Roman"/>
          <w:sz w:val="20"/>
          <w:szCs w:val="20"/>
        </w:rPr>
        <w:t>58</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0" style="width:415.3pt;height:1.5pt" o:hralign="center" o:hrstd="t" o:hrnoshade="t" o:hr="t" fillcolor="black" stroked="f"/>
        </w:pict>
      </w:r>
    </w:p>
    <w:p w:rsidR="00000000" w:rsidRDefault="001D2166">
      <w:pPr>
        <w:divId w:val="11906102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271861742"/>
        <w:rPr>
          <w:rFonts w:eastAsia="Times New Roman"/>
          <w:sz w:val="20"/>
          <w:szCs w:val="20"/>
        </w:rPr>
      </w:pPr>
      <w:r>
        <w:rPr>
          <w:rFonts w:eastAsia="Times New Roman"/>
          <w:sz w:val="20"/>
          <w:szCs w:val="20"/>
        </w:rPr>
        <w:t xml:space="preserve">KIMCO REALTY CORPORATION AND SUBSIDIARIES </w:t>
      </w:r>
    </w:p>
    <w:p w:rsidR="00000000" w:rsidRDefault="001D2166">
      <w:pPr>
        <w:divId w:val="1741363553"/>
        <w:rPr>
          <w:rFonts w:eastAsia="Times New Roman"/>
          <w:sz w:val="20"/>
          <w:szCs w:val="20"/>
        </w:rPr>
      </w:pPr>
      <w:r>
        <w:rPr>
          <w:rFonts w:eastAsia="Times New Roman"/>
          <w:sz w:val="20"/>
          <w:szCs w:val="20"/>
        </w:rPr>
        <w:t xml:space="preserve">  </w:t>
      </w:r>
    </w:p>
    <w:p w:rsidR="00000000" w:rsidRDefault="001D2166">
      <w:pPr>
        <w:jc w:val="center"/>
        <w:divId w:val="50883609"/>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On a continuous basis, management assesses whether there are any indicators, including property operating perfo</w:t>
      </w:r>
      <w:r>
        <w:rPr>
          <w:sz w:val="20"/>
          <w:szCs w:val="20"/>
        </w:rPr>
        <w:t xml:space="preserve">rmance, changes in anticipated holding period and general market conditions, that the value of the real estate properties (including any related amortizable intangible assets or liabilities) </w:t>
      </w:r>
      <w:r>
        <w:rPr>
          <w:rStyle w:val="a6"/>
          <w:sz w:val="20"/>
          <w:szCs w:val="20"/>
        </w:rPr>
        <w:t xml:space="preserve">may </w:t>
      </w:r>
      <w:r>
        <w:rPr>
          <w:sz w:val="20"/>
          <w:szCs w:val="20"/>
        </w:rPr>
        <w:t xml:space="preserve">be impaired. A property value is considered impaired only if </w:t>
      </w:r>
      <w:r>
        <w:rPr>
          <w:sz w:val="20"/>
          <w:szCs w:val="20"/>
        </w:rPr>
        <w:t xml:space="preserve">management’s estimated fair value is less than the net carrying value of the property. The Company’s estimated fair value is primarily based upon (i) estimated sales prices from signed contracts or letters of intent from </w:t>
      </w:r>
      <w:r>
        <w:rPr>
          <w:rStyle w:val="a6"/>
          <w:sz w:val="20"/>
          <w:szCs w:val="20"/>
        </w:rPr>
        <w:t>third</w:t>
      </w:r>
      <w:r>
        <w:rPr>
          <w:sz w:val="20"/>
          <w:szCs w:val="20"/>
        </w:rPr>
        <w:t>-party offers or (ii) discount</w:t>
      </w:r>
      <w:r>
        <w:rPr>
          <w:sz w:val="20"/>
          <w:szCs w:val="20"/>
        </w:rPr>
        <w:t>ed cash flow models of the property over its remaining hold period. An impairment is recognized on properties held for use when the expected undiscounted cash flows for a property are less than its carrying amount, at which time, the property is written-do</w:t>
      </w:r>
      <w:r>
        <w:rPr>
          <w:sz w:val="20"/>
          <w:szCs w:val="20"/>
        </w:rPr>
        <w:t>wn to its estimated fair value. Estimated fair values which are based on discounted cash flow models include all estimated cash inflows and outflows over a specified holding period. Capitalization rates and discount rates utilized in these models are based</w:t>
      </w:r>
      <w:r>
        <w:rPr>
          <w:sz w:val="20"/>
          <w:szCs w:val="20"/>
        </w:rPr>
        <w:t xml:space="preserve"> upon unobservable rates that the Company believes to be within a reasonable range of current market rates. In addition, such cash flow models consider factors such as expected future operating income, trends and prospects, as well as the effects of demand</w:t>
      </w:r>
      <w:r>
        <w:rPr>
          <w:sz w:val="20"/>
          <w:szCs w:val="20"/>
        </w:rPr>
        <w:t xml:space="preserve">, competition and other factors. To the extent impairment has occurred, the carrying value of the property would be adjusted to an amount to reflect the estimated fair value of the property. The Company does </w:t>
      </w:r>
      <w:r>
        <w:rPr>
          <w:rStyle w:val="a6"/>
          <w:sz w:val="20"/>
          <w:szCs w:val="20"/>
        </w:rPr>
        <w:t>not</w:t>
      </w:r>
      <w:r>
        <w:rPr>
          <w:sz w:val="20"/>
          <w:szCs w:val="20"/>
        </w:rPr>
        <w:t xml:space="preserve"> have access to the unobservable inputs used </w:t>
      </w:r>
      <w:r>
        <w:rPr>
          <w:sz w:val="20"/>
          <w:szCs w:val="20"/>
        </w:rPr>
        <w:t xml:space="preserve">to determine the estimated fair values of </w:t>
      </w:r>
      <w:r>
        <w:rPr>
          <w:rStyle w:val="a6"/>
          <w:sz w:val="20"/>
          <w:szCs w:val="20"/>
        </w:rPr>
        <w:t>third</w:t>
      </w:r>
      <w:r>
        <w:rPr>
          <w:sz w:val="20"/>
          <w:szCs w:val="20"/>
        </w:rPr>
        <w:t>-party offers.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Real Estate Under Development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Real estate under development represents the development of open-air shopping center projects, which </w:t>
      </w:r>
      <w:r>
        <w:rPr>
          <w:rStyle w:val="a6"/>
          <w:sz w:val="20"/>
          <w:szCs w:val="20"/>
        </w:rPr>
        <w:t xml:space="preserve">may </w:t>
      </w:r>
      <w:r>
        <w:rPr>
          <w:sz w:val="20"/>
          <w:szCs w:val="20"/>
        </w:rPr>
        <w:t xml:space="preserve">include residential and mixed-use components, that the </w:t>
      </w:r>
      <w:r>
        <w:rPr>
          <w:sz w:val="20"/>
          <w:szCs w:val="20"/>
        </w:rPr>
        <w:t>Company plans to hold as long-term investments. These properties are carried at cost. The cost of land and buildings under development includes specifically identifiable costs. Capitalized costs include pre-construction costs essential to the development o</w:t>
      </w:r>
      <w:r>
        <w:rPr>
          <w:sz w:val="20"/>
          <w:szCs w:val="20"/>
        </w:rPr>
        <w:t xml:space="preserve">f the property, construction costs, interest costs, real estate taxes, insurance, legal costs, salaries and related costs of personnel directly involved and other costs incurred during the period of development. The Company ceases cost capitalization when </w:t>
      </w:r>
      <w:r>
        <w:rPr>
          <w:sz w:val="20"/>
          <w:szCs w:val="20"/>
        </w:rPr>
        <w:t xml:space="preserve">the property is held available for occupancy and placed into service. This usually occurs upon substantial completion of all development activity necessary to bring the property to the condition needed for its intended use, but </w:t>
      </w:r>
      <w:r>
        <w:rPr>
          <w:rStyle w:val="a6"/>
          <w:sz w:val="20"/>
          <w:szCs w:val="20"/>
        </w:rPr>
        <w:t>no</w:t>
      </w:r>
      <w:r>
        <w:rPr>
          <w:sz w:val="20"/>
          <w:szCs w:val="20"/>
        </w:rPr>
        <w:t xml:space="preserve"> later than</w:t>
      </w:r>
      <w:r>
        <w:rPr>
          <w:sz w:val="20"/>
          <w:szCs w:val="20"/>
        </w:rPr>
        <w:t xml:space="preserve"> </w:t>
      </w:r>
      <w:r>
        <w:rPr>
          <w:sz w:val="20"/>
          <w:szCs w:val="20"/>
        </w:rPr>
        <w:t>on</w:t>
      </w:r>
      <w:r>
        <w:rPr>
          <w:sz w:val="20"/>
          <w:szCs w:val="20"/>
        </w:rPr>
        <w:t>e</w:t>
      </w:r>
      <w:r>
        <w:rPr>
          <w:sz w:val="20"/>
          <w:szCs w:val="20"/>
        </w:rPr>
        <w:t xml:space="preserve"> year from </w:t>
      </w:r>
      <w:r>
        <w:rPr>
          <w:sz w:val="20"/>
          <w:szCs w:val="20"/>
        </w:rPr>
        <w:t xml:space="preserve">the completion of major construction activity. However, the Company </w:t>
      </w:r>
      <w:r>
        <w:rPr>
          <w:rStyle w:val="a6"/>
          <w:sz w:val="20"/>
          <w:szCs w:val="20"/>
        </w:rPr>
        <w:t xml:space="preserve">may </w:t>
      </w:r>
      <w:r>
        <w:rPr>
          <w:sz w:val="20"/>
          <w:szCs w:val="20"/>
        </w:rPr>
        <w:t>continue to capitalize costs even though a project is substantially completed if construction is still ongoing at the site. If, in management’s opinion, the current and projected undis</w:t>
      </w:r>
      <w:r>
        <w:rPr>
          <w:sz w:val="20"/>
          <w:szCs w:val="20"/>
        </w:rPr>
        <w:t>counted cash flows of these assets to be held as long-term investments is less than the net carrying value plus estimated costs to complete the development, the carrying value would be adjusted to an amount that reflects the estimated fair value of the pro</w:t>
      </w:r>
      <w:r>
        <w:rPr>
          <w:sz w:val="20"/>
          <w:szCs w:val="20"/>
        </w:rPr>
        <w:t>perty.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Investments in Unconsolidated Joint Ventures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accounts for its investments in unconsolidated joint ventures under the equity method of accounting as the Company exercises significant influence, but does </w:t>
      </w:r>
      <w:r>
        <w:rPr>
          <w:rStyle w:val="a6"/>
          <w:sz w:val="20"/>
          <w:szCs w:val="20"/>
        </w:rPr>
        <w:t>not</w:t>
      </w:r>
      <w:r>
        <w:rPr>
          <w:sz w:val="20"/>
          <w:szCs w:val="20"/>
        </w:rPr>
        <w:t xml:space="preserve"> control, these entities. These investments are recorded initially at cost and are s</w:t>
      </w:r>
      <w:r>
        <w:rPr>
          <w:sz w:val="20"/>
          <w:szCs w:val="20"/>
        </w:rPr>
        <w:t>ubsequently adjusted for cash contributions and distributions. Earnings for each investment are recognized in accordance with each respective investment agreement and where applicable, are based upon an allocation of the investment’s net assets at book val</w:t>
      </w:r>
      <w:r>
        <w:rPr>
          <w:sz w:val="20"/>
          <w:szCs w:val="20"/>
        </w:rPr>
        <w:t>ue as if the investment was hypothetically liquidated at the end of each reporting period.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joint ventures primarily consist of co-investments with institutional and other joint venture partners in open-air shopping center properties, consis</w:t>
      </w:r>
      <w:r>
        <w:rPr>
          <w:sz w:val="20"/>
          <w:szCs w:val="20"/>
        </w:rPr>
        <w:t xml:space="preserve">tent with its core business. These joint ventures typically obtain non-recourse </w:t>
      </w:r>
      <w:r>
        <w:rPr>
          <w:rStyle w:val="a6"/>
          <w:sz w:val="20"/>
          <w:szCs w:val="20"/>
        </w:rPr>
        <w:t>third</w:t>
      </w:r>
      <w:r>
        <w:rPr>
          <w:sz w:val="20"/>
          <w:szCs w:val="20"/>
        </w:rPr>
        <w:t>-party financing on their property investments, thus contractually limiting the Company’s exposure to losses primarily to the amount of its equity investment; and due to t</w:t>
      </w:r>
      <w:r>
        <w:rPr>
          <w:sz w:val="20"/>
          <w:szCs w:val="20"/>
        </w:rPr>
        <w:t xml:space="preserve">he lender’s exposure to losses, a lender typically will require a minimum level of equity in order to mitigate its risk. The Company, on a limited selective basis, has obtained unsecured financing for certain joint ventures. These unsecured financings </w:t>
      </w:r>
      <w:r>
        <w:rPr>
          <w:rStyle w:val="a6"/>
          <w:sz w:val="20"/>
          <w:szCs w:val="20"/>
        </w:rPr>
        <w:t xml:space="preserve">may </w:t>
      </w:r>
      <w:r>
        <w:rPr>
          <w:sz w:val="20"/>
          <w:szCs w:val="20"/>
        </w:rPr>
        <w:t xml:space="preserve">be guaranteed by the Company with guarantees from the joint venture partners for their proportionate amounts of any guaranty payment the Company is obligated to make. As of </w:t>
      </w:r>
      <w:r>
        <w:rPr>
          <w:rStyle w:val="a6"/>
          <w:sz w:val="20"/>
          <w:szCs w:val="20"/>
        </w:rPr>
        <w:t xml:space="preserve">December 31, 2021, </w:t>
      </w:r>
      <w:r>
        <w:rPr>
          <w:sz w:val="20"/>
          <w:szCs w:val="20"/>
        </w:rPr>
        <w:t xml:space="preserve">the Company did </w:t>
      </w:r>
      <w:r>
        <w:rPr>
          <w:rStyle w:val="a6"/>
          <w:sz w:val="20"/>
          <w:szCs w:val="20"/>
        </w:rPr>
        <w:t>not</w:t>
      </w:r>
      <w:r>
        <w:rPr>
          <w:sz w:val="20"/>
          <w:szCs w:val="20"/>
        </w:rPr>
        <w:t xml:space="preserve"> guaranty any unsecured joint venture debt.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To recognize the character of distributions from equity investees within its Consolidated Statements of Cash Flows, all distributions received are presumed to be returns on investment and classified as cash inflows from operating activities unless the Com</w:t>
      </w:r>
      <w:r>
        <w:rPr>
          <w:sz w:val="20"/>
          <w:szCs w:val="20"/>
        </w:rPr>
        <w:t xml:space="preserve">pany’s cumulative distributions received less distributions received in prior periods that were determined to be returns of investment exceed its cumulative equity in earnings recognized by the investor (as adjusted for amortization of basis differences). </w:t>
      </w:r>
      <w:r>
        <w:rPr>
          <w:sz w:val="20"/>
          <w:szCs w:val="20"/>
        </w:rPr>
        <w:t>When such an excess occurs, the current-period distribution up to this excess is considered a return of investment and classified as cash inflows from investing.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a business combination, the fair value of the Company’s investment in an unconsolidated j</w:t>
      </w:r>
      <w:r>
        <w:rPr>
          <w:sz w:val="20"/>
          <w:szCs w:val="20"/>
        </w:rPr>
        <w:t xml:space="preserve">oint venture is calculated using the fair value of the real estate held by the joint venture, which are valued using similar methods as described in the Company’s Real Estate policy above, offset by the fair value of the debt on the property which is then </w:t>
      </w:r>
      <w:r>
        <w:rPr>
          <w:sz w:val="20"/>
          <w:szCs w:val="20"/>
        </w:rPr>
        <w:t>multiplied by the Company’s equity ownership percentage.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On a continuous basis, management assesses whether there are any indicators, including the underlying investment property operating performance and general market conditions, that the value of the</w:t>
      </w:r>
      <w:r>
        <w:rPr>
          <w:sz w:val="20"/>
          <w:szCs w:val="20"/>
        </w:rPr>
        <w:t xml:space="preserve"> Company’s investments in unconsolidated joint ventures </w:t>
      </w:r>
      <w:r>
        <w:rPr>
          <w:rStyle w:val="a6"/>
          <w:sz w:val="20"/>
          <w:szCs w:val="20"/>
        </w:rPr>
        <w:t xml:space="preserve">may </w:t>
      </w:r>
      <w:r>
        <w:rPr>
          <w:sz w:val="20"/>
          <w:szCs w:val="20"/>
        </w:rPr>
        <w:t>be impaired. An investment’s value is impaired only if management’</w:t>
      </w:r>
      <w:r>
        <w:rPr>
          <w:sz w:val="20"/>
          <w:szCs w:val="20"/>
        </w:rPr>
        <w:t>s estimate of the fair value of the investment is less than the carrying value of the investment and such difference is deemed to be other-than-temporary. To the extent impairment has occurred, the loss will be measured as the excess of the carrying amount</w:t>
      </w:r>
      <w:r>
        <w:rPr>
          <w:sz w:val="20"/>
          <w:szCs w:val="20"/>
        </w:rPr>
        <w:t xml:space="preserve"> of the investment over the estimated fair value of the investment. Estimated fair values which are based on discounted cash flow models include all estimated cash inflows and outflows over a specified holding period, and, where applicable, any estimated d</w:t>
      </w:r>
      <w:r>
        <w:rPr>
          <w:sz w:val="20"/>
          <w:szCs w:val="20"/>
        </w:rPr>
        <w:t>ebt premiums. Capitalization rates and discount rates utilized in these models are based upon unobservable rates that the Company believes to be within a reasonable range of current market rates.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418283198"/>
        <w:rPr>
          <w:rFonts w:eastAsia="Times New Roman"/>
          <w:sz w:val="20"/>
          <w:szCs w:val="20"/>
        </w:rPr>
      </w:pPr>
      <w:r>
        <w:rPr>
          <w:rStyle w:val="a6"/>
          <w:rFonts w:eastAsia="Times New Roman"/>
          <w:sz w:val="20"/>
          <w:szCs w:val="20"/>
        </w:rPr>
        <w:t>59</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1" style="width:415.3pt;height:1.5pt" o:hralign="center" o:hrstd="t" o:hrnoshade="t" o:hr="t" fillcolor="black" stroked="f"/>
        </w:pict>
      </w:r>
    </w:p>
    <w:p w:rsidR="00000000" w:rsidRDefault="001D2166">
      <w:pPr>
        <w:divId w:val="8385396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93599547"/>
        <w:rPr>
          <w:rFonts w:eastAsia="Times New Roman"/>
          <w:sz w:val="20"/>
          <w:szCs w:val="20"/>
        </w:rPr>
      </w:pPr>
      <w:r>
        <w:rPr>
          <w:rFonts w:eastAsia="Times New Roman"/>
          <w:sz w:val="20"/>
          <w:szCs w:val="20"/>
        </w:rPr>
        <w:t xml:space="preserve">KIMCO REALTY CORPORATION AND SUBSIDIARIES </w:t>
      </w:r>
    </w:p>
    <w:p w:rsidR="00000000" w:rsidRDefault="001D2166">
      <w:pPr>
        <w:divId w:val="1868058442"/>
        <w:rPr>
          <w:rFonts w:eastAsia="Times New Roman"/>
          <w:sz w:val="20"/>
          <w:szCs w:val="20"/>
        </w:rPr>
      </w:pPr>
      <w:r>
        <w:rPr>
          <w:rFonts w:eastAsia="Times New Roman"/>
          <w:sz w:val="20"/>
          <w:szCs w:val="20"/>
        </w:rPr>
        <w:t xml:space="preserve">  </w:t>
      </w:r>
    </w:p>
    <w:p w:rsidR="00000000" w:rsidRDefault="001D2166">
      <w:pPr>
        <w:jc w:val="center"/>
        <w:divId w:val="699161494"/>
        <w:rPr>
          <w:rFonts w:eastAsia="Times New Roman"/>
          <w:sz w:val="20"/>
          <w:szCs w:val="20"/>
        </w:rPr>
      </w:pPr>
      <w:r>
        <w:rPr>
          <w:rFonts w:eastAsia="Times New Roman"/>
          <w:sz w:val="20"/>
          <w:szCs w:val="20"/>
        </w:rPr>
        <w:t>NOTES T</w:t>
      </w:r>
      <w:r>
        <w:rPr>
          <w:rFonts w:eastAsia="Times New Roman"/>
          <w:sz w:val="20"/>
          <w:szCs w:val="20"/>
        </w:rPr>
        <w:t xml:space="preserve">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rPr>
          <w:sz w:val="20"/>
          <w:szCs w:val="20"/>
        </w:rPr>
      </w:pPr>
      <w:r>
        <w:rPr>
          <w:sz w:val="20"/>
          <w:szCs w:val="20"/>
          <w:u w:val="single"/>
        </w:rPr>
        <w:t>Other Investments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Other investments primarily consist of preferred equity investments for which the Company provides capital to owners and developers of real estate. The Company typically accounts for its preferred equity investments on the equity method of accounting, wher</w:t>
      </w:r>
      <w:r>
        <w:rPr>
          <w:sz w:val="20"/>
          <w:szCs w:val="20"/>
        </w:rPr>
        <w:t>eby earnings for each investment are recognized in accordance with each respective investment agreement and based upon an allocation of the investment’s net assets at book value as if the investment was hypothetically liquidated at the end of each reportin</w:t>
      </w:r>
      <w:r>
        <w:rPr>
          <w:sz w:val="20"/>
          <w:szCs w:val="20"/>
        </w:rPr>
        <w:t>g period.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a continuous basis, management assesses whether there are any indicators, including the underlying investment property operating performance and general market conditions, that the value of the Company’s Other investments </w:t>
      </w:r>
      <w:r>
        <w:rPr>
          <w:rStyle w:val="a6"/>
          <w:sz w:val="20"/>
          <w:szCs w:val="20"/>
        </w:rPr>
        <w:t xml:space="preserve">may </w:t>
      </w:r>
      <w:r>
        <w:rPr>
          <w:sz w:val="20"/>
          <w:szCs w:val="20"/>
        </w:rPr>
        <w:t>be impaired. An investment’</w:t>
      </w:r>
      <w:r>
        <w:rPr>
          <w:sz w:val="20"/>
          <w:szCs w:val="20"/>
        </w:rPr>
        <w:t>s value is impaired only if management’s estimate of the fair value of the investment is less than the carrying value of the investment and such difference is deemed to be other-than-temporary. To the extent impairment has occurred, the loss shall be measu</w:t>
      </w:r>
      <w:r>
        <w:rPr>
          <w:sz w:val="20"/>
          <w:szCs w:val="20"/>
        </w:rPr>
        <w:t>red as the excess of the carrying amount of the investment over the estimated fair value of the investment.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estimated fair values are based upon a discounted cash flow model for each investment that includes all estimated cash inflows and o</w:t>
      </w:r>
      <w:r>
        <w:rPr>
          <w:sz w:val="20"/>
          <w:szCs w:val="20"/>
        </w:rPr>
        <w:t>utflows over a specified holding period and, where applicable, any estimated debt premiums. Capitalization rates, discount rates and credit spreads utilized in these models are based upon rates that the Company believes to be within a reasonable range of c</w:t>
      </w:r>
      <w:r>
        <w:rPr>
          <w:sz w:val="20"/>
          <w:szCs w:val="20"/>
        </w:rPr>
        <w:t>urrent market rates.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Cash, Cash Equivalents and Restricted Cash</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Cash and cash equivalents include demand deposits in banks, commercial paper and certificates of deposit with original maturities of </w:t>
      </w:r>
      <w:r>
        <w:rPr>
          <w:rStyle w:val="a6"/>
          <w:sz w:val="20"/>
          <w:szCs w:val="20"/>
        </w:rPr>
        <w:t>three</w:t>
      </w:r>
      <w:r>
        <w:rPr>
          <w:sz w:val="20"/>
          <w:szCs w:val="20"/>
        </w:rPr>
        <w:t xml:space="preserve"> months or less. Cash and cash equivalent balances</w:t>
      </w:r>
      <w:r>
        <w:rPr>
          <w:sz w:val="20"/>
          <w:szCs w:val="20"/>
        </w:rPr>
        <w:t xml:space="preserve"> </w:t>
      </w:r>
      <w:r>
        <w:rPr>
          <w:rStyle w:val="a6"/>
          <w:sz w:val="20"/>
          <w:szCs w:val="20"/>
        </w:rPr>
        <w:t xml:space="preserve">may, </w:t>
      </w:r>
      <w:r>
        <w:rPr>
          <w:sz w:val="20"/>
          <w:szCs w:val="20"/>
        </w:rPr>
        <w:t>at a limited number of banks and financial institutions, exceed insurable amounts. The Company believes it mitigates risk by investing in or through major financial institutions and primarily in funds that are currently U.S. federal government insure</w:t>
      </w:r>
      <w:r>
        <w:rPr>
          <w:sz w:val="20"/>
          <w:szCs w:val="20"/>
        </w:rPr>
        <w:t>d up to applicable account limits. Recoverability of investments is dependent upon the performance of the issuers.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Restricted cash is deposits held or restricted for a specific use. The Company had restricted cash totaling $9.0 million and $0.2 million a</w:t>
      </w:r>
      <w:r>
        <w:rPr>
          <w:sz w:val="20"/>
          <w:szCs w:val="20"/>
        </w:rPr>
        <w:t xml:space="preserve">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respectively, which is included in Cash and cash equivalents on the Company’s Consolidated Balance Sheets. This includes cash equivalents of $6.5 million that is held as collateral for certain letters of credit at </w:t>
      </w:r>
      <w:r>
        <w:rPr>
          <w:rStyle w:val="a6"/>
          <w:sz w:val="20"/>
          <w:szCs w:val="20"/>
        </w:rPr>
        <w:t>December 31,</w:t>
      </w:r>
      <w:r>
        <w:rPr>
          <w:rStyle w:val="a6"/>
          <w:sz w:val="20"/>
          <w:szCs w:val="20"/>
        </w:rPr>
        <w:t xml:space="preserve">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Marketable Securities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classifies its marketable equity securities as available-for-sale in accordance with the FASB’s Investments-Debt and Equity Securities guidance. In accordance with ASC Topic </w:t>
      </w:r>
      <w:r>
        <w:rPr>
          <w:rStyle w:val="a6"/>
          <w:sz w:val="20"/>
          <w:szCs w:val="20"/>
        </w:rPr>
        <w:t>825</w:t>
      </w:r>
      <w:r>
        <w:rPr>
          <w:sz w:val="20"/>
          <w:szCs w:val="20"/>
        </w:rPr>
        <w:t xml:space="preserve"> </w:t>
      </w:r>
      <w:r>
        <w:rPr>
          <w:i/>
          <w:iCs/>
          <w:sz w:val="20"/>
          <w:szCs w:val="20"/>
        </w:rPr>
        <w:t>Financial Instruments</w:t>
      </w:r>
      <w:r>
        <w:rPr>
          <w:sz w:val="20"/>
          <w:szCs w:val="20"/>
        </w:rPr>
        <w:t>, the Compan</w:t>
      </w:r>
      <w:r>
        <w:rPr>
          <w:sz w:val="20"/>
          <w:szCs w:val="20"/>
        </w:rPr>
        <w:t>y recognizes changes in the fair value of equity investments with readily determinable fair values in net income.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Mortgages and Other Financing Receivables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Mortgages and other financing receivables consist of loans acquired and loans originated by the </w:t>
      </w:r>
      <w:r>
        <w:rPr>
          <w:sz w:val="20"/>
          <w:szCs w:val="20"/>
        </w:rPr>
        <w:t>Company, which are included within Other assets on the Company’s Consolidated Balance Sheets. Borrowers of these loans are primarily experienced owners, operators or developers of commercial real estate. The Company’s loans are primarily mortgage loans tha</w:t>
      </w:r>
      <w:r>
        <w:rPr>
          <w:sz w:val="20"/>
          <w:szCs w:val="20"/>
        </w:rPr>
        <w:t>t are collateralized by real estate. Mortgages and other financing receivables are recorded at stated principal amounts, net of any discount or premium or deferred loan origination costs or fees. The related discounts or premiums on mortgages and other loa</w:t>
      </w:r>
      <w:r>
        <w:rPr>
          <w:sz w:val="20"/>
          <w:szCs w:val="20"/>
        </w:rPr>
        <w:t xml:space="preserve">ns purchased are amortized or accreted over the life of the related loan receivable. The Company defers certain loan origination and commitment fees, net of certain origination costs and amortizes them as an adjustment of the loan’s yield over the term of </w:t>
      </w:r>
      <w:r>
        <w:rPr>
          <w:sz w:val="20"/>
          <w:szCs w:val="20"/>
        </w:rPr>
        <w:t>the related loan.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January 1, 2020, </w:t>
      </w:r>
      <w:r>
        <w:rPr>
          <w:sz w:val="20"/>
          <w:szCs w:val="20"/>
        </w:rPr>
        <w:t xml:space="preserve">the Company adopted Accounting Standards Update (“ASU”) </w:t>
      </w:r>
      <w:r>
        <w:rPr>
          <w:rStyle w:val="a6"/>
          <w:sz w:val="20"/>
          <w:szCs w:val="20"/>
        </w:rPr>
        <w:t>2016</w:t>
      </w:r>
      <w:r>
        <w:rPr>
          <w:sz w:val="20"/>
          <w:szCs w:val="20"/>
        </w:rPr>
        <w:t>-</w:t>
      </w:r>
      <w:r>
        <w:rPr>
          <w:rStyle w:val="a6"/>
          <w:sz w:val="20"/>
          <w:szCs w:val="20"/>
        </w:rPr>
        <w:t>13</w:t>
      </w:r>
      <w:r>
        <w:rPr>
          <w:sz w:val="20"/>
          <w:szCs w:val="20"/>
        </w:rPr>
        <w:t xml:space="preserve"> </w:t>
      </w:r>
      <w:r>
        <w:rPr>
          <w:i/>
          <w:iCs/>
          <w:sz w:val="20"/>
          <w:szCs w:val="20"/>
        </w:rPr>
        <w:t xml:space="preserve">Financial Instruments </w:t>
      </w:r>
      <w:r>
        <w:rPr>
          <w:sz w:val="20"/>
          <w:szCs w:val="20"/>
        </w:rPr>
        <w:t>–</w:t>
      </w:r>
      <w:r>
        <w:rPr>
          <w:i/>
          <w:iCs/>
          <w:sz w:val="20"/>
          <w:szCs w:val="20"/>
        </w:rPr>
        <w:t xml:space="preserve"> Credit Losses (Topic </w:t>
      </w:r>
      <w:r>
        <w:rPr>
          <w:rStyle w:val="a6"/>
          <w:sz w:val="20"/>
          <w:szCs w:val="20"/>
        </w:rPr>
        <w:t>326</w:t>
      </w:r>
      <w:r>
        <w:rPr>
          <w:i/>
          <w:iCs/>
          <w:sz w:val="20"/>
          <w:szCs w:val="20"/>
        </w:rPr>
        <w:t>): Measurement of Credit Losses on Financial Instruments</w:t>
      </w:r>
      <w:r>
        <w:rPr>
          <w:sz w:val="20"/>
          <w:szCs w:val="20"/>
        </w:rPr>
        <w:t>, which replaces the incurred loss methodology w</w:t>
      </w:r>
      <w:r>
        <w:rPr>
          <w:sz w:val="20"/>
          <w:szCs w:val="20"/>
        </w:rPr>
        <w:t>ith an expected loss methodology that is referred to as the current expected credit loss (CECL) methodology. The measurement of expected credit losses under the CECL methodology is applicable to financial assets measured at amortized cost, including loan r</w:t>
      </w:r>
      <w:r>
        <w:rPr>
          <w:sz w:val="20"/>
          <w:szCs w:val="20"/>
        </w:rPr>
        <w:t>eceivables and held-to-maturity debt securities. The Company adopted this standard using the modified retrospective method for all financial assets measured at amortized cost.</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800221517"/>
        <w:rPr>
          <w:rFonts w:eastAsia="Times New Roman"/>
          <w:sz w:val="20"/>
          <w:szCs w:val="20"/>
        </w:rPr>
      </w:pPr>
      <w:r>
        <w:rPr>
          <w:rStyle w:val="a6"/>
          <w:rFonts w:eastAsia="Times New Roman"/>
          <w:sz w:val="20"/>
          <w:szCs w:val="20"/>
        </w:rPr>
        <w:t>60</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2" style="width:415.3pt;height:1.5pt" o:hralign="center" o:hrstd="t" o:hrnoshade="t" o:hr="t" fillcolor="black" stroked="f"/>
        </w:pict>
      </w:r>
    </w:p>
    <w:p w:rsidR="00000000" w:rsidRDefault="001D2166">
      <w:pPr>
        <w:divId w:val="11312831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401485504"/>
        <w:rPr>
          <w:rFonts w:eastAsia="Times New Roman"/>
          <w:sz w:val="20"/>
          <w:szCs w:val="20"/>
        </w:rPr>
      </w:pPr>
      <w:r>
        <w:rPr>
          <w:rFonts w:eastAsia="Times New Roman"/>
          <w:sz w:val="20"/>
          <w:szCs w:val="20"/>
        </w:rPr>
        <w:t xml:space="preserve">KIMCO REALTY CORPORATION AND SUBSIDIARIES </w:t>
      </w:r>
    </w:p>
    <w:p w:rsidR="00000000" w:rsidRDefault="001D2166">
      <w:pPr>
        <w:divId w:val="94400182"/>
        <w:rPr>
          <w:rFonts w:eastAsia="Times New Roman"/>
          <w:sz w:val="20"/>
          <w:szCs w:val="20"/>
        </w:rPr>
      </w:pPr>
      <w:r>
        <w:rPr>
          <w:rFonts w:eastAsia="Times New Roman"/>
          <w:sz w:val="20"/>
          <w:szCs w:val="20"/>
        </w:rPr>
        <w:t xml:space="preserve">  </w:t>
      </w:r>
    </w:p>
    <w:p w:rsidR="00000000" w:rsidRDefault="001D2166">
      <w:pPr>
        <w:jc w:val="center"/>
        <w:divId w:val="328406295"/>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On a quarterly basis, the Company reviews credit quality indicators such as (i) payment status to identify performing versus non-performing loans, (ii) changes affecting the underlying real estate c</w:t>
      </w:r>
      <w:r>
        <w:rPr>
          <w:sz w:val="20"/>
          <w:szCs w:val="20"/>
        </w:rPr>
        <w:t>ollateral and (iii) national and regional economic factors. The Company has determined that it has</w:t>
      </w:r>
      <w:r>
        <w:rPr>
          <w:sz w:val="20"/>
          <w:szCs w:val="20"/>
        </w:rPr>
        <w:t xml:space="preserve"> </w:t>
      </w:r>
      <w:r>
        <w:rPr>
          <w:sz w:val="20"/>
          <w:szCs w:val="20"/>
        </w:rPr>
        <w:t>on</w:t>
      </w:r>
      <w:r>
        <w:rPr>
          <w:sz w:val="20"/>
          <w:szCs w:val="20"/>
        </w:rPr>
        <w:t>e</w:t>
      </w:r>
      <w:r>
        <w:rPr>
          <w:sz w:val="20"/>
          <w:szCs w:val="20"/>
        </w:rPr>
        <w:t xml:space="preserve"> portfolio segment, primarily represented by loans collateralized by real estate, whereby it determines, as needed, reserves for loan losses on an asset-s</w:t>
      </w:r>
      <w:r>
        <w:rPr>
          <w:sz w:val="20"/>
          <w:szCs w:val="20"/>
        </w:rPr>
        <w:t>pecific basis. The reserve for loan losses reflects management's estimate of loan losses as of the balance sheet date and are included in Other income, net on the Company’s Consolidated Statements of Income. The reserve is increased through loan loss expen</w:t>
      </w:r>
      <w:r>
        <w:rPr>
          <w:sz w:val="20"/>
          <w:szCs w:val="20"/>
        </w:rPr>
        <w:t>se and is decreased by charge-offs when losses are confirmed through the receipt of assets such as cash or via ownership control of the underlying collateral in full satisfaction of the loan upon foreclosure or when significant collection efforts have ceas</w:t>
      </w:r>
      <w:r>
        <w:rPr>
          <w:sz w:val="20"/>
          <w:szCs w:val="20"/>
        </w:rPr>
        <w:t>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Interest income on performing loans is accrued as earned. A non-performing loan is placed on non-accrual status when it is probable that the borrower </w:t>
      </w:r>
      <w:r>
        <w:rPr>
          <w:rStyle w:val="a6"/>
          <w:sz w:val="20"/>
          <w:szCs w:val="20"/>
        </w:rPr>
        <w:t xml:space="preserve">may </w:t>
      </w:r>
      <w:r>
        <w:rPr>
          <w:sz w:val="20"/>
          <w:szCs w:val="20"/>
        </w:rPr>
        <w:t>be unable to meet interest payments as they become due. Generally, loans 90 days or more past du</w:t>
      </w:r>
      <w:r>
        <w:rPr>
          <w:sz w:val="20"/>
          <w:szCs w:val="20"/>
        </w:rPr>
        <w:t>e are placed on non-accrual status unless there is sufficient collateral to assure collectability of principal and interest. Upon the designation of non-accrual status, all unpaid accrued interest is reserved and charged against current income. Interest in</w:t>
      </w:r>
      <w:r>
        <w:rPr>
          <w:sz w:val="20"/>
          <w:szCs w:val="20"/>
        </w:rPr>
        <w:t>come on non-performing loans is generally recognized on a cash basis. Recognition of interest income on non-performing loans on an accrual basis is resumed when it is probable that the Company will be able to collect amounts due according to the contractua</w:t>
      </w:r>
      <w:r>
        <w:rPr>
          <w:sz w:val="20"/>
          <w:szCs w:val="20"/>
        </w:rPr>
        <w:t>l terms.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Other Assets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Other assets include Series B tax increment revenue bonds issued by the Sheridan Redevelopment Agency in connection with the development of a project in Sheridan, Colorado which were acquired in connection with the Merger, which m</w:t>
      </w:r>
      <w:r>
        <w:rPr>
          <w:sz w:val="20"/>
          <w:szCs w:val="20"/>
        </w:rPr>
        <w:t xml:space="preserve">ature on </w:t>
      </w:r>
      <w:r>
        <w:rPr>
          <w:rStyle w:val="a6"/>
          <w:sz w:val="20"/>
          <w:szCs w:val="20"/>
        </w:rPr>
        <w:t xml:space="preserve">December 15, 2039. </w:t>
      </w:r>
      <w:r>
        <w:rPr>
          <w:sz w:val="20"/>
          <w:szCs w:val="20"/>
        </w:rPr>
        <w:t>These Series B bonds have been classified as held to maturity and were recorded at estimated fair value upon the date of the Merger. The fair value estimates of the Company’s held to maturity tax increment revenue bonds are base</w:t>
      </w:r>
      <w:r>
        <w:rPr>
          <w:sz w:val="20"/>
          <w:szCs w:val="20"/>
        </w:rPr>
        <w:t>d on discounted cash flow analysis, which are based on the expected future sales tax revenues of the project. This analysis reflects the contractual terms of the bonds, including the period to maturity, and uses observable market-based inputs, such as mark</w:t>
      </w:r>
      <w:r>
        <w:rPr>
          <w:sz w:val="20"/>
          <w:szCs w:val="20"/>
        </w:rPr>
        <w:t>et discount rates and unobservable market-based inputs, such as future growth and inflation rates. Interest on these bonds is recorded at an effective interest rate while cash payments are received at the contractual interest rate.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held to maturity b</w:t>
      </w:r>
      <w:r>
        <w:rPr>
          <w:sz w:val="20"/>
          <w:szCs w:val="20"/>
        </w:rPr>
        <w:t>onds are evaluated for credit losses based on discounted estimated future cash flows. Any future receipts in excess of the amortized basis will be recognized as revenue when received. The credit risk associated with the amortized value of these bonds is de</w:t>
      </w:r>
      <w:r>
        <w:rPr>
          <w:sz w:val="20"/>
          <w:szCs w:val="20"/>
        </w:rPr>
        <w:t xml:space="preserve">emed as low risk as the bonds are earmarked for repayments from a government entity which are funded through sales and property taxes. At </w:t>
      </w:r>
      <w:r>
        <w:rPr>
          <w:rStyle w:val="a6"/>
          <w:sz w:val="20"/>
          <w:szCs w:val="20"/>
        </w:rPr>
        <w:t>December 31, 2021,</w:t>
      </w:r>
      <w:r>
        <w:rPr>
          <w:rStyle w:val="a6"/>
          <w:sz w:val="20"/>
          <w:szCs w:val="20"/>
        </w:rPr>
        <w:t xml:space="preserve"> </w:t>
      </w:r>
      <w:r>
        <w:rPr>
          <w:sz w:val="20"/>
          <w:szCs w:val="20"/>
        </w:rPr>
        <w:t>n</w:t>
      </w:r>
      <w:r>
        <w:rPr>
          <w:sz w:val="20"/>
          <w:szCs w:val="20"/>
        </w:rPr>
        <w:t>o</w:t>
      </w:r>
      <w:r>
        <w:rPr>
          <w:sz w:val="20"/>
          <w:szCs w:val="20"/>
        </w:rPr>
        <w:t xml:space="preserve"> credit allowance has been recorded.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Deferred Leasing Costs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Initial direct leasing costs incl</w:t>
      </w:r>
      <w:r>
        <w:rPr>
          <w:sz w:val="20"/>
          <w:szCs w:val="20"/>
        </w:rPr>
        <w:t xml:space="preserve">ude commissions paid to </w:t>
      </w:r>
      <w:r>
        <w:rPr>
          <w:rStyle w:val="a6"/>
          <w:sz w:val="20"/>
          <w:szCs w:val="20"/>
        </w:rPr>
        <w:t>third</w:t>
      </w:r>
      <w:r>
        <w:rPr>
          <w:sz w:val="20"/>
          <w:szCs w:val="20"/>
        </w:rPr>
        <w:t>-parties, including brokers, leasing and referral agents and internal leasing commissions paid to employees for successful execution of lease agreements. These initial direct leasing costs are capitalized and generally amortize</w:t>
      </w:r>
      <w:r>
        <w:rPr>
          <w:sz w:val="20"/>
          <w:szCs w:val="20"/>
        </w:rPr>
        <w:t xml:space="preserve">d over the term of the related leases using the straight-line method. These direct leasing costs are included in Other assets, on the Company’s Consolidated Balance Sheets and are classified as operating activities on the Company’s Consolidated Statements </w:t>
      </w:r>
      <w:r>
        <w:rPr>
          <w:sz w:val="20"/>
          <w:szCs w:val="20"/>
        </w:rPr>
        <w:t>of Cash Flows.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Internal employee compensation, payroll-related benefits and certain external legal fees are considered indirect costs associated with the execution of lease agreements. These indirect leasing costs are expensed in accordance with ASU </w:t>
      </w:r>
      <w:r>
        <w:rPr>
          <w:rStyle w:val="a6"/>
          <w:sz w:val="20"/>
          <w:szCs w:val="20"/>
        </w:rPr>
        <w:t>2016</w:t>
      </w:r>
      <w:r>
        <w:rPr>
          <w:sz w:val="20"/>
          <w:szCs w:val="20"/>
        </w:rPr>
        <w:t>-</w:t>
      </w:r>
      <w:r>
        <w:rPr>
          <w:rStyle w:val="a6"/>
          <w:sz w:val="20"/>
          <w:szCs w:val="20"/>
        </w:rPr>
        <w:t>02,</w:t>
      </w:r>
      <w:r>
        <w:rPr>
          <w:sz w:val="20"/>
          <w:szCs w:val="20"/>
        </w:rPr>
        <w:t xml:space="preserve"> </w:t>
      </w:r>
      <w:r>
        <w:rPr>
          <w:i/>
          <w:iCs/>
          <w:sz w:val="20"/>
          <w:szCs w:val="20"/>
        </w:rPr>
        <w:t xml:space="preserve">Leases (Topic </w:t>
      </w:r>
      <w:r>
        <w:rPr>
          <w:rStyle w:val="a6"/>
          <w:sz w:val="20"/>
          <w:szCs w:val="20"/>
        </w:rPr>
        <w:t>842</w:t>
      </w:r>
      <w:r>
        <w:rPr>
          <w:i/>
          <w:iCs/>
          <w:sz w:val="20"/>
          <w:szCs w:val="20"/>
        </w:rPr>
        <w:t xml:space="preserve">) </w:t>
      </w:r>
      <w:r>
        <w:rPr>
          <w:sz w:val="20"/>
          <w:szCs w:val="20"/>
        </w:rPr>
        <w:t xml:space="preserve">(“ASU </w:t>
      </w:r>
      <w:r>
        <w:rPr>
          <w:rStyle w:val="a6"/>
          <w:sz w:val="20"/>
          <w:szCs w:val="20"/>
        </w:rPr>
        <w:t>2016</w:t>
      </w:r>
      <w:r>
        <w:rPr>
          <w:sz w:val="20"/>
          <w:szCs w:val="20"/>
        </w:rPr>
        <w:t>-</w:t>
      </w:r>
      <w:r>
        <w:rPr>
          <w:rStyle w:val="a6"/>
          <w:sz w:val="20"/>
          <w:szCs w:val="20"/>
        </w:rPr>
        <w:t>02”</w:t>
      </w:r>
      <w:r>
        <w:rPr>
          <w:sz w:val="20"/>
          <w:szCs w:val="20"/>
        </w:rPr>
        <w:t>) and included in General and administrative expense on the Company’s Consolidated Statements of Income.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Software Development Costs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Expenditures for major software purchases and software developed for internal use </w:t>
      </w:r>
      <w:r>
        <w:rPr>
          <w:sz w:val="20"/>
          <w:szCs w:val="20"/>
        </w:rPr>
        <w:t>are capitalized and amortized on a straight-line basis generally over a period of</w:t>
      </w:r>
      <w:r>
        <w:rPr>
          <w:sz w:val="20"/>
          <w:szCs w:val="20"/>
        </w:rPr>
        <w:t xml:space="preserve"> </w:t>
      </w:r>
      <w:r>
        <w:rPr>
          <w:sz w:val="20"/>
          <w:szCs w:val="20"/>
        </w:rPr>
        <w:t>thre</w:t>
      </w:r>
      <w:r>
        <w:rPr>
          <w:sz w:val="20"/>
          <w:szCs w:val="20"/>
        </w:rPr>
        <w:t>e</w:t>
      </w:r>
      <w:r>
        <w:rPr>
          <w:sz w:val="20"/>
          <w:szCs w:val="20"/>
        </w:rPr>
        <w:t xml:space="preserve"> to</w:t>
      </w:r>
      <w:r>
        <w:rPr>
          <w:sz w:val="20"/>
          <w:szCs w:val="20"/>
        </w:rPr>
        <w:t xml:space="preserve"> </w:t>
      </w:r>
      <w:r>
        <w:rPr>
          <w:sz w:val="20"/>
          <w:szCs w:val="20"/>
        </w:rPr>
        <w:t>te</w:t>
      </w:r>
      <w:r>
        <w:rPr>
          <w:sz w:val="20"/>
          <w:szCs w:val="20"/>
        </w:rPr>
        <w:t>n</w:t>
      </w:r>
      <w:r>
        <w:rPr>
          <w:sz w:val="20"/>
          <w:szCs w:val="20"/>
        </w:rPr>
        <w:t xml:space="preserve"> years. The Company’s policy provides for the capitalization of external direct costs of materials and services associated with developing or obtaining internal u</w:t>
      </w:r>
      <w:r>
        <w:rPr>
          <w:sz w:val="20"/>
          <w:szCs w:val="20"/>
        </w:rPr>
        <w:t>se computer software. In addition, the Company also capitalizes certain payroll and payroll-related costs for employees who are directly associated with internal use computer software projects. The amount of payroll costs that can be capitalized with respe</w:t>
      </w:r>
      <w:r>
        <w:rPr>
          <w:sz w:val="20"/>
          <w:szCs w:val="20"/>
        </w:rPr>
        <w:t xml:space="preserve">ct to these employees is limited to the time directly spent on such projects. Costs associated with preliminary project stage activities, training, maintenance and all other post-implementation stage activities are expensed as incurred.  As of </w:t>
      </w:r>
      <w:r>
        <w:rPr>
          <w:rStyle w:val="a6"/>
          <w:sz w:val="20"/>
          <w:szCs w:val="20"/>
        </w:rPr>
        <w:t>December 31,</w:t>
      </w:r>
      <w:r>
        <w:rPr>
          <w:rStyle w:val="a6"/>
          <w:sz w:val="20"/>
          <w:szCs w:val="20"/>
        </w:rPr>
        <w:t xml:space="preserve"> 2021 </w:t>
      </w:r>
      <w:r>
        <w:rPr>
          <w:sz w:val="20"/>
          <w:szCs w:val="20"/>
        </w:rPr>
        <w:t xml:space="preserve">and </w:t>
      </w:r>
      <w:r>
        <w:rPr>
          <w:rStyle w:val="a6"/>
          <w:sz w:val="20"/>
          <w:szCs w:val="20"/>
        </w:rPr>
        <w:t>2020,</w:t>
      </w:r>
      <w:r>
        <w:rPr>
          <w:sz w:val="20"/>
          <w:szCs w:val="20"/>
        </w:rPr>
        <w:t xml:space="preserve"> the Company had unamortized software development costs of $18.4 million and $19.1 million, respectively, which are included in Other assets on the Company’s Consolidated Balance Sheets.  The Company expensed $3.1 million, $3.2 million and $</w:t>
      </w:r>
      <w:r>
        <w:rPr>
          <w:sz w:val="20"/>
          <w:szCs w:val="20"/>
        </w:rPr>
        <w:t xml:space="preserve">1.7 million in amortization of software development costs during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760984306"/>
        <w:rPr>
          <w:rFonts w:eastAsia="Times New Roman"/>
          <w:sz w:val="20"/>
          <w:szCs w:val="20"/>
        </w:rPr>
      </w:pPr>
      <w:r>
        <w:rPr>
          <w:rStyle w:val="a6"/>
          <w:rFonts w:eastAsia="Times New Roman"/>
          <w:sz w:val="20"/>
          <w:szCs w:val="20"/>
        </w:rPr>
        <w:t>61</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3" style="width:415.3pt;height:1.5pt" o:hralign="center" o:hrstd="t" o:hrnoshade="t" o:hr="t" fillcolor="black" stroked="f"/>
        </w:pict>
      </w:r>
    </w:p>
    <w:p w:rsidR="00000000" w:rsidRDefault="001D2166">
      <w:pPr>
        <w:divId w:val="2730997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992708787"/>
        <w:rPr>
          <w:rFonts w:eastAsia="Times New Roman"/>
          <w:sz w:val="20"/>
          <w:szCs w:val="20"/>
        </w:rPr>
      </w:pPr>
      <w:r>
        <w:rPr>
          <w:rFonts w:eastAsia="Times New Roman"/>
          <w:sz w:val="20"/>
          <w:szCs w:val="20"/>
        </w:rPr>
        <w:t xml:space="preserve">KIMCO REALTY CORPORATION AND SUBSIDIARIES </w:t>
      </w:r>
    </w:p>
    <w:p w:rsidR="00000000" w:rsidRDefault="001D2166">
      <w:pPr>
        <w:divId w:val="784882740"/>
        <w:rPr>
          <w:rFonts w:eastAsia="Times New Roman"/>
          <w:sz w:val="20"/>
          <w:szCs w:val="20"/>
        </w:rPr>
      </w:pPr>
      <w:r>
        <w:rPr>
          <w:rFonts w:eastAsia="Times New Roman"/>
          <w:sz w:val="20"/>
          <w:szCs w:val="20"/>
        </w:rPr>
        <w:t xml:space="preserve">  </w:t>
      </w:r>
    </w:p>
    <w:p w:rsidR="00000000" w:rsidRDefault="001D2166">
      <w:pPr>
        <w:jc w:val="center"/>
        <w:divId w:val="458184911"/>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rPr>
          <w:sz w:val="20"/>
          <w:szCs w:val="20"/>
        </w:rPr>
      </w:pPr>
      <w:r>
        <w:rPr>
          <w:sz w:val="20"/>
          <w:szCs w:val="20"/>
          <w:u w:val="single"/>
        </w:rPr>
        <w:t>Def</w:t>
      </w:r>
      <w:r>
        <w:rPr>
          <w:sz w:val="20"/>
          <w:szCs w:val="20"/>
          <w:u w:val="single"/>
        </w:rPr>
        <w:t>erred Financing Costs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Costs incurred in obtaining long-term financing, included in Notes payable, net and Mortgages payable, net in the accompanying Consolidated Balance Sheets, are amortized on a straight-line basis, which approximates the effective int</w:t>
      </w:r>
      <w:r>
        <w:rPr>
          <w:sz w:val="20"/>
          <w:szCs w:val="20"/>
        </w:rPr>
        <w:t>erest method, over the terms of the related debt agreements, as applicable.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u w:val="single"/>
        </w:rPr>
        <w:t>Revenue, Trade Accounts Receivable and Gain Recognition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determines the proper amount of revenue to be recognized in accordance with ASU </w:t>
      </w:r>
      <w:r>
        <w:rPr>
          <w:rStyle w:val="a6"/>
          <w:sz w:val="20"/>
          <w:szCs w:val="20"/>
        </w:rPr>
        <w:t>2014</w:t>
      </w:r>
      <w:r>
        <w:rPr>
          <w:sz w:val="20"/>
          <w:szCs w:val="20"/>
        </w:rPr>
        <w:t>-</w:t>
      </w:r>
      <w:r>
        <w:rPr>
          <w:rStyle w:val="a6"/>
          <w:sz w:val="20"/>
          <w:szCs w:val="20"/>
        </w:rPr>
        <w:t>09,</w:t>
      </w:r>
      <w:r>
        <w:rPr>
          <w:sz w:val="20"/>
          <w:szCs w:val="20"/>
        </w:rPr>
        <w:t xml:space="preserve"> </w:t>
      </w:r>
      <w:r>
        <w:rPr>
          <w:i/>
          <w:iCs/>
          <w:sz w:val="20"/>
          <w:szCs w:val="20"/>
        </w:rPr>
        <w:t>Revenue from Contra</w:t>
      </w:r>
      <w:r>
        <w:rPr>
          <w:i/>
          <w:iCs/>
          <w:sz w:val="20"/>
          <w:szCs w:val="20"/>
        </w:rPr>
        <w:t xml:space="preserve">cts with Customers (Topic </w:t>
      </w:r>
      <w:r>
        <w:rPr>
          <w:rStyle w:val="a6"/>
          <w:sz w:val="20"/>
          <w:szCs w:val="20"/>
        </w:rPr>
        <w:t>606</w:t>
      </w:r>
      <w:r>
        <w:rPr>
          <w:i/>
          <w:iCs/>
          <w:sz w:val="20"/>
          <w:szCs w:val="20"/>
        </w:rPr>
        <w:t>)</w:t>
      </w:r>
      <w:r>
        <w:rPr>
          <w:sz w:val="20"/>
          <w:szCs w:val="20"/>
        </w:rPr>
        <w:t xml:space="preserve">, (“Topic </w:t>
      </w:r>
      <w:r>
        <w:rPr>
          <w:rStyle w:val="a6"/>
          <w:sz w:val="20"/>
          <w:szCs w:val="20"/>
        </w:rPr>
        <w:t>606”</w:t>
      </w:r>
      <w:r>
        <w:rPr>
          <w:sz w:val="20"/>
          <w:szCs w:val="20"/>
        </w:rPr>
        <w:t xml:space="preserve">), by performing the following steps: (i) identify the contract with the customer, (ii) identify the performance obligations within the contract, (iii) determine the transaction price, (iv) allocate the transaction price to the performance obligations and </w:t>
      </w:r>
      <w:r>
        <w:rPr>
          <w:sz w:val="20"/>
          <w:szCs w:val="20"/>
        </w:rPr>
        <w:t xml:space="preserve">(v) recognize revenue when (or as) a performance obligation is satisfied. As of </w:t>
      </w:r>
      <w:r>
        <w:rPr>
          <w:rStyle w:val="a6"/>
          <w:sz w:val="20"/>
          <w:szCs w:val="20"/>
        </w:rPr>
        <w:t xml:space="preserve">December 31, 2021, </w:t>
      </w:r>
      <w:r>
        <w:rPr>
          <w:sz w:val="20"/>
          <w:szCs w:val="20"/>
        </w:rPr>
        <w:t xml:space="preserve">the Company had </w:t>
      </w:r>
      <w:r>
        <w:rPr>
          <w:rStyle w:val="a6"/>
          <w:sz w:val="20"/>
          <w:szCs w:val="20"/>
        </w:rPr>
        <w:t>no</w:t>
      </w:r>
      <w:r>
        <w:rPr>
          <w:sz w:val="20"/>
          <w:szCs w:val="20"/>
        </w:rPr>
        <w:t xml:space="preserve"> outstanding contract assets or contract liabilities.</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primary source of revenues are derived from lease agreements which fa</w:t>
      </w:r>
      <w:r>
        <w:rPr>
          <w:sz w:val="20"/>
          <w:szCs w:val="20"/>
        </w:rPr>
        <w:t xml:space="preserve">ll under the scope of ASU </w:t>
      </w:r>
      <w:r>
        <w:rPr>
          <w:rStyle w:val="a6"/>
          <w:sz w:val="20"/>
          <w:szCs w:val="20"/>
        </w:rPr>
        <w:t>2016</w:t>
      </w:r>
      <w:r>
        <w:rPr>
          <w:sz w:val="20"/>
          <w:szCs w:val="20"/>
        </w:rPr>
        <w:t>-</w:t>
      </w:r>
      <w:r>
        <w:rPr>
          <w:rStyle w:val="a6"/>
          <w:sz w:val="20"/>
          <w:szCs w:val="20"/>
        </w:rPr>
        <w:t>02,</w:t>
      </w:r>
      <w:r>
        <w:rPr>
          <w:sz w:val="20"/>
          <w:szCs w:val="20"/>
        </w:rPr>
        <w:t xml:space="preserve"> </w:t>
      </w:r>
      <w:r>
        <w:rPr>
          <w:i/>
          <w:iCs/>
          <w:sz w:val="20"/>
          <w:szCs w:val="20"/>
        </w:rPr>
        <w:t xml:space="preserve">Leases (Topic </w:t>
      </w:r>
      <w:r>
        <w:rPr>
          <w:rStyle w:val="a6"/>
          <w:sz w:val="20"/>
          <w:szCs w:val="20"/>
        </w:rPr>
        <w:t>842</w:t>
      </w:r>
      <w:r>
        <w:rPr>
          <w:i/>
          <w:iCs/>
          <w:sz w:val="20"/>
          <w:szCs w:val="20"/>
        </w:rPr>
        <w:t>),</w:t>
      </w:r>
      <w:r>
        <w:rPr>
          <w:sz w:val="20"/>
          <w:szCs w:val="20"/>
        </w:rPr>
        <w:t xml:space="preserve"> (“Topic </w:t>
      </w:r>
      <w:r>
        <w:rPr>
          <w:rStyle w:val="a6"/>
          <w:sz w:val="20"/>
          <w:szCs w:val="20"/>
        </w:rPr>
        <w:t>842”</w:t>
      </w:r>
      <w:r>
        <w:rPr>
          <w:sz w:val="20"/>
          <w:szCs w:val="20"/>
        </w:rPr>
        <w:t xml:space="preserve">), which includes rental income and expense reimbursement income. The Company also has revenues which are accounted for under Topic </w:t>
      </w:r>
      <w:r>
        <w:rPr>
          <w:rStyle w:val="a6"/>
          <w:sz w:val="20"/>
          <w:szCs w:val="20"/>
        </w:rPr>
        <w:t>606,</w:t>
      </w:r>
      <w:r>
        <w:rPr>
          <w:sz w:val="20"/>
          <w:szCs w:val="20"/>
        </w:rPr>
        <w:t xml:space="preserve"> which include fees for services performed at various</w:t>
      </w:r>
      <w:r>
        <w:rPr>
          <w:sz w:val="20"/>
          <w:szCs w:val="20"/>
        </w:rPr>
        <w:t xml:space="preserve"> unconsolidated joint ventures for which the Company is the manager. These fees primarily include property and asset management fees, leasing fees, development fees and property acquisition/disposition fees. Also affected by Topic </w:t>
      </w:r>
      <w:r>
        <w:rPr>
          <w:rStyle w:val="a6"/>
          <w:sz w:val="20"/>
          <w:szCs w:val="20"/>
        </w:rPr>
        <w:t>606</w:t>
      </w:r>
      <w:r>
        <w:rPr>
          <w:sz w:val="20"/>
          <w:szCs w:val="20"/>
        </w:rPr>
        <w:t xml:space="preserve"> are gains on sales of</w:t>
      </w:r>
      <w:r>
        <w:rPr>
          <w:sz w:val="20"/>
          <w:szCs w:val="20"/>
        </w:rPr>
        <w:t xml:space="preserve"> properties and tax increment financing (“TIF”) contracts. The Company presents its revenue streams on the Company’s Consolidated Statements of Income as Revenues from rental properties, net and Management and other fee income.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Revenues from rental prope</w:t>
      </w:r>
      <w:r>
        <w:rPr>
          <w:i/>
          <w:iCs/>
          <w:sz w:val="20"/>
          <w:szCs w:val="20"/>
        </w:rPr>
        <w:t>rties, net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Revenues from rental properties, net are comprised of minimum base rent, percentage rent, lease termination fee income, amortization of above-market and below-market rent adjustments and straight-line rent adjustments. The Company accounts for</w:t>
      </w:r>
      <w:r>
        <w:rPr>
          <w:sz w:val="20"/>
          <w:szCs w:val="20"/>
        </w:rPr>
        <w:t xml:space="preserve"> lease and non-lease components as combined components under Topic </w:t>
      </w:r>
      <w:r>
        <w:rPr>
          <w:rStyle w:val="a6"/>
          <w:sz w:val="20"/>
          <w:szCs w:val="20"/>
        </w:rPr>
        <w:t>842.</w:t>
      </w:r>
      <w:r>
        <w:rPr>
          <w:sz w:val="20"/>
          <w:szCs w:val="20"/>
        </w:rPr>
        <w:t xml:space="preserve"> Non-lease components include reimbursements paid to the Company from tenants for common area maintenance costs and other operating expenses. The combined components are included in Rev</w:t>
      </w:r>
      <w:r>
        <w:rPr>
          <w:sz w:val="20"/>
          <w:szCs w:val="20"/>
        </w:rPr>
        <w:t>enues from rental properties, net on the Company’s Consolidated Statements of Income.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Base rental revenues from rental properties are recognized on a straight-line basis over the terms of the related leases. Certain of these leases also provide for perce</w:t>
      </w:r>
      <w:r>
        <w:rPr>
          <w:sz w:val="20"/>
          <w:szCs w:val="20"/>
        </w:rPr>
        <w:t xml:space="preserve">ntage rents based upon the level of sales achieved by the lessee.  These percentage rents are recognized once the required sales level is achieved.  Rental income </w:t>
      </w:r>
      <w:r>
        <w:rPr>
          <w:rStyle w:val="a6"/>
          <w:sz w:val="20"/>
          <w:szCs w:val="20"/>
        </w:rPr>
        <w:t xml:space="preserve">may </w:t>
      </w:r>
      <w:r>
        <w:rPr>
          <w:sz w:val="20"/>
          <w:szCs w:val="20"/>
        </w:rPr>
        <w:t>also include payments received in connection with lease termination agreements.  Lease te</w:t>
      </w:r>
      <w:r>
        <w:rPr>
          <w:sz w:val="20"/>
          <w:szCs w:val="20"/>
        </w:rPr>
        <w:t>rmination fee income is recognized when the lessee provides consideration in order to terminate an existing lease agreement and has vacated the leased space. If the lessee continues to occupy the leased space for a period of time after the lease terminatio</w:t>
      </w:r>
      <w:r>
        <w:rPr>
          <w:sz w:val="20"/>
          <w:szCs w:val="20"/>
        </w:rPr>
        <w:t>n is agreed upon, the termination fee is accounted for as a lease modification based on the modified lease term. Upon acquisition of real estate operating properties, the Company estimates the fair value of identified intangible assets and liabilities (inc</w:t>
      </w:r>
      <w:r>
        <w:rPr>
          <w:sz w:val="20"/>
          <w:szCs w:val="20"/>
        </w:rPr>
        <w:t>luding above-market and below-market leases, where applicable). The capitalized above-market or below-market intangible asset or liability is amortized to rental income over the estimated remaining term of the respective leases, which includes the expected</w:t>
      </w:r>
      <w:r>
        <w:rPr>
          <w:sz w:val="20"/>
          <w:szCs w:val="20"/>
        </w:rPr>
        <w:t xml:space="preserve"> renewal option period for below-market leases.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Also included in Revenues from rental properties, net are ancillary income and TIF income. Ancillary income is derived through various agreements relating to parking lots, clothing bins, temporary storage, </w:t>
      </w:r>
      <w:r>
        <w:rPr>
          <w:sz w:val="20"/>
          <w:szCs w:val="20"/>
        </w:rPr>
        <w:t>vending machines, ATMs, trash bins and trash collections, seasonal leases, etc. The majority of the revenue derived from these sources is through lease agreements/arrangements and is recognized in accordance with the lease terms described in the lease. The</w:t>
      </w:r>
      <w:r>
        <w:rPr>
          <w:sz w:val="20"/>
          <w:szCs w:val="20"/>
        </w:rPr>
        <w:t xml:space="preserve"> Company has TIF agreements with certain municipalities and receives payments in accordance with the agreements. TIF reimbursement income is recognized on a cash basis when received.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Management and other fee income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Property management fees, property acquisition and disposition fees, construction management fees, leasing fees and asset management fees all fall within the scope of Topic </w:t>
      </w:r>
      <w:r>
        <w:rPr>
          <w:rStyle w:val="a6"/>
          <w:sz w:val="20"/>
          <w:szCs w:val="20"/>
        </w:rPr>
        <w:t>606.</w:t>
      </w:r>
      <w:r>
        <w:rPr>
          <w:sz w:val="20"/>
          <w:szCs w:val="20"/>
        </w:rPr>
        <w:t xml:space="preserve"> These fees arise from contractual agreements with </w:t>
      </w:r>
      <w:r>
        <w:rPr>
          <w:rStyle w:val="a6"/>
          <w:sz w:val="20"/>
          <w:szCs w:val="20"/>
        </w:rPr>
        <w:t>third</w:t>
      </w:r>
      <w:r>
        <w:rPr>
          <w:sz w:val="20"/>
          <w:szCs w:val="20"/>
        </w:rPr>
        <w:t>-parties or with entiti</w:t>
      </w:r>
      <w:r>
        <w:rPr>
          <w:sz w:val="20"/>
          <w:szCs w:val="20"/>
        </w:rPr>
        <w:t>es in which the Company has a noncontrolling interest. Management and other fee income related to partially owned entities are recognized to the extent attributable to the unaffiliated interest. Property and asset management fee income is recognized as a s</w:t>
      </w:r>
      <w:r>
        <w:rPr>
          <w:sz w:val="20"/>
          <w:szCs w:val="20"/>
        </w:rPr>
        <w:t>ingle performance obligation (managing the property) comprised of a series of distinct services (maintaining property, handling tenant inquiries, etc.). The Company believes that the overall service of property management is substantially the same each day</w:t>
      </w:r>
      <w:r>
        <w:rPr>
          <w:sz w:val="20"/>
          <w:szCs w:val="20"/>
        </w:rPr>
        <w:t xml:space="preserve"> and has the same pattern of performance over the term of the agreement. As a result, each day of service represents a performance obligation satisfied at that point in time. The time-based output method is used to measure progress over time, as this is re</w:t>
      </w:r>
      <w:r>
        <w:rPr>
          <w:sz w:val="20"/>
          <w:szCs w:val="20"/>
        </w:rPr>
        <w:t>presentative of the transfer of the services.  These fees are recognized at the end of each period for services performed during that period, primarily billed to the customer monthly with payment due upon receipt.</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318344602"/>
        <w:rPr>
          <w:rFonts w:eastAsia="Times New Roman"/>
          <w:sz w:val="20"/>
          <w:szCs w:val="20"/>
        </w:rPr>
      </w:pPr>
      <w:r>
        <w:rPr>
          <w:rStyle w:val="a6"/>
          <w:rFonts w:eastAsia="Times New Roman"/>
          <w:sz w:val="20"/>
          <w:szCs w:val="20"/>
        </w:rPr>
        <w:t>62</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4" style="width:415.3pt;height:1.5pt" o:hralign="center" o:hrstd="t" o:hrnoshade="t" o:hr="t" fillcolor="black" stroked="f"/>
        </w:pict>
      </w:r>
    </w:p>
    <w:p w:rsidR="00000000" w:rsidRDefault="001D2166">
      <w:pPr>
        <w:divId w:val="14775263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252003704"/>
        <w:rPr>
          <w:rFonts w:eastAsia="Times New Roman"/>
          <w:sz w:val="20"/>
          <w:szCs w:val="20"/>
        </w:rPr>
      </w:pPr>
      <w:r>
        <w:rPr>
          <w:rFonts w:eastAsia="Times New Roman"/>
          <w:sz w:val="20"/>
          <w:szCs w:val="20"/>
        </w:rPr>
        <w:t xml:space="preserve">KIMCO REALTY CORPORATION AND SUBSIDIARIES </w:t>
      </w:r>
    </w:p>
    <w:p w:rsidR="00000000" w:rsidRDefault="001D2166">
      <w:pPr>
        <w:divId w:val="142746287"/>
        <w:rPr>
          <w:rFonts w:eastAsia="Times New Roman"/>
          <w:sz w:val="20"/>
          <w:szCs w:val="20"/>
        </w:rPr>
      </w:pPr>
      <w:r>
        <w:rPr>
          <w:rFonts w:eastAsia="Times New Roman"/>
          <w:sz w:val="20"/>
          <w:szCs w:val="20"/>
        </w:rPr>
        <w:t xml:space="preserve">  </w:t>
      </w:r>
    </w:p>
    <w:p w:rsidR="00000000" w:rsidRDefault="001D2166">
      <w:pPr>
        <w:jc w:val="center"/>
        <w:divId w:val="1737704171"/>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Leasing fee income is recognized as</w:t>
      </w:r>
      <w:r>
        <w:rPr>
          <w:sz w:val="20"/>
          <w:szCs w:val="20"/>
        </w:rPr>
        <w:t xml:space="preserve"> a single performance obligation primarily upon the rent commencement date. The Company believes the leasing services it provides are similar for each available space leased and </w:t>
      </w:r>
      <w:r>
        <w:rPr>
          <w:rStyle w:val="a6"/>
          <w:sz w:val="20"/>
          <w:szCs w:val="20"/>
        </w:rPr>
        <w:t>none</w:t>
      </w:r>
      <w:r>
        <w:rPr>
          <w:sz w:val="20"/>
          <w:szCs w:val="20"/>
        </w:rPr>
        <w:t xml:space="preserve"> of the individual activities necessary to facilitate the execution of eac</w:t>
      </w:r>
      <w:r>
        <w:rPr>
          <w:sz w:val="20"/>
          <w:szCs w:val="20"/>
        </w:rPr>
        <w:t>h lease are distinct. These fees are billed to the customer monthly with payment due upon receipt.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Property acquisition and disposition fees are recognized when the Company satisfies a performance obligation by acquiring a property or transferring contro</w:t>
      </w:r>
      <w:r>
        <w:rPr>
          <w:sz w:val="20"/>
          <w:szCs w:val="20"/>
        </w:rPr>
        <w:t>l of a property. These fees are billed subsequent to the acquisition or sale of the property and payment is due upon receipt.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Construction management fees are recognized as a single performance obligation (managing the construction of the project) compos</w:t>
      </w:r>
      <w:r>
        <w:rPr>
          <w:sz w:val="20"/>
          <w:szCs w:val="20"/>
        </w:rPr>
        <w:t>ed of a series of distinct services. The Company believes that the overall service of construction management is substantially the same each day and has the same pattern of performance over the term of the agreement. As a result, each day of service repres</w:t>
      </w:r>
      <w:r>
        <w:rPr>
          <w:sz w:val="20"/>
          <w:szCs w:val="20"/>
        </w:rPr>
        <w:t xml:space="preserve">ents a performance obligation satisfied at that point in time. These fees are based on the amount spent on the construction at the end of each period for services performed during that period, primarily billed to the customer monthly with payment due upon </w:t>
      </w:r>
      <w:r>
        <w:rPr>
          <w:sz w:val="20"/>
          <w:szCs w:val="20"/>
        </w:rPr>
        <w:t>receipt.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Trade Accounts Receivable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reviews its trade accounts receivable, including its straight-line rent receivable, related to base rents, straight-line rent, expense reimbursements and other revenues for collectability. When evaluating </w:t>
      </w:r>
      <w:r>
        <w:rPr>
          <w:sz w:val="20"/>
          <w:szCs w:val="20"/>
        </w:rPr>
        <w:t>the probability of the collection of the lessee’s total accounts receivable, including the corresponding straight-line rent receivable balance on a lease-by-lease basis; the Company considered the effects COVID-</w:t>
      </w:r>
      <w:r>
        <w:rPr>
          <w:rStyle w:val="a6"/>
          <w:sz w:val="20"/>
          <w:szCs w:val="20"/>
        </w:rPr>
        <w:t>19</w:t>
      </w:r>
      <w:r>
        <w:rPr>
          <w:sz w:val="20"/>
          <w:szCs w:val="20"/>
        </w:rPr>
        <w:t xml:space="preserve"> has had on its tenants, including the corr</w:t>
      </w:r>
      <w:r>
        <w:rPr>
          <w:sz w:val="20"/>
          <w:szCs w:val="20"/>
        </w:rPr>
        <w:t>esponding straight-line rent receivable. The Company’s analysis of its accounts receivable included (i) customer credit worthiness, (ii) assessment of risk associated with the tenant, and (iii) current economic trends. In addition, tenants in bankruptcy ar</w:t>
      </w:r>
      <w:r>
        <w:rPr>
          <w:sz w:val="20"/>
          <w:szCs w:val="20"/>
        </w:rPr>
        <w:t xml:space="preserve">e analyzed and considerations are made in connection with the expected recovery of pre-petition and post-petition bankruptcy claims. Effective </w:t>
      </w:r>
      <w:r>
        <w:rPr>
          <w:rStyle w:val="a6"/>
          <w:sz w:val="20"/>
          <w:szCs w:val="20"/>
        </w:rPr>
        <w:t xml:space="preserve">January 1, 2019, </w:t>
      </w:r>
      <w:r>
        <w:rPr>
          <w:sz w:val="20"/>
          <w:szCs w:val="20"/>
        </w:rPr>
        <w:t xml:space="preserve">in accordance with the adoption of Topic </w:t>
      </w:r>
      <w:r>
        <w:rPr>
          <w:rStyle w:val="a6"/>
          <w:sz w:val="20"/>
          <w:szCs w:val="20"/>
        </w:rPr>
        <w:t>842,</w:t>
      </w:r>
      <w:r>
        <w:rPr>
          <w:sz w:val="20"/>
          <w:szCs w:val="20"/>
        </w:rPr>
        <w:t xml:space="preserve"> the Company includes provision for doubtful accoun</w:t>
      </w:r>
      <w:r>
        <w:rPr>
          <w:sz w:val="20"/>
          <w:szCs w:val="20"/>
        </w:rPr>
        <w:t>ts in Revenues from rental properties, net. If a lessee’s accounts receivable balance is considered uncollectible, the Company will write-off the uncollectible receivable balances associated with the lease and will only recognize lease income on a cash bas</w:t>
      </w:r>
      <w:r>
        <w:rPr>
          <w:sz w:val="20"/>
          <w:szCs w:val="20"/>
        </w:rPr>
        <w:t xml:space="preserve">is. Lease income will then be limited to the lesser of (i) the straight-line rental income or (ii) the lease payments that have been collected from the lessee. In addition to the lease-specific collectability assessment performed under Topic </w:t>
      </w:r>
      <w:r>
        <w:rPr>
          <w:rStyle w:val="a6"/>
          <w:sz w:val="20"/>
          <w:szCs w:val="20"/>
        </w:rPr>
        <w:t>842,</w:t>
      </w:r>
      <w:r>
        <w:rPr>
          <w:sz w:val="20"/>
          <w:szCs w:val="20"/>
        </w:rPr>
        <w:t xml:space="preserve"> the analy</w:t>
      </w:r>
      <w:r>
        <w:rPr>
          <w:sz w:val="20"/>
          <w:szCs w:val="20"/>
        </w:rPr>
        <w:t xml:space="preserve">sis also recognizes a general reserve under ASC Topic </w:t>
      </w:r>
      <w:r>
        <w:rPr>
          <w:rStyle w:val="a6"/>
          <w:sz w:val="20"/>
          <w:szCs w:val="20"/>
        </w:rPr>
        <w:t>450</w:t>
      </w:r>
      <w:r>
        <w:rPr>
          <w:sz w:val="20"/>
          <w:szCs w:val="20"/>
        </w:rPr>
        <w:t xml:space="preserve"> </w:t>
      </w:r>
      <w:r>
        <w:rPr>
          <w:i/>
          <w:iCs/>
          <w:sz w:val="20"/>
          <w:szCs w:val="20"/>
        </w:rPr>
        <w:t>Contingencies</w:t>
      </w:r>
      <w:r>
        <w:rPr>
          <w:sz w:val="20"/>
          <w:szCs w:val="20"/>
        </w:rPr>
        <w:t xml:space="preserve">, as a reduction to Revenues from rental properties, for its portfolio of operating lease receivables which are </w:t>
      </w:r>
      <w:r>
        <w:rPr>
          <w:rStyle w:val="a6"/>
          <w:sz w:val="20"/>
          <w:szCs w:val="20"/>
        </w:rPr>
        <w:t>not</w:t>
      </w:r>
      <w:r>
        <w:rPr>
          <w:sz w:val="20"/>
          <w:szCs w:val="20"/>
        </w:rPr>
        <w:t xml:space="preserve"> expected to be fully collectible based on the Company’s historical an</w:t>
      </w:r>
      <w:r>
        <w:rPr>
          <w:sz w:val="20"/>
          <w:szCs w:val="20"/>
        </w:rPr>
        <w:t xml:space="preserve">d current collection experience and the potential for settlement of arrears. Although the Company estimates uncollectible receivables and provides for them through charges against revenues from rental properties, actual results </w:t>
      </w:r>
      <w:r>
        <w:rPr>
          <w:rStyle w:val="a6"/>
          <w:sz w:val="20"/>
          <w:szCs w:val="20"/>
        </w:rPr>
        <w:t xml:space="preserve">may </w:t>
      </w:r>
      <w:r>
        <w:rPr>
          <w:sz w:val="20"/>
          <w:szCs w:val="20"/>
        </w:rPr>
        <w:t>differ from those estima</w:t>
      </w:r>
      <w:r>
        <w:rPr>
          <w:sz w:val="20"/>
          <w:szCs w:val="20"/>
        </w:rPr>
        <w:t>tes. If the Company subsequently determines that it is probable it will collect the remaining lessee’s lease payments under the lease term, the Company will then reinstate the straight-line balance.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Since the outbreak of the COVID-</w:t>
      </w:r>
      <w:r>
        <w:rPr>
          <w:rStyle w:val="a6"/>
          <w:sz w:val="20"/>
          <w:szCs w:val="20"/>
        </w:rPr>
        <w:t>19</w:t>
      </w:r>
      <w:r>
        <w:rPr>
          <w:sz w:val="20"/>
          <w:szCs w:val="20"/>
        </w:rPr>
        <w:t xml:space="preserve"> pandemic, the Compan</w:t>
      </w:r>
      <w:r>
        <w:rPr>
          <w:sz w:val="20"/>
          <w:szCs w:val="20"/>
        </w:rPr>
        <w:t xml:space="preserve">y’s shopping centers have remained open; however, a substantial number of tenants had or continue to have temporarily or permanently closed their businesses. Others had, or continue to have, shortened their operating hours or offered reduced services. The </w:t>
      </w:r>
      <w:r>
        <w:rPr>
          <w:sz w:val="20"/>
          <w:szCs w:val="20"/>
        </w:rPr>
        <w:t>Company has also had a substantial number of tenants that have made late or partial rent payments, requested a deferral of rent payments or defaulted on rent payments. The Company considered the effects COVID-</w:t>
      </w:r>
      <w:r>
        <w:rPr>
          <w:rStyle w:val="a6"/>
          <w:sz w:val="20"/>
          <w:szCs w:val="20"/>
        </w:rPr>
        <w:t>19</w:t>
      </w:r>
      <w:r>
        <w:rPr>
          <w:sz w:val="20"/>
          <w:szCs w:val="20"/>
        </w:rPr>
        <w:t xml:space="preserve"> has had on its tenants when evaluating the a</w:t>
      </w:r>
      <w:r>
        <w:rPr>
          <w:sz w:val="20"/>
          <w:szCs w:val="20"/>
        </w:rPr>
        <w:t>dequacy of the collectability of the lessee’s total accounts receivable balance, including the corresponding straight-line rent receivable. Management’s estimate of the collectability of accrued rents and accounts receivable is based on the best informatio</w:t>
      </w:r>
      <w:r>
        <w:rPr>
          <w:sz w:val="20"/>
          <w:szCs w:val="20"/>
        </w:rPr>
        <w:t xml:space="preserve">n available to management at the time of evaluation. The Company has worked, and continues to work, with tenants to grant rent deferrals or rent waivers on a lease by lease basis. The deferrals generally have a repayment period of </w:t>
      </w:r>
      <w:r>
        <w:rPr>
          <w:rStyle w:val="a6"/>
          <w:sz w:val="20"/>
          <w:szCs w:val="20"/>
        </w:rPr>
        <w:t>six</w:t>
      </w:r>
      <w:r>
        <w:rPr>
          <w:sz w:val="20"/>
          <w:szCs w:val="20"/>
        </w:rPr>
        <w:t xml:space="preserve"> to </w:t>
      </w:r>
      <w:r>
        <w:rPr>
          <w:rStyle w:val="a6"/>
          <w:sz w:val="20"/>
          <w:szCs w:val="20"/>
        </w:rPr>
        <w:t>18</w:t>
      </w:r>
      <w:r>
        <w:rPr>
          <w:sz w:val="20"/>
          <w:szCs w:val="20"/>
        </w:rPr>
        <w:t xml:space="preserve"> months.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Gains</w:t>
      </w:r>
      <w:r>
        <w:rPr>
          <w:i/>
          <w:iCs/>
          <w:sz w:val="20"/>
          <w:szCs w:val="20"/>
        </w:rPr>
        <w:t xml:space="preserve"> on sale of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Gains and losses from the sale and/or transfer of nonfinancial assets, such as real estate property, are to be recognized when control of the asset transfers to the buyer, which will occur when the buyer has the ability to direct the use of or obtain subst</w:t>
      </w:r>
      <w:r>
        <w:rPr>
          <w:sz w:val="20"/>
          <w:szCs w:val="20"/>
        </w:rPr>
        <w:t>antially all of the remaining benefits from the asset. This generally occurs when the transaction closes and consideration is exchanged for control of the property.</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892836933"/>
        <w:rPr>
          <w:rFonts w:eastAsia="Times New Roman"/>
          <w:sz w:val="20"/>
          <w:szCs w:val="20"/>
        </w:rPr>
      </w:pPr>
      <w:r>
        <w:rPr>
          <w:rStyle w:val="a6"/>
          <w:rFonts w:eastAsia="Times New Roman"/>
          <w:sz w:val="20"/>
          <w:szCs w:val="20"/>
        </w:rPr>
        <w:t>63</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5" style="width:415.3pt;height:1.5pt" o:hralign="center" o:hrstd="t" o:hrnoshade="t" o:hr="t" fillcolor="black" stroked="f"/>
        </w:pict>
      </w:r>
    </w:p>
    <w:p w:rsidR="00000000" w:rsidRDefault="001D2166">
      <w:pPr>
        <w:divId w:val="84147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100566520"/>
        <w:rPr>
          <w:rFonts w:eastAsia="Times New Roman"/>
          <w:sz w:val="20"/>
          <w:szCs w:val="20"/>
        </w:rPr>
      </w:pPr>
      <w:r>
        <w:rPr>
          <w:rFonts w:eastAsia="Times New Roman"/>
          <w:sz w:val="20"/>
          <w:szCs w:val="20"/>
        </w:rPr>
        <w:t xml:space="preserve">KIMCO REALTY CORPORATION AND SUBSIDIARIES </w:t>
      </w:r>
    </w:p>
    <w:p w:rsidR="00000000" w:rsidRDefault="001D2166">
      <w:pPr>
        <w:divId w:val="1934626507"/>
        <w:rPr>
          <w:rFonts w:eastAsia="Times New Roman"/>
          <w:sz w:val="20"/>
          <w:szCs w:val="20"/>
        </w:rPr>
      </w:pPr>
      <w:r>
        <w:rPr>
          <w:rFonts w:eastAsia="Times New Roman"/>
          <w:sz w:val="20"/>
          <w:szCs w:val="20"/>
        </w:rPr>
        <w:t xml:space="preserve">  </w:t>
      </w:r>
    </w:p>
    <w:p w:rsidR="00000000" w:rsidRDefault="001D2166">
      <w:pPr>
        <w:jc w:val="center"/>
        <w:divId w:val="1016426660"/>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u w:val="single"/>
        </w:rPr>
        <w:t>Leases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accounts for its leases in accordance with ASU </w:t>
      </w:r>
      <w:r>
        <w:rPr>
          <w:rStyle w:val="a6"/>
          <w:sz w:val="20"/>
          <w:szCs w:val="20"/>
        </w:rPr>
        <w:t>2016</w:t>
      </w:r>
      <w:r>
        <w:rPr>
          <w:sz w:val="20"/>
          <w:szCs w:val="20"/>
        </w:rPr>
        <w:t>-</w:t>
      </w:r>
      <w:r>
        <w:rPr>
          <w:rStyle w:val="a6"/>
          <w:sz w:val="20"/>
          <w:szCs w:val="20"/>
        </w:rPr>
        <w:t>02</w:t>
      </w:r>
      <w:r>
        <w:rPr>
          <w:i/>
          <w:iCs/>
          <w:sz w:val="20"/>
          <w:szCs w:val="20"/>
        </w:rPr>
        <w:t>.</w:t>
      </w:r>
      <w:r>
        <w:rPr>
          <w:sz w:val="20"/>
          <w:szCs w:val="20"/>
        </w:rPr>
        <w:t xml:space="preserve"> The Company has right-of-use (“ROU”) assets and lease liabilities on its balance sheet for those leases classified as operating and financing leases where the Company is a lessee.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Lessor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April 2020, </w:t>
      </w:r>
      <w:r>
        <w:rPr>
          <w:sz w:val="20"/>
          <w:szCs w:val="20"/>
        </w:rPr>
        <w:t>the FASB staff developed a question-and-answer d</w:t>
      </w:r>
      <w:r>
        <w:rPr>
          <w:sz w:val="20"/>
          <w:szCs w:val="20"/>
        </w:rPr>
        <w:t xml:space="preserve">ocument, </w:t>
      </w:r>
      <w:r>
        <w:rPr>
          <w:i/>
          <w:iCs/>
          <w:sz w:val="20"/>
          <w:szCs w:val="20"/>
        </w:rPr>
        <w:t xml:space="preserve">Topic </w:t>
      </w:r>
      <w:r>
        <w:rPr>
          <w:rStyle w:val="a6"/>
          <w:sz w:val="20"/>
          <w:szCs w:val="20"/>
        </w:rPr>
        <w:t>842</w:t>
      </w:r>
      <w:r>
        <w:rPr>
          <w:i/>
          <w:iCs/>
          <w:sz w:val="20"/>
          <w:szCs w:val="20"/>
        </w:rPr>
        <w:t xml:space="preserve"> and Topic </w:t>
      </w:r>
      <w:r>
        <w:rPr>
          <w:rStyle w:val="a6"/>
          <w:sz w:val="20"/>
          <w:szCs w:val="20"/>
        </w:rPr>
        <w:t>840:</w:t>
      </w:r>
      <w:r>
        <w:rPr>
          <w:i/>
          <w:iCs/>
          <w:sz w:val="20"/>
          <w:szCs w:val="20"/>
        </w:rPr>
        <w:t xml:space="preserve"> Accounting for Lease Concessions related to the Effects of the COVID-</w:t>
      </w:r>
      <w:r>
        <w:rPr>
          <w:rStyle w:val="a6"/>
          <w:sz w:val="20"/>
          <w:szCs w:val="20"/>
        </w:rPr>
        <w:t>19</w:t>
      </w:r>
      <w:r>
        <w:rPr>
          <w:i/>
          <w:iCs/>
          <w:sz w:val="20"/>
          <w:szCs w:val="20"/>
        </w:rPr>
        <w:t xml:space="preserve"> Pandemic</w:t>
      </w:r>
      <w:r>
        <w:rPr>
          <w:sz w:val="20"/>
          <w:szCs w:val="20"/>
        </w:rPr>
        <w:t xml:space="preserve">, which focuses on the application of the lease guidance in Topic </w:t>
      </w:r>
      <w:r>
        <w:rPr>
          <w:rStyle w:val="a6"/>
          <w:sz w:val="20"/>
          <w:szCs w:val="20"/>
        </w:rPr>
        <w:t>842,</w:t>
      </w:r>
      <w:r>
        <w:rPr>
          <w:sz w:val="20"/>
          <w:szCs w:val="20"/>
        </w:rPr>
        <w:t xml:space="preserve"> Leases for lease concessions related to the effects of the COVID-</w:t>
      </w:r>
      <w:r>
        <w:rPr>
          <w:rStyle w:val="a6"/>
          <w:sz w:val="20"/>
          <w:szCs w:val="20"/>
        </w:rPr>
        <w:t>19</w:t>
      </w:r>
      <w:r>
        <w:rPr>
          <w:sz w:val="20"/>
          <w:szCs w:val="20"/>
        </w:rPr>
        <w:t xml:space="preserve"> </w:t>
      </w:r>
      <w:r>
        <w:rPr>
          <w:sz w:val="20"/>
          <w:szCs w:val="20"/>
        </w:rPr>
        <w:t xml:space="preserve">pandemic. As such, an entity can elect </w:t>
      </w:r>
      <w:r>
        <w:rPr>
          <w:rStyle w:val="a6"/>
          <w:sz w:val="20"/>
          <w:szCs w:val="20"/>
        </w:rPr>
        <w:t>not</w:t>
      </w:r>
      <w:r>
        <w:rPr>
          <w:sz w:val="20"/>
          <w:szCs w:val="20"/>
        </w:rPr>
        <w:t xml:space="preserve"> to evaluate whether certain relief provided by a lessor in response to the COVID-</w:t>
      </w:r>
      <w:r>
        <w:rPr>
          <w:rStyle w:val="a6"/>
          <w:sz w:val="20"/>
          <w:szCs w:val="20"/>
        </w:rPr>
        <w:t>19</w:t>
      </w:r>
      <w:r>
        <w:rPr>
          <w:sz w:val="20"/>
          <w:szCs w:val="20"/>
        </w:rPr>
        <w:t xml:space="preserve"> pandemic is a lease modification. An entity that makes this election can then elect to apply the modification guidance to that re</w:t>
      </w:r>
      <w:r>
        <w:rPr>
          <w:sz w:val="20"/>
          <w:szCs w:val="20"/>
        </w:rPr>
        <w:t>lief or account for the concession as if it were contemplated as part of the existing contract. This election is available for concessions related to the effects of the COVID-</w:t>
      </w:r>
      <w:r>
        <w:rPr>
          <w:rStyle w:val="a6"/>
          <w:sz w:val="20"/>
          <w:szCs w:val="20"/>
        </w:rPr>
        <w:t>19</w:t>
      </w:r>
      <w:r>
        <w:rPr>
          <w:sz w:val="20"/>
          <w:szCs w:val="20"/>
        </w:rPr>
        <w:t xml:space="preserve"> pandemic that do </w:t>
      </w:r>
      <w:r>
        <w:rPr>
          <w:rStyle w:val="a6"/>
          <w:sz w:val="20"/>
          <w:szCs w:val="20"/>
        </w:rPr>
        <w:t>not</w:t>
      </w:r>
      <w:r>
        <w:rPr>
          <w:sz w:val="20"/>
          <w:szCs w:val="20"/>
        </w:rPr>
        <w:t xml:space="preserve"> result in a substantial increase in the rights of the les</w:t>
      </w:r>
      <w:r>
        <w:rPr>
          <w:sz w:val="20"/>
          <w:szCs w:val="20"/>
        </w:rPr>
        <w:t>sor or the obligations of the lessee. For example, this election is available for concessions that result in the total payments required by the modified contract being substantially the same as or less than total payments required by the original contract.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Some concessions will provide a deferral of payments with </w:t>
      </w:r>
      <w:r>
        <w:rPr>
          <w:rStyle w:val="a6"/>
          <w:sz w:val="20"/>
          <w:szCs w:val="20"/>
        </w:rPr>
        <w:t>no</w:t>
      </w:r>
      <w:r>
        <w:rPr>
          <w:sz w:val="20"/>
          <w:szCs w:val="20"/>
        </w:rPr>
        <w:t xml:space="preserve"> substantive changes to the consideration in the original contract. A deferral affects the timing of cash receipts, but the amount of the consideration is substantially the same as that require</w:t>
      </w:r>
      <w:r>
        <w:rPr>
          <w:sz w:val="20"/>
          <w:szCs w:val="20"/>
        </w:rPr>
        <w:t xml:space="preserve">d by the original contract. The FASB staff expects that there will be multiple ways to account for those deferrals, </w:t>
      </w:r>
      <w:r>
        <w:rPr>
          <w:rStyle w:val="a6"/>
          <w:sz w:val="20"/>
          <w:szCs w:val="20"/>
        </w:rPr>
        <w:t>none</w:t>
      </w:r>
      <w:r>
        <w:rPr>
          <w:sz w:val="20"/>
          <w:szCs w:val="20"/>
        </w:rPr>
        <w:t xml:space="preserve"> of which the FASB staff believes are preferable to the others. Two of those methods are:</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(i)</w:t>
            </w:r>
          </w:p>
        </w:tc>
        <w:tc>
          <w:tcPr>
            <w:tcW w:w="0" w:type="auto"/>
            <w:hideMark/>
          </w:tcPr>
          <w:p w:rsidR="00000000" w:rsidRDefault="001D2166">
            <w:pPr>
              <w:pStyle w:val="a3"/>
              <w:spacing w:before="0" w:beforeAutospacing="0" w:after="0" w:afterAutospacing="0"/>
              <w:rPr>
                <w:sz w:val="20"/>
                <w:szCs w:val="20"/>
              </w:rPr>
            </w:pPr>
            <w:r>
              <w:rPr>
                <w:sz w:val="20"/>
                <w:szCs w:val="20"/>
              </w:rPr>
              <w:t xml:space="preserve">Account for the concessions as if </w:t>
            </w:r>
            <w:r>
              <w:rPr>
                <w:rStyle w:val="a6"/>
                <w:sz w:val="20"/>
                <w:szCs w:val="20"/>
              </w:rPr>
              <w:t>no</w:t>
            </w:r>
            <w:r>
              <w:rPr>
                <w:sz w:val="20"/>
                <w:szCs w:val="20"/>
              </w:rPr>
              <w:t xml:space="preserve"> c</w:t>
            </w:r>
            <w:r>
              <w:rPr>
                <w:sz w:val="20"/>
                <w:szCs w:val="20"/>
              </w:rPr>
              <w:t>hanges to the lease contract were made. Under that accounting, a lessor would increase its lease receivable and a lessee would increase its accounts payable as receivables/payments accrue. In its income statement, a lessor would continue to recognize incom</w:t>
            </w:r>
            <w:r>
              <w:rPr>
                <w:sz w:val="20"/>
                <w:szCs w:val="20"/>
              </w:rPr>
              <w:t>e and a lessee would continue to recognize expense during the deferral period.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(ii)</w:t>
            </w:r>
          </w:p>
        </w:tc>
        <w:tc>
          <w:tcPr>
            <w:tcW w:w="0" w:type="auto"/>
            <w:hideMark/>
          </w:tcPr>
          <w:p w:rsidR="00000000" w:rsidRDefault="001D2166">
            <w:pPr>
              <w:pStyle w:val="a3"/>
              <w:spacing w:before="0" w:beforeAutospacing="0" w:after="0" w:afterAutospacing="0"/>
              <w:rPr>
                <w:sz w:val="20"/>
                <w:szCs w:val="20"/>
              </w:rPr>
            </w:pPr>
            <w:r>
              <w:rPr>
                <w:sz w:val="20"/>
                <w:szCs w:val="20"/>
              </w:rPr>
              <w:t>Account for the deferred payments as variable lease payments.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as a lessor has elected to apply the modification relief as described in (i) above to the lease concessions it has entered into during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for rental income recognized related to the COVID-</w:t>
      </w:r>
      <w:r>
        <w:rPr>
          <w:rStyle w:val="a6"/>
          <w:sz w:val="20"/>
          <w:szCs w:val="20"/>
        </w:rPr>
        <w:t>19</w:t>
      </w:r>
      <w:r>
        <w:rPr>
          <w:sz w:val="20"/>
          <w:szCs w:val="20"/>
        </w:rPr>
        <w:t xml:space="preserve"> pandemic.</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L</w:t>
      </w:r>
      <w:r>
        <w:rPr>
          <w:i/>
          <w:iCs/>
          <w:sz w:val="20"/>
          <w:szCs w:val="20"/>
        </w:rPr>
        <w:t>essee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Company’s leases where it is the lessee primarily consist of ground leases and administrative office leases. The Company classifies leases based on whether the arrangement is effectively a purchase of the underlying asset. Leases that transfer </w:t>
      </w:r>
      <w:r>
        <w:rPr>
          <w:sz w:val="20"/>
          <w:szCs w:val="20"/>
        </w:rPr>
        <w:t>control of the underlying asset to a lessee are classified as finance leases and all other leases as operating leases. ROU assets represent the Company’s right to use an underlying asset for the lease term and lease liabilities represent the Company’s obli</w:t>
      </w:r>
      <w:r>
        <w:rPr>
          <w:sz w:val="20"/>
          <w:szCs w:val="20"/>
        </w:rPr>
        <w:t xml:space="preserve">gation to make lease payments arising from the lease. In connection with the Merger, the Company acquired two properties under finance leasing arrangements that consists of variable lease payments with a bargain purchase option which are included in Other </w:t>
      </w:r>
      <w:r>
        <w:rPr>
          <w:sz w:val="20"/>
          <w:szCs w:val="20"/>
        </w:rPr>
        <w:t>assets, on the Company’s Consolidated Balance Sheets.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ROU assets and lease liabilities are recognized at the commencement date of the lease and liabilities are determined based on the estimated present value of the Company’s minimum lease payments under </w:t>
      </w:r>
      <w:r>
        <w:rPr>
          <w:sz w:val="20"/>
          <w:szCs w:val="20"/>
        </w:rPr>
        <w:t>its lease agreements. Variable lease payments are excluded from the lease liabilities and corresponding ROU assets, as they are recognized in the period in which the obligation for those payments is incurred. Certain of the Company’s leases have renewal op</w:t>
      </w:r>
      <w:r>
        <w:rPr>
          <w:sz w:val="20"/>
          <w:szCs w:val="20"/>
        </w:rPr>
        <w:t>tions for which the Company assesses whether it is reasonably certain the Company will exercise these renewal options. Lease payments associated with renewal options that the Company is reasonably certain will be exercised are included in the measurement o</w:t>
      </w:r>
      <w:r>
        <w:rPr>
          <w:sz w:val="20"/>
          <w:szCs w:val="20"/>
        </w:rPr>
        <w:t>f the lease liabilities and corresponding ROU assets. The discount rate used to determine the lease liabilities is based on the estimated incremental borrowing rate on a lease-by-lease basis. When calculating the incremental borrowing rates, the Company ut</w:t>
      </w:r>
      <w:r>
        <w:rPr>
          <w:sz w:val="20"/>
          <w:szCs w:val="20"/>
        </w:rPr>
        <w:t>ilized data from (i) its recent debt issuances, (ii) publicly available data for instruments with similar characteristics, (iii) observable mortgage rates and (iv) unlevered property yields and discount rates. The Company then applied adjustments to accoun</w:t>
      </w:r>
      <w:r>
        <w:rPr>
          <w:sz w:val="20"/>
          <w:szCs w:val="20"/>
        </w:rPr>
        <w:t xml:space="preserve">t for considerations related to term and security that </w:t>
      </w:r>
      <w:r>
        <w:rPr>
          <w:rStyle w:val="a6"/>
          <w:sz w:val="20"/>
          <w:szCs w:val="20"/>
        </w:rPr>
        <w:t>may not</w:t>
      </w:r>
      <w:r>
        <w:rPr>
          <w:sz w:val="20"/>
          <w:szCs w:val="20"/>
        </w:rPr>
        <w:t xml:space="preserve"> be fully incorporated by the data sets. Rental expense for lease payments is recognized on a straight-line basis over the lease term. See Note </w:t>
      </w:r>
      <w:r>
        <w:rPr>
          <w:rStyle w:val="a6"/>
          <w:sz w:val="20"/>
          <w:szCs w:val="20"/>
        </w:rPr>
        <w:t>12</w:t>
      </w:r>
      <w:r>
        <w:rPr>
          <w:sz w:val="20"/>
          <w:szCs w:val="20"/>
        </w:rPr>
        <w:t xml:space="preserve"> to the Company’s Consolidated Financial Stateme</w:t>
      </w:r>
      <w:r>
        <w:rPr>
          <w:sz w:val="20"/>
          <w:szCs w:val="20"/>
        </w:rPr>
        <w:t>nts for further details.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91710863"/>
        <w:rPr>
          <w:rFonts w:eastAsia="Times New Roman"/>
          <w:sz w:val="20"/>
          <w:szCs w:val="20"/>
        </w:rPr>
      </w:pPr>
      <w:r>
        <w:rPr>
          <w:rStyle w:val="a6"/>
          <w:rFonts w:eastAsia="Times New Roman"/>
          <w:sz w:val="20"/>
          <w:szCs w:val="20"/>
        </w:rPr>
        <w:t>64</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6" style="width:415.3pt;height:1.5pt" o:hralign="center" o:hrstd="t" o:hrnoshade="t" o:hr="t" fillcolor="black" stroked="f"/>
        </w:pict>
      </w:r>
    </w:p>
    <w:p w:rsidR="00000000" w:rsidRDefault="001D2166">
      <w:pPr>
        <w:divId w:val="9692413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960719949"/>
        <w:rPr>
          <w:rFonts w:eastAsia="Times New Roman"/>
          <w:sz w:val="20"/>
          <w:szCs w:val="20"/>
        </w:rPr>
      </w:pPr>
      <w:r>
        <w:rPr>
          <w:rFonts w:eastAsia="Times New Roman"/>
          <w:sz w:val="20"/>
          <w:szCs w:val="20"/>
        </w:rPr>
        <w:t xml:space="preserve">KIMCO REALTY CORPORATION AND SUBSIDIARIES </w:t>
      </w:r>
    </w:p>
    <w:p w:rsidR="00000000" w:rsidRDefault="001D2166">
      <w:pPr>
        <w:divId w:val="1353452700"/>
        <w:rPr>
          <w:rFonts w:eastAsia="Times New Roman"/>
          <w:sz w:val="20"/>
          <w:szCs w:val="20"/>
        </w:rPr>
      </w:pPr>
      <w:r>
        <w:rPr>
          <w:rFonts w:eastAsia="Times New Roman"/>
          <w:sz w:val="20"/>
          <w:szCs w:val="20"/>
        </w:rPr>
        <w:t xml:space="preserve">  </w:t>
      </w:r>
    </w:p>
    <w:p w:rsidR="00000000" w:rsidRDefault="001D2166">
      <w:pPr>
        <w:jc w:val="center"/>
        <w:divId w:val="1864858325"/>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u w:val="single"/>
        </w:rPr>
        <w:t>Income Taxes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elected to qualify as a REIT for federal income tax purposes commencing with its taxable year </w:t>
      </w:r>
      <w:r>
        <w:rPr>
          <w:rStyle w:val="a6"/>
          <w:sz w:val="20"/>
          <w:szCs w:val="20"/>
        </w:rPr>
        <w:t xml:space="preserve">January 1, 1992 </w:t>
      </w:r>
      <w:r>
        <w:rPr>
          <w:sz w:val="20"/>
          <w:szCs w:val="20"/>
        </w:rPr>
        <w:t xml:space="preserve">and operates in a manner that enables the Company to qualify and maintain its status as a REIT. Accordingly, the Company generally will </w:t>
      </w:r>
      <w:r>
        <w:rPr>
          <w:rStyle w:val="a6"/>
          <w:sz w:val="20"/>
          <w:szCs w:val="20"/>
        </w:rPr>
        <w:t>not</w:t>
      </w:r>
      <w:r>
        <w:rPr>
          <w:sz w:val="20"/>
          <w:szCs w:val="20"/>
        </w:rPr>
        <w:t xml:space="preserve"> be subject to federal income tax, provided that distributions to its stockholders equal at least the amount of its R</w:t>
      </w:r>
      <w:r>
        <w:rPr>
          <w:sz w:val="20"/>
          <w:szCs w:val="20"/>
        </w:rPr>
        <w:t xml:space="preserve">EIT taxable income as defined under Sections </w:t>
      </w:r>
      <w:r>
        <w:rPr>
          <w:rStyle w:val="a6"/>
          <w:sz w:val="20"/>
          <w:szCs w:val="20"/>
        </w:rPr>
        <w:t>856</w:t>
      </w:r>
      <w:r>
        <w:rPr>
          <w:sz w:val="20"/>
          <w:szCs w:val="20"/>
        </w:rPr>
        <w:t xml:space="preserve"> through </w:t>
      </w:r>
      <w:r>
        <w:rPr>
          <w:rStyle w:val="a6"/>
          <w:sz w:val="20"/>
          <w:szCs w:val="20"/>
        </w:rPr>
        <w:t>860</w:t>
      </w:r>
      <w:r>
        <w:rPr>
          <w:sz w:val="20"/>
          <w:szCs w:val="20"/>
        </w:rPr>
        <w:t xml:space="preserve"> of the Code. Most states, in which the Company holds investments in real estate, conform to the federal rules recognizing REITs.  </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maintains certain subsidiaries which made joint el</w:t>
      </w:r>
      <w:r>
        <w:rPr>
          <w:sz w:val="20"/>
          <w:szCs w:val="20"/>
        </w:rPr>
        <w:t xml:space="preserve">ections with the Company to be treated as taxable REIT subsidiaries (“TRSs”), which permit the Company to engage through such TRSs in certain business activities that the REIT </w:t>
      </w:r>
      <w:r>
        <w:rPr>
          <w:rStyle w:val="a6"/>
          <w:sz w:val="20"/>
          <w:szCs w:val="20"/>
        </w:rPr>
        <w:t>may not</w:t>
      </w:r>
      <w:r>
        <w:rPr>
          <w:sz w:val="20"/>
          <w:szCs w:val="20"/>
        </w:rPr>
        <w:t xml:space="preserve"> conduct directly. A TRS is subject to federal and state income taxes on </w:t>
      </w:r>
      <w:r>
        <w:rPr>
          <w:sz w:val="20"/>
          <w:szCs w:val="20"/>
        </w:rPr>
        <w:t>its income, and the Company includes a provision for taxes in its consolidated financial statements.  As such, the Company, through its wholly owned TRSs, has been engaged in various retail real estate related opportunities including retail real estate man</w:t>
      </w:r>
      <w:r>
        <w:rPr>
          <w:sz w:val="20"/>
          <w:szCs w:val="20"/>
        </w:rPr>
        <w:t xml:space="preserve">agement and disposition services which primarily focus on leasing and disposition strategies of retail real estate controlled by both healthy and distressed and/or bankrupt retailers. The Company </w:t>
      </w:r>
      <w:r>
        <w:rPr>
          <w:rStyle w:val="a6"/>
          <w:sz w:val="20"/>
          <w:szCs w:val="20"/>
        </w:rPr>
        <w:t xml:space="preserve">may </w:t>
      </w:r>
      <w:r>
        <w:rPr>
          <w:sz w:val="20"/>
          <w:szCs w:val="20"/>
        </w:rPr>
        <w:t>consider other investments through its TRSs should suita</w:t>
      </w:r>
      <w:r>
        <w:rPr>
          <w:sz w:val="20"/>
          <w:szCs w:val="20"/>
        </w:rPr>
        <w:t xml:space="preserve">ble opportunities arise. The Company is subject to and also includes in its tax provision non-U.S. income taxes on certain investments located in jurisdictions outside the U.S. These investments are held by the Company at the REIT level and </w:t>
      </w:r>
      <w:r>
        <w:rPr>
          <w:rStyle w:val="a6"/>
          <w:sz w:val="20"/>
          <w:szCs w:val="20"/>
        </w:rPr>
        <w:t>not</w:t>
      </w:r>
      <w:r>
        <w:rPr>
          <w:sz w:val="20"/>
          <w:szCs w:val="20"/>
        </w:rPr>
        <w:t xml:space="preserve"> in the Comp</w:t>
      </w:r>
      <w:r>
        <w:rPr>
          <w:sz w:val="20"/>
          <w:szCs w:val="20"/>
        </w:rPr>
        <w:t xml:space="preserve">any’s TRSs.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Income taxes are accounted for under the asset and liability method. Deferre</w:t>
      </w:r>
      <w:r>
        <w:rPr>
          <w:sz w:val="20"/>
          <w:szCs w:val="20"/>
        </w:rPr>
        <w:t xml:space="preserve">d tax assets and liabilities are recognized for the estimated future tax consequences attributable to differences between the financial statement carrying amounts of existing assets and liabilities and their respective tax bases and operating loss and tax </w:t>
      </w:r>
      <w:r>
        <w:rPr>
          <w:sz w:val="20"/>
          <w:szCs w:val="20"/>
        </w:rPr>
        <w:t xml:space="preserve">credit carryforwards. Deferred tax assets and liabilities are measured using enacted tax rates in effect for the year in which those temporary differences are expected to be recovered or settled. The Company provides a valuation allowance for deferred tax </w:t>
      </w:r>
      <w:r>
        <w:rPr>
          <w:sz w:val="20"/>
          <w:szCs w:val="20"/>
        </w:rPr>
        <w:t xml:space="preserve">assets for which it does </w:t>
      </w:r>
      <w:r>
        <w:rPr>
          <w:rStyle w:val="a6"/>
          <w:sz w:val="20"/>
          <w:szCs w:val="20"/>
        </w:rPr>
        <w:t>not</w:t>
      </w:r>
      <w:r>
        <w:rPr>
          <w:sz w:val="20"/>
          <w:szCs w:val="20"/>
        </w:rPr>
        <w:t xml:space="preserve"> consider realization of such assets to be more likely than </w:t>
      </w:r>
      <w:r>
        <w:rPr>
          <w:rStyle w:val="a6"/>
          <w:sz w:val="20"/>
          <w:szCs w:val="20"/>
        </w:rPr>
        <w:t>not.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reviews the need to establish a valuation allowance against deferred tax assets on a quarterly basis. The review includes an analysis of various fact</w:t>
      </w:r>
      <w:r>
        <w:rPr>
          <w:sz w:val="20"/>
          <w:szCs w:val="20"/>
        </w:rPr>
        <w:t>ors, such as future reversals of existing taxable temporary differences, the capacity for the carryback or carryforward of any losses, the expected occurrence of future income or loss and available tax planning strategies.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applies the FASB’s </w:t>
      </w:r>
      <w:r>
        <w:rPr>
          <w:sz w:val="20"/>
          <w:szCs w:val="20"/>
        </w:rPr>
        <w:t xml:space="preserve">guidance relating to uncertainty in income taxes recognized in a Company’s financial statements. Under this guidance the Company </w:t>
      </w:r>
      <w:r>
        <w:rPr>
          <w:rStyle w:val="a6"/>
          <w:sz w:val="20"/>
          <w:szCs w:val="20"/>
        </w:rPr>
        <w:t xml:space="preserve">may </w:t>
      </w:r>
      <w:r>
        <w:rPr>
          <w:sz w:val="20"/>
          <w:szCs w:val="20"/>
        </w:rPr>
        <w:t xml:space="preserve">recognize the tax benefit from an uncertain tax position only if it is more likely than </w:t>
      </w:r>
      <w:r>
        <w:rPr>
          <w:rStyle w:val="a6"/>
          <w:sz w:val="20"/>
          <w:szCs w:val="20"/>
        </w:rPr>
        <w:t>not</w:t>
      </w:r>
      <w:r>
        <w:rPr>
          <w:sz w:val="20"/>
          <w:szCs w:val="20"/>
        </w:rPr>
        <w:t xml:space="preserve"> that the tax position will be s</w:t>
      </w:r>
      <w:r>
        <w:rPr>
          <w:sz w:val="20"/>
          <w:szCs w:val="20"/>
        </w:rPr>
        <w:t xml:space="preserve">ustained on examination by taxing authorities, based on the technical merits of the position. The tax benefits recognized in the financial statements from such a position are measured based on the largest benefit that has a greater than </w:t>
      </w:r>
      <w:r>
        <w:rPr>
          <w:rStyle w:val="a6"/>
          <w:sz w:val="20"/>
          <w:szCs w:val="20"/>
        </w:rPr>
        <w:t>fifty</w:t>
      </w:r>
      <w:r>
        <w:rPr>
          <w:sz w:val="20"/>
          <w:szCs w:val="20"/>
        </w:rPr>
        <w:t xml:space="preserve"> percent likel</w:t>
      </w:r>
      <w:r>
        <w:rPr>
          <w:sz w:val="20"/>
          <w:szCs w:val="20"/>
        </w:rPr>
        <w:t>ihood of being realized upon ultimate settlement. The guidance on accounting for uncertainty in income taxes also provides guidance on de-recognition, classification, interest and penalties on income taxes, and accounting in interim periods.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Noncontrolli</w:t>
      </w:r>
      <w:r>
        <w:rPr>
          <w:sz w:val="20"/>
          <w:szCs w:val="20"/>
          <w:u w:val="single"/>
        </w:rPr>
        <w:t>ng Interests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accounts for noncontrolling interests in accordance with the Consolidation guidance and the Distinguishing Liabilities from Equity guidance issued by the FASB. Noncontrolling interests represent the portion of equity that the Com</w:t>
      </w:r>
      <w:r>
        <w:rPr>
          <w:sz w:val="20"/>
          <w:szCs w:val="20"/>
        </w:rPr>
        <w:t xml:space="preserve">pany does </w:t>
      </w:r>
      <w:r>
        <w:rPr>
          <w:rStyle w:val="a6"/>
          <w:sz w:val="20"/>
          <w:szCs w:val="20"/>
        </w:rPr>
        <w:t>not</w:t>
      </w:r>
      <w:r>
        <w:rPr>
          <w:sz w:val="20"/>
          <w:szCs w:val="20"/>
        </w:rPr>
        <w:t xml:space="preserve"> own in those entities it consolidates. The Company identifies its noncontrolling interests separately within the equity section on the Company’s Consolidated Balance Sheets. The amounts of consolidated net earnings attributable to the Company</w:t>
      </w:r>
      <w:r>
        <w:rPr>
          <w:sz w:val="20"/>
          <w:szCs w:val="20"/>
        </w:rPr>
        <w:t xml:space="preserve"> and to the noncontrolling interests are presented separately on the Company’s Consolidated Statements of Income.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Noncontrolling interests also include amounts related to partnership units issued by consolidated subsidiaries of the Company in connection</w:t>
      </w:r>
      <w:r>
        <w:rPr>
          <w:sz w:val="20"/>
          <w:szCs w:val="20"/>
        </w:rPr>
        <w:t xml:space="preserve"> with certain property acquisitions. These units have a stated redemption value or a defined redemption amount based upon the trading price of the Company’s common stock and provides the unit holders various rates of return during the holding period. The u</w:t>
      </w:r>
      <w:r>
        <w:rPr>
          <w:sz w:val="20"/>
          <w:szCs w:val="20"/>
        </w:rPr>
        <w:t xml:space="preserve">nit holders generally have the right to redeem their units for cash at any time after </w:t>
      </w:r>
      <w:r>
        <w:rPr>
          <w:rStyle w:val="a6"/>
          <w:sz w:val="20"/>
          <w:szCs w:val="20"/>
        </w:rPr>
        <w:t>one</w:t>
      </w:r>
      <w:r>
        <w:rPr>
          <w:sz w:val="20"/>
          <w:szCs w:val="20"/>
        </w:rPr>
        <w:t xml:space="preserve"> year from issuance. For convertible units, the Company typically has the option to settle redemption amounts in cash or 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822429806"/>
        <w:rPr>
          <w:rFonts w:eastAsia="Times New Roman"/>
          <w:sz w:val="20"/>
          <w:szCs w:val="20"/>
        </w:rPr>
      </w:pPr>
      <w:r>
        <w:rPr>
          <w:rStyle w:val="a6"/>
          <w:rFonts w:eastAsia="Times New Roman"/>
          <w:sz w:val="20"/>
          <w:szCs w:val="20"/>
        </w:rPr>
        <w:t>65</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7" style="width:415.3pt;height:1.5pt" o:hralign="center" o:hrstd="t" o:hrnoshade="t" o:hr="t" fillcolor="black" stroked="f"/>
        </w:pict>
      </w:r>
    </w:p>
    <w:p w:rsidR="00000000" w:rsidRDefault="001D2166">
      <w:pPr>
        <w:divId w:val="42607763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2100444622"/>
        <w:rPr>
          <w:rFonts w:eastAsia="Times New Roman"/>
          <w:sz w:val="20"/>
          <w:szCs w:val="20"/>
        </w:rPr>
      </w:pPr>
      <w:r>
        <w:rPr>
          <w:rFonts w:eastAsia="Times New Roman"/>
          <w:sz w:val="20"/>
          <w:szCs w:val="20"/>
        </w:rPr>
        <w:t xml:space="preserve">KIMCO REALTY CORPORATION AND SUBSIDIARIES </w:t>
      </w:r>
    </w:p>
    <w:p w:rsidR="00000000" w:rsidRDefault="001D2166">
      <w:pPr>
        <w:divId w:val="451562158"/>
        <w:rPr>
          <w:rFonts w:eastAsia="Times New Roman"/>
          <w:sz w:val="20"/>
          <w:szCs w:val="20"/>
        </w:rPr>
      </w:pPr>
      <w:r>
        <w:rPr>
          <w:rFonts w:eastAsia="Times New Roman"/>
          <w:sz w:val="20"/>
          <w:szCs w:val="20"/>
        </w:rPr>
        <w:t xml:space="preserve">  </w:t>
      </w:r>
    </w:p>
    <w:p w:rsidR="00000000" w:rsidRDefault="001D2166">
      <w:pPr>
        <w:jc w:val="center"/>
        <w:divId w:val="1534228353"/>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w:t>
      </w:r>
      <w:r>
        <w:rPr>
          <w:sz w:val="20"/>
          <w:szCs w:val="20"/>
        </w:rPr>
        <w:t xml:space="preserve"> Company evaluates the terms of the partnership units issued in accordance with the FASB’s Distinguishing Liabilities from Equity guidance. Convertible units for which the Company has the option to settle redemption amounts in cash or common stock are incl</w:t>
      </w:r>
      <w:r>
        <w:rPr>
          <w:sz w:val="20"/>
          <w:szCs w:val="20"/>
        </w:rPr>
        <w:t>uded in the caption Noncontrolling interests within the equity section on the Company’s Consolidated Balance Sheets. Units which embody a conditional obligation requiring the Company to redeem the units for cash after a specified or determinable date (or d</w:t>
      </w:r>
      <w:r>
        <w:rPr>
          <w:sz w:val="20"/>
          <w:szCs w:val="20"/>
        </w:rPr>
        <w:t xml:space="preserve">ates) or upon the occurrence of an event that is </w:t>
      </w:r>
      <w:r>
        <w:rPr>
          <w:rStyle w:val="a6"/>
          <w:sz w:val="20"/>
          <w:szCs w:val="20"/>
        </w:rPr>
        <w:t>not</w:t>
      </w:r>
      <w:r>
        <w:rPr>
          <w:sz w:val="20"/>
          <w:szCs w:val="20"/>
        </w:rPr>
        <w:t xml:space="preserve"> solely within the control of the issuer are determined to be contingently redeemable under this guidance and are included as Redeemable noncontrolling interests and classified within the mezzanine sectio</w:t>
      </w:r>
      <w:r>
        <w:rPr>
          <w:sz w:val="20"/>
          <w:szCs w:val="20"/>
        </w:rPr>
        <w:t>n between Total liabilities and Stockholders’ equity on the Company’s Consolidated Balance Sheets.</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a business combination, the fair value of the noncontrolling interest in a consolidated joint venture is calculated using the fair value of the real estate held by the joint venture, which are valued using similar methods as described in the Company’s R</w:t>
      </w:r>
      <w:r>
        <w:rPr>
          <w:sz w:val="20"/>
          <w:szCs w:val="20"/>
        </w:rPr>
        <w:t>eal Estate policy above, offset by the fair value of the debt on the property which is then multiplied by the partners’ noncontrolling share. </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Contingently redeemable noncontrolling interests are recorded at fair value upon issuance. Any change in the fa</w:t>
      </w:r>
      <w:r>
        <w:rPr>
          <w:sz w:val="20"/>
          <w:szCs w:val="20"/>
        </w:rPr>
        <w:t xml:space="preserve">ir value or redemption value of these noncontrolling interests is subsequently recognized through Paid-in capital on the Company’s Consolidated Balance Sheets and is included in the Company’s computation of earnings per share (see Footnote </w:t>
      </w:r>
      <w:r>
        <w:rPr>
          <w:rStyle w:val="a6"/>
          <w:sz w:val="20"/>
          <w:szCs w:val="20"/>
        </w:rPr>
        <w:t>27</w:t>
      </w:r>
      <w:r>
        <w:rPr>
          <w:sz w:val="20"/>
          <w:szCs w:val="20"/>
        </w:rPr>
        <w:t xml:space="preserve"> of the Notes </w:t>
      </w:r>
      <w:r>
        <w:rPr>
          <w:sz w:val="20"/>
          <w:szCs w:val="20"/>
        </w:rPr>
        <w:t>to the Consolidated Financial Statements).</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Stock Compensation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w:t>
      </w:r>
      <w:r>
        <w:rPr>
          <w:sz w:val="20"/>
          <w:szCs w:val="20"/>
        </w:rPr>
        <w:t xml:space="preserve">Equity Participation Plan that expired in </w:t>
      </w:r>
      <w:r>
        <w:rPr>
          <w:rStyle w:val="a6"/>
          <w:sz w:val="20"/>
          <w:szCs w:val="20"/>
        </w:rPr>
        <w:t xml:space="preserve">March 2020. </w:t>
      </w:r>
      <w:r>
        <w:rPr>
          <w:sz w:val="20"/>
          <w:szCs w:val="20"/>
        </w:rPr>
        <w:t xml:space="preserve">The </w:t>
      </w:r>
      <w:r>
        <w:rPr>
          <w:rStyle w:val="a6"/>
          <w:sz w:val="20"/>
          <w:szCs w:val="20"/>
        </w:rPr>
        <w:t>2020</w:t>
      </w:r>
      <w:r>
        <w:rPr>
          <w:sz w:val="20"/>
          <w:szCs w:val="20"/>
        </w:rPr>
        <w:t xml:space="preserve"> Plan provides for a maximum of 10,000,000 shares of the Company’s common stock to be reserved for the issuance of stock options, stock appreciation rights, restricted stock units, performance a</w:t>
      </w:r>
      <w:r>
        <w:rPr>
          <w:sz w:val="20"/>
          <w:szCs w:val="20"/>
        </w:rPr>
        <w:t xml:space="preserve">wards, dividend equivalents, stock payments and deferred stock awards. Unless otherwise determined by the Board of Directors at its sole discretion, restricted stock grants generally vest (i) 100% on the </w:t>
      </w:r>
      <w:r>
        <w:rPr>
          <w:rStyle w:val="a6"/>
          <w:sz w:val="20"/>
          <w:szCs w:val="20"/>
        </w:rPr>
        <w:t>fourth</w:t>
      </w:r>
      <w:r>
        <w:rPr>
          <w:sz w:val="20"/>
          <w:szCs w:val="20"/>
        </w:rPr>
        <w:t xml:space="preserve"> or </w:t>
      </w:r>
      <w:r>
        <w:rPr>
          <w:rStyle w:val="a6"/>
          <w:sz w:val="20"/>
          <w:szCs w:val="20"/>
        </w:rPr>
        <w:t>fifth</w:t>
      </w:r>
      <w:r>
        <w:rPr>
          <w:sz w:val="20"/>
          <w:szCs w:val="20"/>
        </w:rPr>
        <w:t xml:space="preserve"> anniversary of the grant, (ii) ratab</w:t>
      </w:r>
      <w:r>
        <w:rPr>
          <w:sz w:val="20"/>
          <w:szCs w:val="20"/>
        </w:rPr>
        <w:t>ly over three,</w:t>
      </w:r>
      <w:r>
        <w:rPr>
          <w:sz w:val="20"/>
          <w:szCs w:val="20"/>
        </w:rPr>
        <w:t xml:space="preserve"> </w:t>
      </w:r>
      <w:r>
        <w:rPr>
          <w:sz w:val="20"/>
          <w:szCs w:val="20"/>
        </w:rPr>
        <w:t>fou</w:t>
      </w:r>
      <w:r>
        <w:rPr>
          <w:sz w:val="20"/>
          <w:szCs w:val="20"/>
        </w:rPr>
        <w:t>r</w:t>
      </w:r>
      <w:r>
        <w:rPr>
          <w:sz w:val="20"/>
          <w:szCs w:val="20"/>
        </w:rPr>
        <w:t xml:space="preserve"> and</w:t>
      </w:r>
      <w:r>
        <w:rPr>
          <w:sz w:val="20"/>
          <w:szCs w:val="20"/>
        </w:rPr>
        <w:t xml:space="preserve"> </w:t>
      </w:r>
      <w:r>
        <w:rPr>
          <w:sz w:val="20"/>
          <w:szCs w:val="20"/>
        </w:rPr>
        <w:t>fiv</w:t>
      </w:r>
      <w:r>
        <w:rPr>
          <w:sz w:val="20"/>
          <w:szCs w:val="20"/>
        </w:rPr>
        <w:t>e</w:t>
      </w:r>
      <w:r>
        <w:rPr>
          <w:sz w:val="20"/>
          <w:szCs w:val="20"/>
        </w:rPr>
        <w:t xml:space="preserve"> years or (iii) over</w:t>
      </w:r>
      <w:r>
        <w:rPr>
          <w:sz w:val="20"/>
          <w:szCs w:val="20"/>
        </w:rPr>
        <w:t xml:space="preserve"> </w:t>
      </w:r>
      <w:r>
        <w:rPr>
          <w:sz w:val="20"/>
          <w:szCs w:val="20"/>
        </w:rPr>
        <w:t>te</w:t>
      </w:r>
      <w:r>
        <w:rPr>
          <w:sz w:val="20"/>
          <w:szCs w:val="20"/>
        </w:rPr>
        <w:t>n</w:t>
      </w:r>
      <w:r>
        <w:rPr>
          <w:sz w:val="20"/>
          <w:szCs w:val="20"/>
        </w:rPr>
        <w:t xml:space="preserve"> years at 20% per year commencing after the </w:t>
      </w:r>
      <w:r>
        <w:rPr>
          <w:rStyle w:val="a6"/>
          <w:sz w:val="20"/>
          <w:szCs w:val="20"/>
        </w:rPr>
        <w:t>fifth</w:t>
      </w:r>
      <w:r>
        <w:rPr>
          <w:sz w:val="20"/>
          <w:szCs w:val="20"/>
        </w:rPr>
        <w:t xml:space="preserve"> year. Performance share awards, which vest over a period of</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w:t>
      </w:r>
      <w:r>
        <w:rPr>
          <w:sz w:val="20"/>
          <w:szCs w:val="20"/>
        </w:rPr>
        <w:t>e</w:t>
      </w:r>
      <w:r>
        <w:rPr>
          <w:sz w:val="20"/>
          <w:szCs w:val="20"/>
        </w:rPr>
        <w:t xml:space="preserve"> years, </w:t>
      </w:r>
      <w:r>
        <w:rPr>
          <w:rStyle w:val="a6"/>
          <w:sz w:val="20"/>
          <w:szCs w:val="20"/>
        </w:rPr>
        <w:t xml:space="preserve">may </w:t>
      </w:r>
      <w:r>
        <w:rPr>
          <w:sz w:val="20"/>
          <w:szCs w:val="20"/>
        </w:rPr>
        <w:t>provide a right to receive shares of the Company’s common stock or res</w:t>
      </w:r>
      <w:r>
        <w:rPr>
          <w:sz w:val="20"/>
          <w:szCs w:val="20"/>
        </w:rPr>
        <w:t xml:space="preserve">tricted stock based on the Company’s performance relative to its peers, as defined, or based on other performance criteria as determined by the Board of Directors. In addition, the </w:t>
      </w:r>
      <w:r>
        <w:rPr>
          <w:rStyle w:val="a6"/>
          <w:sz w:val="20"/>
          <w:szCs w:val="20"/>
        </w:rPr>
        <w:t>2020</w:t>
      </w:r>
      <w:r>
        <w:rPr>
          <w:sz w:val="20"/>
          <w:szCs w:val="20"/>
        </w:rPr>
        <w:t xml:space="preserve"> Plan provides for the granting of restricted stock to each of the Comp</w:t>
      </w:r>
      <w:r>
        <w:rPr>
          <w:sz w:val="20"/>
          <w:szCs w:val="20"/>
        </w:rPr>
        <w:t>any’s non-employee directors (the “Independent Directors”) and permits such Independent Directors to elect to receive deferred stock awards in lieu of directors’ fees.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accounts for equity awards in accordance with the FASB’s Stock Compensatio</w:t>
      </w:r>
      <w:r>
        <w:rPr>
          <w:sz w:val="20"/>
          <w:szCs w:val="20"/>
        </w:rPr>
        <w:t>n guidance which requires that all share-based payments to employees be recognized in the Statements of Income over the service period based on their fair values. Fair value of performance awards is determined using the Monte Carlo method, which is intende</w:t>
      </w:r>
      <w:r>
        <w:rPr>
          <w:sz w:val="20"/>
          <w:szCs w:val="20"/>
        </w:rPr>
        <w:t xml:space="preserve">d to estimate the fair value of the awards at the grant date (see Footnote </w:t>
      </w:r>
      <w:r>
        <w:rPr>
          <w:rStyle w:val="a6"/>
          <w:sz w:val="20"/>
          <w:szCs w:val="20"/>
        </w:rPr>
        <w:t>22</w:t>
      </w:r>
      <w:r>
        <w:rPr>
          <w:sz w:val="20"/>
          <w:szCs w:val="20"/>
        </w:rPr>
        <w:t xml:space="preserve"> of the Notes to Consolidated Financial Statements for additional disclosure on the assumptions and methodology).</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Reclassifications</w:t>
      </w:r>
    </w:p>
    <w:p w:rsidR="00000000" w:rsidRDefault="001D2166">
      <w:pPr>
        <w:pStyle w:val="a3"/>
        <w:spacing w:before="0" w:beforeAutospacing="0" w:after="0" w:afterAutospacing="0"/>
        <w:ind w:left="16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Certain amounts in the prior period have be</w:t>
      </w:r>
      <w:r>
        <w:rPr>
          <w:sz w:val="20"/>
          <w:szCs w:val="20"/>
        </w:rPr>
        <w:t>en reclassified in order to conform to the current period’s presentation. For comparative purposes for the years ended </w:t>
      </w:r>
      <w:r>
        <w:rPr>
          <w:rStyle w:val="a6"/>
          <w:sz w:val="20"/>
          <w:szCs w:val="20"/>
        </w:rPr>
        <w:t xml:space="preserve"> December 31, 2020 </w:t>
      </w:r>
      <w:r>
        <w:rPr>
          <w:sz w:val="20"/>
          <w:szCs w:val="20"/>
        </w:rPr>
        <w:t xml:space="preserve">and </w:t>
      </w:r>
      <w:r>
        <w:rPr>
          <w:rStyle w:val="a6"/>
          <w:sz w:val="20"/>
          <w:szCs w:val="20"/>
        </w:rPr>
        <w:t>2019,</w:t>
      </w:r>
      <w:r>
        <w:rPr>
          <w:sz w:val="20"/>
          <w:szCs w:val="20"/>
        </w:rPr>
        <w:t xml:space="preserve"> the Company reclassified $5.6 million and $3.2 million of Cash flows used for Change in other financing liab</w:t>
      </w:r>
      <w:r>
        <w:rPr>
          <w:sz w:val="20"/>
          <w:szCs w:val="20"/>
        </w:rPr>
        <w:t>ilities, respectively, to (i) Cash flows used for Shares repurchased for employee tax withholdings on equity awards of $5.4 million and $4.0 million, respectively, and (ii) Cash flows used for/(provided by) Change in tenant’s security deposits of $0.2 mill</w:t>
      </w:r>
      <w:r>
        <w:rPr>
          <w:sz w:val="20"/>
          <w:szCs w:val="20"/>
        </w:rPr>
        <w:t>ion and ($0.8) million,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u w:val="single"/>
        </w:rPr>
        <w:t>New Accounting Pronouncements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following table represents ASUs to the FASB’s ASCs that, as of </w:t>
      </w:r>
      <w:r>
        <w:rPr>
          <w:rStyle w:val="a6"/>
          <w:sz w:val="20"/>
          <w:szCs w:val="20"/>
        </w:rPr>
        <w:t xml:space="preserve">December 31, 2021, </w:t>
      </w:r>
      <w:r>
        <w:rPr>
          <w:sz w:val="20"/>
          <w:szCs w:val="20"/>
        </w:rPr>
        <w:t xml:space="preserve">are </w:t>
      </w:r>
      <w:r>
        <w:rPr>
          <w:rStyle w:val="a6"/>
          <w:sz w:val="20"/>
          <w:szCs w:val="20"/>
        </w:rPr>
        <w:t>not</w:t>
      </w:r>
      <w:r>
        <w:rPr>
          <w:sz w:val="20"/>
          <w:szCs w:val="20"/>
        </w:rPr>
        <w:t xml:space="preserve"> yet effective for the Company and for which the Company has </w:t>
      </w:r>
      <w:r>
        <w:rPr>
          <w:rStyle w:val="a6"/>
          <w:sz w:val="20"/>
          <w:szCs w:val="20"/>
        </w:rPr>
        <w:t>not</w:t>
      </w:r>
      <w:r>
        <w:rPr>
          <w:sz w:val="20"/>
          <w:szCs w:val="20"/>
        </w:rPr>
        <w:t xml:space="preserve"> elected early adoption, wh</w:t>
      </w:r>
      <w:r>
        <w:rPr>
          <w:sz w:val="20"/>
          <w:szCs w:val="20"/>
        </w:rPr>
        <w:t>ere permitted:</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4"/>
        <w:gridCol w:w="3565"/>
        <w:gridCol w:w="1003"/>
        <w:gridCol w:w="1898"/>
      </w:tblGrid>
      <w:tr w:rsidR="00000000">
        <w:trPr>
          <w:tblCellSpacing w:w="0" w:type="dxa"/>
        </w:trPr>
        <w:tc>
          <w:tcPr>
            <w:tcW w:w="1100" w:type="pct"/>
            <w:tcBorders>
              <w:top w:val="single" w:sz="6" w:space="0" w:color="000000"/>
              <w:left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ASU</w:t>
            </w:r>
          </w:p>
        </w:tc>
        <w:tc>
          <w:tcPr>
            <w:tcW w:w="2150" w:type="pct"/>
            <w:tcBorders>
              <w:top w:val="single" w:sz="6" w:space="0" w:color="000000"/>
              <w:left w:val="single" w:sz="6" w:space="0" w:color="000000"/>
              <w:bottom w:val="single" w:sz="6" w:space="0" w:color="000000"/>
              <w:right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Description</w:t>
            </w:r>
          </w:p>
        </w:tc>
        <w:tc>
          <w:tcPr>
            <w:tcW w:w="605" w:type="pct"/>
            <w:tcBorders>
              <w:top w:val="single" w:sz="6" w:space="0" w:color="000000"/>
              <w:bottom w:val="single" w:sz="6" w:space="0" w:color="000000"/>
              <w:right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Effective </w:t>
            </w:r>
          </w:p>
          <w:p w:rsidR="00000000" w:rsidRDefault="001D2166">
            <w:pPr>
              <w:pStyle w:val="a3"/>
              <w:spacing w:before="0" w:beforeAutospacing="0" w:after="0" w:afterAutospacing="0"/>
              <w:jc w:val="center"/>
              <w:rPr>
                <w:sz w:val="20"/>
                <w:szCs w:val="20"/>
              </w:rPr>
            </w:pPr>
            <w:r>
              <w:rPr>
                <w:b/>
                <w:bCs/>
                <w:sz w:val="20"/>
                <w:szCs w:val="20"/>
              </w:rPr>
              <w:t>Date</w:t>
            </w:r>
          </w:p>
        </w:tc>
        <w:tc>
          <w:tcPr>
            <w:tcW w:w="1150" w:type="pct"/>
            <w:tcBorders>
              <w:top w:val="single" w:sz="6" w:space="0" w:color="000000"/>
              <w:bottom w:val="single" w:sz="6" w:space="0" w:color="000000"/>
              <w:right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Effect on the financial </w:t>
            </w:r>
          </w:p>
          <w:p w:rsidR="00000000" w:rsidRDefault="001D2166">
            <w:pPr>
              <w:pStyle w:val="a3"/>
              <w:spacing w:before="0" w:beforeAutospacing="0" w:after="0" w:afterAutospacing="0"/>
              <w:jc w:val="center"/>
              <w:rPr>
                <w:sz w:val="20"/>
                <w:szCs w:val="20"/>
              </w:rPr>
            </w:pPr>
            <w:r>
              <w:rPr>
                <w:b/>
                <w:bCs/>
                <w:sz w:val="20"/>
                <w:szCs w:val="20"/>
              </w:rPr>
              <w:t>statements or other significant</w:t>
            </w:r>
          </w:p>
          <w:p w:rsidR="00000000" w:rsidRDefault="001D2166">
            <w:pPr>
              <w:pStyle w:val="a3"/>
              <w:spacing w:before="0" w:beforeAutospacing="0" w:after="0" w:afterAutospacing="0"/>
              <w:jc w:val="center"/>
              <w:rPr>
                <w:sz w:val="20"/>
                <w:szCs w:val="20"/>
              </w:rPr>
            </w:pPr>
            <w:r>
              <w:rPr>
                <w:b/>
                <w:bCs/>
                <w:sz w:val="20"/>
                <w:szCs w:val="20"/>
              </w:rPr>
              <w:t>matters</w:t>
            </w:r>
          </w:p>
        </w:tc>
      </w:tr>
      <w:tr w:rsidR="00000000">
        <w:trPr>
          <w:tblCellSpacing w:w="0" w:type="dxa"/>
        </w:trPr>
        <w:tc>
          <w:tcPr>
            <w:tcW w:w="1100" w:type="pct"/>
            <w:tcBorders>
              <w:left w:val="single" w:sz="6" w:space="0" w:color="000000"/>
              <w:bottom w:val="single" w:sz="6" w:space="0" w:color="000000"/>
            </w:tcBorders>
            <w:shd w:val="clear" w:color="auto" w:fill="CCEEFF"/>
            <w:hideMark/>
          </w:tcPr>
          <w:p w:rsidR="00000000" w:rsidRDefault="001D2166">
            <w:pPr>
              <w:pStyle w:val="a3"/>
              <w:spacing w:before="0" w:beforeAutospacing="0" w:after="0" w:afterAutospacing="0"/>
              <w:rPr>
                <w:sz w:val="20"/>
                <w:szCs w:val="20"/>
              </w:rPr>
            </w:pPr>
            <w:r>
              <w:rPr>
                <w:sz w:val="20"/>
                <w:szCs w:val="20"/>
              </w:rPr>
              <w:t xml:space="preserve">ASU </w:t>
            </w:r>
            <w:r>
              <w:rPr>
                <w:rStyle w:val="a6"/>
                <w:sz w:val="20"/>
                <w:szCs w:val="20"/>
              </w:rPr>
              <w:t>2021</w:t>
            </w:r>
            <w:r>
              <w:rPr>
                <w:sz w:val="20"/>
                <w:szCs w:val="20"/>
              </w:rPr>
              <w:t>-</w:t>
            </w:r>
            <w:r>
              <w:rPr>
                <w:rStyle w:val="a6"/>
                <w:sz w:val="20"/>
                <w:szCs w:val="20"/>
              </w:rPr>
              <w:t>08,</w:t>
            </w:r>
            <w:r>
              <w:rPr>
                <w:sz w:val="20"/>
                <w:szCs w:val="20"/>
              </w:rPr>
              <w:t xml:space="preserve"> Business Combinations (Topic </w:t>
            </w:r>
            <w:r>
              <w:rPr>
                <w:rStyle w:val="a6"/>
                <w:sz w:val="20"/>
                <w:szCs w:val="20"/>
              </w:rPr>
              <w:t>805</w:t>
            </w:r>
            <w:r>
              <w:rPr>
                <w:sz w:val="20"/>
                <w:szCs w:val="20"/>
              </w:rPr>
              <w:t>): Accounting for Contract Assets and Contract Liabilities from Contracts with Customers</w:t>
            </w:r>
          </w:p>
        </w:tc>
        <w:tc>
          <w:tcPr>
            <w:tcW w:w="2150" w:type="pct"/>
            <w:tcBorders>
              <w:left w:val="single" w:sz="6" w:space="0" w:color="000000"/>
              <w:bottom w:val="single" w:sz="6" w:space="0" w:color="000000"/>
              <w:right w:val="single" w:sz="6" w:space="0" w:color="000000"/>
            </w:tcBorders>
            <w:shd w:val="clear" w:color="auto" w:fill="CCEEFF"/>
            <w:hideMark/>
          </w:tcPr>
          <w:p w:rsidR="00000000" w:rsidRDefault="001D2166">
            <w:pPr>
              <w:pStyle w:val="a3"/>
              <w:spacing w:before="0" w:beforeAutospacing="0" w:after="0" w:afterAutospacing="0"/>
              <w:jc w:val="both"/>
              <w:rPr>
                <w:sz w:val="20"/>
                <w:szCs w:val="20"/>
              </w:rPr>
            </w:pPr>
            <w:r>
              <w:rPr>
                <w:sz w:val="20"/>
                <w:szCs w:val="20"/>
              </w:rPr>
              <w:t xml:space="preserve">The amendments in this update require acquiring entities to apply Topic </w:t>
            </w:r>
            <w:r>
              <w:rPr>
                <w:rStyle w:val="a6"/>
                <w:sz w:val="20"/>
                <w:szCs w:val="20"/>
              </w:rPr>
              <w:t>606</w:t>
            </w:r>
            <w:r>
              <w:rPr>
                <w:sz w:val="20"/>
                <w:szCs w:val="20"/>
              </w:rPr>
              <w:t xml:space="preserve"> to recognize and measure contract assets and contract liabilities in a business combination</w:t>
            </w:r>
            <w:r>
              <w:rPr>
                <w:sz w:val="20"/>
                <w:szCs w:val="20"/>
              </w:rPr>
              <w:t xml:space="preserve"> rather than at fair value on the acquisition date required by Topic </w:t>
            </w:r>
            <w:r>
              <w:rPr>
                <w:rStyle w:val="a6"/>
                <w:sz w:val="20"/>
                <w:szCs w:val="20"/>
              </w:rPr>
              <w:t>805.</w:t>
            </w:r>
          </w:p>
        </w:tc>
        <w:tc>
          <w:tcPr>
            <w:tcW w:w="605" w:type="pct"/>
            <w:tcBorders>
              <w:bottom w:val="single" w:sz="6" w:space="0" w:color="000000"/>
              <w:right w:val="single" w:sz="6" w:space="0" w:color="000000"/>
            </w:tcBorders>
            <w:shd w:val="clear" w:color="auto" w:fill="CCEEFF"/>
            <w:hideMark/>
          </w:tcPr>
          <w:p w:rsidR="00000000" w:rsidRDefault="001D2166">
            <w:pPr>
              <w:pStyle w:val="a3"/>
              <w:spacing w:before="0" w:beforeAutospacing="0" w:after="0" w:afterAutospacing="0"/>
              <w:jc w:val="center"/>
              <w:rPr>
                <w:sz w:val="20"/>
                <w:szCs w:val="20"/>
              </w:rPr>
            </w:pPr>
            <w:r>
              <w:rPr>
                <w:rStyle w:val="a6"/>
                <w:sz w:val="20"/>
                <w:szCs w:val="20"/>
              </w:rPr>
              <w:t xml:space="preserve">January 1, 2023; </w:t>
            </w:r>
            <w:r>
              <w:rPr>
                <w:sz w:val="20"/>
                <w:szCs w:val="20"/>
              </w:rPr>
              <w:t>Early adoption permitted</w:t>
            </w:r>
          </w:p>
          <w:p w:rsidR="00000000" w:rsidRDefault="001D2166">
            <w:pPr>
              <w:pStyle w:val="a3"/>
              <w:spacing w:before="0" w:beforeAutospacing="0" w:after="0" w:afterAutospacing="0"/>
              <w:jc w:val="center"/>
              <w:rPr>
                <w:sz w:val="20"/>
                <w:szCs w:val="20"/>
              </w:rPr>
            </w:pPr>
            <w:r>
              <w:rPr>
                <w:sz w:val="20"/>
                <w:szCs w:val="20"/>
              </w:rPr>
              <w:t> </w:t>
            </w:r>
          </w:p>
        </w:tc>
        <w:tc>
          <w:tcPr>
            <w:tcW w:w="1150" w:type="pct"/>
            <w:tcBorders>
              <w:bottom w:val="single" w:sz="6" w:space="0" w:color="000000"/>
              <w:right w:val="single" w:sz="6" w:space="0" w:color="000000"/>
            </w:tcBorders>
            <w:shd w:val="clear" w:color="auto" w:fill="CCEEFF"/>
            <w:hideMark/>
          </w:tcPr>
          <w:p w:rsidR="00000000" w:rsidRDefault="001D2166">
            <w:pPr>
              <w:pStyle w:val="a3"/>
              <w:spacing w:before="0" w:beforeAutospacing="0" w:after="0" w:afterAutospacing="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r w:rsidR="00000000">
        <w:trPr>
          <w:tblCellSpacing w:w="0" w:type="dxa"/>
        </w:trPr>
        <w:tc>
          <w:tcPr>
            <w:tcW w:w="1100" w:type="pct"/>
            <w:tcBorders>
              <w:left w:val="single" w:sz="6" w:space="0" w:color="000000"/>
              <w:bottom w:val="single" w:sz="6" w:space="0" w:color="000000"/>
            </w:tcBorders>
            <w:shd w:val="clear" w:color="auto" w:fill="FFFFFF"/>
            <w:hideMark/>
          </w:tcPr>
          <w:p w:rsidR="00000000" w:rsidRDefault="001D2166">
            <w:pPr>
              <w:pStyle w:val="a3"/>
              <w:spacing w:before="0" w:beforeAutospacing="0" w:after="0" w:afterAutospacing="0"/>
              <w:rPr>
                <w:sz w:val="20"/>
                <w:szCs w:val="20"/>
              </w:rPr>
            </w:pPr>
            <w:r>
              <w:rPr>
                <w:sz w:val="20"/>
                <w:szCs w:val="20"/>
              </w:rPr>
              <w:t xml:space="preserve">ASU </w:t>
            </w:r>
            <w:r>
              <w:rPr>
                <w:rStyle w:val="a6"/>
                <w:sz w:val="20"/>
                <w:szCs w:val="20"/>
              </w:rPr>
              <w:t>2021</w:t>
            </w:r>
            <w:r>
              <w:rPr>
                <w:sz w:val="20"/>
                <w:szCs w:val="20"/>
              </w:rPr>
              <w:t>-</w:t>
            </w:r>
            <w:r>
              <w:rPr>
                <w:rStyle w:val="a6"/>
                <w:sz w:val="20"/>
                <w:szCs w:val="20"/>
              </w:rPr>
              <w:t>05,</w:t>
            </w:r>
            <w:r>
              <w:rPr>
                <w:sz w:val="20"/>
                <w:szCs w:val="20"/>
              </w:rPr>
              <w:t xml:space="preserve"> Lessors – Certain Leases with Variable Lease Payments (Topic </w:t>
            </w:r>
            <w:r>
              <w:rPr>
                <w:rStyle w:val="a6"/>
                <w:sz w:val="20"/>
                <w:szCs w:val="20"/>
              </w:rPr>
              <w:t>842</w:t>
            </w:r>
            <w:r>
              <w:rPr>
                <w:sz w:val="20"/>
                <w:szCs w:val="20"/>
              </w:rPr>
              <w:t>)</w:t>
            </w:r>
          </w:p>
        </w:tc>
        <w:tc>
          <w:tcPr>
            <w:tcW w:w="2150" w:type="pct"/>
            <w:tcBorders>
              <w:left w:val="single" w:sz="6" w:space="0" w:color="000000"/>
              <w:bottom w:val="single" w:sz="6" w:space="0" w:color="000000"/>
              <w:right w:val="single" w:sz="6" w:space="0" w:color="000000"/>
            </w:tcBorders>
            <w:shd w:val="clear" w:color="auto" w:fill="FFFFFF"/>
            <w:hideMark/>
          </w:tcPr>
          <w:p w:rsidR="00000000" w:rsidRDefault="001D2166">
            <w:pPr>
              <w:pStyle w:val="a3"/>
              <w:spacing w:before="0" w:beforeAutospacing="0" w:after="0" w:afterAutospacing="0"/>
              <w:jc w:val="both"/>
              <w:rPr>
                <w:sz w:val="20"/>
                <w:szCs w:val="20"/>
              </w:rPr>
            </w:pPr>
            <w:r>
              <w:rPr>
                <w:sz w:val="20"/>
                <w:szCs w:val="20"/>
              </w:rPr>
              <w:t xml:space="preserve">This ASU amends the lessor lease classification in ASC </w:t>
            </w:r>
            <w:r>
              <w:rPr>
                <w:rStyle w:val="a6"/>
                <w:sz w:val="20"/>
                <w:szCs w:val="20"/>
              </w:rPr>
              <w:t>842</w:t>
            </w:r>
            <w:r>
              <w:rPr>
                <w:sz w:val="20"/>
                <w:szCs w:val="20"/>
              </w:rPr>
              <w:t xml:space="preserve"> for leases that include variable lease payments that are </w:t>
            </w:r>
            <w:r>
              <w:rPr>
                <w:rStyle w:val="a6"/>
                <w:sz w:val="20"/>
                <w:szCs w:val="20"/>
              </w:rPr>
              <w:t>not</w:t>
            </w:r>
            <w:r>
              <w:rPr>
                <w:sz w:val="20"/>
                <w:szCs w:val="20"/>
              </w:rPr>
              <w:t xml:space="preserve"> based on an index or rate. Under the amended guidance, lessor</w:t>
            </w:r>
            <w:r>
              <w:rPr>
                <w:sz w:val="20"/>
                <w:szCs w:val="20"/>
              </w:rPr>
              <w:t xml:space="preserve">s will classify a lease with variable payments that do </w:t>
            </w:r>
            <w:r>
              <w:rPr>
                <w:rStyle w:val="a6"/>
                <w:sz w:val="20"/>
                <w:szCs w:val="20"/>
              </w:rPr>
              <w:t>not</w:t>
            </w:r>
            <w:r>
              <w:rPr>
                <w:sz w:val="20"/>
                <w:szCs w:val="20"/>
              </w:rPr>
              <w:t xml:space="preserve"> depend on an index or rate as an operating lease if the lease would have been classified as a sales-type lease or a direct financing lease under the previous ASU </w:t>
            </w:r>
            <w:r>
              <w:rPr>
                <w:rStyle w:val="a6"/>
                <w:sz w:val="20"/>
                <w:szCs w:val="20"/>
              </w:rPr>
              <w:t>842</w:t>
            </w:r>
            <w:r>
              <w:rPr>
                <w:sz w:val="20"/>
                <w:szCs w:val="20"/>
              </w:rPr>
              <w:t xml:space="preserve"> classification criteria and sal</w:t>
            </w:r>
            <w:r>
              <w:rPr>
                <w:sz w:val="20"/>
                <w:szCs w:val="20"/>
              </w:rPr>
              <w:t xml:space="preserve">es-type or direct financing lease classification would result in a Day </w:t>
            </w:r>
            <w:r>
              <w:rPr>
                <w:rStyle w:val="a6"/>
                <w:sz w:val="20"/>
                <w:szCs w:val="20"/>
              </w:rPr>
              <w:t>1</w:t>
            </w:r>
            <w:r>
              <w:rPr>
                <w:sz w:val="20"/>
                <w:szCs w:val="20"/>
              </w:rPr>
              <w:t xml:space="preserve"> loss.</w:t>
            </w:r>
          </w:p>
          <w:p w:rsidR="00000000" w:rsidRDefault="001D2166">
            <w:pPr>
              <w:pStyle w:val="a3"/>
              <w:spacing w:before="0" w:beforeAutospacing="0" w:after="0" w:afterAutospacing="0"/>
              <w:jc w:val="both"/>
              <w:rPr>
                <w:sz w:val="20"/>
                <w:szCs w:val="20"/>
              </w:rPr>
            </w:pPr>
            <w:r>
              <w:rPr>
                <w:sz w:val="20"/>
                <w:szCs w:val="20"/>
              </w:rPr>
              <w:t>  </w:t>
            </w:r>
          </w:p>
        </w:tc>
        <w:tc>
          <w:tcPr>
            <w:tcW w:w="605" w:type="pct"/>
            <w:tcBorders>
              <w:bottom w:val="single" w:sz="6" w:space="0" w:color="000000"/>
              <w:right w:val="single" w:sz="6" w:space="0" w:color="000000"/>
            </w:tcBorders>
            <w:shd w:val="clear" w:color="auto" w:fill="FFFFFF"/>
            <w:hideMark/>
          </w:tcPr>
          <w:p w:rsidR="00000000" w:rsidRDefault="001D2166">
            <w:pPr>
              <w:pStyle w:val="a3"/>
              <w:spacing w:before="0" w:beforeAutospacing="0" w:after="0" w:afterAutospacing="0"/>
              <w:jc w:val="center"/>
              <w:rPr>
                <w:sz w:val="20"/>
                <w:szCs w:val="20"/>
              </w:rPr>
            </w:pPr>
            <w:r>
              <w:rPr>
                <w:rStyle w:val="a6"/>
                <w:sz w:val="20"/>
                <w:szCs w:val="20"/>
              </w:rPr>
              <w:t>January 1, 2022</w:t>
            </w:r>
          </w:p>
        </w:tc>
        <w:tc>
          <w:tcPr>
            <w:tcW w:w="1150" w:type="pct"/>
            <w:tcBorders>
              <w:bottom w:val="single" w:sz="6" w:space="0" w:color="000000"/>
              <w:right w:val="single" w:sz="6" w:space="0" w:color="000000"/>
            </w:tcBorders>
            <w:shd w:val="clear" w:color="auto" w:fill="FFFFFF"/>
            <w:hideMark/>
          </w:tcPr>
          <w:p w:rsidR="00000000" w:rsidRDefault="001D2166">
            <w:pPr>
              <w:pStyle w:val="a3"/>
              <w:spacing w:before="0" w:beforeAutospacing="0" w:after="0" w:afterAutospacing="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74157705"/>
        <w:rPr>
          <w:rFonts w:eastAsia="Times New Roman"/>
          <w:sz w:val="20"/>
          <w:szCs w:val="20"/>
        </w:rPr>
      </w:pPr>
      <w:r>
        <w:rPr>
          <w:rStyle w:val="a6"/>
          <w:rFonts w:eastAsia="Times New Roman"/>
          <w:sz w:val="20"/>
          <w:szCs w:val="20"/>
        </w:rPr>
        <w:t>66</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8" style="width:415.3pt;height:1.5pt" o:hralign="center" o:hrstd="t" o:hrnoshade="t" o:hr="t" fillcolor="black" stroked="f"/>
        </w:pict>
      </w:r>
    </w:p>
    <w:p w:rsidR="00000000" w:rsidRDefault="001D2166">
      <w:pPr>
        <w:divId w:val="2157004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221210932"/>
        <w:rPr>
          <w:rFonts w:eastAsia="Times New Roman"/>
          <w:sz w:val="20"/>
          <w:szCs w:val="20"/>
        </w:rPr>
      </w:pPr>
      <w:r>
        <w:rPr>
          <w:rFonts w:eastAsia="Times New Roman"/>
          <w:sz w:val="20"/>
          <w:szCs w:val="20"/>
        </w:rPr>
        <w:t xml:space="preserve">KIMCO REALTY CORPORATION AND SUBSIDIARIES </w:t>
      </w:r>
    </w:p>
    <w:p w:rsidR="00000000" w:rsidRDefault="001D2166">
      <w:pPr>
        <w:divId w:val="2002417669"/>
        <w:rPr>
          <w:rFonts w:eastAsia="Times New Roman"/>
          <w:sz w:val="20"/>
          <w:szCs w:val="20"/>
        </w:rPr>
      </w:pPr>
      <w:r>
        <w:rPr>
          <w:rFonts w:eastAsia="Times New Roman"/>
          <w:sz w:val="20"/>
          <w:szCs w:val="20"/>
        </w:rPr>
        <w:t xml:space="preserve">  </w:t>
      </w:r>
    </w:p>
    <w:p w:rsidR="00000000" w:rsidRDefault="001D2166">
      <w:pPr>
        <w:jc w:val="center"/>
        <w:divId w:val="1648394047"/>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 following ASUs to the FASB’s ASCs have been adopted by the Company as of the date listed:</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99"/>
        <w:gridCol w:w="3672"/>
        <w:gridCol w:w="1111"/>
        <w:gridCol w:w="1708"/>
      </w:tblGrid>
      <w:tr w:rsidR="00000000">
        <w:trPr>
          <w:tblCellSpacing w:w="0" w:type="dxa"/>
        </w:trPr>
        <w:tc>
          <w:tcPr>
            <w:tcW w:w="1085" w:type="pct"/>
            <w:tcBorders>
              <w:top w:val="single" w:sz="6" w:space="0" w:color="000000"/>
              <w:left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left w:val="single" w:sz="6" w:space="0" w:color="000000"/>
              <w:bottom w:val="single" w:sz="6" w:space="0" w:color="000000"/>
              <w:right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Description</w:t>
            </w:r>
          </w:p>
        </w:tc>
        <w:tc>
          <w:tcPr>
            <w:tcW w:w="670" w:type="pct"/>
            <w:tcBorders>
              <w:top w:val="single" w:sz="6" w:space="0" w:color="000000"/>
              <w:bottom w:val="single" w:sz="6" w:space="0" w:color="000000"/>
              <w:right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Adoption Date</w:t>
            </w:r>
          </w:p>
        </w:tc>
        <w:tc>
          <w:tcPr>
            <w:tcW w:w="1085" w:type="pct"/>
            <w:tcBorders>
              <w:top w:val="single" w:sz="6" w:space="0" w:color="000000"/>
              <w:bottom w:val="single" w:sz="6" w:space="0" w:color="000000"/>
              <w:right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Effect on the financial statements or other significant matters</w:t>
            </w:r>
          </w:p>
        </w:tc>
      </w:tr>
      <w:tr w:rsidR="00000000">
        <w:trPr>
          <w:tblCellSpacing w:w="0" w:type="dxa"/>
        </w:trPr>
        <w:tc>
          <w:tcPr>
            <w:tcW w:w="1085" w:type="pct"/>
            <w:tcBorders>
              <w:left w:val="single" w:sz="6" w:space="0" w:color="000000"/>
              <w:bottom w:val="single" w:sz="6" w:space="0" w:color="000000"/>
            </w:tcBorders>
            <w:shd w:val="clear" w:color="auto" w:fill="CCEEFF"/>
            <w:hideMark/>
          </w:tcPr>
          <w:p w:rsidR="00000000" w:rsidRDefault="001D2166">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Investments – Equity Securities (Topic </w:t>
            </w:r>
            <w:r>
              <w:rPr>
                <w:rStyle w:val="a6"/>
                <w:sz w:val="20"/>
                <w:szCs w:val="20"/>
              </w:rPr>
              <w:t>321</w:t>
            </w:r>
            <w:r>
              <w:rPr>
                <w:sz w:val="20"/>
                <w:szCs w:val="20"/>
              </w:rPr>
              <w:t xml:space="preserve">), Investments –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)—Clarifying the Interactions betwe</w:t>
            </w:r>
            <w:r>
              <w:rPr>
                <w:sz w:val="20"/>
                <w:szCs w:val="20"/>
              </w:rPr>
              <w:t xml:space="preserv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(a consensus of the Emerging Issues Task Force)</w:t>
            </w:r>
          </w:p>
        </w:tc>
        <w:tc>
          <w:tcPr>
            <w:tcW w:w="2215" w:type="pct"/>
            <w:tcBorders>
              <w:left w:val="single" w:sz="6" w:space="0" w:color="000000"/>
              <w:bottom w:val="single" w:sz="6" w:space="0" w:color="000000"/>
              <w:right w:val="single" w:sz="6" w:space="0" w:color="000000"/>
            </w:tcBorders>
            <w:shd w:val="clear" w:color="auto" w:fill="CCEEFF"/>
            <w:hideMark/>
          </w:tcPr>
          <w:p w:rsidR="00000000" w:rsidRDefault="001D2166">
            <w:pPr>
              <w:pStyle w:val="a3"/>
              <w:spacing w:before="0" w:beforeAutospacing="0" w:after="0" w:afterAutospacing="0"/>
              <w:jc w:val="both"/>
              <w:rPr>
                <w:sz w:val="20"/>
                <w:szCs w:val="20"/>
              </w:rPr>
            </w:pPr>
            <w:r>
              <w:rPr>
                <w:sz w:val="20"/>
                <w:szCs w:val="20"/>
              </w:rPr>
              <w:t>The amendments clarify the interaction between the accounting for equity securities, equity method investments, and certain derivative instruments. This ASU, among other</w:t>
            </w:r>
            <w:r>
              <w:rPr>
                <w:sz w:val="20"/>
                <w:szCs w:val="20"/>
              </w:rPr>
              <w:t xml:space="preserve"> things, clarifies that an entity should consider observable transactions that require a company to either apply or discontinue the equity method of accounting under Topic </w:t>
            </w:r>
            <w:r>
              <w:rPr>
                <w:rStyle w:val="a6"/>
                <w:sz w:val="20"/>
                <w:szCs w:val="20"/>
              </w:rPr>
              <w:t>323</w:t>
            </w:r>
            <w:r>
              <w:rPr>
                <w:sz w:val="20"/>
                <w:szCs w:val="20"/>
              </w:rPr>
              <w:t xml:space="preserve"> for the purposes of applying the measurement alternative in accordance with Topi</w:t>
            </w:r>
            <w:r>
              <w:rPr>
                <w:sz w:val="20"/>
                <w:szCs w:val="20"/>
              </w:rPr>
              <w:t xml:space="preserve">c </w:t>
            </w:r>
            <w:r>
              <w:rPr>
                <w:rStyle w:val="a6"/>
                <w:sz w:val="20"/>
                <w:szCs w:val="20"/>
              </w:rPr>
              <w:t>321</w:t>
            </w:r>
            <w:r>
              <w:rPr>
                <w:sz w:val="20"/>
                <w:szCs w:val="20"/>
              </w:rPr>
              <w:t xml:space="preserve"> immediately before applying or upon discontinuing the equity method.</w:t>
            </w:r>
          </w:p>
        </w:tc>
        <w:tc>
          <w:tcPr>
            <w:tcW w:w="670" w:type="pct"/>
            <w:tcBorders>
              <w:bottom w:val="single" w:sz="6" w:space="0" w:color="000000"/>
              <w:right w:val="single" w:sz="6" w:space="0" w:color="000000"/>
            </w:tcBorders>
            <w:shd w:val="clear" w:color="auto" w:fill="CCEEFF"/>
            <w:hideMark/>
          </w:tcPr>
          <w:p w:rsidR="00000000" w:rsidRDefault="001D2166">
            <w:pPr>
              <w:pStyle w:val="a3"/>
              <w:spacing w:before="0" w:beforeAutospacing="0" w:after="0" w:afterAutospacing="0"/>
              <w:jc w:val="center"/>
              <w:rPr>
                <w:sz w:val="20"/>
                <w:szCs w:val="20"/>
              </w:rPr>
            </w:pPr>
            <w:r>
              <w:rPr>
                <w:rStyle w:val="a6"/>
                <w:sz w:val="20"/>
                <w:szCs w:val="20"/>
              </w:rPr>
              <w:t>January 1, 2021</w:t>
            </w:r>
          </w:p>
        </w:tc>
        <w:tc>
          <w:tcPr>
            <w:tcW w:w="1085" w:type="pct"/>
            <w:tcBorders>
              <w:bottom w:val="single" w:sz="6" w:space="0" w:color="000000"/>
              <w:right w:val="single" w:sz="6" w:space="0" w:color="000000"/>
            </w:tcBorders>
            <w:shd w:val="clear" w:color="auto" w:fill="CCEEFF"/>
            <w:hideMark/>
          </w:tcPr>
          <w:p w:rsidR="00000000" w:rsidRDefault="001D2166">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1306593579"/>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2.</w:t>
      </w:r>
      <w:r>
        <w:rPr>
          <w:sz w:val="20"/>
          <w:szCs w:val="20"/>
        </w:rPr>
        <w:t xml:space="preserve"> </w:t>
      </w:r>
      <w:r>
        <w:rPr>
          <w:sz w:val="20"/>
          <w:szCs w:val="20"/>
          <w:u w:val="single"/>
        </w:rPr>
        <w:t>Weingarten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Overview</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August 3, 2021, </w:t>
      </w:r>
      <w:r>
        <w:rPr>
          <w:sz w:val="20"/>
          <w:szCs w:val="20"/>
        </w:rPr>
        <w:t>the Company completed the Merger with Weingarten, under which Weingarten merged with and into the Company, with the Company continuing as the surviving public company. The total purchase price of the Merger was $4.1 billion, w</w:t>
      </w:r>
      <w:r>
        <w:rPr>
          <w:sz w:val="20"/>
          <w:szCs w:val="20"/>
        </w:rPr>
        <w:t xml:space="preserve">hich consists primarily of shares of the Company’s common stock issued in exchange for Weingarten common shares, plus $281.1 million of cash consideration. The total purchase price was calculated based on the closing price of the Company’s common stock on </w:t>
      </w:r>
      <w:r>
        <w:rPr>
          <w:rStyle w:val="a6"/>
          <w:sz w:val="20"/>
          <w:szCs w:val="20"/>
        </w:rPr>
        <w:t xml:space="preserve">August 3, 2021, </w:t>
      </w:r>
      <w:r>
        <w:rPr>
          <w:sz w:val="20"/>
          <w:szCs w:val="20"/>
        </w:rPr>
        <w:t>which was $20.78 per share. At the effective time of the Merger, each Weingarten common share, issued and outstanding immediately prior to the effective time of the Merger (other than any shares owned directly by the Company or Weingarten a</w:t>
      </w:r>
      <w:r>
        <w:rPr>
          <w:sz w:val="20"/>
          <w:szCs w:val="20"/>
        </w:rPr>
        <w:t xml:space="preserve">nd in each case </w:t>
      </w:r>
      <w:r>
        <w:rPr>
          <w:rStyle w:val="a6"/>
          <w:sz w:val="20"/>
          <w:szCs w:val="20"/>
        </w:rPr>
        <w:t>not</w:t>
      </w:r>
      <w:r>
        <w:rPr>
          <w:sz w:val="20"/>
          <w:szCs w:val="20"/>
        </w:rPr>
        <w:t xml:space="preserve"> held on behalf of </w:t>
      </w:r>
      <w:r>
        <w:rPr>
          <w:rStyle w:val="a6"/>
          <w:sz w:val="20"/>
          <w:szCs w:val="20"/>
        </w:rPr>
        <w:t>third</w:t>
      </w:r>
      <w:r>
        <w:rPr>
          <w:sz w:val="20"/>
          <w:szCs w:val="20"/>
        </w:rPr>
        <w:t xml:space="preserve"> parties) was converted into 1.408 shares of newly issued shares of the Company’s common stock. The number of Weingarten common shares outstanding as of </w:t>
      </w:r>
      <w:r>
        <w:rPr>
          <w:rStyle w:val="a6"/>
          <w:sz w:val="20"/>
          <w:szCs w:val="20"/>
        </w:rPr>
        <w:t xml:space="preserve">August 3, 2021 </w:t>
      </w:r>
      <w:r>
        <w:rPr>
          <w:sz w:val="20"/>
          <w:szCs w:val="20"/>
        </w:rPr>
        <w:t>converted to shares of the Company’s common s</w:t>
      </w:r>
      <w:r>
        <w:rPr>
          <w:sz w:val="20"/>
          <w:szCs w:val="20"/>
        </w:rPr>
        <w:t>tock was determined as follows: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83"/>
        <w:gridCol w:w="67"/>
        <w:gridCol w:w="66"/>
        <w:gridCol w:w="1063"/>
        <w:gridCol w:w="66"/>
      </w:tblGrid>
      <w:tr w:rsidR="00000000">
        <w:trPr>
          <w:tblCellSpacing w:w="0" w:type="dxa"/>
        </w:trPr>
        <w:tc>
          <w:tcPr>
            <w:tcW w:w="40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Weingarten common shares outstanding as of August 3,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127,784,006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Exchange ratio</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1.408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Kimco common stock issued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179,919,880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table presents the purchase price and the total value of stock consideration paid by Kimco at the close of the Merger (in thousands except share price of Kimco common stock):</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1303"/>
        <w:gridCol w:w="50"/>
        <w:gridCol w:w="101"/>
        <w:gridCol w:w="723"/>
        <w:gridCol w:w="50"/>
        <w:gridCol w:w="50"/>
        <w:gridCol w:w="101"/>
        <w:gridCol w:w="1111"/>
        <w:gridCol w:w="50"/>
        <w:gridCol w:w="50"/>
        <w:gridCol w:w="101"/>
        <w:gridCol w:w="1111"/>
        <w:gridCol w:w="50"/>
        <w:gridCol w:w="50"/>
        <w:gridCol w:w="101"/>
        <w:gridCol w:w="1111"/>
        <w:gridCol w:w="50"/>
        <w:gridCol w:w="50"/>
        <w:gridCol w:w="101"/>
        <w:gridCol w:w="1111"/>
        <w:gridCol w:w="50"/>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Price of</w:t>
            </w:r>
          </w:p>
          <w:p w:rsidR="00000000" w:rsidRDefault="001D2166">
            <w:pPr>
              <w:pStyle w:val="a3"/>
              <w:spacing w:before="0" w:beforeAutospacing="0" w:after="0" w:afterAutospacing="0"/>
              <w:jc w:val="center"/>
              <w:rPr>
                <w:sz w:val="20"/>
                <w:szCs w:val="20"/>
              </w:rPr>
            </w:pPr>
            <w:r>
              <w:rPr>
                <w:b/>
                <w:bCs/>
                <w:sz w:val="20"/>
                <w:szCs w:val="20"/>
              </w:rPr>
              <w:t>Kimco</w:t>
            </w:r>
          </w:p>
          <w:p w:rsidR="00000000" w:rsidRDefault="001D2166">
            <w:pPr>
              <w:pStyle w:val="a3"/>
              <w:spacing w:before="0" w:beforeAutospacing="0" w:after="0" w:afterAutospacing="0"/>
              <w:jc w:val="center"/>
              <w:rPr>
                <w:sz w:val="20"/>
                <w:szCs w:val="20"/>
              </w:rPr>
            </w:pPr>
            <w:r>
              <w:rPr>
                <w:b/>
                <w:bCs/>
                <w:sz w:val="20"/>
                <w:szCs w:val="20"/>
              </w:rPr>
              <w:t>Common</w:t>
            </w:r>
          </w:p>
          <w:p w:rsidR="00000000" w:rsidRDefault="001D2166">
            <w:pPr>
              <w:pStyle w:val="a3"/>
              <w:spacing w:before="0" w:beforeAutospacing="0" w:after="0" w:afterAutospacing="0"/>
              <w:jc w:val="center"/>
              <w:rPr>
                <w:sz w:val="20"/>
                <w:szCs w:val="20"/>
              </w:rPr>
            </w:pPr>
            <w:r>
              <w:rPr>
                <w:b/>
                <w:bCs/>
                <w:sz w:val="20"/>
                <w:szCs w:val="20"/>
              </w:rPr>
              <w:t>Stock</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Equity Consideration Given (Kimco Shares</w:t>
            </w:r>
          </w:p>
          <w:p w:rsidR="00000000" w:rsidRDefault="001D2166">
            <w:pPr>
              <w:pStyle w:val="a3"/>
              <w:spacing w:before="0" w:beforeAutospacing="0" w:after="0" w:afterAutospacing="0"/>
              <w:jc w:val="center"/>
              <w:rPr>
                <w:sz w:val="20"/>
                <w:szCs w:val="20"/>
              </w:rPr>
            </w:pPr>
            <w:r>
              <w:rPr>
                <w:b/>
                <w:bCs/>
                <w:sz w:val="20"/>
                <w:szCs w:val="20"/>
              </w:rPr>
              <w:t> Issued)</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Calculated</w:t>
            </w:r>
          </w:p>
          <w:p w:rsidR="00000000" w:rsidRDefault="001D2166">
            <w:pPr>
              <w:pStyle w:val="a3"/>
              <w:spacing w:before="0" w:beforeAutospacing="0" w:after="0" w:afterAutospacing="0"/>
              <w:jc w:val="center"/>
              <w:rPr>
                <w:sz w:val="20"/>
                <w:szCs w:val="20"/>
              </w:rPr>
            </w:pPr>
            <w:r>
              <w:rPr>
                <w:b/>
                <w:bCs/>
                <w:sz w:val="20"/>
                <w:szCs w:val="20"/>
              </w:rPr>
              <w:t>Value of</w:t>
            </w:r>
          </w:p>
          <w:p w:rsidR="00000000" w:rsidRDefault="001D2166">
            <w:pPr>
              <w:pStyle w:val="a3"/>
              <w:spacing w:before="0" w:beforeAutospacing="0" w:after="0" w:afterAutospacing="0"/>
              <w:jc w:val="center"/>
              <w:rPr>
                <w:sz w:val="20"/>
                <w:szCs w:val="20"/>
              </w:rPr>
            </w:pPr>
            <w:r>
              <w:rPr>
                <w:b/>
                <w:bCs/>
                <w:sz w:val="20"/>
                <w:szCs w:val="20"/>
              </w:rPr>
              <w:t>Weingarten Consideration</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Cash Consideration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 Value of Consideration</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As of August 3,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179,920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3,738,735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320,424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4,059,159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Amounts include additional consideration of $39.3 </w:t>
      </w:r>
      <w:r>
        <w:rPr>
          <w:sz w:val="20"/>
          <w:szCs w:val="20"/>
        </w:rPr>
        <w:t>million relating to reimbursements paid by the Company to Weingarten at the closing of the Merger for transaction costs incurred by Weingarten.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As a result of the Merger, Kimco acquired 149 properties, including 30 held through joint venture programs. Th</w:t>
      </w:r>
      <w:r>
        <w:rPr>
          <w:sz w:val="20"/>
          <w:szCs w:val="20"/>
        </w:rPr>
        <w:t xml:space="preserve">e consolidated net assets and results of operations of Weingarten are included in the consolidated financial statements from the closing date, </w:t>
      </w:r>
      <w:r>
        <w:rPr>
          <w:rStyle w:val="a6"/>
          <w:sz w:val="20"/>
          <w:szCs w:val="20"/>
        </w:rPr>
        <w:t>August 3,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Purchase Price Allocation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accordance with ASC </w:t>
      </w:r>
      <w:r>
        <w:rPr>
          <w:rStyle w:val="a6"/>
          <w:sz w:val="20"/>
          <w:szCs w:val="20"/>
        </w:rPr>
        <w:t>805</w:t>
      </w:r>
      <w:r>
        <w:rPr>
          <w:sz w:val="20"/>
          <w:szCs w:val="20"/>
        </w:rPr>
        <w:t>-</w:t>
      </w:r>
      <w:r>
        <w:rPr>
          <w:rStyle w:val="a6"/>
          <w:sz w:val="20"/>
          <w:szCs w:val="20"/>
        </w:rPr>
        <w:t>10,</w:t>
      </w:r>
      <w:r>
        <w:rPr>
          <w:sz w:val="20"/>
          <w:szCs w:val="20"/>
        </w:rPr>
        <w:t xml:space="preserve"> </w:t>
      </w:r>
      <w:r>
        <w:rPr>
          <w:sz w:val="20"/>
          <w:szCs w:val="20"/>
        </w:rPr>
        <w:t>Business Combinations, the Company accounted for the Merger as a business combination using the acquisition method of accounting. Based on the value of the common shares issued and cash consideration paid, the total fair value of the assets acquired and li</w:t>
      </w:r>
      <w:r>
        <w:rPr>
          <w:sz w:val="20"/>
          <w:szCs w:val="20"/>
        </w:rPr>
        <w:t>abilities assumed in the Merger was $4.1 billion.</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30384250"/>
        <w:rPr>
          <w:rFonts w:eastAsia="Times New Roman"/>
          <w:sz w:val="20"/>
          <w:szCs w:val="20"/>
        </w:rPr>
      </w:pPr>
      <w:r>
        <w:rPr>
          <w:rStyle w:val="a6"/>
          <w:rFonts w:eastAsia="Times New Roman"/>
          <w:sz w:val="20"/>
          <w:szCs w:val="20"/>
        </w:rPr>
        <w:t>67</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099" style="width:415.3pt;height:1.5pt" o:hralign="center" o:hrstd="t" o:hrnoshade="t" o:hr="t" fillcolor="black" stroked="f"/>
        </w:pict>
      </w:r>
    </w:p>
    <w:p w:rsidR="00000000" w:rsidRDefault="001D2166">
      <w:pPr>
        <w:divId w:val="21250705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811167660"/>
        <w:rPr>
          <w:rFonts w:eastAsia="Times New Roman"/>
          <w:sz w:val="20"/>
          <w:szCs w:val="20"/>
        </w:rPr>
      </w:pPr>
      <w:r>
        <w:rPr>
          <w:rFonts w:eastAsia="Times New Roman"/>
          <w:sz w:val="20"/>
          <w:szCs w:val="20"/>
        </w:rPr>
        <w:t xml:space="preserve">KIMCO REALTY CORPORATION AND SUBSIDIARIES </w:t>
      </w:r>
    </w:p>
    <w:p w:rsidR="00000000" w:rsidRDefault="001D2166">
      <w:pPr>
        <w:divId w:val="191455057"/>
        <w:rPr>
          <w:rFonts w:eastAsia="Times New Roman"/>
          <w:sz w:val="20"/>
          <w:szCs w:val="20"/>
        </w:rPr>
      </w:pPr>
      <w:r>
        <w:rPr>
          <w:rFonts w:eastAsia="Times New Roman"/>
          <w:sz w:val="20"/>
          <w:szCs w:val="20"/>
        </w:rPr>
        <w:t xml:space="preserve">  </w:t>
      </w:r>
    </w:p>
    <w:p w:rsidR="00000000" w:rsidRDefault="001D2166">
      <w:pPr>
        <w:jc w:val="center"/>
        <w:divId w:val="351340535"/>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The fair value of the real estate assets acquired were determined using either (i) a direct capitalization method, (ii) a discounted cash flow analysis or (iii) estimated sales prices from signed contracts or letters of intent from </w:t>
      </w:r>
      <w:r>
        <w:rPr>
          <w:rStyle w:val="a6"/>
          <w:sz w:val="20"/>
          <w:szCs w:val="20"/>
        </w:rPr>
        <w:t>third</w:t>
      </w:r>
      <w:r>
        <w:rPr>
          <w:sz w:val="20"/>
          <w:szCs w:val="20"/>
        </w:rPr>
        <w:t xml:space="preserve"> party offers. Mark</w:t>
      </w:r>
      <w:r>
        <w:rPr>
          <w:sz w:val="20"/>
          <w:szCs w:val="20"/>
        </w:rPr>
        <w:t xml:space="preserve">et data and comparable sales information were used in estimating the fair value of the land acquired. The Company determined that these valuation methodologies are classified within Level </w:t>
      </w:r>
      <w:r>
        <w:rPr>
          <w:rStyle w:val="a6"/>
          <w:sz w:val="20"/>
          <w:szCs w:val="20"/>
        </w:rPr>
        <w:t>3</w:t>
      </w:r>
      <w:r>
        <w:rPr>
          <w:sz w:val="20"/>
          <w:szCs w:val="20"/>
        </w:rPr>
        <w:t xml:space="preserve"> of the fair value hierarchy. The assumptions and estimates include</w:t>
      </w:r>
      <w:r>
        <w:rPr>
          <w:sz w:val="20"/>
          <w:szCs w:val="20"/>
        </w:rPr>
        <w:t xml:space="preserve">d in these methodologies include stabilized net operating income, future income growth, capitalization rates, discount rates, capital expenditures, and cash flow projections at the respective properties. Under the direct capitalization method, the Company </w:t>
      </w:r>
      <w:r>
        <w:rPr>
          <w:sz w:val="20"/>
          <w:szCs w:val="20"/>
        </w:rPr>
        <w:t>derived a normalized net operating income and applied a current market capitalization rate for each property. The estimates of normalized net operating income are based on a number of factors, including historical operating results, known trends, fair mark</w:t>
      </w:r>
      <w:r>
        <w:rPr>
          <w:sz w:val="20"/>
          <w:szCs w:val="20"/>
        </w:rPr>
        <w:t>et lease rates and market/economic conditions. Capitalization rates utilized to derive these fair values ranged from 4.5% to 9.5%.</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discounted cash flow analyses were based on estimated future cash flow projections that utilize discount rates, termina</w:t>
      </w:r>
      <w:r>
        <w:rPr>
          <w:sz w:val="20"/>
          <w:szCs w:val="20"/>
        </w:rPr>
        <w:t>l capitalization rates and planned capital expenditures. These estimates approximate the inputs the Company believes would be utilized by market participants in assessing fair value. The estimates of future cash flow projections are based on a number of fa</w:t>
      </w:r>
      <w:r>
        <w:rPr>
          <w:sz w:val="20"/>
          <w:szCs w:val="20"/>
        </w:rPr>
        <w:t xml:space="preserve">ctors, including historical operating results, estimated growth rates, known and anticipated trends, fair market lease rates and market/economic conditions. Capitalization and discount rates utilized to derive the fair values ranged from 6.0% to 8.25% and </w:t>
      </w:r>
      <w:r>
        <w:rPr>
          <w:sz w:val="20"/>
          <w:szCs w:val="20"/>
        </w:rPr>
        <w:t>6.75% to 9.0%, respectively.</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40"/>
        <w:jc w:val="both"/>
        <w:rPr>
          <w:sz w:val="20"/>
          <w:szCs w:val="20"/>
        </w:rPr>
      </w:pPr>
      <w:r>
        <w:rPr>
          <w:sz w:val="20"/>
          <w:szCs w:val="20"/>
        </w:rPr>
        <w:t>The Company allocates the purchase price of acquired properties to tangible and identifiable intangible assets or liabilities based on their respective fair values. The fair value of any tangible real estate assets acquired i</w:t>
      </w:r>
      <w:r>
        <w:rPr>
          <w:sz w:val="20"/>
          <w:szCs w:val="20"/>
        </w:rPr>
        <w:t>s determined by valuing the building as if it were vacant, and the fair value is then allocated to land, buildings and improvements. The Company values above and below-market lease intangibles based on estimates of market rent compared to contractual rents</w:t>
      </w:r>
      <w:r>
        <w:rPr>
          <w:sz w:val="20"/>
          <w:szCs w:val="20"/>
        </w:rPr>
        <w:t xml:space="preserve"> over expected lease terms using an appropriate discount rate.  In-place leases are valued based on the costs to obtain new leases and an estimate of lost revenues and expenses over an anticipated lease up term. The Company determined that this valuation m</w:t>
      </w:r>
      <w:r>
        <w:rPr>
          <w:sz w:val="20"/>
          <w:szCs w:val="20"/>
        </w:rPr>
        <w:t xml:space="preserve">ethodology is classified within Level </w:t>
      </w:r>
      <w:r>
        <w:rPr>
          <w:rStyle w:val="a6"/>
          <w:sz w:val="20"/>
          <w:szCs w:val="20"/>
        </w:rPr>
        <w:t>2</w:t>
      </w:r>
      <w:r>
        <w:rPr>
          <w:sz w:val="20"/>
          <w:szCs w:val="20"/>
        </w:rPr>
        <w:t xml:space="preserve"> and Level </w:t>
      </w:r>
      <w:r>
        <w:rPr>
          <w:rStyle w:val="a6"/>
          <w:sz w:val="20"/>
          <w:szCs w:val="20"/>
        </w:rPr>
        <w:t>3</w:t>
      </w:r>
      <w:r>
        <w:rPr>
          <w:sz w:val="20"/>
          <w:szCs w:val="20"/>
        </w:rPr>
        <w:t xml:space="preserve"> of the fair value hierarchy.</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40"/>
        <w:jc w:val="both"/>
        <w:rPr>
          <w:sz w:val="20"/>
          <w:szCs w:val="20"/>
        </w:rPr>
      </w:pPr>
      <w:r>
        <w:rPr>
          <w:sz w:val="20"/>
          <w:szCs w:val="20"/>
        </w:rPr>
        <w:t>The Company determined the fair value of its unsecured debt using current market-based pricing and interest rate yields for similar debt instruments.  The Company determined</w:t>
      </w:r>
      <w:r>
        <w:rPr>
          <w:sz w:val="20"/>
          <w:szCs w:val="20"/>
        </w:rPr>
        <w:t xml:space="preserve"> the fair value of secured debt assumed by calculating the net present value of the scheduled debt service payments using current market-based terms for interest rates for debt with similar terms that the Company believes it could obtain on similar structu</w:t>
      </w:r>
      <w:r>
        <w:rPr>
          <w:sz w:val="20"/>
          <w:szCs w:val="20"/>
        </w:rPr>
        <w:t xml:space="preserve">res and maturities. For the fair value of secured debt assumed, weighted average credit spreads utilized were </w:t>
      </w:r>
      <w:r>
        <w:rPr>
          <w:rStyle w:val="a6"/>
          <w:sz w:val="20"/>
          <w:szCs w:val="20"/>
        </w:rPr>
        <w:t>3.33%</w:t>
      </w:r>
      <w:r>
        <w:rPr>
          <w:sz w:val="20"/>
          <w:szCs w:val="20"/>
        </w:rPr>
        <w:t xml:space="preserve"> and London Inter-bank Offered Rate (“LIBOR”) + 2.14% for the fixed and floating rate debt, respectively.  Any difference between the fair va</w:t>
      </w:r>
      <w:r>
        <w:rPr>
          <w:sz w:val="20"/>
          <w:szCs w:val="20"/>
        </w:rPr>
        <w:t xml:space="preserve">lue and stated value of the assumed debt is recorded as a discount or premium and amortized over the remaining term of the loan. Finance lease obligations assumed are measured at fair value and are included as a liability on the accompanying balance sheet </w:t>
      </w:r>
      <w:r>
        <w:rPr>
          <w:sz w:val="20"/>
          <w:szCs w:val="20"/>
        </w:rPr>
        <w:t xml:space="preserve">and the Company recorded the corresponding right-of-use assets. The Company determined that the valuation methodology used for its unsecured debt is classified within Level </w:t>
      </w:r>
      <w:r>
        <w:rPr>
          <w:rStyle w:val="a6"/>
          <w:sz w:val="20"/>
          <w:szCs w:val="20"/>
        </w:rPr>
        <w:t>2</w:t>
      </w:r>
      <w:r>
        <w:rPr>
          <w:sz w:val="20"/>
          <w:szCs w:val="20"/>
        </w:rPr>
        <w:t xml:space="preserve"> of the fair value hierarchy and the valuation methodology used for its secured de</w:t>
      </w:r>
      <w:r>
        <w:rPr>
          <w:sz w:val="20"/>
          <w:szCs w:val="20"/>
        </w:rPr>
        <w:t xml:space="preserve">bt is classified within Level </w:t>
      </w:r>
      <w:r>
        <w:rPr>
          <w:rStyle w:val="a6"/>
          <w:sz w:val="20"/>
          <w:szCs w:val="20"/>
        </w:rPr>
        <w:t>3</w:t>
      </w:r>
      <w:r>
        <w:rPr>
          <w:sz w:val="20"/>
          <w:szCs w:val="20"/>
        </w:rPr>
        <w:t xml:space="preserve"> of the fair value hierarchy.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table summarizes the final purchase price allocation, including the acquisition date fair value of the tangible and intangible assets acquired and liabilities assumed (in thousand</w:t>
      </w:r>
      <w:r>
        <w:rPr>
          <w:sz w:val="20"/>
          <w:szCs w:val="20"/>
        </w:rPr>
        <w:t>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5548"/>
        <w:gridCol w:w="113"/>
        <w:gridCol w:w="114"/>
        <w:gridCol w:w="1586"/>
        <w:gridCol w:w="114"/>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Purchase Price Allocation</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1,174,407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Building and improvements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4,040,244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370,685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Above-market leases</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42,133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Real estate assets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5,627,469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585,382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Cash, accounts receivable and other assets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241,582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Total assets acquired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6,454,433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Notes payable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(1,497,632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Mortgages payable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(317,671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Accounts payable and other liabilities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(283,559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Below-market leases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(119,373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(177,039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Total liabilities assumed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(2,395,274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b/>
                <w:bCs/>
                <w:sz w:val="20"/>
                <w:szCs w:val="20"/>
              </w:rPr>
              <w:t>Total purchase price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4,059,159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table details the weighted average amortization periods, in years, of the purchase price allocated to real estate and related intangible assets and liabilities acquired arising from the Merger:</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7"/>
        <w:gridCol w:w="61"/>
        <w:gridCol w:w="68"/>
        <w:gridCol w:w="1077"/>
        <w:gridCol w:w="62"/>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 Average</w:t>
            </w:r>
            <w:r>
              <w:rPr>
                <w:b/>
                <w:bCs/>
                <w:sz w:val="20"/>
                <w:szCs w:val="20"/>
              </w:rPr>
              <w:br/>
              <w:t>Amortization Period</w:t>
            </w:r>
          </w:p>
          <w:p w:rsidR="00000000" w:rsidRDefault="001D2166">
            <w:pPr>
              <w:pStyle w:val="a3"/>
              <w:spacing w:before="0" w:beforeAutospacing="0" w:after="0" w:afterAutospacing="0"/>
              <w:jc w:val="center"/>
              <w:rPr>
                <w:sz w:val="20"/>
                <w:szCs w:val="20"/>
              </w:rPr>
            </w:pPr>
            <w:r>
              <w:rPr>
                <w:b/>
                <w:bCs/>
                <w:sz w:val="20"/>
                <w:szCs w:val="20"/>
              </w:rPr>
              <w:t>(in Y</w:t>
            </w:r>
            <w:r>
              <w:rPr>
                <w:b/>
                <w:bCs/>
                <w:sz w:val="20"/>
                <w:szCs w:val="20"/>
              </w:rPr>
              <w:t>ears)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Fixtures and leasehold improvements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In-place leases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Above-market leases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Right-of-use intangible assets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Fair market value of debt adjustment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328868787"/>
        <w:rPr>
          <w:rFonts w:eastAsia="Times New Roman"/>
          <w:sz w:val="20"/>
          <w:szCs w:val="20"/>
        </w:rPr>
      </w:pPr>
      <w:r>
        <w:rPr>
          <w:rStyle w:val="a6"/>
          <w:rFonts w:eastAsia="Times New Roman"/>
          <w:sz w:val="20"/>
          <w:szCs w:val="20"/>
        </w:rPr>
        <w:t>68</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0" style="width:415.3pt;height:1.5pt" o:hralign="center" o:hrstd="t" o:hrnoshade="t" o:hr="t" fillcolor="black" stroked="f"/>
        </w:pict>
      </w:r>
    </w:p>
    <w:p w:rsidR="00000000" w:rsidRDefault="001D2166">
      <w:pPr>
        <w:divId w:val="5136186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582595985"/>
        <w:rPr>
          <w:rFonts w:eastAsia="Times New Roman"/>
          <w:sz w:val="20"/>
          <w:szCs w:val="20"/>
        </w:rPr>
      </w:pPr>
      <w:r>
        <w:rPr>
          <w:rFonts w:eastAsia="Times New Roman"/>
          <w:sz w:val="20"/>
          <w:szCs w:val="20"/>
        </w:rPr>
        <w:t xml:space="preserve">KIMCO REALTY CORPORATION AND SUBSIDIARIES </w:t>
      </w:r>
    </w:p>
    <w:p w:rsidR="00000000" w:rsidRDefault="001D2166">
      <w:pPr>
        <w:divId w:val="292951530"/>
        <w:rPr>
          <w:rFonts w:eastAsia="Times New Roman"/>
          <w:sz w:val="20"/>
          <w:szCs w:val="20"/>
        </w:rPr>
      </w:pPr>
      <w:r>
        <w:rPr>
          <w:rFonts w:eastAsia="Times New Roman"/>
          <w:sz w:val="20"/>
          <w:szCs w:val="20"/>
        </w:rPr>
        <w:t xml:space="preserve">  </w:t>
      </w:r>
    </w:p>
    <w:p w:rsidR="00000000" w:rsidRDefault="001D2166">
      <w:pPr>
        <w:jc w:val="center"/>
        <w:divId w:val="783113351"/>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Revenues from rental properties, net and Net income available to the Company’s common shareholders in the Company’s Consolidated Stat</w:t>
      </w:r>
      <w:r>
        <w:rPr>
          <w:sz w:val="20"/>
          <w:szCs w:val="20"/>
        </w:rPr>
        <w:t xml:space="preserve">ements of Income includes revenues of $198.3 million and net income of $25.8 million (excluding $50.2 million of merger related charges), respectively, resulting from the Merger for the year ended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Pro forma Information (Unaudited)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w:t>
      </w:r>
      <w:r>
        <w:rPr>
          <w:sz w:val="20"/>
          <w:szCs w:val="20"/>
        </w:rPr>
        <w:t xml:space="preserve">e pro forma financial information set forth below is based upon the Company’s historical Consolidated Statements of Income for the years ended </w:t>
      </w:r>
      <w:r>
        <w:rPr>
          <w:rStyle w:val="a6"/>
          <w:sz w:val="20"/>
          <w:szCs w:val="20"/>
        </w:rPr>
        <w:t xml:space="preserve">December 31, 2021 </w:t>
      </w:r>
      <w:r>
        <w:rPr>
          <w:sz w:val="20"/>
          <w:szCs w:val="20"/>
        </w:rPr>
        <w:t>and </w:t>
      </w:r>
      <w:r>
        <w:rPr>
          <w:rStyle w:val="a6"/>
          <w:sz w:val="20"/>
          <w:szCs w:val="20"/>
        </w:rPr>
        <w:t>2020,</w:t>
      </w:r>
      <w:r>
        <w:rPr>
          <w:sz w:val="20"/>
          <w:szCs w:val="20"/>
        </w:rPr>
        <w:t xml:space="preserve"> adjusted to give effect as if the Merger occurred as of </w:t>
      </w:r>
      <w:r>
        <w:rPr>
          <w:rStyle w:val="a6"/>
          <w:sz w:val="20"/>
          <w:szCs w:val="20"/>
        </w:rPr>
        <w:t xml:space="preserve">January 1, 2020. </w:t>
      </w:r>
      <w:r>
        <w:rPr>
          <w:sz w:val="20"/>
          <w:szCs w:val="20"/>
        </w:rPr>
        <w:t>The pro form</w:t>
      </w:r>
      <w:r>
        <w:rPr>
          <w:sz w:val="20"/>
          <w:szCs w:val="20"/>
        </w:rPr>
        <w:t xml:space="preserve">a financial information is presented for informational purposes only and </w:t>
      </w:r>
      <w:r>
        <w:rPr>
          <w:rStyle w:val="a6"/>
          <w:sz w:val="20"/>
          <w:szCs w:val="20"/>
        </w:rPr>
        <w:t>may not</w:t>
      </w:r>
      <w:r>
        <w:rPr>
          <w:sz w:val="20"/>
          <w:szCs w:val="20"/>
        </w:rPr>
        <w:t xml:space="preserve"> be indicative of what actual results of income would have been, nor does it purport to represent the results of income for future periods. (Amounts presented in millions, exce</w:t>
      </w:r>
      <w:r>
        <w:rPr>
          <w:sz w:val="20"/>
          <w:szCs w:val="20"/>
        </w:rPr>
        <w:t>pt per share figures). </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410"/>
        <w:gridCol w:w="87"/>
        <w:gridCol w:w="100"/>
        <w:gridCol w:w="1257"/>
        <w:gridCol w:w="87"/>
        <w:gridCol w:w="88"/>
        <w:gridCol w:w="100"/>
        <w:gridCol w:w="1258"/>
        <w:gridCol w:w="8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Revenues from rental properties,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2,341.4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2,234.9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Net income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1,114.6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1,193.</w:t>
            </w:r>
            <w:r>
              <w:rPr>
                <w:rFonts w:eastAsia="Times New Roman"/>
                <w:sz w:val="20"/>
                <w:szCs w:val="20"/>
              </w:rPr>
              <w:t>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income available to the Company’s common shareholders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1,084.1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1,166.</w:t>
            </w:r>
            <w:r>
              <w:rPr>
                <w:rFonts w:eastAsia="Times New Roman"/>
                <w:sz w:val="20"/>
                <w:szCs w:val="20"/>
              </w:rPr>
              <w:t>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pro forma earnings for the year ended </w:t>
            </w:r>
            <w:r>
              <w:rPr>
                <w:rStyle w:val="a6"/>
                <w:sz w:val="20"/>
                <w:szCs w:val="20"/>
              </w:rPr>
              <w:t xml:space="preserve">December 31, 2021 </w:t>
            </w:r>
            <w:r>
              <w:rPr>
                <w:sz w:val="20"/>
                <w:szCs w:val="20"/>
              </w:rPr>
              <w:t xml:space="preserve">were adjusted to exclude $50.2 </w:t>
            </w:r>
            <w:r>
              <w:rPr>
                <w:sz w:val="20"/>
                <w:szCs w:val="20"/>
              </w:rPr>
              <w:t xml:space="preserve">million of merger costs while the pro forma earnings for the year ended </w:t>
            </w:r>
            <w:r>
              <w:rPr>
                <w:rStyle w:val="a6"/>
                <w:sz w:val="20"/>
                <w:szCs w:val="20"/>
              </w:rPr>
              <w:t>December 31, 2020 </w:t>
            </w:r>
            <w:r>
              <w:rPr>
                <w:sz w:val="20"/>
                <w:szCs w:val="20"/>
              </w:rPr>
              <w:t>were adjusted to include $50.2 million of merger costs incurred.</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23058285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3.</w:t>
      </w:r>
      <w:r>
        <w:rPr>
          <w:sz w:val="20"/>
          <w:szCs w:val="20"/>
        </w:rPr>
        <w:t>   </w:t>
      </w:r>
      <w:r>
        <w:rPr>
          <w:sz w:val="20"/>
          <w:szCs w:val="20"/>
          <w:u w:val="single"/>
        </w:rPr>
        <w:t>Real Estate: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The Company’</w:t>
      </w:r>
      <w:r>
        <w:rPr>
          <w:sz w:val="20"/>
          <w:szCs w:val="20"/>
        </w:rPr>
        <w:t>s components of Real estate, net consist of the following (in thousands):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ind w:left="72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ind w:firstLine="18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Land:</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Developed land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3,962,447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2,758,936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Undeveloped land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16,328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22,952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Total land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3,978,775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2,781,888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Buildings and improvements: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Buildings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10,042,225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5,911,602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Building improvements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1,999,319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1,918,641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Tenant improvements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987,216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820,027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Fixtures and leasehold improvements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31,421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32,123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Above-market leases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166,840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125,858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In-place leases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840,803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473,016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Total buildings and improvements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14,067,824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9,281,267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18,046,599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12,063,155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Accumulated depreciation and amortization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(3,010,699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(2,717,114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Total real estate,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15,035,900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9,346,041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w:t>
            </w:r>
            <w:r>
              <w:rPr>
                <w:sz w:val="20"/>
                <w:szCs w:val="20"/>
              </w:rPr>
              <w:t>the Company had accumulated amortization relating to in-place leases and above-market leases aggregating $569,648 and $499,022, respectively.</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addition,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the Company had intangible liabilities relating to below-market lea</w:t>
      </w:r>
      <w:r>
        <w:rPr>
          <w:sz w:val="20"/>
          <w:szCs w:val="20"/>
        </w:rPr>
        <w:t>ses from property acquisitions of $336.6 million and $231.3 million, respectively, net of accumulated amortization of $227.5 million and $219.6 million, respectively. These amounts are included in the caption Other liabilities on the Company’s Consolidated</w:t>
      </w:r>
      <w:r>
        <w:rPr>
          <w:sz w:val="20"/>
          <w:szCs w:val="20"/>
        </w:rPr>
        <w:t xml:space="preserve"> Balance Sheets.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Company’s amortization associated with above-market and below-market leases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resulted in net increases to revenue of $14.8 million, $22.5 million and $20.0 million, respectively. </w:t>
      </w:r>
      <w:r>
        <w:rPr>
          <w:sz w:val="20"/>
          <w:szCs w:val="20"/>
        </w:rPr>
        <w:t xml:space="preserve">The Company’s amortization expense associated with in-place leases, which is included in depreciation and amortization,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was $80.1 million, $26.3 million and $33.1 million,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31385593"/>
        <w:rPr>
          <w:rFonts w:eastAsia="Times New Roman"/>
          <w:sz w:val="20"/>
          <w:szCs w:val="20"/>
        </w:rPr>
      </w:pPr>
      <w:r>
        <w:rPr>
          <w:rStyle w:val="a6"/>
          <w:rFonts w:eastAsia="Times New Roman"/>
          <w:sz w:val="20"/>
          <w:szCs w:val="20"/>
        </w:rPr>
        <w:t>69</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1" style="width:415.3pt;height:1.5pt" o:hralign="center" o:hrstd="t" o:hrnoshade="t" o:hr="t" fillcolor="black" stroked="f"/>
        </w:pict>
      </w:r>
    </w:p>
    <w:p w:rsidR="00000000" w:rsidRDefault="001D2166">
      <w:pPr>
        <w:divId w:val="207107599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493759577"/>
        <w:rPr>
          <w:rFonts w:eastAsia="Times New Roman"/>
          <w:sz w:val="20"/>
          <w:szCs w:val="20"/>
        </w:rPr>
      </w:pPr>
      <w:r>
        <w:rPr>
          <w:rFonts w:eastAsia="Times New Roman"/>
          <w:sz w:val="20"/>
          <w:szCs w:val="20"/>
        </w:rPr>
        <w:t xml:space="preserve">KIMCO REALTY CORPORATION AND SUBSIDIARIES </w:t>
      </w:r>
    </w:p>
    <w:p w:rsidR="00000000" w:rsidRDefault="001D2166">
      <w:pPr>
        <w:divId w:val="1709916663"/>
        <w:rPr>
          <w:rFonts w:eastAsia="Times New Roman"/>
          <w:sz w:val="20"/>
          <w:szCs w:val="20"/>
        </w:rPr>
      </w:pPr>
      <w:r>
        <w:rPr>
          <w:rFonts w:eastAsia="Times New Roman"/>
          <w:sz w:val="20"/>
          <w:szCs w:val="20"/>
        </w:rPr>
        <w:t xml:space="preserve">  </w:t>
      </w:r>
    </w:p>
    <w:p w:rsidR="00000000" w:rsidRDefault="001D2166">
      <w:pPr>
        <w:jc w:val="center"/>
        <w:divId w:val="524291908"/>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 estimated net amortization inco</w:t>
      </w:r>
      <w:r>
        <w:rPr>
          <w:sz w:val="20"/>
          <w:szCs w:val="20"/>
        </w:rPr>
        <w:t xml:space="preserve">me/(expense) associated with the Company’s above-market and below-market leases and in-place leases for the next </w:t>
      </w:r>
      <w:r>
        <w:rPr>
          <w:rStyle w:val="a6"/>
          <w:sz w:val="20"/>
          <w:szCs w:val="20"/>
        </w:rPr>
        <w:t>five</w:t>
      </w:r>
      <w:r>
        <w:rPr>
          <w:sz w:val="20"/>
          <w:szCs w:val="20"/>
        </w:rPr>
        <w:t xml:space="preserve"> years are as follows (in millions):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100"/>
        <w:gridCol w:w="742"/>
        <w:gridCol w:w="77"/>
        <w:gridCol w:w="77"/>
        <w:gridCol w:w="100"/>
        <w:gridCol w:w="742"/>
        <w:gridCol w:w="78"/>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Above-market and below-market leases amortization,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In-place leases amortization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(138.6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(95.4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(66.3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Real Estate Under Development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the Company has a land parcel located in Dania Beach, FL which is held for future development included in Real estate under development on the Company’s Consolidated Balance Sheets.</w:t>
      </w:r>
    </w:p>
    <w:p w:rsidR="00000000" w:rsidRDefault="001D2166">
      <w:pPr>
        <w:pStyle w:val="a3"/>
        <w:spacing w:before="0" w:beforeAutospacing="0" w:after="0" w:afterAutospacing="0"/>
        <w:rPr>
          <w:sz w:val="20"/>
          <w:szCs w:val="20"/>
        </w:rPr>
      </w:pPr>
      <w:r>
        <w:rPr>
          <w:sz w:val="20"/>
          <w:szCs w:val="20"/>
        </w:rPr>
        <w:t> </w:t>
      </w:r>
    </w:p>
    <w:p w:rsidR="00000000" w:rsidRDefault="001D2166">
      <w:pPr>
        <w:divId w:val="214573454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4.</w:t>
      </w:r>
      <w:r>
        <w:rPr>
          <w:sz w:val="20"/>
          <w:szCs w:val="20"/>
        </w:rPr>
        <w:t>   </w:t>
      </w:r>
      <w:r>
        <w:rPr>
          <w:sz w:val="20"/>
          <w:szCs w:val="20"/>
          <w:u w:val="single"/>
        </w:rPr>
        <w:t>Property Acquisitions: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Acquisition/Consolidation of Operating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2021, </w:t>
      </w:r>
      <w:r>
        <w:rPr>
          <w:sz w:val="20"/>
          <w:szCs w:val="20"/>
        </w:rPr>
        <w:t xml:space="preserve">in addition to the properties acquired in the Merger (see Footnote </w:t>
      </w:r>
      <w:r>
        <w:rPr>
          <w:rStyle w:val="a6"/>
          <w:sz w:val="20"/>
          <w:szCs w:val="20"/>
        </w:rPr>
        <w:t>2</w:t>
      </w:r>
      <w:r>
        <w:rPr>
          <w:sz w:val="20"/>
          <w:szCs w:val="20"/>
        </w:rPr>
        <w:t xml:space="preserve"> of the Notes to Consolidated Financial Statements), the Company </w:t>
      </w:r>
      <w:r>
        <w:rPr>
          <w:sz w:val="20"/>
          <w:szCs w:val="20"/>
        </w:rPr>
        <w:t>acquired the following operating properties, through direct asset purchases or consolidation due to change in control resulting from the purchase of additional interests or obtaining control through the modification of a joint venture investment (in thousa</w:t>
      </w:r>
      <w:r>
        <w:rPr>
          <w:sz w:val="20"/>
          <w:szCs w:val="20"/>
        </w:rPr>
        <w:t>nds):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53"/>
        <w:gridCol w:w="873"/>
        <w:gridCol w:w="1123"/>
        <w:gridCol w:w="58"/>
        <w:gridCol w:w="100"/>
        <w:gridCol w:w="723"/>
        <w:gridCol w:w="58"/>
        <w:gridCol w:w="58"/>
        <w:gridCol w:w="100"/>
        <w:gridCol w:w="723"/>
        <w:gridCol w:w="58"/>
        <w:gridCol w:w="58"/>
        <w:gridCol w:w="100"/>
        <w:gridCol w:w="723"/>
        <w:gridCol w:w="58"/>
        <w:gridCol w:w="58"/>
        <w:gridCol w:w="100"/>
        <w:gridCol w:w="723"/>
        <w:gridCol w:w="58"/>
        <w:gridCol w:w="59"/>
        <w:gridCol w:w="59"/>
        <w:gridCol w:w="724"/>
        <w:gridCol w:w="59"/>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1010" w:type="pct"/>
            <w:tcBorders>
              <w:bottom w:val="single" w:sz="6" w:space="0" w:color="000000"/>
            </w:tcBorders>
            <w:vAlign w:val="bottom"/>
            <w:hideMark/>
          </w:tcPr>
          <w:p w:rsidR="00000000" w:rsidRDefault="001D2166">
            <w:pPr>
              <w:pStyle w:val="a3"/>
              <w:spacing w:before="0" w:beforeAutospacing="0" w:after="0" w:afterAutospacing="0"/>
              <w:rPr>
                <w:sz w:val="20"/>
                <w:szCs w:val="20"/>
              </w:rPr>
            </w:pPr>
            <w:r>
              <w:rPr>
                <w:b/>
                <w:bCs/>
                <w:sz w:val="20"/>
                <w:szCs w:val="20"/>
              </w:rPr>
              <w:t>Property Name</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Location</w:t>
            </w:r>
          </w:p>
        </w:tc>
        <w:tc>
          <w:tcPr>
            <w:tcW w:w="54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Month Acquired/ Consolidated</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Cash</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Debt</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Other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Distribution Center #1 (1)</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Lancaster, CA</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Jan-21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58,723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11,277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Distribution Center #2 (1)</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Woodland, CA</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Jan-21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27,589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34,000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Jamestown Portfolio (6 properties) (2)</w:t>
            </w:r>
          </w:p>
        </w:tc>
        <w:tc>
          <w:tcPr>
            <w:tcW w:w="0" w:type="auto"/>
            <w:shd w:val="clear" w:color="auto" w:fill="CCEEFF"/>
            <w:vAlign w:val="bottom"/>
            <w:hideMark/>
          </w:tcPr>
          <w:p w:rsidR="00000000" w:rsidRDefault="001D2166">
            <w:pPr>
              <w:pStyle w:val="a3"/>
              <w:spacing w:before="0" w:beforeAutospacing="0" w:after="0" w:afterAutospacing="0"/>
              <w:ind w:firstLine="40"/>
              <w:jc w:val="center"/>
              <w:rPr>
                <w:sz w:val="20"/>
                <w:szCs w:val="20"/>
              </w:rPr>
            </w:pPr>
            <w:r>
              <w:rPr>
                <w:rStyle w:val="a6"/>
                <w:sz w:val="20"/>
                <w:szCs w:val="20"/>
              </w:rPr>
              <w:t>Various</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Oct-21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172,899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170,000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87,094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429,993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KimPru Portfolio (2 properties) (2)</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Various</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Oct-21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61,705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64,169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15,212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141,086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478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Columbia Crossing Parcel</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Columbia, MD</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Oct-21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12,600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12,600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Centro Arlington (2)</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Arlington, VA</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Nov-21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24,178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184,850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209,028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357,694</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234,169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304,844</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896,707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3,256</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rPr>
          <w:sz w:val="20"/>
          <w:szCs w:val="20"/>
        </w:rPr>
      </w:pPr>
      <w:r>
        <w:rPr>
          <w:sz w:val="20"/>
          <w:szCs w:val="20"/>
        </w:rPr>
        <w:t>* Gross leasable area ("GLA")</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Other consists of the fair value of the assets acquired which exceeded the purchase price upon closing. The transaction was a sale-leaseback with the seller which resulted in the recognition of a prepayment of rent of $17.7 million in accordance with ASC </w:t>
            </w:r>
            <w:r>
              <w:rPr>
                <w:rStyle w:val="a6"/>
                <w:sz w:val="20"/>
                <w:szCs w:val="20"/>
              </w:rPr>
              <w:t>8</w:t>
            </w:r>
            <w:r>
              <w:rPr>
                <w:rStyle w:val="a6"/>
                <w:sz w:val="20"/>
                <w:szCs w:val="20"/>
              </w:rPr>
              <w:t>42,</w:t>
            </w:r>
            <w:r>
              <w:rPr>
                <w:sz w:val="20"/>
                <w:szCs w:val="20"/>
              </w:rPr>
              <w:t xml:space="preserve"> Leases at closing. The prepayment of rent was amortized over the initial term of the lease through Revenues from rental properties, net on the Company's Consolidated Statements of Operations. See Footnote </w:t>
            </w:r>
            <w:r>
              <w:rPr>
                <w:rStyle w:val="a6"/>
                <w:sz w:val="20"/>
                <w:szCs w:val="20"/>
              </w:rPr>
              <w:t>16</w:t>
            </w:r>
            <w:r>
              <w:rPr>
                <w:sz w:val="20"/>
                <w:szCs w:val="20"/>
              </w:rPr>
              <w:t xml:space="preserve"> of the Company’s Consolidated Financial Stat</w:t>
            </w:r>
            <w:r>
              <w:rPr>
                <w:sz w:val="20"/>
                <w:szCs w:val="20"/>
              </w:rPr>
              <w:t>ements for additional discussion regarding fair value allocation of partnership interest for noncontrolling interests.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Other includes the Company’</w:t>
            </w:r>
            <w:r>
              <w:rPr>
                <w:sz w:val="20"/>
                <w:szCs w:val="20"/>
              </w:rPr>
              <w:t>s previously held equity investments and net gains on change in control. The Company evaluated these transactions pursuant to the FASB’s Consolidation guidance and as a result, recognized net gains on change in control of interests of $5.0 million, in aggr</w:t>
            </w:r>
            <w:r>
              <w:rPr>
                <w:sz w:val="20"/>
                <w:szCs w:val="20"/>
              </w:rPr>
              <w:t>egate, resulting from the fair value adjustments associated with the Company’s previously held equity interests, which are included in Equity in income of joint ventures, net on the Company’s Consolidated Statements of Income. The Company previously held a</w:t>
            </w:r>
            <w:r>
              <w:rPr>
                <w:sz w:val="20"/>
                <w:szCs w:val="20"/>
              </w:rPr>
              <w:t>n ownership interest of 30.0% in Jamestown Portfolio, 15.0% in KimPru Portfolio and 90.0% in Centro Arlington.</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2020, </w:t>
      </w:r>
      <w:r>
        <w:rPr>
          <w:sz w:val="20"/>
          <w:szCs w:val="20"/>
        </w:rPr>
        <w:t>the Company acquired the following operating property, through a direct asset purchase (in thousands)</w:t>
      </w:r>
      <w:r>
        <w:rPr>
          <w:sz w:val="20"/>
          <w:szCs w:val="20"/>
        </w:rPr>
        <w:t>:</w:t>
      </w:r>
    </w:p>
    <w:p w:rsidR="00000000" w:rsidRDefault="001D2166">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830"/>
        <w:gridCol w:w="999"/>
        <w:gridCol w:w="1286"/>
        <w:gridCol w:w="63"/>
        <w:gridCol w:w="101"/>
        <w:gridCol w:w="1060"/>
        <w:gridCol w:w="63"/>
        <w:gridCol w:w="63"/>
        <w:gridCol w:w="63"/>
        <w:gridCol w:w="1060"/>
        <w:gridCol w:w="5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138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Property Name</w:t>
            </w:r>
          </w:p>
        </w:tc>
        <w:tc>
          <w:tcPr>
            <w:tcW w:w="75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Location</w:t>
            </w:r>
          </w:p>
        </w:tc>
        <w:tc>
          <w:tcPr>
            <w:tcW w:w="97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Month Acquired</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Cash</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North Valley Parcel</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Peoria, AZ</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Feb-20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Included in the Company’</w:t>
      </w:r>
      <w:r>
        <w:rPr>
          <w:sz w:val="20"/>
          <w:szCs w:val="20"/>
        </w:rPr>
        <w:t xml:space="preserve">s Consolidated Statements of Income are $10.3 million and $0.4 million in total revenues from the date of acquisition through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respectively, for operating properties acquired during each of the respective years.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229339326"/>
        <w:rPr>
          <w:rFonts w:eastAsia="Times New Roman"/>
          <w:sz w:val="20"/>
          <w:szCs w:val="20"/>
        </w:rPr>
      </w:pPr>
      <w:r>
        <w:rPr>
          <w:rStyle w:val="a6"/>
          <w:rFonts w:eastAsia="Times New Roman"/>
          <w:sz w:val="20"/>
          <w:szCs w:val="20"/>
        </w:rPr>
        <w:t>70</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2" style="width:415.3pt;height:1.5pt" o:hralign="center" o:hrstd="t" o:hrnoshade="t" o:hr="t" fillcolor="black" stroked="f"/>
        </w:pict>
      </w:r>
    </w:p>
    <w:p w:rsidR="00000000" w:rsidRDefault="001D2166">
      <w:pPr>
        <w:divId w:val="75937487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985863626"/>
        <w:rPr>
          <w:rFonts w:eastAsia="Times New Roman"/>
          <w:sz w:val="20"/>
          <w:szCs w:val="20"/>
        </w:rPr>
      </w:pPr>
      <w:r>
        <w:rPr>
          <w:rFonts w:eastAsia="Times New Roman"/>
          <w:sz w:val="20"/>
          <w:szCs w:val="20"/>
        </w:rPr>
        <w:t xml:space="preserve">KIMCO REALTY CORPORATION AND SUBSIDIARIES </w:t>
      </w:r>
    </w:p>
    <w:p w:rsidR="00000000" w:rsidRDefault="001D2166">
      <w:pPr>
        <w:divId w:val="1652294324"/>
        <w:rPr>
          <w:rFonts w:eastAsia="Times New Roman"/>
          <w:sz w:val="20"/>
          <w:szCs w:val="20"/>
        </w:rPr>
      </w:pPr>
      <w:r>
        <w:rPr>
          <w:rFonts w:eastAsia="Times New Roman"/>
          <w:sz w:val="20"/>
          <w:szCs w:val="20"/>
        </w:rPr>
        <w:t xml:space="preserve">  </w:t>
      </w:r>
    </w:p>
    <w:p w:rsidR="00000000" w:rsidRDefault="001D2166">
      <w:pPr>
        <w:jc w:val="center"/>
        <w:divId w:val="250236823"/>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rPr>
          <w:sz w:val="20"/>
          <w:szCs w:val="20"/>
        </w:rPr>
      </w:pPr>
      <w:r>
        <w:rPr>
          <w:i/>
          <w:iCs/>
          <w:sz w:val="20"/>
          <w:szCs w:val="20"/>
        </w:rPr>
        <w:t>Purchase Price Allocations</w:t>
      </w:r>
    </w:p>
    <w:p w:rsidR="00000000" w:rsidRDefault="001D2166">
      <w:pPr>
        <w:pStyle w:val="a3"/>
        <w:spacing w:before="0" w:beforeAutospacing="0" w:after="0" w:afterAutospacing="0"/>
        <w:ind w:left="36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purchase price for these acquisitions is allocated to real estate and related intangible assets acquired and liabilities assumed, as applicable, in accordance with our accounting policies for asset acquisitions. The purchase price allocations for prope</w:t>
      </w:r>
      <w:r>
        <w:rPr>
          <w:sz w:val="20"/>
          <w:szCs w:val="20"/>
        </w:rPr>
        <w:t xml:space="preserve">rties acquired/consolidated during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are as follows (in thousands):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92"/>
        <w:gridCol w:w="56"/>
        <w:gridCol w:w="101"/>
        <w:gridCol w:w="790"/>
        <w:gridCol w:w="67"/>
        <w:gridCol w:w="50"/>
        <w:gridCol w:w="89"/>
        <w:gridCol w:w="800"/>
        <w:gridCol w:w="53"/>
        <w:gridCol w:w="57"/>
        <w:gridCol w:w="101"/>
        <w:gridCol w:w="790"/>
        <w:gridCol w:w="57"/>
        <w:gridCol w:w="57"/>
        <w:gridCol w:w="89"/>
        <w:gridCol w:w="800"/>
        <w:gridCol w:w="5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Allocation as of 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w:t>
            </w:r>
          </w:p>
          <w:p w:rsidR="00000000" w:rsidRDefault="001D2166">
            <w:pPr>
              <w:pStyle w:val="a3"/>
              <w:spacing w:before="0" w:beforeAutospacing="0" w:after="0" w:afterAutospacing="0"/>
              <w:jc w:val="center"/>
              <w:rPr>
                <w:sz w:val="20"/>
                <w:szCs w:val="20"/>
              </w:rPr>
            </w:pPr>
            <w:r>
              <w:rPr>
                <w:b/>
                <w:bCs/>
                <w:sz w:val="20"/>
                <w:szCs w:val="20"/>
              </w:rPr>
              <w:t>Average Useful Life (in Years)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Allocation as of 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w:t>
            </w:r>
          </w:p>
          <w:p w:rsidR="00000000" w:rsidRDefault="001D2166">
            <w:pPr>
              <w:pStyle w:val="a3"/>
              <w:spacing w:before="0" w:beforeAutospacing="0" w:after="0" w:afterAutospacing="0"/>
              <w:jc w:val="center"/>
              <w:rPr>
                <w:sz w:val="20"/>
                <w:szCs w:val="20"/>
              </w:rPr>
            </w:pPr>
            <w:r>
              <w:rPr>
                <w:b/>
                <w:bCs/>
                <w:sz w:val="20"/>
                <w:szCs w:val="20"/>
              </w:rPr>
              <w:t>Aver</w:t>
            </w:r>
            <w:r>
              <w:rPr>
                <w:b/>
                <w:bCs/>
                <w:sz w:val="20"/>
                <w:szCs w:val="20"/>
              </w:rPr>
              <w:t>age Useful Life (in Years)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154,320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935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Buildings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679,646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4,610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18,476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16,391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48,648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Above-market leases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6,581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Below-market leases</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(39,712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38.9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center"/>
            <w:hideMark/>
          </w:tcPr>
          <w:p w:rsidR="00000000" w:rsidRDefault="001D2166">
            <w:pPr>
              <w:rPr>
                <w:rFonts w:eastAsia="Times New Roman"/>
                <w:sz w:val="20"/>
                <w:szCs w:val="20"/>
              </w:rPr>
            </w:pPr>
            <w:r>
              <w:rPr>
                <w:rFonts w:eastAsia="Times New Roman"/>
                <w:sz w:val="20"/>
                <w:szCs w:val="20"/>
              </w:rPr>
              <w:t>Other assets</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21,331</w:t>
            </w:r>
          </w:p>
        </w:tc>
        <w:tc>
          <w:tcPr>
            <w:tcW w:w="50" w:type="pct"/>
            <w:shd w:val="clear" w:color="auto" w:fill="FFFF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D2166">
            <w:pPr>
              <w:jc w:val="right"/>
              <w:rPr>
                <w:rFonts w:eastAsia="Times New Roman"/>
                <w:sz w:val="20"/>
                <w:szCs w:val="20"/>
              </w:rPr>
            </w:pPr>
            <w:r>
              <w:rPr>
                <w:rStyle w:val="a6"/>
                <w:rFonts w:eastAsia="Times New Roman"/>
                <w:sz w:val="20"/>
                <w:szCs w:val="20"/>
              </w:rPr>
              <w:t>n/a</w:t>
            </w:r>
          </w:p>
        </w:tc>
        <w:tc>
          <w:tcPr>
            <w:tcW w:w="0" w:type="auto"/>
            <w:shd w:val="clear" w:color="auto" w:fill="FFFF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center"/>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1D2166">
            <w:pPr>
              <w:jc w:val="right"/>
              <w:rPr>
                <w:rFonts w:eastAsia="Times New Roman"/>
                <w:sz w:val="20"/>
                <w:szCs w:val="20"/>
              </w:rPr>
            </w:pPr>
            <w:r>
              <w:rPr>
                <w:rStyle w:val="a6"/>
                <w:rFonts w:eastAsia="Times New Roman"/>
                <w:sz w:val="20"/>
                <w:szCs w:val="20"/>
              </w:rPr>
              <w:t>n/a</w:t>
            </w:r>
          </w:p>
        </w:tc>
        <w:tc>
          <w:tcPr>
            <w:tcW w:w="0" w:type="auto"/>
            <w:shd w:val="clear" w:color="auto" w:fill="FFFF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Other liabilities</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center"/>
            <w:hideMark/>
          </w:tcPr>
          <w:p w:rsidR="00000000" w:rsidRDefault="001D2166">
            <w:pPr>
              <w:jc w:val="right"/>
              <w:rPr>
                <w:rFonts w:eastAsia="Times New Roman"/>
                <w:sz w:val="20"/>
                <w:szCs w:val="20"/>
              </w:rPr>
            </w:pPr>
            <w:r>
              <w:rPr>
                <w:rFonts w:eastAsia="Times New Roman"/>
                <w:sz w:val="20"/>
                <w:szCs w:val="20"/>
              </w:rPr>
              <w:t>(8,974</w:t>
            </w:r>
          </w:p>
        </w:tc>
        <w:tc>
          <w:tcPr>
            <w:tcW w:w="50" w:type="pct"/>
            <w:shd w:val="clear" w:color="auto" w:fill="CCEE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Style w:val="a6"/>
                <w:rFonts w:eastAsia="Times New Roman"/>
                <w:sz w:val="20"/>
                <w:szCs w:val="20"/>
              </w:rPr>
              <w:t>n/a</w:t>
            </w:r>
          </w:p>
        </w:tc>
        <w:tc>
          <w:tcPr>
            <w:tcW w:w="0" w:type="auto"/>
            <w:shd w:val="clear" w:color="auto" w:fill="CCEE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center"/>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Style w:val="a6"/>
                <w:rFonts w:eastAsia="Times New Roman"/>
                <w:sz w:val="20"/>
                <w:szCs w:val="20"/>
              </w:rPr>
              <w:t>n/a</w:t>
            </w:r>
          </w:p>
        </w:tc>
        <w:tc>
          <w:tcPr>
            <w:tcW w:w="0" w:type="auto"/>
            <w:shd w:val="clear" w:color="auto" w:fill="CCEEFF"/>
            <w:tcMar>
              <w:top w:w="0" w:type="dxa"/>
              <w:left w:w="0" w:type="dxa"/>
              <w:bottom w:w="45" w:type="dxa"/>
              <w:right w:w="0" w:type="dxa"/>
            </w:tcMar>
            <w:vAlign w:val="center"/>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b/>
                <w:bCs/>
                <w:sz w:val="20"/>
                <w:szCs w:val="20"/>
              </w:rPr>
              <w:t>Net assets acquired/consolidated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896,707</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7,073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1417291340"/>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1000" w:hanging="1000"/>
        <w:rPr>
          <w:sz w:val="20"/>
          <w:szCs w:val="20"/>
        </w:rPr>
      </w:pPr>
      <w:r>
        <w:rPr>
          <w:rStyle w:val="a6"/>
          <w:sz w:val="20"/>
          <w:szCs w:val="20"/>
        </w:rPr>
        <w:t>5.</w:t>
      </w:r>
      <w:r>
        <w:rPr>
          <w:sz w:val="20"/>
          <w:szCs w:val="20"/>
        </w:rPr>
        <w:t xml:space="preserve"> </w:t>
      </w:r>
      <w:r>
        <w:rPr>
          <w:sz w:val="20"/>
          <w:szCs w:val="20"/>
          <w:u w:val="single"/>
        </w:rPr>
        <w:t>Dispositions of Real Estate</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table below summarizes the Company’</w:t>
      </w:r>
      <w:r>
        <w:rPr>
          <w:sz w:val="20"/>
          <w:szCs w:val="20"/>
        </w:rPr>
        <w:t>s disposition activity relating to operating properties and parcels, in separate transactions (dollars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48"/>
        <w:gridCol w:w="60"/>
        <w:gridCol w:w="100"/>
        <w:gridCol w:w="1032"/>
        <w:gridCol w:w="136"/>
        <w:gridCol w:w="61"/>
        <w:gridCol w:w="100"/>
        <w:gridCol w:w="1033"/>
        <w:gridCol w:w="61"/>
        <w:gridCol w:w="61"/>
        <w:gridCol w:w="100"/>
        <w:gridCol w:w="1033"/>
        <w:gridCol w:w="50"/>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1D2166">
            <w:pPr>
              <w:rPr>
                <w:rFonts w:eastAsia="Times New Roman"/>
                <w:sz w:val="20"/>
                <w:szCs w:val="20"/>
              </w:rPr>
            </w:pPr>
            <w:r>
              <w:rPr>
                <w:rFonts w:eastAsia="Times New Roman"/>
                <w:b/>
                <w:bCs/>
                <w:sz w:val="20"/>
                <w:szCs w:val="20"/>
              </w:rPr>
              <w:t> </w:t>
            </w:r>
          </w:p>
        </w:tc>
        <w:tc>
          <w:tcPr>
            <w:tcW w:w="700" w:type="pct"/>
            <w:tcBorders>
              <w:bottom w:val="single" w:sz="6" w:space="0" w:color="000000"/>
            </w:tcBorders>
            <w:vAlign w:val="bottom"/>
            <w:hideMark/>
          </w:tcPr>
          <w:p w:rsidR="00000000" w:rsidRDefault="001D2166">
            <w:pPr>
              <w:jc w:val="center"/>
              <w:rPr>
                <w:rFonts w:eastAsia="Times New Roman"/>
                <w:sz w:val="20"/>
                <w:szCs w:val="20"/>
              </w:rPr>
            </w:pPr>
            <w:r>
              <w:rPr>
                <w:rFonts w:eastAsia="Times New Roman"/>
                <w:b/>
                <w:bCs/>
                <w:sz w:val="20"/>
                <w:szCs w:val="20"/>
              </w:rPr>
              <w:t>2021 (1)</w:t>
            </w:r>
          </w:p>
        </w:tc>
        <w:tc>
          <w:tcPr>
            <w:tcW w:w="10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1D2166">
            <w:pPr>
              <w:rPr>
                <w:rFonts w:eastAsia="Times New Roman"/>
                <w:sz w:val="20"/>
                <w:szCs w:val="20"/>
              </w:rPr>
            </w:pPr>
            <w:r>
              <w:rPr>
                <w:rFonts w:eastAsia="Times New Roman"/>
                <w:b/>
                <w:bCs/>
                <w:sz w:val="20"/>
                <w:szCs w:val="20"/>
              </w:rPr>
              <w:t> </w:t>
            </w:r>
          </w:p>
        </w:tc>
        <w:tc>
          <w:tcPr>
            <w:tcW w:w="700" w:type="pct"/>
            <w:tcBorders>
              <w:bottom w:val="single" w:sz="6" w:space="0" w:color="000000"/>
            </w:tcBorders>
            <w:vAlign w:val="bottom"/>
            <w:hideMark/>
          </w:tcPr>
          <w:p w:rsidR="00000000" w:rsidRDefault="001D2166">
            <w:pPr>
              <w:jc w:val="center"/>
              <w:rPr>
                <w:rFonts w:eastAsia="Times New Roman"/>
                <w:sz w:val="20"/>
                <w:szCs w:val="20"/>
              </w:rPr>
            </w:pPr>
            <w:r>
              <w:rPr>
                <w:rFonts w:eastAsia="Times New Roman"/>
                <w:b/>
                <w:bCs/>
                <w:sz w:val="20"/>
                <w:szCs w:val="20"/>
              </w:rPr>
              <w:t>2020</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1D2166">
            <w:pPr>
              <w:rPr>
                <w:rFonts w:eastAsia="Times New Roman"/>
                <w:sz w:val="20"/>
                <w:szCs w:val="20"/>
              </w:rPr>
            </w:pPr>
            <w:r>
              <w:rPr>
                <w:rFonts w:eastAsia="Times New Roman"/>
                <w:b/>
                <w:bCs/>
                <w:sz w:val="20"/>
                <w:szCs w:val="20"/>
              </w:rPr>
              <w:t> </w:t>
            </w:r>
          </w:p>
        </w:tc>
        <w:tc>
          <w:tcPr>
            <w:tcW w:w="700" w:type="pct"/>
            <w:tcBorders>
              <w:bottom w:val="single" w:sz="6" w:space="0" w:color="000000"/>
            </w:tcBorders>
            <w:vAlign w:val="bottom"/>
            <w:hideMark/>
          </w:tcPr>
          <w:p w:rsidR="00000000" w:rsidRDefault="001D2166">
            <w:pPr>
              <w:jc w:val="center"/>
              <w:rPr>
                <w:rFonts w:eastAsia="Times New Roman"/>
                <w:sz w:val="20"/>
                <w:szCs w:val="20"/>
              </w:rPr>
            </w:pPr>
            <w:r>
              <w:rPr>
                <w:rFonts w:eastAsia="Times New Roman"/>
                <w:b/>
                <w:bCs/>
                <w:sz w:val="20"/>
                <w:szCs w:val="20"/>
              </w:rPr>
              <w:t>2019 (2)</w:t>
            </w:r>
          </w:p>
        </w:tc>
        <w:tc>
          <w:tcPr>
            <w:tcW w:w="10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Aggregate sales price/gross fair value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612.4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31.8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344.7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Gain on sale of properties (3)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30.8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79.2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Number of operating properties sold/deconsolidated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During </w:t>
            </w:r>
            <w:r>
              <w:rPr>
                <w:rStyle w:val="a6"/>
                <w:sz w:val="20"/>
                <w:szCs w:val="20"/>
              </w:rPr>
              <w:t>2021,</w:t>
            </w:r>
            <w:r>
              <w:rPr>
                <w:sz w:val="20"/>
                <w:szCs w:val="20"/>
              </w:rPr>
              <w:t xml:space="preserve"> the Company purchased its partner’s 70.0% remaining interest in Jamestown Portfolio, which is comprised of six </w:t>
            </w:r>
            <w:r>
              <w:rPr>
                <w:sz w:val="20"/>
                <w:szCs w:val="20"/>
              </w:rPr>
              <w:t>property interests. The Company then entered into a joint venture with Blackstone Real Estate Income Trust, Inc. (“BREIT”) in which it contributed these six properties for a gross sales price of $425.8 million, including $170.0 million of non-recourse mort</w:t>
            </w:r>
            <w:r>
              <w:rPr>
                <w:sz w:val="20"/>
                <w:szCs w:val="20"/>
              </w:rPr>
              <w:t xml:space="preserve">gage debt. As a result, the Company </w:t>
            </w:r>
            <w:r>
              <w:rPr>
                <w:rStyle w:val="a6"/>
                <w:sz w:val="20"/>
                <w:szCs w:val="20"/>
              </w:rPr>
              <w:t>no</w:t>
            </w:r>
            <w:r>
              <w:rPr>
                <w:sz w:val="20"/>
                <w:szCs w:val="20"/>
              </w:rPr>
              <w:t xml:space="preserve"> longer consolidates these </w:t>
            </w:r>
            <w:r>
              <w:rPr>
                <w:rStyle w:val="a6"/>
                <w:sz w:val="20"/>
                <w:szCs w:val="20"/>
              </w:rPr>
              <w:t>six</w:t>
            </w:r>
            <w:r>
              <w:rPr>
                <w:sz w:val="20"/>
                <w:szCs w:val="20"/>
              </w:rPr>
              <w:t xml:space="preserve"> property interests and recognized a loss on change in control of interests of $0.4 million. The Company has a 50.0% investment in this joint venture ($130.1 million as of the date of deco</w:t>
            </w:r>
            <w:r>
              <w:rPr>
                <w:sz w:val="20"/>
                <w:szCs w:val="20"/>
              </w:rPr>
              <w:t>nsolidation), included in Investments in and advances to real estate joint ventures on the Company’s Consolidated Balance Sheets.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Includes the sale of a land parcel at a development project located in Dania Beach, FL for a sales price of $32.5 millio</w:t>
            </w:r>
            <w:r>
              <w:rPr>
                <w:sz w:val="20"/>
                <w:szCs w:val="20"/>
              </w:rPr>
              <w:t>n, which resulted in a gain of $4.3 million.</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Before noncontrolling interests of $3.0 million and taxes of $2.2 million, after utilization of net operating loss carryforwards, for the year ended </w:t>
            </w:r>
            <w:r>
              <w:rPr>
                <w:rStyle w:val="a6"/>
                <w:sz w:val="20"/>
                <w:szCs w:val="20"/>
              </w:rPr>
              <w:t>December 31, 2021.</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18267157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1000" w:hanging="1000"/>
        <w:rPr>
          <w:sz w:val="20"/>
          <w:szCs w:val="20"/>
        </w:rPr>
      </w:pPr>
      <w:r>
        <w:rPr>
          <w:rStyle w:val="a6"/>
          <w:sz w:val="20"/>
          <w:szCs w:val="20"/>
        </w:rPr>
        <w:t>6.</w:t>
      </w:r>
      <w:r>
        <w:rPr>
          <w:sz w:val="20"/>
          <w:szCs w:val="20"/>
        </w:rPr>
        <w:t xml:space="preserve"> </w:t>
      </w:r>
      <w:r>
        <w:rPr>
          <w:sz w:val="20"/>
          <w:szCs w:val="20"/>
          <w:u w:val="single"/>
        </w:rPr>
        <w:t>Impairments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Management as</w:t>
      </w:r>
      <w:r>
        <w:rPr>
          <w:sz w:val="20"/>
          <w:szCs w:val="20"/>
        </w:rPr>
        <w:t>sesses on a continuous basis whether there are any indicators, including property operating performance, changes in anticipated holding period, general market conditions and delays of or change in plans for development, that the value of the Company’s asse</w:t>
      </w:r>
      <w:r>
        <w:rPr>
          <w:sz w:val="20"/>
          <w:szCs w:val="20"/>
        </w:rPr>
        <w:t xml:space="preserve">ts (including any related amortizable intangible assets or liabilities) </w:t>
      </w:r>
      <w:r>
        <w:rPr>
          <w:rStyle w:val="a6"/>
          <w:sz w:val="20"/>
          <w:szCs w:val="20"/>
        </w:rPr>
        <w:t xml:space="preserve">may </w:t>
      </w:r>
      <w:r>
        <w:rPr>
          <w:sz w:val="20"/>
          <w:szCs w:val="20"/>
        </w:rPr>
        <w:t>be impaired. To the extent impairment has occurred, the carrying value of the asset would be adjusted to an amount to reflect the estimated fair value of the asset.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h</w:t>
      </w:r>
      <w:r>
        <w:rPr>
          <w:sz w:val="20"/>
          <w:szCs w:val="20"/>
        </w:rPr>
        <w:t>as a capital recycling program which provides for the disposition of certain properties, typically of lesser quality assets in less desirable locations. The Company adjusted the anticipated hold period for these properties and as a result the Company recog</w:t>
      </w:r>
      <w:r>
        <w:rPr>
          <w:sz w:val="20"/>
          <w:szCs w:val="20"/>
        </w:rPr>
        <w:t xml:space="preserve">nized impairment charges on certain operating properties (see Footnote </w:t>
      </w:r>
      <w:r>
        <w:rPr>
          <w:rStyle w:val="a6"/>
          <w:sz w:val="20"/>
          <w:szCs w:val="20"/>
        </w:rPr>
        <w:t>17</w:t>
      </w:r>
      <w:r>
        <w:rPr>
          <w:sz w:val="20"/>
          <w:szCs w:val="20"/>
        </w:rPr>
        <w:t xml:space="preserve"> of the Notes to Consolidated Financial Statements for fair value disclosure).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w:t>
      </w:r>
      <w:r>
        <w:rPr>
          <w:sz w:val="20"/>
          <w:szCs w:val="20"/>
        </w:rPr>
        <w:t xml:space="preserve">s efforts to market certain assets and management’s assessment as to the likelihood and timing of such potential transactions and/or the property hold period resulted in the Company recognizing impairment charges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as follows (in millions):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47"/>
        <w:gridCol w:w="56"/>
        <w:gridCol w:w="101"/>
        <w:gridCol w:w="1053"/>
        <w:gridCol w:w="56"/>
        <w:gridCol w:w="56"/>
        <w:gridCol w:w="101"/>
        <w:gridCol w:w="1053"/>
        <w:gridCol w:w="56"/>
        <w:gridCol w:w="56"/>
        <w:gridCol w:w="100"/>
        <w:gridCol w:w="1053"/>
        <w:gridCol w:w="5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Properties marketed for sale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Properties disposed/deeded in lieu/foreclosed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36.2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Other impairments (3)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0.9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Total net impairment charges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48.7</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Amounts relate to adjustments to property carrying values for properties which the Company has marketed for sale as part of its capital recycling program and as such has adjusted the anticipated hold periods for such properties.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Amounts relate to dispositions/deeds in lieu/foreclosures during the respective years shown.</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Amounts relate to a cost method investment during the respective years shown.</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897819255"/>
        <w:rPr>
          <w:rFonts w:eastAsia="Times New Roman"/>
          <w:sz w:val="20"/>
          <w:szCs w:val="20"/>
        </w:rPr>
      </w:pPr>
      <w:r>
        <w:rPr>
          <w:rStyle w:val="a6"/>
          <w:rFonts w:eastAsia="Times New Roman"/>
          <w:sz w:val="20"/>
          <w:szCs w:val="20"/>
        </w:rPr>
        <w:t>71</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3" style="width:415.3pt;height:1.5pt" o:hralign="center" o:hrstd="t" o:hrnoshade="t" o:hr="t" fillcolor="black" stroked="f"/>
        </w:pict>
      </w:r>
    </w:p>
    <w:p w:rsidR="00000000" w:rsidRDefault="001D2166">
      <w:pPr>
        <w:divId w:val="72719255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207764619"/>
        <w:rPr>
          <w:rFonts w:eastAsia="Times New Roman"/>
          <w:sz w:val="20"/>
          <w:szCs w:val="20"/>
        </w:rPr>
      </w:pPr>
      <w:r>
        <w:rPr>
          <w:rFonts w:eastAsia="Times New Roman"/>
          <w:sz w:val="20"/>
          <w:szCs w:val="20"/>
        </w:rPr>
        <w:t xml:space="preserve">KIMCO REALTY CORPORATION AND SUBSIDIARIES </w:t>
      </w:r>
    </w:p>
    <w:p w:rsidR="00000000" w:rsidRDefault="001D2166">
      <w:pPr>
        <w:divId w:val="97484444"/>
        <w:rPr>
          <w:rFonts w:eastAsia="Times New Roman"/>
          <w:sz w:val="20"/>
          <w:szCs w:val="20"/>
        </w:rPr>
      </w:pPr>
      <w:r>
        <w:rPr>
          <w:rFonts w:eastAsia="Times New Roman"/>
          <w:sz w:val="20"/>
          <w:szCs w:val="20"/>
        </w:rPr>
        <w:t xml:space="preserve">  </w:t>
      </w:r>
    </w:p>
    <w:p w:rsidR="00000000" w:rsidRDefault="001D2166">
      <w:pPr>
        <w:jc w:val="center"/>
        <w:divId w:val="1429540468"/>
        <w:rPr>
          <w:rFonts w:eastAsia="Times New Roman"/>
          <w:sz w:val="20"/>
          <w:szCs w:val="20"/>
        </w:rPr>
      </w:pPr>
      <w:r>
        <w:rPr>
          <w:rFonts w:eastAsia="Times New Roman"/>
          <w:sz w:val="20"/>
          <w:szCs w:val="20"/>
        </w:rPr>
        <w:t>NOTES TO CONSOLIDATED FIN</w:t>
      </w:r>
      <w:r>
        <w:rPr>
          <w:rFonts w:eastAsia="Times New Roman"/>
          <w:sz w:val="20"/>
          <w:szCs w:val="20"/>
        </w:rPr>
        <w:t xml:space="preserve">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 Company also recognized its share of impairment charges related to certain properties within various unconsolidated joint ventures in which the Company holds noncontrolling interests.  The Company’s share of these impai</w:t>
      </w:r>
      <w:r>
        <w:rPr>
          <w:sz w:val="20"/>
          <w:szCs w:val="20"/>
        </w:rPr>
        <w:t xml:space="preserve">rment charges were $2.9 million, $0.8 million and $5.6 million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respectively, and are included in Equity in income of joint ventures, net on the Company’s Consolidated Statements of Income.  (see Footnot</w:t>
      </w:r>
      <w:r>
        <w:rPr>
          <w:sz w:val="20"/>
          <w:szCs w:val="20"/>
        </w:rPr>
        <w:t xml:space="preserve">e </w:t>
      </w:r>
      <w:r>
        <w:rPr>
          <w:rStyle w:val="a6"/>
          <w:sz w:val="20"/>
          <w:szCs w:val="20"/>
        </w:rPr>
        <w:t>7</w:t>
      </w:r>
      <w:r>
        <w:rPr>
          <w:sz w:val="20"/>
          <w:szCs w:val="20"/>
        </w:rPr>
        <w:t xml:space="preserve"> of the Notes to Consolidated Financial Statements).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COVID-</w:t>
      </w:r>
      <w:r>
        <w:rPr>
          <w:rStyle w:val="a6"/>
          <w:sz w:val="20"/>
          <w:szCs w:val="20"/>
        </w:rPr>
        <w:t>19</w:t>
      </w:r>
      <w:r>
        <w:rPr>
          <w:sz w:val="20"/>
          <w:szCs w:val="20"/>
        </w:rPr>
        <w:t xml:space="preserve"> pandemic has significantly impacted the retail sector in which the Company operates, and if the effects of the pandemic are prolonged, it could have a significant adverse impact to the </w:t>
      </w:r>
      <w:r>
        <w:rPr>
          <w:sz w:val="20"/>
          <w:szCs w:val="20"/>
        </w:rPr>
        <w:t>underlying industries of many of the Company’s tenants. Management cannot, at this point, estimate ultimate losses related to the COVID-</w:t>
      </w:r>
      <w:r>
        <w:rPr>
          <w:rStyle w:val="a6"/>
          <w:sz w:val="20"/>
          <w:szCs w:val="20"/>
        </w:rPr>
        <w:t>19</w:t>
      </w:r>
      <w:r>
        <w:rPr>
          <w:sz w:val="20"/>
          <w:szCs w:val="20"/>
        </w:rPr>
        <w:t> </w:t>
      </w:r>
      <w:r>
        <w:rPr>
          <w:sz w:val="20"/>
          <w:szCs w:val="20"/>
        </w:rPr>
        <w:t>pandemic. The Company will continue to monitor the economic, financial, and social conditions resulting from this pandemic and assess its asset portfolio for any impairment indicators.</w:t>
      </w:r>
    </w:p>
    <w:p w:rsidR="00000000" w:rsidRDefault="001D2166">
      <w:pPr>
        <w:pStyle w:val="a3"/>
        <w:spacing w:before="0" w:beforeAutospacing="0" w:after="0" w:afterAutospacing="0"/>
        <w:rPr>
          <w:sz w:val="20"/>
          <w:szCs w:val="20"/>
        </w:rPr>
      </w:pPr>
      <w:r>
        <w:rPr>
          <w:sz w:val="20"/>
          <w:szCs w:val="20"/>
        </w:rPr>
        <w:t> </w:t>
      </w:r>
    </w:p>
    <w:p w:rsidR="00000000" w:rsidRDefault="001D2166">
      <w:pPr>
        <w:divId w:val="126318025"/>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7.</w:t>
      </w:r>
      <w:r>
        <w:rPr>
          <w:sz w:val="20"/>
          <w:szCs w:val="20"/>
        </w:rPr>
        <w:t>   </w:t>
      </w:r>
      <w:r>
        <w:rPr>
          <w:sz w:val="20"/>
          <w:szCs w:val="20"/>
          <w:u w:val="single"/>
        </w:rPr>
        <w:t>Investment in and Advances to Real Estate Joint Ventures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w:t>
      </w:r>
      <w:r>
        <w:rPr>
          <w:sz w:val="20"/>
          <w:szCs w:val="20"/>
        </w:rPr>
        <w:t>der long-term operating leases. The Company and the joint venture partners have joint approval rights for major decisions, including those regarding property operations. As such, the Company holds noncontrolling interests in these joint ventures and accoun</w:t>
      </w:r>
      <w:r>
        <w:rPr>
          <w:sz w:val="20"/>
          <w:szCs w:val="20"/>
        </w:rPr>
        <w:t>ts for them under the equity method of accounting. The Company manages certain of these joint venture investments and, where applicable, earns acquisition fees, leasing commissions, property management fees, asset management fees and construction managemen</w:t>
      </w:r>
      <w:r>
        <w:rPr>
          <w:sz w:val="20"/>
          <w:szCs w:val="20"/>
        </w:rPr>
        <w:t xml:space="preserve">t fees. The table below presents unconsolidated joint venture investments for which the Company held an ownership interest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(in millions, except number of properties):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20"/>
        <w:gridCol w:w="50"/>
        <w:gridCol w:w="170"/>
        <w:gridCol w:w="991"/>
        <w:gridCol w:w="50"/>
        <w:gridCol w:w="50"/>
        <w:gridCol w:w="220"/>
        <w:gridCol w:w="977"/>
        <w:gridCol w:w="50"/>
        <w:gridCol w:w="50"/>
        <w:gridCol w:w="220"/>
        <w:gridCol w:w="977"/>
        <w:gridCol w:w="50"/>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The Company's Investment</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vAlign w:val="bottom"/>
            <w:hideMark/>
          </w:tcPr>
          <w:p w:rsidR="00000000" w:rsidRDefault="001D2166">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vAlign w:val="bottom"/>
            <w:hideMark/>
          </w:tcPr>
          <w:p w:rsidR="00000000" w:rsidRDefault="001D2166">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20"/>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ind w:left="120"/>
              <w:jc w:val="right"/>
              <w:rPr>
                <w:rFonts w:eastAsia="Times New Roman"/>
                <w:sz w:val="20"/>
                <w:szCs w:val="20"/>
              </w:rPr>
            </w:pPr>
            <w:r>
              <w:rPr>
                <w:rFonts w:eastAsia="Times New Roman"/>
                <w:sz w:val="20"/>
                <w:szCs w:val="20"/>
              </w:rPr>
              <w:t>163.0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120"/>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ind w:left="120"/>
              <w:jc w:val="right"/>
              <w:rPr>
                <w:rFonts w:eastAsia="Times New Roman"/>
                <w:sz w:val="20"/>
                <w:szCs w:val="20"/>
              </w:rPr>
            </w:pPr>
            <w:r>
              <w:rPr>
                <w:rFonts w:eastAsia="Times New Roman"/>
                <w:sz w:val="20"/>
                <w:szCs w:val="20"/>
              </w:rPr>
              <w:t>175.1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Kimco Income Opportunity Portfolio (“KIR”)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ind w:left="120"/>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ind w:left="120"/>
              <w:jc w:val="right"/>
              <w:rPr>
                <w:rFonts w:eastAsia="Times New Roman"/>
                <w:sz w:val="20"/>
                <w:szCs w:val="20"/>
              </w:rPr>
            </w:pPr>
            <w:r>
              <w:rPr>
                <w:rFonts w:eastAsia="Times New Roman"/>
                <w:sz w:val="20"/>
                <w:szCs w:val="20"/>
              </w:rPr>
              <w:t>186.0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ind w:left="120"/>
              <w:jc w:val="right"/>
              <w:rPr>
                <w:rFonts w:eastAsia="Times New Roman"/>
                <w:sz w:val="20"/>
                <w:szCs w:val="20"/>
              </w:rPr>
            </w:pPr>
            <w:r>
              <w:rPr>
                <w:rFonts w:eastAsia="Times New Roman"/>
                <w:sz w:val="20"/>
                <w:szCs w:val="20"/>
              </w:rPr>
              <w:t>177.4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Canada Pension Plan Investment Board (“CPP”)</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ind w:left="120"/>
              <w:jc w:val="right"/>
              <w:rPr>
                <w:rFonts w:eastAsia="Times New Roman"/>
                <w:sz w:val="20"/>
                <w:szCs w:val="20"/>
              </w:rPr>
            </w:pPr>
            <w:r>
              <w:rPr>
                <w:rFonts w:eastAsia="Times New Roman"/>
                <w:sz w:val="20"/>
                <w:szCs w:val="20"/>
              </w:rPr>
              <w:t>165.1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ind w:left="120"/>
              <w:jc w:val="right"/>
              <w:rPr>
                <w:rFonts w:eastAsia="Times New Roman"/>
                <w:sz w:val="20"/>
                <w:szCs w:val="20"/>
              </w:rPr>
            </w:pPr>
            <w:r>
              <w:rPr>
                <w:rFonts w:eastAsia="Times New Roman"/>
                <w:sz w:val="20"/>
                <w:szCs w:val="20"/>
              </w:rPr>
              <w:t>159.7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Institutional Joint Ventures (1) (2)</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pStyle w:val="a3"/>
              <w:spacing w:before="0" w:beforeAutospacing="0" w:after="0" w:afterAutospacing="0"/>
              <w:ind w:left="240" w:hanging="120"/>
              <w:jc w:val="center"/>
              <w:rPr>
                <w:sz w:val="20"/>
                <w:szCs w:val="20"/>
              </w:rPr>
            </w:pPr>
            <w:r>
              <w:rPr>
                <w:sz w:val="20"/>
                <w:szCs w:val="20"/>
              </w:rPr>
              <w:t> </w:t>
            </w:r>
          </w:p>
        </w:tc>
        <w:tc>
          <w:tcPr>
            <w:tcW w:w="0" w:type="auto"/>
            <w:shd w:val="clear" w:color="auto" w:fill="FFFFFF"/>
            <w:vAlign w:val="bottom"/>
            <w:hideMark/>
          </w:tcPr>
          <w:p w:rsidR="00000000" w:rsidRDefault="001D2166">
            <w:pPr>
              <w:ind w:left="120"/>
              <w:jc w:val="center"/>
              <w:rPr>
                <w:rFonts w:eastAsia="Times New Roman"/>
                <w:sz w:val="20"/>
                <w:szCs w:val="20"/>
              </w:rPr>
            </w:pPr>
            <w:r>
              <w:rPr>
                <w:rStyle w:val="a6"/>
                <w:rFonts w:eastAsia="Times New Roman"/>
                <w:sz w:val="20"/>
                <w:szCs w:val="20"/>
              </w:rPr>
              <w:t>Various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ind w:left="120"/>
              <w:jc w:val="right"/>
              <w:rPr>
                <w:rFonts w:eastAsia="Times New Roman"/>
                <w:sz w:val="20"/>
                <w:szCs w:val="20"/>
              </w:rPr>
            </w:pPr>
            <w:r>
              <w:rPr>
                <w:rFonts w:eastAsia="Times New Roman"/>
                <w:sz w:val="20"/>
                <w:szCs w:val="20"/>
              </w:rPr>
              <w:t>281.8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ind w:left="120"/>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Other Joint Venture Programs (1)</w:t>
            </w:r>
          </w:p>
        </w:tc>
        <w:tc>
          <w:tcPr>
            <w:tcW w:w="0" w:type="auto"/>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pStyle w:val="a3"/>
              <w:spacing w:before="0" w:beforeAutospacing="0" w:after="0" w:afterAutospacing="0"/>
              <w:ind w:left="240" w:hanging="120"/>
              <w:jc w:val="center"/>
              <w:rPr>
                <w:sz w:val="20"/>
                <w:szCs w:val="20"/>
              </w:rPr>
            </w:pPr>
            <w:r>
              <w:rPr>
                <w:sz w:val="20"/>
                <w:szCs w:val="20"/>
              </w:rPr>
              <w:t> </w:t>
            </w:r>
          </w:p>
        </w:tc>
        <w:tc>
          <w:tcPr>
            <w:tcW w:w="0" w:type="auto"/>
            <w:shd w:val="clear" w:color="auto" w:fill="CCEEFF"/>
            <w:vAlign w:val="bottom"/>
            <w:hideMark/>
          </w:tcPr>
          <w:p w:rsidR="00000000" w:rsidRDefault="001D2166">
            <w:pPr>
              <w:ind w:left="120"/>
              <w:jc w:val="center"/>
              <w:rPr>
                <w:rFonts w:eastAsia="Times New Roman"/>
                <w:sz w:val="20"/>
                <w:szCs w:val="20"/>
              </w:rPr>
            </w:pPr>
            <w:r>
              <w:rPr>
                <w:rStyle w:val="a6"/>
                <w:rFonts w:eastAsia="Times New Roman"/>
                <w:sz w:val="20"/>
                <w:szCs w:val="20"/>
              </w:rPr>
              <w:t>Various</w:t>
            </w:r>
          </w:p>
        </w:tc>
        <w:tc>
          <w:tcPr>
            <w:tcW w:w="0" w:type="auto"/>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ind w:left="120"/>
              <w:jc w:val="right"/>
              <w:rPr>
                <w:rFonts w:eastAsia="Times New Roman"/>
                <w:sz w:val="20"/>
                <w:szCs w:val="20"/>
              </w:rPr>
            </w:pPr>
            <w:r>
              <w:rPr>
                <w:rFonts w:eastAsia="Times New Roman"/>
                <w:sz w:val="20"/>
                <w:szCs w:val="20"/>
              </w:rPr>
              <w:t>211.0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ind w:left="120"/>
              <w:jc w:val="right"/>
              <w:rPr>
                <w:rFonts w:eastAsia="Times New Roman"/>
                <w:sz w:val="20"/>
                <w:szCs w:val="20"/>
              </w:rPr>
            </w:pPr>
            <w:r>
              <w:rPr>
                <w:rFonts w:eastAsia="Times New Roman"/>
                <w:sz w:val="20"/>
                <w:szCs w:val="20"/>
              </w:rPr>
              <w:t>78.5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b/>
                <w:bCs/>
                <w:sz w:val="20"/>
                <w:szCs w:val="20"/>
              </w:rPr>
              <w:t>Total*</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ind w:left="120"/>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1D2166">
            <w:pPr>
              <w:ind w:left="120"/>
              <w:jc w:val="right"/>
              <w:rPr>
                <w:rFonts w:eastAsia="Times New Roman"/>
                <w:sz w:val="20"/>
                <w:szCs w:val="20"/>
              </w:rPr>
            </w:pPr>
            <w:r>
              <w:rPr>
                <w:rFonts w:eastAsia="Times New Roman"/>
                <w:b/>
                <w:bCs/>
                <w:sz w:val="20"/>
                <w:szCs w:val="20"/>
              </w:rPr>
              <w:t>1,006.9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590.7</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540" w:hanging="180"/>
        <w:jc w:val="both"/>
        <w:rPr>
          <w:sz w:val="20"/>
          <w:szCs w:val="20"/>
        </w:rPr>
      </w:pPr>
      <w:r>
        <w:rPr>
          <w:sz w:val="20"/>
          <w:szCs w:val="20"/>
        </w:rPr>
        <w:t xml:space="preserve">* Representing 120 property interests and 24.7 million square feet of GLA, as of </w:t>
      </w:r>
      <w:r>
        <w:rPr>
          <w:rStyle w:val="a6"/>
          <w:sz w:val="20"/>
          <w:szCs w:val="20"/>
        </w:rPr>
        <w:t xml:space="preserve">December 31, 2021, </w:t>
      </w:r>
      <w:r>
        <w:rPr>
          <w:sz w:val="20"/>
          <w:szCs w:val="20"/>
        </w:rPr>
        <w:t xml:space="preserve">and 97 property interests and 21.2 million square feet of GLA, as of </w:t>
      </w:r>
      <w:r>
        <w:rPr>
          <w:rStyle w:val="a6"/>
          <w:sz w:val="20"/>
          <w:szCs w:val="20"/>
        </w:rPr>
        <w:t>December 31, 2020.</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In connection with the Merger, the Company acquired ownership in 9 unconsolidated joint ventures, which have a fair market value of $586.2 million at the time of Merger. These joint ventures represented 30 property interests and 4.4 million square feet of </w:t>
            </w:r>
            <w:r>
              <w:rPr>
                <w:sz w:val="20"/>
                <w:szCs w:val="20"/>
              </w:rPr>
              <w:t>GLA.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During </w:t>
            </w:r>
            <w:r>
              <w:rPr>
                <w:rStyle w:val="a6"/>
                <w:sz w:val="20"/>
                <w:szCs w:val="20"/>
              </w:rPr>
              <w:t>2021,</w:t>
            </w:r>
            <w:r>
              <w:rPr>
                <w:sz w:val="20"/>
                <w:szCs w:val="20"/>
              </w:rPr>
              <w:t xml:space="preserve"> the Company entered into a new joint venture with BREIT in which it contributed six properties for a gross sales price of $425.8 million. See Footnote </w:t>
            </w:r>
            <w:r>
              <w:rPr>
                <w:rStyle w:val="a6"/>
                <w:sz w:val="20"/>
                <w:szCs w:val="20"/>
              </w:rPr>
              <w:t>5</w:t>
            </w:r>
            <w:r>
              <w:rPr>
                <w:sz w:val="20"/>
                <w:szCs w:val="20"/>
              </w:rPr>
              <w:t xml:space="preserve"> </w:t>
            </w:r>
            <w:r>
              <w:rPr>
                <w:sz w:val="20"/>
                <w:szCs w:val="20"/>
              </w:rPr>
              <w:t>of the Notes to Consolidated Financial Statements for the operating properties disposed by the Company.</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table below presents the Company’s share of net income for these investments which is included in Equity in income of joint ventures, net on the </w:t>
      </w:r>
      <w:r>
        <w:rPr>
          <w:sz w:val="20"/>
          <w:szCs w:val="20"/>
        </w:rPr>
        <w:t>Company’s Consolidated Statements of Income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30.5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Other Joint Venture Programs</w:t>
            </w:r>
          </w:p>
        </w:tc>
        <w:tc>
          <w:tcPr>
            <w:tcW w:w="0" w:type="auto"/>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shd w:val="clear" w:color="auto" w:fill="CCEEFF"/>
            <w:vAlign w:val="bottom"/>
            <w:hideMark/>
          </w:tcPr>
          <w:p w:rsidR="00000000" w:rsidRDefault="001D2166">
            <w:pPr>
              <w:pStyle w:val="a3"/>
              <w:spacing w:before="0" w:beforeAutospacing="0" w:after="0" w:afterAutospacing="0"/>
              <w:jc w:val="right"/>
              <w:rPr>
                <w:sz w:val="20"/>
                <w:szCs w:val="20"/>
              </w:rPr>
            </w:pPr>
            <w:r>
              <w:rPr>
                <w:sz w:val="20"/>
                <w:szCs w:val="20"/>
              </w:rPr>
              <w:t>19.5</w:t>
            </w:r>
          </w:p>
        </w:tc>
        <w:tc>
          <w:tcPr>
            <w:tcW w:w="0" w:type="auto"/>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84.8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47.4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72.2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During the year ended </w:t>
            </w:r>
            <w:r>
              <w:rPr>
                <w:rStyle w:val="a6"/>
                <w:sz w:val="20"/>
                <w:szCs w:val="20"/>
              </w:rPr>
              <w:t xml:space="preserve">December 31, 2019, </w:t>
            </w:r>
            <w:r>
              <w:rPr>
                <w:sz w:val="20"/>
                <w:szCs w:val="20"/>
              </w:rPr>
              <w:t>the Prudential Investment Program recognized an impairment charge on a property of $29.9 million, of which the Company’s share was $3.7 million.</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certain of the Company’</w:t>
      </w:r>
      <w:r>
        <w:rPr>
          <w:sz w:val="20"/>
          <w:szCs w:val="20"/>
        </w:rPr>
        <w:t xml:space="preserve">s real estate joint ventures disposed of four properties and one parcel, in separate transactions, for an aggregate sales price of $88.9 million. These transactions resulted in an aggregate net gain to the Company of $9.9 million for the year ended </w:t>
      </w:r>
      <w:r>
        <w:rPr>
          <w:rStyle w:val="a6"/>
          <w:sz w:val="20"/>
          <w:szCs w:val="20"/>
        </w:rPr>
        <w:t>Decembe</w:t>
      </w:r>
      <w:r>
        <w:rPr>
          <w:rStyle w:val="a6"/>
          <w:sz w:val="20"/>
          <w:szCs w:val="20"/>
        </w:rPr>
        <w:t>r 31, 2021.</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028948821"/>
        <w:rPr>
          <w:rFonts w:eastAsia="Times New Roman"/>
          <w:sz w:val="20"/>
          <w:szCs w:val="20"/>
        </w:rPr>
      </w:pPr>
      <w:r>
        <w:rPr>
          <w:rStyle w:val="a6"/>
          <w:rFonts w:eastAsia="Times New Roman"/>
          <w:sz w:val="20"/>
          <w:szCs w:val="20"/>
        </w:rPr>
        <w:t>72</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4" style="width:415.3pt;height:1.5pt" o:hralign="center" o:hrstd="t" o:hrnoshade="t" o:hr="t" fillcolor="black" stroked="f"/>
        </w:pict>
      </w:r>
    </w:p>
    <w:p w:rsidR="00000000" w:rsidRDefault="001D2166">
      <w:pPr>
        <w:divId w:val="14540577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220600067"/>
        <w:rPr>
          <w:rFonts w:eastAsia="Times New Roman"/>
          <w:sz w:val="20"/>
          <w:szCs w:val="20"/>
        </w:rPr>
      </w:pPr>
      <w:r>
        <w:rPr>
          <w:rFonts w:eastAsia="Times New Roman"/>
          <w:sz w:val="20"/>
          <w:szCs w:val="20"/>
        </w:rPr>
        <w:t xml:space="preserve">KIMCO REALTY CORPORATION AND SUBSIDIARIES </w:t>
      </w:r>
    </w:p>
    <w:p w:rsidR="00000000" w:rsidRDefault="001D2166">
      <w:pPr>
        <w:divId w:val="1564372953"/>
        <w:rPr>
          <w:rFonts w:eastAsia="Times New Roman"/>
          <w:sz w:val="20"/>
          <w:szCs w:val="20"/>
        </w:rPr>
      </w:pPr>
      <w:r>
        <w:rPr>
          <w:rFonts w:eastAsia="Times New Roman"/>
          <w:sz w:val="20"/>
          <w:szCs w:val="20"/>
        </w:rPr>
        <w:t xml:space="preserve">  </w:t>
      </w:r>
    </w:p>
    <w:p w:rsidR="00000000" w:rsidRDefault="001D2166">
      <w:pPr>
        <w:jc w:val="center"/>
        <w:divId w:val="1896811780"/>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In addition, during </w:t>
      </w:r>
      <w:r>
        <w:rPr>
          <w:rStyle w:val="a6"/>
          <w:sz w:val="20"/>
          <w:szCs w:val="20"/>
        </w:rPr>
        <w:t>2021,</w:t>
      </w:r>
      <w:r>
        <w:rPr>
          <w:sz w:val="20"/>
          <w:szCs w:val="20"/>
        </w:rPr>
        <w:t xml:space="preserve"> the Company a</w:t>
      </w:r>
      <w:r>
        <w:rPr>
          <w:sz w:val="20"/>
          <w:szCs w:val="20"/>
        </w:rPr>
        <w:t xml:space="preserve">cquired a controlling interest in nine operating properties from certain joint ventures, in separate transactions, with an aggregate gross fair value of $780.1 million. The Company evaluated these transactions pursuant to the FASB’s Consolidation guidance </w:t>
      </w:r>
      <w:r>
        <w:rPr>
          <w:sz w:val="20"/>
          <w:szCs w:val="20"/>
        </w:rPr>
        <w:t xml:space="preserve">and as a result, recognized net gains on change in control of interests of $5.0 million, in aggregate, resulting from the fair value adjustments associated with the Company’s previously held equity interests. See Footnote </w:t>
      </w:r>
      <w:r>
        <w:rPr>
          <w:rStyle w:val="a6"/>
          <w:sz w:val="20"/>
          <w:szCs w:val="20"/>
        </w:rPr>
        <w:t>4</w:t>
      </w:r>
      <w:r>
        <w:rPr>
          <w:sz w:val="20"/>
          <w:szCs w:val="20"/>
        </w:rPr>
        <w:t xml:space="preserve"> of the Notes to Consolidated Fin</w:t>
      </w:r>
      <w:r>
        <w:rPr>
          <w:sz w:val="20"/>
          <w:szCs w:val="20"/>
        </w:rPr>
        <w:t>ancial Statements for the operating properties acquired by the Company.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2019,</w:t>
      </w:r>
      <w:r>
        <w:rPr>
          <w:sz w:val="20"/>
          <w:szCs w:val="20"/>
        </w:rPr>
        <w:t xml:space="preserve"> certain of the Company’s real estate joint ventures disposed of</w:t>
      </w:r>
      <w:r>
        <w:rPr>
          <w:sz w:val="20"/>
          <w:szCs w:val="20"/>
        </w:rPr>
        <w:t xml:space="preserve"> </w:t>
      </w:r>
      <w:r>
        <w:rPr>
          <w:sz w:val="20"/>
          <w:szCs w:val="20"/>
        </w:rPr>
        <w:t>nin</w:t>
      </w:r>
      <w:r>
        <w:rPr>
          <w:sz w:val="20"/>
          <w:szCs w:val="20"/>
        </w:rPr>
        <w:t>e</w:t>
      </w:r>
      <w:r>
        <w:rPr>
          <w:sz w:val="20"/>
          <w:szCs w:val="20"/>
        </w:rPr>
        <w:t xml:space="preserve"> operating properties, in separate transactions, for an aggregate sales price of $247.4 million. Thes</w:t>
      </w:r>
      <w:r>
        <w:rPr>
          <w:sz w:val="20"/>
          <w:szCs w:val="20"/>
        </w:rPr>
        <w:t xml:space="preserve">e transactions resulted in an aggregate net gain to the Company of $14.4 million, for the year ended </w:t>
      </w:r>
      <w:r>
        <w:rPr>
          <w:rStyle w:val="a6"/>
          <w:sz w:val="20"/>
          <w:szCs w:val="20"/>
        </w:rPr>
        <w:t>December 31, 2019.</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table below presents debt balances within the Company’s unconsolidated joint venture investments for which the Company held noncon</w:t>
      </w:r>
      <w:r>
        <w:rPr>
          <w:sz w:val="20"/>
          <w:szCs w:val="20"/>
        </w:rPr>
        <w:t xml:space="preserve">trolling ownership interests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(dollars in millions):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4"/>
        <w:gridCol w:w="50"/>
        <w:gridCol w:w="101"/>
        <w:gridCol w:w="819"/>
        <w:gridCol w:w="50"/>
        <w:gridCol w:w="50"/>
        <w:gridCol w:w="83"/>
        <w:gridCol w:w="740"/>
        <w:gridCol w:w="167"/>
        <w:gridCol w:w="50"/>
        <w:gridCol w:w="94"/>
        <w:gridCol w:w="840"/>
        <w:gridCol w:w="50"/>
        <w:gridCol w:w="50"/>
        <w:gridCol w:w="101"/>
        <w:gridCol w:w="819"/>
        <w:gridCol w:w="50"/>
        <w:gridCol w:w="50"/>
        <w:gridCol w:w="112"/>
        <w:gridCol w:w="1005"/>
        <w:gridCol w:w="167"/>
        <w:gridCol w:w="50"/>
        <w:gridCol w:w="94"/>
        <w:gridCol w:w="840"/>
        <w:gridCol w:w="50"/>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Joint Venture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Mortgages and </w:t>
            </w:r>
          </w:p>
          <w:p w:rsidR="00000000" w:rsidRDefault="001D2166">
            <w:pPr>
              <w:pStyle w:val="a3"/>
              <w:spacing w:before="0" w:beforeAutospacing="0" w:after="0" w:afterAutospacing="0"/>
              <w:jc w:val="center"/>
              <w:rPr>
                <w:sz w:val="20"/>
                <w:szCs w:val="20"/>
              </w:rPr>
            </w:pPr>
            <w:r>
              <w:rPr>
                <w:b/>
                <w:bCs/>
                <w:sz w:val="20"/>
                <w:szCs w:val="20"/>
              </w:rPr>
              <w:t>Notes Payable,</w:t>
            </w:r>
          </w:p>
          <w:p w:rsidR="00000000" w:rsidRDefault="001D2166">
            <w:pPr>
              <w:pStyle w:val="a3"/>
              <w:spacing w:before="0" w:beforeAutospacing="0" w:after="0" w:afterAutospacing="0"/>
              <w:jc w:val="center"/>
              <w:rPr>
                <w:sz w:val="20"/>
                <w:szCs w:val="20"/>
              </w:rPr>
            </w:pPr>
            <w:r>
              <w:rPr>
                <w:b/>
                <w:bCs/>
                <w:sz w:val="20"/>
                <w:szCs w:val="20"/>
              </w:rPr>
              <w:t>Net</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w:t>
            </w:r>
          </w:p>
          <w:p w:rsidR="00000000" w:rsidRDefault="001D2166">
            <w:pPr>
              <w:pStyle w:val="a3"/>
              <w:spacing w:before="0" w:beforeAutospacing="0" w:after="0" w:afterAutospacing="0"/>
              <w:jc w:val="center"/>
              <w:rPr>
                <w:sz w:val="20"/>
                <w:szCs w:val="20"/>
              </w:rPr>
            </w:pPr>
            <w:r>
              <w:rPr>
                <w:b/>
                <w:bCs/>
                <w:sz w:val="20"/>
                <w:szCs w:val="20"/>
              </w:rPr>
              <w:t>Average</w:t>
            </w:r>
          </w:p>
          <w:p w:rsidR="00000000" w:rsidRDefault="001D2166">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w:t>
            </w:r>
          </w:p>
          <w:p w:rsidR="00000000" w:rsidRDefault="001D2166">
            <w:pPr>
              <w:pStyle w:val="a3"/>
              <w:spacing w:before="0" w:beforeAutospacing="0" w:after="0" w:afterAutospacing="0"/>
              <w:jc w:val="center"/>
              <w:rPr>
                <w:sz w:val="20"/>
                <w:szCs w:val="20"/>
              </w:rPr>
            </w:pPr>
            <w:r>
              <w:rPr>
                <w:b/>
                <w:bCs/>
                <w:sz w:val="20"/>
                <w:szCs w:val="20"/>
              </w:rPr>
              <w:t>Average Remaining</w:t>
            </w:r>
          </w:p>
          <w:p w:rsidR="00000000" w:rsidRDefault="001D2166">
            <w:pPr>
              <w:pStyle w:val="a3"/>
              <w:spacing w:before="0" w:beforeAutospacing="0" w:after="0" w:afterAutospacing="0"/>
              <w:jc w:val="center"/>
              <w:rPr>
                <w:sz w:val="20"/>
                <w:szCs w:val="20"/>
              </w:rPr>
            </w:pPr>
            <w:r>
              <w:rPr>
                <w:b/>
                <w:bCs/>
                <w:sz w:val="20"/>
                <w:szCs w:val="20"/>
              </w:rPr>
              <w:t>Term</w:t>
            </w:r>
          </w:p>
          <w:p w:rsidR="00000000" w:rsidRDefault="001D2166">
            <w:pPr>
              <w:pStyle w:val="a3"/>
              <w:spacing w:before="0" w:beforeAutospacing="0" w:after="0" w:afterAutospacing="0"/>
              <w:jc w:val="center"/>
              <w:rPr>
                <w:sz w:val="20"/>
                <w:szCs w:val="20"/>
              </w:rPr>
            </w:pPr>
            <w:r>
              <w:rPr>
                <w:b/>
                <w:bCs/>
                <w:sz w:val="20"/>
                <w:szCs w:val="20"/>
              </w:rPr>
              <w:t>(months)*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Mortgages and </w:t>
            </w:r>
          </w:p>
          <w:p w:rsidR="00000000" w:rsidRDefault="001D2166">
            <w:pPr>
              <w:pStyle w:val="a3"/>
              <w:spacing w:before="0" w:beforeAutospacing="0" w:after="0" w:afterAutospacing="0"/>
              <w:jc w:val="center"/>
              <w:rPr>
                <w:sz w:val="20"/>
                <w:szCs w:val="20"/>
              </w:rPr>
            </w:pPr>
            <w:r>
              <w:rPr>
                <w:b/>
                <w:bCs/>
                <w:sz w:val="20"/>
                <w:szCs w:val="20"/>
              </w:rPr>
              <w:t xml:space="preserve">Notes Payable, </w:t>
            </w:r>
          </w:p>
          <w:p w:rsidR="00000000" w:rsidRDefault="001D2166">
            <w:pPr>
              <w:pStyle w:val="a3"/>
              <w:spacing w:before="0" w:beforeAutospacing="0" w:after="0" w:afterAutospacing="0"/>
              <w:jc w:val="center"/>
              <w:rPr>
                <w:sz w:val="20"/>
                <w:szCs w:val="20"/>
              </w:rPr>
            </w:pPr>
            <w:r>
              <w:rPr>
                <w:b/>
                <w:bCs/>
                <w:sz w:val="20"/>
                <w:szCs w:val="20"/>
              </w:rPr>
              <w:t>Net</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w:t>
            </w:r>
          </w:p>
          <w:p w:rsidR="00000000" w:rsidRDefault="001D2166">
            <w:pPr>
              <w:pStyle w:val="a3"/>
              <w:spacing w:before="0" w:beforeAutospacing="0" w:after="0" w:afterAutospacing="0"/>
              <w:jc w:val="center"/>
              <w:rPr>
                <w:sz w:val="20"/>
                <w:szCs w:val="20"/>
              </w:rPr>
            </w:pPr>
            <w:r>
              <w:rPr>
                <w:b/>
                <w:bCs/>
                <w:sz w:val="20"/>
                <w:szCs w:val="20"/>
              </w:rPr>
              <w:t>Average</w:t>
            </w:r>
          </w:p>
          <w:p w:rsidR="00000000" w:rsidRDefault="001D2166">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w:t>
            </w:r>
          </w:p>
          <w:p w:rsidR="00000000" w:rsidRDefault="001D2166">
            <w:pPr>
              <w:pStyle w:val="a3"/>
              <w:spacing w:before="0" w:beforeAutospacing="0" w:after="0" w:afterAutospacing="0"/>
              <w:jc w:val="center"/>
              <w:rPr>
                <w:sz w:val="20"/>
                <w:szCs w:val="20"/>
              </w:rPr>
            </w:pPr>
            <w:r>
              <w:rPr>
                <w:b/>
                <w:bCs/>
                <w:sz w:val="20"/>
                <w:szCs w:val="20"/>
              </w:rPr>
              <w:t>Average Remaining</w:t>
            </w:r>
          </w:p>
          <w:p w:rsidR="00000000" w:rsidRDefault="001D2166">
            <w:pPr>
              <w:pStyle w:val="a3"/>
              <w:spacing w:before="0" w:beforeAutospacing="0" w:after="0" w:afterAutospacing="0"/>
              <w:jc w:val="center"/>
              <w:rPr>
                <w:sz w:val="20"/>
                <w:szCs w:val="20"/>
              </w:rPr>
            </w:pPr>
            <w:r>
              <w:rPr>
                <w:b/>
                <w:bCs/>
                <w:sz w:val="20"/>
                <w:szCs w:val="20"/>
              </w:rPr>
              <w:t>Term</w:t>
            </w:r>
          </w:p>
          <w:p w:rsidR="00000000" w:rsidRDefault="001D2166">
            <w:pPr>
              <w:pStyle w:val="a3"/>
              <w:spacing w:before="0" w:beforeAutospacing="0" w:after="0" w:afterAutospacing="0"/>
              <w:jc w:val="center"/>
              <w:rPr>
                <w:sz w:val="20"/>
                <w:szCs w:val="20"/>
              </w:rPr>
            </w:pPr>
            <w:r>
              <w:rPr>
                <w:b/>
                <w:bCs/>
                <w:sz w:val="20"/>
                <w:szCs w:val="20"/>
              </w:rPr>
              <w:t>(months)*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426.9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2.02</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495.8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2.05</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492.6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2.55</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84.2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Institutional Joint Ventures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232.9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Other Joint Venture Programs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3.58</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423.4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3.41</w:t>
            </w:r>
          </w:p>
        </w:tc>
        <w:tc>
          <w:tcPr>
            <w:tcW w:w="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86.7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1,638.7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1,541.0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 Average remaining term includes extensions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As of the date of the Merger, the Company acquired ownership in </w:t>
            </w:r>
            <w:r>
              <w:rPr>
                <w:rStyle w:val="a6"/>
                <w:sz w:val="20"/>
                <w:szCs w:val="20"/>
              </w:rPr>
              <w:t>9</w:t>
            </w:r>
            <w:r>
              <w:rPr>
                <w:sz w:val="20"/>
                <w:szCs w:val="20"/>
              </w:rPr>
              <w:t xml:space="preserve"> unconsolidated joint ventures, which had an aggregate $191.5 </w:t>
            </w:r>
            <w:r>
              <w:rPr>
                <w:sz w:val="20"/>
                <w:szCs w:val="20"/>
              </w:rPr>
              <w:t>million of secured debt (including a fair market value adjustment of $0.8 million).</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KIR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holds a 48.6% noncontrolling limited partnership interest in KIR and has a master management agreement whereby the Company performs services for fees</w:t>
      </w:r>
      <w:r>
        <w:rPr>
          <w:sz w:val="20"/>
          <w:szCs w:val="20"/>
        </w:rPr>
        <w:t xml:space="preserve"> relating to the management, operation, supervision and maintenance of the joint venture properties. The Company’s equity in income from KIR for the year ended </w:t>
      </w:r>
      <w:r>
        <w:rPr>
          <w:rStyle w:val="a6"/>
          <w:sz w:val="20"/>
          <w:szCs w:val="20"/>
        </w:rPr>
        <w:t xml:space="preserve">December 31, 2019, </w:t>
      </w:r>
      <w:r>
        <w:rPr>
          <w:sz w:val="20"/>
          <w:szCs w:val="20"/>
        </w:rPr>
        <w:t xml:space="preserve">exceeded </w:t>
      </w:r>
      <w:r>
        <w:rPr>
          <w:rStyle w:val="a6"/>
          <w:sz w:val="20"/>
          <w:szCs w:val="20"/>
        </w:rPr>
        <w:t>10%</w:t>
      </w:r>
      <w:r>
        <w:rPr>
          <w:sz w:val="20"/>
          <w:szCs w:val="20"/>
        </w:rPr>
        <w:t xml:space="preserve"> of the Company’s income from continuing operations before income</w:t>
      </w:r>
      <w:r>
        <w:rPr>
          <w:sz w:val="20"/>
          <w:szCs w:val="20"/>
        </w:rPr>
        <w:t xml:space="preserve"> taxes; as such, the Company is providing summarized financial information for KIR as follows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Real estate,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769.4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787.1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Other assets,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68.2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75.3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837.6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862.4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Liabilities and Members’ Capital:</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Notes payable,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91.5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Mortgages payable,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233.7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445.4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Other liabilities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Members’ capital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328.9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308.1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Liabilities and Members’ Capital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837.6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862.4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488712716"/>
        <w:rPr>
          <w:rFonts w:eastAsia="Times New Roman"/>
          <w:sz w:val="20"/>
          <w:szCs w:val="20"/>
        </w:rPr>
      </w:pPr>
      <w:r>
        <w:rPr>
          <w:rStyle w:val="a6"/>
          <w:rFonts w:eastAsia="Times New Roman"/>
          <w:sz w:val="20"/>
          <w:szCs w:val="20"/>
        </w:rPr>
        <w:t>73</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5" style="width:415.3pt;height:1.5pt" o:hralign="center" o:hrstd="t" o:hrnoshade="t" o:hr="t" fillcolor="black" stroked="f"/>
        </w:pict>
      </w:r>
    </w:p>
    <w:p w:rsidR="00000000" w:rsidRDefault="001D2166">
      <w:pPr>
        <w:divId w:val="9020613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320084472"/>
        <w:rPr>
          <w:rFonts w:eastAsia="Times New Roman"/>
          <w:sz w:val="20"/>
          <w:szCs w:val="20"/>
        </w:rPr>
      </w:pPr>
      <w:r>
        <w:rPr>
          <w:rFonts w:eastAsia="Times New Roman"/>
          <w:sz w:val="20"/>
          <w:szCs w:val="20"/>
        </w:rPr>
        <w:t xml:space="preserve">KIMCO REALTY CORPORATION AND SUBSIDIARIES </w:t>
      </w:r>
    </w:p>
    <w:p w:rsidR="00000000" w:rsidRDefault="001D2166">
      <w:pPr>
        <w:divId w:val="1204640316"/>
        <w:rPr>
          <w:rFonts w:eastAsia="Times New Roman"/>
          <w:sz w:val="20"/>
          <w:szCs w:val="20"/>
        </w:rPr>
      </w:pPr>
      <w:r>
        <w:rPr>
          <w:rFonts w:eastAsia="Times New Roman"/>
          <w:sz w:val="20"/>
          <w:szCs w:val="20"/>
        </w:rPr>
        <w:t xml:space="preserve">  </w:t>
      </w:r>
    </w:p>
    <w:p w:rsidR="00000000" w:rsidRDefault="001D2166">
      <w:pPr>
        <w:jc w:val="center"/>
        <w:divId w:val="1736393644"/>
        <w:rPr>
          <w:rFonts w:eastAsia="Times New Roman"/>
          <w:sz w:val="20"/>
          <w:szCs w:val="20"/>
        </w:rPr>
      </w:pPr>
      <w:r>
        <w:rPr>
          <w:rFonts w:eastAsia="Times New Roman"/>
          <w:sz w:val="20"/>
          <w:szCs w:val="20"/>
        </w:rPr>
        <w:t>NOTES TO CONSOLIDATED FIN</w:t>
      </w:r>
      <w:r>
        <w:rPr>
          <w:rFonts w:eastAsia="Times New Roman"/>
          <w:sz w:val="20"/>
          <w:szCs w:val="20"/>
        </w:rPr>
        <w:t xml:space="preserve">ANCIAL STATEMENTS, continued </w:t>
      </w:r>
    </w:p>
    <w:p w:rsidR="00000000" w:rsidRDefault="001D2166">
      <w:pPr>
        <w:rPr>
          <w:rFonts w:eastAsia="Times New Roman"/>
          <w:sz w:val="20"/>
          <w:szCs w:val="20"/>
        </w:rPr>
      </w:pPr>
      <w:r>
        <w:rPr>
          <w:rFonts w:eastAsia="Times New Roman"/>
          <w:sz w:val="20"/>
          <w:szCs w:val="20"/>
        </w:rPr>
        <w:t xml:space="preserve">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Revenues,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186.6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173.9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193.6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(51.3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(49.5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(40.3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(36.9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32.2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Interest expense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expense,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Net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74.8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62.1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107.5</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Summarized financial information for the Company’</w:t>
      </w:r>
      <w:r>
        <w:rPr>
          <w:sz w:val="20"/>
          <w:szCs w:val="20"/>
        </w:rPr>
        <w:t>s investment in and advances to all other real estate joint ventures is as follows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3,619.4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2,549.2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Other assets,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193.8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179.0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3,813.2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2,728.2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Liabilities and Members’ Capital:</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Notes payable,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199.0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199.8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Mortgages payable,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947.2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804.3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Other liabilities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73.8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53.6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32.6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Members’ capital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2,560.6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1,652.2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Liabilities and Members’ Capital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3,813.2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2,728.2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Revenues,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340.3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317.6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(99.4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Impairment charges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Depreciation and amortization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61.5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0.2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Interest expense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(27.6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(47.1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Other expense,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(0.9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(14.2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140.9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59.3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55.5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Other liabilities included in the Company’s accompanying Consolidated Balance Sheets include investments in certain real estate joint ventures totaling $4.8 million and $3.7 million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respectively. The Company has varying equit</w:t>
      </w:r>
      <w:r>
        <w:rPr>
          <w:sz w:val="20"/>
          <w:szCs w:val="20"/>
        </w:rPr>
        <w:t xml:space="preserve">y interests in these real estate joint ventures, which </w:t>
      </w:r>
      <w:r>
        <w:rPr>
          <w:rStyle w:val="a6"/>
          <w:sz w:val="20"/>
          <w:szCs w:val="20"/>
        </w:rPr>
        <w:t xml:space="preserve">may </w:t>
      </w:r>
      <w:r>
        <w:rPr>
          <w:sz w:val="20"/>
          <w:szCs w:val="20"/>
        </w:rPr>
        <w:t>differ from their proportionate share of net income or loss recognized in accordance with GAAP.</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maximum exposure to losses associated with its unconsolidated joint ventures is prima</w:t>
      </w:r>
      <w:r>
        <w:rPr>
          <w:sz w:val="20"/>
          <w:szCs w:val="20"/>
        </w:rPr>
        <w:t xml:space="preserve">rily limited to its carrying value in these investments. Generally, such investments contain operating properties and the Company has determined these entities do </w:t>
      </w:r>
      <w:r>
        <w:rPr>
          <w:rStyle w:val="a6"/>
          <w:sz w:val="20"/>
          <w:szCs w:val="20"/>
        </w:rPr>
        <w:t>not</w:t>
      </w:r>
      <w:r>
        <w:rPr>
          <w:sz w:val="20"/>
          <w:szCs w:val="20"/>
        </w:rPr>
        <w:t xml:space="preserve"> contain the characteristics of a VIE. 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w:t>
      </w:r>
      <w:r>
        <w:rPr>
          <w:sz w:val="20"/>
          <w:szCs w:val="20"/>
        </w:rPr>
        <w:t>the Company’s carrying value in these investments was $1.0 billion and $590.7 million,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will continue to monitor the economic, financial, and social conditions resulting from the COVID-</w:t>
      </w:r>
      <w:r>
        <w:rPr>
          <w:rStyle w:val="a6"/>
          <w:sz w:val="20"/>
          <w:szCs w:val="20"/>
        </w:rPr>
        <w:t>19</w:t>
      </w:r>
      <w:r>
        <w:rPr>
          <w:sz w:val="20"/>
          <w:szCs w:val="20"/>
        </w:rPr>
        <w:t xml:space="preserve"> pandemic and assess its joint venture por</w:t>
      </w:r>
      <w:r>
        <w:rPr>
          <w:sz w:val="20"/>
          <w:szCs w:val="20"/>
        </w:rPr>
        <w:t>tfolio for any impairment indicators.</w:t>
      </w:r>
    </w:p>
    <w:p w:rsidR="00000000" w:rsidRDefault="001D2166">
      <w:pPr>
        <w:pStyle w:val="a3"/>
        <w:spacing w:before="0" w:beforeAutospacing="0" w:after="0" w:afterAutospacing="0"/>
        <w:rPr>
          <w:sz w:val="20"/>
          <w:szCs w:val="20"/>
        </w:rPr>
      </w:pPr>
      <w:r>
        <w:rPr>
          <w:sz w:val="20"/>
          <w:szCs w:val="20"/>
        </w:rPr>
        <w:t> </w:t>
      </w:r>
    </w:p>
    <w:p w:rsidR="00000000" w:rsidRDefault="001D2166">
      <w:pPr>
        <w:divId w:val="208217392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8.</w:t>
      </w:r>
      <w:r>
        <w:rPr>
          <w:sz w:val="20"/>
          <w:szCs w:val="20"/>
        </w:rPr>
        <w:t>   </w:t>
      </w:r>
      <w:r>
        <w:rPr>
          <w:sz w:val="20"/>
          <w:szCs w:val="20"/>
          <w:u w:val="single"/>
        </w:rPr>
        <w:t>Other Investments: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has provided capital to owners and developers of real estate properties and loans through its Preferred Equity program. The Company’s maximum exposure to losses associated wit</w:t>
      </w:r>
      <w:r>
        <w:rPr>
          <w:sz w:val="20"/>
          <w:szCs w:val="20"/>
        </w:rPr>
        <w:t xml:space="preserve">h its preferred equity investments is primarily limited to its net investment. As of </w:t>
      </w:r>
      <w:r>
        <w:rPr>
          <w:rStyle w:val="a6"/>
          <w:sz w:val="20"/>
          <w:szCs w:val="20"/>
        </w:rPr>
        <w:t xml:space="preserve">December 31, 2021, </w:t>
      </w:r>
      <w:r>
        <w:rPr>
          <w:sz w:val="20"/>
          <w:szCs w:val="20"/>
        </w:rPr>
        <w:t>the Company’s net investment under the Preferred Equity program was $98.7 million relating to 39 properties, including 28 net leased properties which ar</w:t>
      </w:r>
      <w:r>
        <w:rPr>
          <w:sz w:val="20"/>
          <w:szCs w:val="20"/>
        </w:rPr>
        <w:t xml:space="preserve">e accounted for as direct financing leases. For the year ended </w:t>
      </w:r>
      <w:r>
        <w:rPr>
          <w:rStyle w:val="a6"/>
          <w:sz w:val="20"/>
          <w:szCs w:val="20"/>
        </w:rPr>
        <w:t xml:space="preserve">December 31, 2021, </w:t>
      </w:r>
      <w:r>
        <w:rPr>
          <w:sz w:val="20"/>
          <w:szCs w:val="20"/>
        </w:rPr>
        <w:t xml:space="preserve">the Company earned $21.4 million from its preferred equity investments, including net profit participation of $8.6 million. As of </w:t>
      </w:r>
      <w:r>
        <w:rPr>
          <w:rStyle w:val="a6"/>
          <w:sz w:val="20"/>
          <w:szCs w:val="20"/>
        </w:rPr>
        <w:t xml:space="preserve">December 31, 2020, </w:t>
      </w:r>
      <w:r>
        <w:rPr>
          <w:sz w:val="20"/>
          <w:szCs w:val="20"/>
        </w:rPr>
        <w:t>the Company’s net investm</w:t>
      </w:r>
      <w:r>
        <w:rPr>
          <w:sz w:val="20"/>
          <w:szCs w:val="20"/>
        </w:rPr>
        <w:t xml:space="preserve">ent under the Preferred Equity program was $98.2 million relating to 113 properties, including 103 net leased properties which are accounted for as direct financing leases. For the year ended </w:t>
      </w:r>
      <w:r>
        <w:rPr>
          <w:rStyle w:val="a6"/>
          <w:sz w:val="20"/>
          <w:szCs w:val="20"/>
        </w:rPr>
        <w:t xml:space="preserve">December 31, 2020, </w:t>
      </w:r>
      <w:r>
        <w:rPr>
          <w:sz w:val="20"/>
          <w:szCs w:val="20"/>
        </w:rPr>
        <w:t>the Company earned $28.4 million from its pre</w:t>
      </w:r>
      <w:r>
        <w:rPr>
          <w:sz w:val="20"/>
          <w:szCs w:val="20"/>
        </w:rPr>
        <w:t>ferred equity investments, including net profit participation of $13.7 million.</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565606389"/>
        <w:rPr>
          <w:rFonts w:eastAsia="Times New Roman"/>
          <w:sz w:val="20"/>
          <w:szCs w:val="20"/>
        </w:rPr>
      </w:pPr>
      <w:r>
        <w:rPr>
          <w:rStyle w:val="a6"/>
          <w:rFonts w:eastAsia="Times New Roman"/>
          <w:sz w:val="20"/>
          <w:szCs w:val="20"/>
        </w:rPr>
        <w:t>74</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6" style="width:415.3pt;height:1.5pt" o:hralign="center" o:hrstd="t" o:hrnoshade="t" o:hr="t" fillcolor="black" stroked="f"/>
        </w:pict>
      </w:r>
    </w:p>
    <w:p w:rsidR="00000000" w:rsidRDefault="001D2166">
      <w:pPr>
        <w:divId w:val="4155166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284965093"/>
        <w:rPr>
          <w:rFonts w:eastAsia="Times New Roman"/>
          <w:sz w:val="20"/>
          <w:szCs w:val="20"/>
        </w:rPr>
      </w:pPr>
      <w:r>
        <w:rPr>
          <w:rFonts w:eastAsia="Times New Roman"/>
          <w:sz w:val="20"/>
          <w:szCs w:val="20"/>
        </w:rPr>
        <w:t xml:space="preserve">KIMCO REALTY CORPORATION AND SUBSIDIARIES </w:t>
      </w:r>
    </w:p>
    <w:p w:rsidR="00000000" w:rsidRDefault="001D2166">
      <w:pPr>
        <w:divId w:val="583881101"/>
        <w:rPr>
          <w:rFonts w:eastAsia="Times New Roman"/>
          <w:sz w:val="20"/>
          <w:szCs w:val="20"/>
        </w:rPr>
      </w:pPr>
      <w:r>
        <w:rPr>
          <w:rFonts w:eastAsia="Times New Roman"/>
          <w:sz w:val="20"/>
          <w:szCs w:val="20"/>
        </w:rPr>
        <w:t xml:space="preserve">  </w:t>
      </w:r>
    </w:p>
    <w:p w:rsidR="00000000" w:rsidRDefault="001D2166">
      <w:pPr>
        <w:jc w:val="center"/>
        <w:divId w:val="1088386464"/>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the Company invested $60.7 million in </w:t>
      </w:r>
      <w:r>
        <w:rPr>
          <w:rStyle w:val="a6"/>
          <w:sz w:val="20"/>
          <w:szCs w:val="20"/>
        </w:rPr>
        <w:t>four</w:t>
      </w:r>
      <w:r>
        <w:rPr>
          <w:sz w:val="20"/>
          <w:szCs w:val="20"/>
        </w:rPr>
        <w:t xml:space="preserve"> new investments, including a preferred equity investment of $54.9 million in </w:t>
      </w:r>
      <w:r>
        <w:rPr>
          <w:sz w:val="20"/>
          <w:szCs w:val="20"/>
        </w:rPr>
        <w:t>a property located in San Antonio, TX.</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2020,</w:t>
      </w:r>
      <w:r>
        <w:rPr>
          <w:sz w:val="20"/>
          <w:szCs w:val="20"/>
        </w:rPr>
        <w:t xml:space="preserve"> the Company entered into a preferred equity investment of $10.0 million through a partnership, which provided a mezzanine financing loan that is encumbered by a property located in Queens, 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As of </w:t>
      </w:r>
      <w:r>
        <w:rPr>
          <w:rStyle w:val="a6"/>
          <w:sz w:val="20"/>
          <w:szCs w:val="20"/>
        </w:rPr>
        <w:t>D</w:t>
      </w:r>
      <w:r>
        <w:rPr>
          <w:rStyle w:val="a6"/>
          <w:sz w:val="20"/>
          <w:szCs w:val="20"/>
        </w:rPr>
        <w:t xml:space="preserve">ecember 31, 2021, </w:t>
      </w:r>
      <w:r>
        <w:rPr>
          <w:sz w:val="20"/>
          <w:szCs w:val="20"/>
        </w:rPr>
        <w:t>these preferred equity investment properties had non-recourse mortgage loans aggregating $237.4 million (excluding fair market value of debt adjustments aggregating $3.3 million). These loans have scheduled maturities ranging from</w:t>
      </w:r>
      <w:r>
        <w:rPr>
          <w:sz w:val="20"/>
          <w:szCs w:val="20"/>
        </w:rPr>
        <w:t xml:space="preserve"> </w:t>
      </w:r>
      <w:r>
        <w:rPr>
          <w:sz w:val="20"/>
          <w:szCs w:val="20"/>
        </w:rPr>
        <w:t>tw</w:t>
      </w:r>
      <w:r>
        <w:rPr>
          <w:sz w:val="20"/>
          <w:szCs w:val="20"/>
        </w:rPr>
        <w:t>o</w:t>
      </w:r>
      <w:r>
        <w:rPr>
          <w:sz w:val="20"/>
          <w:szCs w:val="20"/>
        </w:rPr>
        <w:t xml:space="preserve"> mon</w:t>
      </w:r>
      <w:r>
        <w:rPr>
          <w:sz w:val="20"/>
          <w:szCs w:val="20"/>
        </w:rPr>
        <w:t>ths to</w:t>
      </w:r>
      <w:r>
        <w:rPr>
          <w:sz w:val="20"/>
          <w:szCs w:val="20"/>
        </w:rPr>
        <w:t xml:space="preserve"> </w:t>
      </w:r>
      <w:r>
        <w:rPr>
          <w:sz w:val="20"/>
          <w:szCs w:val="20"/>
        </w:rPr>
        <w:t>2.</w:t>
      </w:r>
      <w:r>
        <w:rPr>
          <w:sz w:val="20"/>
          <w:szCs w:val="20"/>
        </w:rPr>
        <w:t>5</w:t>
      </w:r>
      <w:r>
        <w:rPr>
          <w:sz w:val="20"/>
          <w:szCs w:val="20"/>
        </w:rPr>
        <w:t xml:space="preserve"> years and bear interest at rates ranging from 4.19% to 8.88%. Due to the Company’s preferred position in these investments, the Company’s share of each investment is subject to fluctuation and is dependent upon property cash flows. The Company’s</w:t>
      </w:r>
      <w:r>
        <w:rPr>
          <w:sz w:val="20"/>
          <w:szCs w:val="20"/>
        </w:rPr>
        <w:t xml:space="preserve"> maximum exposure to losses associated with its preferred equity investments is primarily limited to its invested capital.</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Summarized financial information relating to the Company’s preferred equity investments is as follows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w:t>
            </w:r>
            <w:r>
              <w:rPr>
                <w:b/>
                <w:bCs/>
                <w:sz w:val="20"/>
                <w:szCs w:val="20"/>
              </w:rPr>
              <w:t xml:space="preserve">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317.3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95.7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131.1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216.5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448.4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312.2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Liabilities and Partners’/Members’ Capital:</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Mortgages payable,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240.7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146.7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Other liabilities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Partners’/Members’ capital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191.8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161.0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Liabilities and Partners’/Members’ Capital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448.4</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312.2</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Revenues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54.0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44.6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0.2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Interest expense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expense,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0.5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Net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19.8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19.8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41.2</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39944404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9.</w:t>
      </w:r>
      <w:r>
        <w:rPr>
          <w:sz w:val="20"/>
          <w:szCs w:val="20"/>
        </w:rPr>
        <w:t>  </w:t>
      </w:r>
      <w:r>
        <w:rPr>
          <w:sz w:val="20"/>
          <w:szCs w:val="20"/>
          <w:u w:val="single"/>
        </w:rPr>
        <w:t>Marketable Securities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amortized cost and unrealized gains, net of marketable securities 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are as follows (in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 of 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Marketable securities: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114,159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114,531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1,097,580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592,423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Total fair value</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1,211,739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706,954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w:t>
      </w:r>
      <w:r>
        <w:rPr>
          <w:sz w:val="20"/>
          <w:szCs w:val="20"/>
        </w:rPr>
        <w:t xml:space="preserve">the net unrealized gains on marketable securities were $505.2 million and $594.8 million, respectively. These net unrealized gains are included in Gain on marketable securities, net on the Company’s Consolidated Statements of Income. See Footnote </w:t>
      </w:r>
      <w:r>
        <w:rPr>
          <w:rStyle w:val="a6"/>
          <w:sz w:val="20"/>
          <w:szCs w:val="20"/>
        </w:rPr>
        <w:t>17</w:t>
      </w:r>
      <w:r>
        <w:rPr>
          <w:sz w:val="20"/>
          <w:szCs w:val="20"/>
        </w:rPr>
        <w:t xml:space="preserve"> to the</w:t>
      </w:r>
      <w:r>
        <w:rPr>
          <w:sz w:val="20"/>
          <w:szCs w:val="20"/>
        </w:rPr>
        <w:t xml:space="preserve"> Notes to the Company’s Consolidated Financial Statements for fair value disclosure.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addition, during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the Company recognized dividend income of $17.0 million and $4.1 </w:t>
      </w:r>
      <w:r>
        <w:rPr>
          <w:sz w:val="20"/>
          <w:szCs w:val="20"/>
        </w:rPr>
        <w:t>million, respectively, which is included in Other income, net on the Company’s Consolidated Statements of Income.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388648157"/>
        <w:rPr>
          <w:rFonts w:eastAsia="Times New Roman"/>
          <w:sz w:val="20"/>
          <w:szCs w:val="20"/>
        </w:rPr>
      </w:pPr>
      <w:r>
        <w:rPr>
          <w:rStyle w:val="a6"/>
          <w:rFonts w:eastAsia="Times New Roman"/>
          <w:sz w:val="20"/>
          <w:szCs w:val="20"/>
        </w:rPr>
        <w:t>75</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7" style="width:415.3pt;height:1.5pt" o:hralign="center" o:hrstd="t" o:hrnoshade="t" o:hr="t" fillcolor="black" stroked="f"/>
        </w:pict>
      </w:r>
    </w:p>
    <w:p w:rsidR="00000000" w:rsidRDefault="001D2166">
      <w:pPr>
        <w:divId w:val="150735832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415130659"/>
        <w:rPr>
          <w:rFonts w:eastAsia="Times New Roman"/>
          <w:sz w:val="20"/>
          <w:szCs w:val="20"/>
        </w:rPr>
      </w:pPr>
      <w:r>
        <w:rPr>
          <w:rFonts w:eastAsia="Times New Roman"/>
          <w:sz w:val="20"/>
          <w:szCs w:val="20"/>
        </w:rPr>
        <w:t xml:space="preserve">KIMCO REALTY CORPORATION AND SUBSIDIARIES </w:t>
      </w:r>
    </w:p>
    <w:p w:rsidR="00000000" w:rsidRDefault="001D2166">
      <w:pPr>
        <w:divId w:val="1048919672"/>
        <w:rPr>
          <w:rFonts w:eastAsia="Times New Roman"/>
          <w:sz w:val="20"/>
          <w:szCs w:val="20"/>
        </w:rPr>
      </w:pPr>
      <w:r>
        <w:rPr>
          <w:rFonts w:eastAsia="Times New Roman"/>
          <w:sz w:val="20"/>
          <w:szCs w:val="20"/>
        </w:rPr>
        <w:t xml:space="preserve">  </w:t>
      </w:r>
    </w:p>
    <w:p w:rsidR="00000000" w:rsidRDefault="001D2166">
      <w:pPr>
        <w:jc w:val="center"/>
        <w:divId w:val="1248466203"/>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rPr>
          <w:sz w:val="20"/>
          <w:szCs w:val="20"/>
        </w:rPr>
      </w:pPr>
      <w:r>
        <w:rPr>
          <w:i/>
          <w:iCs/>
          <w:sz w:val="20"/>
          <w:szCs w:val="20"/>
        </w:rPr>
        <w:t>Albertsons Companies, Inc. (</w:t>
      </w:r>
      <w:r>
        <w:rPr>
          <w:sz w:val="20"/>
          <w:szCs w:val="20"/>
        </w:rPr>
        <w:t>“</w:t>
      </w:r>
      <w:r>
        <w:rPr>
          <w:i/>
          <w:iCs/>
          <w:sz w:val="20"/>
          <w:szCs w:val="20"/>
        </w:rPr>
        <w:t>ACI</w:t>
      </w:r>
      <w:r>
        <w:rPr>
          <w:sz w:val="20"/>
          <w:szCs w:val="20"/>
        </w:rPr>
        <w:t>”</w:t>
      </w:r>
      <w:r>
        <w:rPr>
          <w:i/>
          <w:iCs/>
          <w:sz w:val="20"/>
          <w:szCs w:val="20"/>
        </w:rPr>
        <w:t>)</w:t>
      </w:r>
      <w:r>
        <w:rPr>
          <w:sz w:val="20"/>
          <w:szCs w:val="20"/>
        </w:rPr>
        <w:t xml:space="preserve"> </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owned 9.29% of the common stock of ACI, </w:t>
      </w:r>
      <w:r>
        <w:rPr>
          <w:rStyle w:val="a6"/>
          <w:sz w:val="20"/>
          <w:szCs w:val="20"/>
        </w:rPr>
        <w:t>one</w:t>
      </w:r>
      <w:r>
        <w:rPr>
          <w:sz w:val="20"/>
          <w:szCs w:val="20"/>
        </w:rPr>
        <w:t xml:space="preserve"> of the largest food and drug retailers in the United States, and accounted for its $140.2 million investment on the cost method. During </w:t>
      </w:r>
      <w:r>
        <w:rPr>
          <w:rStyle w:val="a6"/>
          <w:sz w:val="20"/>
          <w:szCs w:val="20"/>
        </w:rPr>
        <w:t xml:space="preserve">June 2020, </w:t>
      </w:r>
      <w:r>
        <w:rPr>
          <w:sz w:val="20"/>
          <w:szCs w:val="20"/>
        </w:rPr>
        <w:t>ACI issued $1.75 billion of convertible preferred</w:t>
      </w:r>
      <w:r>
        <w:rPr>
          <w:sz w:val="20"/>
          <w:szCs w:val="20"/>
        </w:rPr>
        <w:t xml:space="preserve"> stock and used the net proceeds of $1.68 billion to repurchase approximately 17.5% of ACI’s common stock owned by its current shareholders. As a result of this transaction, the Company received net proceeds of $156.1 million, recognized a gain of $131.6 m</w:t>
      </w:r>
      <w:r>
        <w:rPr>
          <w:sz w:val="20"/>
          <w:szCs w:val="20"/>
        </w:rPr>
        <w:t>illion, which is included in Gain on sale of cost method investment on the Company’s Consolidated Statements of Income, and held a 7.5% ownership interest in ACI.</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June 25, 2020, </w:t>
      </w:r>
      <w:r>
        <w:rPr>
          <w:sz w:val="20"/>
          <w:szCs w:val="20"/>
        </w:rPr>
        <w:t xml:space="preserve">ACI announced its initial public offering (“IPO”) of 50.0 million shares </w:t>
      </w:r>
      <w:r>
        <w:rPr>
          <w:sz w:val="20"/>
          <w:szCs w:val="20"/>
        </w:rPr>
        <w:t>of its common stock had been priced at $16.00 per share. In connection with this transaction, the Company received net proceeds of $71.4 million, net of fees, from the sale of 4.7 million common shares in ACI and recognized a gain of $59.2 million, which i</w:t>
      </w:r>
      <w:r>
        <w:rPr>
          <w:sz w:val="20"/>
          <w:szCs w:val="20"/>
        </w:rPr>
        <w:t xml:space="preserve">s included in Gain on sale of cost method investment on the Company’s Consolidated Statements of Income. The shares began trading on the New York Stock Exchange under the symbol "ACI" on </w:t>
      </w:r>
      <w:r>
        <w:rPr>
          <w:rStyle w:val="a6"/>
          <w:sz w:val="20"/>
          <w:szCs w:val="20"/>
        </w:rPr>
        <w:t xml:space="preserve">June 26, 2020. </w:t>
      </w:r>
      <w:r>
        <w:rPr>
          <w:sz w:val="20"/>
          <w:szCs w:val="20"/>
        </w:rPr>
        <w:t xml:space="preserve">As of </w:t>
      </w:r>
      <w:r>
        <w:rPr>
          <w:rStyle w:val="a6"/>
          <w:sz w:val="20"/>
          <w:szCs w:val="20"/>
        </w:rPr>
        <w:t xml:space="preserve">December 31, 2021, </w:t>
      </w:r>
      <w:r>
        <w:rPr>
          <w:sz w:val="20"/>
          <w:szCs w:val="20"/>
        </w:rPr>
        <w:t xml:space="preserve">the Company had 39.8 million </w:t>
      </w:r>
      <w:r>
        <w:rPr>
          <w:sz w:val="20"/>
          <w:szCs w:val="20"/>
        </w:rPr>
        <w:t xml:space="preserve">common shares in ACI (subject to certain contractual lock-up provisions) which are accounted for as available-for-sale marketable securities and are included in Marketable securities on the Company’s Consolidated Balance Sheets. As of </w:t>
      </w:r>
      <w:r>
        <w:rPr>
          <w:rStyle w:val="a6"/>
          <w:sz w:val="20"/>
          <w:szCs w:val="20"/>
        </w:rPr>
        <w:t xml:space="preserve">December 31, 2021 </w:t>
      </w:r>
      <w:r>
        <w:rPr>
          <w:sz w:val="20"/>
          <w:szCs w:val="20"/>
        </w:rPr>
        <w:t>and</w:t>
      </w:r>
      <w:r>
        <w:rPr>
          <w:sz w:val="20"/>
          <w:szCs w:val="20"/>
        </w:rPr>
        <w:t xml:space="preserve"> </w:t>
      </w:r>
      <w:r>
        <w:rPr>
          <w:rStyle w:val="a6"/>
          <w:sz w:val="20"/>
          <w:szCs w:val="20"/>
        </w:rPr>
        <w:t>2020,</w:t>
      </w:r>
      <w:r>
        <w:rPr>
          <w:sz w:val="20"/>
          <w:szCs w:val="20"/>
        </w:rPr>
        <w:t xml:space="preserve"> the Company’s investment in ACI was $1.2 billion and $700.4 million, respectively, including mark-to-market gains of $1.1 billion and $596.8 million,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divId w:val="1700936714"/>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Accounts and Notes Receivable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components of Accounts and notes receiva</w:t>
      </w:r>
      <w:r>
        <w:rPr>
          <w:sz w:val="20"/>
          <w:szCs w:val="20"/>
        </w:rPr>
        <w:t xml:space="preserve">ble, net of potentially uncollectible amounts 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are as follows (in thousands):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1"/>
        <w:gridCol w:w="1039"/>
        <w:gridCol w:w="67"/>
        <w:gridCol w:w="67"/>
        <w:gridCol w:w="101"/>
        <w:gridCol w:w="1039"/>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 of 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Billed tenant receivables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20,970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25,428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Unbilled common area maintenance, insurance and tax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55,283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35,982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Deferred rent receivables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17,328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receivables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15,725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4,880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Straight-line rent receivables</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157,670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135,630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accounts and notes receivable,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254,677</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219,248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1690181634"/>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11.</w:t>
      </w:r>
      <w:r>
        <w:rPr>
          <w:sz w:val="20"/>
          <w:szCs w:val="20"/>
        </w:rPr>
        <w:t xml:space="preserve"> </w:t>
      </w:r>
      <w:r>
        <w:rPr>
          <w:sz w:val="20"/>
          <w:szCs w:val="20"/>
          <w:u w:val="single"/>
        </w:rPr>
        <w:t>Variable Interest Entities (</w:t>
      </w:r>
      <w:r>
        <w:rPr>
          <w:sz w:val="20"/>
          <w:szCs w:val="20"/>
        </w:rPr>
        <w:t>“</w:t>
      </w:r>
      <w:r>
        <w:rPr>
          <w:sz w:val="20"/>
          <w:szCs w:val="20"/>
          <w:u w:val="single"/>
        </w:rPr>
        <w:t>VIE</w:t>
      </w:r>
      <w:r>
        <w:rPr>
          <w:sz w:val="20"/>
          <w:szCs w:val="20"/>
        </w:rPr>
        <w:t>”</w:t>
      </w:r>
      <w:r>
        <w:rPr>
          <w:sz w:val="20"/>
          <w:szCs w:val="20"/>
          <w:u w:val="single"/>
        </w:rPr>
        <w:t>)</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Included within the Company’s operating properties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are 34 and 22 </w:t>
      </w:r>
      <w:r>
        <w:rPr>
          <w:sz w:val="20"/>
          <w:szCs w:val="20"/>
        </w:rPr>
        <w:t xml:space="preserve">consolidated entities, respectively, that are VIEs for which the Company is the primary beneficiary. In </w:t>
      </w:r>
      <w:r>
        <w:rPr>
          <w:rStyle w:val="a6"/>
          <w:sz w:val="20"/>
          <w:szCs w:val="20"/>
        </w:rPr>
        <w:t xml:space="preserve">August 2021, </w:t>
      </w:r>
      <w:r>
        <w:rPr>
          <w:sz w:val="20"/>
          <w:szCs w:val="20"/>
        </w:rPr>
        <w:t>the Company acquired 11 of these VIEs in conjunction with the Merger. These entities have been established to own and operate real estate p</w:t>
      </w:r>
      <w:r>
        <w:rPr>
          <w:sz w:val="20"/>
          <w:szCs w:val="20"/>
        </w:rPr>
        <w:t xml:space="preserve">roperty. The Company’s involvement with these entities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w:t>
      </w:r>
      <w:r>
        <w:rPr>
          <w:sz w:val="20"/>
          <w:szCs w:val="20"/>
        </w:rPr>
        <w:t xml:space="preserve"> or managing partner by a vote of a simple majority or less, and they do </w:t>
      </w:r>
      <w:r>
        <w:rPr>
          <w:rStyle w:val="a6"/>
          <w:sz w:val="20"/>
          <w:szCs w:val="20"/>
        </w:rPr>
        <w:t>not</w:t>
      </w:r>
      <w:r>
        <w:rPr>
          <w:sz w:val="20"/>
          <w:szCs w:val="20"/>
        </w:rPr>
        <w:t xml:space="preserve"> have substantive participating rights. The Company determined that it was the primary beneficiary of these VIEs as a result of its controlling financial interest. At </w:t>
      </w:r>
      <w:r>
        <w:rPr>
          <w:rStyle w:val="a6"/>
          <w:sz w:val="20"/>
          <w:szCs w:val="20"/>
        </w:rPr>
        <w:t xml:space="preserve">December 31, </w:t>
      </w:r>
      <w:r>
        <w:rPr>
          <w:rStyle w:val="a6"/>
          <w:sz w:val="20"/>
          <w:szCs w:val="20"/>
        </w:rPr>
        <w:t xml:space="preserve">2021, </w:t>
      </w:r>
      <w:r>
        <w:rPr>
          <w:sz w:val="20"/>
          <w:szCs w:val="20"/>
        </w:rPr>
        <w:t xml:space="preserve">total assets of these VIEs were $1.6 billion and total liabilities were $153.9 million. At </w:t>
      </w:r>
      <w:r>
        <w:rPr>
          <w:rStyle w:val="a6"/>
          <w:sz w:val="20"/>
          <w:szCs w:val="20"/>
        </w:rPr>
        <w:t xml:space="preserve">December 31, 2020, </w:t>
      </w:r>
      <w:r>
        <w:rPr>
          <w:sz w:val="20"/>
          <w:szCs w:val="20"/>
        </w:rPr>
        <w:t>total assets of these VIEs were $1.0 billion and total liabilities were $62.1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majority of the operations of these VIEs are fu</w:t>
      </w:r>
      <w:r>
        <w:rPr>
          <w:sz w:val="20"/>
          <w:szCs w:val="20"/>
        </w:rPr>
        <w:t xml:space="preserve">nded with cash flows generated from the properties. The Company has </w:t>
      </w:r>
      <w:r>
        <w:rPr>
          <w:rStyle w:val="a6"/>
          <w:sz w:val="20"/>
          <w:szCs w:val="20"/>
        </w:rPr>
        <w:t>not</w:t>
      </w:r>
      <w:r>
        <w:rPr>
          <w:sz w:val="20"/>
          <w:szCs w:val="20"/>
        </w:rPr>
        <w:t xml:space="preserve"> provided financial support to any of these VIEs that it was </w:t>
      </w:r>
      <w:r>
        <w:rPr>
          <w:rStyle w:val="a6"/>
          <w:sz w:val="20"/>
          <w:szCs w:val="20"/>
        </w:rPr>
        <w:t>not</w:t>
      </w:r>
      <w:r>
        <w:rPr>
          <w:sz w:val="20"/>
          <w:szCs w:val="20"/>
        </w:rPr>
        <w:t xml:space="preserve"> previously contractually required to provide, which consists primarily of funding any capital expenditures, including te</w:t>
      </w:r>
      <w:r>
        <w:rPr>
          <w:sz w:val="20"/>
          <w:szCs w:val="20"/>
        </w:rPr>
        <w:t xml:space="preserve">nant improvements, which are deemed necessary to continue to operate the entity and any operating cash shortfalls that the entity </w:t>
      </w:r>
      <w:r>
        <w:rPr>
          <w:rStyle w:val="a6"/>
          <w:sz w:val="20"/>
          <w:szCs w:val="20"/>
        </w:rPr>
        <w:t xml:space="preserve">may </w:t>
      </w:r>
      <w:r>
        <w:rPr>
          <w:sz w:val="20"/>
          <w:szCs w:val="20"/>
        </w:rPr>
        <w:t>experience.</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995179406"/>
        <w:rPr>
          <w:rFonts w:eastAsia="Times New Roman"/>
          <w:sz w:val="20"/>
          <w:szCs w:val="20"/>
        </w:rPr>
      </w:pPr>
      <w:r>
        <w:rPr>
          <w:rStyle w:val="a6"/>
          <w:rFonts w:eastAsia="Times New Roman"/>
          <w:sz w:val="20"/>
          <w:szCs w:val="20"/>
        </w:rPr>
        <w:t>76</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8" style="width:415.3pt;height:1.5pt" o:hralign="center" o:hrstd="t" o:hrnoshade="t" o:hr="t" fillcolor="black" stroked="f"/>
        </w:pict>
      </w:r>
    </w:p>
    <w:p w:rsidR="00000000" w:rsidRDefault="001D2166">
      <w:pPr>
        <w:divId w:val="65938752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188447659"/>
        <w:rPr>
          <w:rFonts w:eastAsia="Times New Roman"/>
          <w:sz w:val="20"/>
          <w:szCs w:val="20"/>
        </w:rPr>
      </w:pPr>
      <w:r>
        <w:rPr>
          <w:rFonts w:eastAsia="Times New Roman"/>
          <w:sz w:val="20"/>
          <w:szCs w:val="20"/>
        </w:rPr>
        <w:t xml:space="preserve">KIMCO REALTY CORPORATION AND SUBSIDIARIES </w:t>
      </w:r>
    </w:p>
    <w:p w:rsidR="00000000" w:rsidRDefault="001D2166">
      <w:pPr>
        <w:divId w:val="1242300521"/>
        <w:rPr>
          <w:rFonts w:eastAsia="Times New Roman"/>
          <w:sz w:val="20"/>
          <w:szCs w:val="20"/>
        </w:rPr>
      </w:pPr>
      <w:r>
        <w:rPr>
          <w:rFonts w:eastAsia="Times New Roman"/>
          <w:sz w:val="20"/>
          <w:szCs w:val="20"/>
        </w:rPr>
        <w:t xml:space="preserve">  </w:t>
      </w:r>
    </w:p>
    <w:p w:rsidR="00000000" w:rsidRDefault="001D2166">
      <w:pPr>
        <w:jc w:val="center"/>
        <w:divId w:val="378866101"/>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All liabilities of these VIEs are non-recourse to the Company (“VIE Lia</w:t>
      </w:r>
      <w:r>
        <w:rPr>
          <w:sz w:val="20"/>
          <w:szCs w:val="20"/>
        </w:rPr>
        <w:t xml:space="preserve">bilities”). The assets of the unencumbered VIEs are </w:t>
      </w:r>
      <w:r>
        <w:rPr>
          <w:rStyle w:val="a6"/>
          <w:sz w:val="20"/>
          <w:szCs w:val="20"/>
        </w:rPr>
        <w:t>not</w:t>
      </w:r>
      <w:r>
        <w:rPr>
          <w:sz w:val="20"/>
          <w:szCs w:val="20"/>
        </w:rPr>
        <w:t xml:space="preserve"> restricted for use to settle only the obligations of these VIEs. The remaining VIE assets are encumbered by </w:t>
      </w:r>
      <w:r>
        <w:rPr>
          <w:rStyle w:val="a6"/>
          <w:sz w:val="20"/>
          <w:szCs w:val="20"/>
        </w:rPr>
        <w:t>third</w:t>
      </w:r>
      <w:r>
        <w:rPr>
          <w:sz w:val="20"/>
          <w:szCs w:val="20"/>
        </w:rPr>
        <w:t>-party non-recourse mortgage debt. The assets associated with these encumbered VIEs (“R</w:t>
      </w:r>
      <w:r>
        <w:rPr>
          <w:sz w:val="20"/>
          <w:szCs w:val="20"/>
        </w:rPr>
        <w:t>estricted Assets”) are collateral under the respective mortgages and are therefore restricted and can only be used to settle the corresponding liabilities of the VIE. The classification of the Restricted Assets and VIE Liabilities on the Company’s Consolid</w:t>
      </w:r>
      <w:r>
        <w:rPr>
          <w:sz w:val="20"/>
          <w:szCs w:val="20"/>
        </w:rPr>
        <w:t>ated Balance Sheets are as follows (dollars in millions):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Number of encumbered VIEs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Restricted Assets: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222.9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227.9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102.5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VIE Liabilities: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78.9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Accounts payable and accrued expenses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Operating lease liabilities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56.5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153.9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62.1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ind w:firstLine="720"/>
        <w:jc w:val="both"/>
        <w:rPr>
          <w:sz w:val="20"/>
          <w:szCs w:val="20"/>
        </w:rPr>
      </w:pPr>
      <w:r>
        <w:rPr>
          <w:sz w:val="20"/>
          <w:szCs w:val="20"/>
        </w:rPr>
        <w:t> </w:t>
      </w:r>
    </w:p>
    <w:p w:rsidR="00000000" w:rsidRDefault="001D2166">
      <w:pPr>
        <w:divId w:val="511267310"/>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both"/>
        <w:rPr>
          <w:sz w:val="20"/>
          <w:szCs w:val="20"/>
        </w:rPr>
      </w:pPr>
      <w:r>
        <w:rPr>
          <w:rStyle w:val="a6"/>
          <w:sz w:val="20"/>
          <w:szCs w:val="20"/>
        </w:rPr>
        <w:t>12.</w:t>
      </w:r>
      <w:r>
        <w:rPr>
          <w:sz w:val="20"/>
          <w:szCs w:val="20"/>
        </w:rPr>
        <w:t>  </w:t>
      </w:r>
      <w:r>
        <w:rPr>
          <w:sz w:val="20"/>
          <w:szCs w:val="20"/>
          <w:u w:val="single"/>
        </w:rPr>
        <w:t>Leases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Lessor Leases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disaggregation of the Company’s lease income, which is included in Revenue from rental properties, net on the Company’s Consolidated Stat</w:t>
      </w:r>
      <w:r>
        <w:rPr>
          <w:sz w:val="20"/>
          <w:szCs w:val="20"/>
        </w:rPr>
        <w:t xml:space="preserve">ements of Operations, as either fixed or variable lease income based on the criteria specified in ASC </w:t>
      </w:r>
      <w:r>
        <w:rPr>
          <w:rStyle w:val="a6"/>
          <w:sz w:val="20"/>
          <w:szCs w:val="20"/>
        </w:rPr>
        <w:t>842,</w:t>
      </w:r>
      <w:r>
        <w:rPr>
          <w:sz w:val="20"/>
          <w:szCs w:val="20"/>
        </w:rPr>
        <w:t xml:space="preserve"> for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is as follows (in thousands):</w:t>
      </w:r>
    </w:p>
    <w:p w:rsidR="00000000" w:rsidRDefault="001D2166">
      <w:pPr>
        <w:pStyle w:val="a3"/>
        <w:spacing w:before="0" w:beforeAutospacing="0" w:after="0" w:afterAutospacing="0"/>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3237"/>
        <w:gridCol w:w="61"/>
        <w:gridCol w:w="100"/>
        <w:gridCol w:w="1049"/>
        <w:gridCol w:w="61"/>
        <w:gridCol w:w="61"/>
        <w:gridCol w:w="100"/>
        <w:gridCol w:w="1050"/>
        <w:gridCol w:w="67"/>
        <w:gridCol w:w="57"/>
        <w:gridCol w:w="100"/>
        <w:gridCol w:w="1050"/>
        <w:gridCol w:w="67"/>
      </w:tblGrid>
      <w:tr w:rsidR="00000000">
        <w:trPr>
          <w:tblCellSpacing w:w="0" w:type="dxa"/>
        </w:trPr>
        <w:tc>
          <w:tcPr>
            <w:tcW w:w="23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1850" w:type="pct"/>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3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jc w:val="center"/>
              <w:rPr>
                <w:rFonts w:eastAsia="Times New Roman"/>
                <w:sz w:val="20"/>
                <w:szCs w:val="20"/>
              </w:rPr>
            </w:pPr>
            <w:r>
              <w:rPr>
                <w:rFonts w:eastAsia="Times New Roman"/>
                <w:b/>
                <w:bCs/>
                <w:sz w:val="20"/>
                <w:szCs w:val="20"/>
              </w:rPr>
              <w:t>2019</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Lease 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1,045,888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871,151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880,694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264,040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232,272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246,226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14,843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22,515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20,010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Adjustments for potentially uncollectible revenues and disputed amounts (3)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24,931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(81,050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(4,596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2300" w:type="pct"/>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Total lease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1,349,702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1,044,888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1,142,334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1D2166">
            <w:pPr>
              <w:pStyle w:val="a3"/>
              <w:spacing w:before="0" w:beforeAutospacing="0" w:after="0" w:afterAutospacing="0"/>
              <w:rPr>
                <w:sz w:val="20"/>
                <w:szCs w:val="20"/>
              </w:rPr>
            </w:pPr>
            <w:r>
              <w:rPr>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Includes minimum base rents, expense reimbursements, ancillary income and straight-line rent adjustments.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Includes minimum base rents, expense reimbursements, percentage rent, lease termination fee income and ancillary income.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amounts represent adjustments associated with potentially uncollectible revenues and disputed amounts primarily due to the </w:t>
            </w:r>
            <w:r>
              <w:rPr>
                <w:sz w:val="20"/>
                <w:szCs w:val="20"/>
              </w:rPr>
              <w:t>COVID-</w:t>
            </w:r>
            <w:r>
              <w:rPr>
                <w:rStyle w:val="a6"/>
                <w:sz w:val="20"/>
                <w:szCs w:val="20"/>
              </w:rPr>
              <w:t>19</w:t>
            </w:r>
            <w:r>
              <w:rPr>
                <w:sz w:val="20"/>
                <w:szCs w:val="20"/>
              </w:rPr>
              <w:t xml:space="preserve"> pandemic.</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Base rental revenues from rental properties are recognized on a straight-line basis over the terms of the related leases. The difference between the amount of rental income contracted through leases and rental income recognized on a s</w:t>
      </w:r>
      <w:r>
        <w:rPr>
          <w:sz w:val="20"/>
          <w:szCs w:val="20"/>
        </w:rPr>
        <w:t xml:space="preserve">traight-line basis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was $20.8 million, ($6.9) million and $17.2 million,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is primarily engaged in the operation of shopping centers that are either owned or held under long-term</w:t>
      </w:r>
      <w:r>
        <w:rPr>
          <w:sz w:val="20"/>
          <w:szCs w:val="20"/>
        </w:rPr>
        <w:t xml:space="preserve"> leases that expire at various dates through </w:t>
      </w:r>
      <w:r>
        <w:rPr>
          <w:rStyle w:val="a6"/>
          <w:sz w:val="20"/>
          <w:szCs w:val="20"/>
        </w:rPr>
        <w:t>2120.</w:t>
      </w:r>
      <w:r>
        <w:rPr>
          <w:sz w:val="20"/>
          <w:szCs w:val="20"/>
        </w:rPr>
        <w:t xml:space="preserve"> The Company, in turn, leases premises in these centers to tenants pursuant to lease agreements which provide for terms ranging generally from</w:t>
      </w:r>
      <w:r>
        <w:rPr>
          <w:sz w:val="20"/>
          <w:szCs w:val="20"/>
        </w:rPr>
        <w:t xml:space="preserve"> </w:t>
      </w:r>
      <w:r>
        <w:rPr>
          <w:sz w:val="20"/>
          <w:szCs w:val="20"/>
        </w:rPr>
        <w:t>fiv</w:t>
      </w:r>
      <w:r>
        <w:rPr>
          <w:sz w:val="20"/>
          <w:szCs w:val="20"/>
        </w:rPr>
        <w:t>e</w:t>
      </w:r>
      <w:r>
        <w:rPr>
          <w:sz w:val="20"/>
          <w:szCs w:val="20"/>
        </w:rPr>
        <w:t xml:space="preserve"> to 25 years and for annual minimum rentals plus incrementa</w:t>
      </w:r>
      <w:r>
        <w:rPr>
          <w:sz w:val="20"/>
          <w:szCs w:val="20"/>
        </w:rPr>
        <w:t xml:space="preserve">l rents based on operating expense levels and tenants' sales volumes. Annual minimum rentals plus incremental rents based on operating expense levels and percentage rents comprised 98% of total revenues from rental properties for each of the </w:t>
      </w:r>
      <w:r>
        <w:rPr>
          <w:rStyle w:val="a6"/>
          <w:sz w:val="20"/>
          <w:szCs w:val="20"/>
        </w:rPr>
        <w:t>three</w:t>
      </w:r>
      <w:r>
        <w:rPr>
          <w:sz w:val="20"/>
          <w:szCs w:val="20"/>
        </w:rPr>
        <w:t xml:space="preserve"> years en</w:t>
      </w:r>
      <w:r>
        <w:rPr>
          <w:sz w:val="20"/>
          <w:szCs w:val="20"/>
        </w:rPr>
        <w:t xml:space="preserve">ded </w:t>
      </w:r>
      <w:r>
        <w:rPr>
          <w:rStyle w:val="a6"/>
          <w:sz w:val="20"/>
          <w:szCs w:val="20"/>
        </w:rPr>
        <w:t>December 31, 2021, 2020</w:t>
      </w:r>
      <w:r>
        <w:rPr>
          <w:sz w:val="20"/>
          <w:szCs w:val="20"/>
        </w:rPr>
        <w:t xml:space="preserve"> and </w:t>
      </w:r>
      <w:r>
        <w:rPr>
          <w:rStyle w:val="a6"/>
          <w:sz w:val="20"/>
          <w:szCs w:val="20"/>
        </w:rPr>
        <w:t>2019.</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153177079"/>
        <w:rPr>
          <w:rFonts w:eastAsia="Times New Roman"/>
          <w:sz w:val="20"/>
          <w:szCs w:val="20"/>
        </w:rPr>
      </w:pPr>
      <w:r>
        <w:rPr>
          <w:rStyle w:val="a6"/>
          <w:rFonts w:eastAsia="Times New Roman"/>
          <w:sz w:val="20"/>
          <w:szCs w:val="20"/>
        </w:rPr>
        <w:t>77</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09" style="width:415.3pt;height:1.5pt" o:hralign="center" o:hrstd="t" o:hrnoshade="t" o:hr="t" fillcolor="black" stroked="f"/>
        </w:pict>
      </w:r>
    </w:p>
    <w:p w:rsidR="00000000" w:rsidRDefault="001D2166">
      <w:pPr>
        <w:divId w:val="11587619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2073234740"/>
        <w:rPr>
          <w:rFonts w:eastAsia="Times New Roman"/>
          <w:sz w:val="20"/>
          <w:szCs w:val="20"/>
        </w:rPr>
      </w:pPr>
      <w:r>
        <w:rPr>
          <w:rFonts w:eastAsia="Times New Roman"/>
          <w:sz w:val="20"/>
          <w:szCs w:val="20"/>
        </w:rPr>
        <w:t xml:space="preserve">KIMCO REALTY CORPORATION AND SUBSIDIARIES </w:t>
      </w:r>
    </w:p>
    <w:p w:rsidR="00000000" w:rsidRDefault="001D2166">
      <w:pPr>
        <w:divId w:val="312375194"/>
        <w:rPr>
          <w:rFonts w:eastAsia="Times New Roman"/>
          <w:sz w:val="20"/>
          <w:szCs w:val="20"/>
        </w:rPr>
      </w:pPr>
      <w:r>
        <w:rPr>
          <w:rFonts w:eastAsia="Times New Roman"/>
          <w:sz w:val="20"/>
          <w:szCs w:val="20"/>
        </w:rPr>
        <w:t xml:space="preserve">  </w:t>
      </w:r>
    </w:p>
    <w:p w:rsidR="00000000" w:rsidRDefault="001D2166">
      <w:pPr>
        <w:jc w:val="center"/>
        <w:divId w:val="723211581"/>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The minimum revenues expected to be received by the Company from rental properties under the terms of all non-cancelable tenant leases for future years, assuming </w:t>
      </w:r>
      <w:r>
        <w:rPr>
          <w:rStyle w:val="a6"/>
          <w:sz w:val="20"/>
          <w:szCs w:val="20"/>
        </w:rPr>
        <w:t>no</w:t>
      </w:r>
      <w:r>
        <w:rPr>
          <w:sz w:val="20"/>
          <w:szCs w:val="20"/>
        </w:rPr>
        <w:t xml:space="preserve"> new or renegotiated leases are executed for such premises, are as follows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1186"/>
        <w:gridCol w:w="65"/>
        <w:gridCol w:w="100"/>
        <w:gridCol w:w="812"/>
        <w:gridCol w:w="65"/>
        <w:gridCol w:w="65"/>
        <w:gridCol w:w="100"/>
        <w:gridCol w:w="812"/>
        <w:gridCol w:w="65"/>
        <w:gridCol w:w="65"/>
        <w:gridCol w:w="100"/>
        <w:gridCol w:w="812"/>
        <w:gridCol w:w="65"/>
        <w:gridCol w:w="65"/>
        <w:gridCol w:w="100"/>
        <w:gridCol w:w="812"/>
        <w:gridCol w:w="65"/>
        <w:gridCol w:w="65"/>
        <w:gridCol w:w="100"/>
        <w:gridCol w:w="812"/>
        <w:gridCol w:w="66"/>
        <w:gridCol w:w="66"/>
        <w:gridCol w:w="101"/>
        <w:gridCol w:w="845"/>
        <w:gridCol w:w="66"/>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8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Minimum revenues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1,186.1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1,066.7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922.6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780.2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636.4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2,779.2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Lessee Leases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currently leases real estate space under non-cancelable operating lease agreements for ground leases and administrative office leases. The Company’s operating leases have remaining lease terms ranging from </w:t>
      </w:r>
      <w:r>
        <w:rPr>
          <w:rStyle w:val="a6"/>
          <w:sz w:val="20"/>
          <w:szCs w:val="20"/>
        </w:rPr>
        <w:t>one</w:t>
      </w:r>
      <w:r>
        <w:rPr>
          <w:sz w:val="20"/>
          <w:szCs w:val="20"/>
        </w:rPr>
        <w:t xml:space="preserve"> to 64 years, some of which include</w:t>
      </w:r>
      <w:r>
        <w:rPr>
          <w:sz w:val="20"/>
          <w:szCs w:val="20"/>
        </w:rPr>
        <w:t xml:space="preserve"> options to extend the terms for up to an additional 75 years.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connection with the Merger, the Company obtained $32.6 </w:t>
      </w:r>
      <w:r>
        <w:rPr>
          <w:sz w:val="20"/>
          <w:szCs w:val="20"/>
        </w:rPr>
        <w:t>million of operating right-of-use assets in exchange for new operating lease liabilities related to</w:t>
      </w:r>
      <w:r>
        <w:rPr>
          <w:sz w:val="20"/>
          <w:szCs w:val="20"/>
        </w:rPr>
        <w:t xml:space="preserve"> </w:t>
      </w:r>
      <w:r>
        <w:rPr>
          <w:sz w:val="20"/>
          <w:szCs w:val="20"/>
        </w:rPr>
        <w:t>si</w:t>
      </w:r>
      <w:r>
        <w:rPr>
          <w:sz w:val="20"/>
          <w:szCs w:val="20"/>
        </w:rPr>
        <w:t>x</w:t>
      </w:r>
      <w:r>
        <w:rPr>
          <w:sz w:val="20"/>
          <w:szCs w:val="20"/>
        </w:rPr>
        <w:t xml:space="preserve"> properties under operating lease agreements for ground leases. In addition, the Company acquired</w:t>
      </w:r>
      <w:r>
        <w:rPr>
          <w:sz w:val="20"/>
          <w:szCs w:val="20"/>
        </w:rPr>
        <w:t xml:space="preserve"> </w:t>
      </w:r>
      <w:r>
        <w:rPr>
          <w:sz w:val="20"/>
          <w:szCs w:val="20"/>
        </w:rPr>
        <w:t>tw</w:t>
      </w:r>
      <w:r>
        <w:rPr>
          <w:sz w:val="20"/>
          <w:szCs w:val="20"/>
        </w:rPr>
        <w:t>o</w:t>
      </w:r>
      <w:r>
        <w:rPr>
          <w:sz w:val="20"/>
          <w:szCs w:val="20"/>
        </w:rPr>
        <w:t xml:space="preserve"> properties under finance leasing arrangements that </w:t>
      </w:r>
      <w:r>
        <w:rPr>
          <w:sz w:val="20"/>
          <w:szCs w:val="20"/>
        </w:rPr>
        <w:t>consists of variable lease payments with a bargain purchase option. As a result, the Company obtained finance right-of-use assets of $23.0 million (which are included in Other assets on the Company’s Consolidated Balance Sheets) in exchange for new finance</w:t>
      </w:r>
      <w:r>
        <w:rPr>
          <w:sz w:val="20"/>
          <w:szCs w:val="20"/>
        </w:rPr>
        <w:t xml:space="preserve"> lease liabilities (which are included in Other liabilities on the Company’s Consolidated Balance Sheets).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weighted-average remaining non-cancelable lease term and weighted-average discount rates for the Company’s operating and finance leases as of </w:t>
      </w:r>
      <w:r>
        <w:rPr>
          <w:rStyle w:val="a6"/>
          <w:sz w:val="20"/>
          <w:szCs w:val="20"/>
        </w:rPr>
        <w:t>D</w:t>
      </w:r>
      <w:r>
        <w:rPr>
          <w:rStyle w:val="a6"/>
          <w:sz w:val="20"/>
          <w:szCs w:val="20"/>
        </w:rPr>
        <w:t xml:space="preserve">ecember 31, 2021 </w:t>
      </w:r>
      <w:r>
        <w:rPr>
          <w:sz w:val="20"/>
          <w:szCs w:val="20"/>
        </w:rPr>
        <w:t>were as follows: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091"/>
        <w:gridCol w:w="50"/>
        <w:gridCol w:w="52"/>
        <w:gridCol w:w="1007"/>
        <w:gridCol w:w="167"/>
        <w:gridCol w:w="50"/>
        <w:gridCol w:w="51"/>
        <w:gridCol w:w="1010"/>
        <w:gridCol w:w="1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Operating Leases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Finance Leases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Weighted-average remaining lease term (in years)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Weighted-average discount rate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6.62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components of the Company’s lease expense, which are included in interest expense, rent expense and general and administrative expense on the Company’s Consolidated Statements of Operations for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were as follow</w:t>
      </w:r>
      <w:r>
        <w:rPr>
          <w:sz w:val="20"/>
          <w:szCs w:val="20"/>
        </w:rPr>
        <w:t>s (in thousands):</w:t>
      </w:r>
    </w:p>
    <w:p w:rsidR="00000000" w:rsidRDefault="001D2166">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648"/>
        <w:gridCol w:w="256"/>
        <w:gridCol w:w="100"/>
        <w:gridCol w:w="1053"/>
        <w:gridCol w:w="56"/>
        <w:gridCol w:w="56"/>
        <w:gridCol w:w="100"/>
        <w:gridCol w:w="1053"/>
        <w:gridCol w:w="56"/>
        <w:gridCol w:w="56"/>
        <w:gridCol w:w="100"/>
        <w:gridCol w:w="1054"/>
        <w:gridCol w:w="57"/>
      </w:tblGrid>
      <w:tr w:rsidR="00000000">
        <w:trPr>
          <w:tblCellSpacing w:w="0" w:type="dxa"/>
        </w:trPr>
        <w:tc>
          <w:tcPr>
            <w:tcW w:w="2000" w:type="pct"/>
            <w:vAlign w:val="bottom"/>
            <w:hideMark/>
          </w:tcPr>
          <w:p w:rsidR="00000000" w:rsidRDefault="001D2166">
            <w:pPr>
              <w:rPr>
                <w:rFonts w:eastAsia="Times New Roman"/>
                <w:sz w:val="20"/>
                <w:szCs w:val="20"/>
              </w:rPr>
            </w:pPr>
            <w:r>
              <w:rPr>
                <w:rFonts w:eastAsia="Times New Roman"/>
                <w:sz w:val="20"/>
                <w:szCs w:val="20"/>
              </w:rPr>
              <w:t> </w:t>
            </w:r>
          </w:p>
        </w:tc>
        <w:tc>
          <w:tcPr>
            <w:tcW w:w="200" w:type="pct"/>
            <w:vAlign w:val="bottom"/>
            <w:hideMark/>
          </w:tcPr>
          <w:p w:rsidR="00000000" w:rsidRDefault="001D2166">
            <w:pPr>
              <w:rPr>
                <w:rFonts w:eastAsia="Times New Roman"/>
                <w:sz w:val="20"/>
                <w:szCs w:val="20"/>
              </w:rPr>
            </w:pPr>
            <w:r>
              <w:rPr>
                <w:rFonts w:eastAsia="Times New Roman"/>
                <w:sz w:val="20"/>
                <w:szCs w:val="20"/>
              </w:rPr>
              <w:t> </w:t>
            </w:r>
          </w:p>
        </w:tc>
        <w:tc>
          <w:tcPr>
            <w:tcW w:w="2750" w:type="pct"/>
            <w:gridSpan w:val="11"/>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Ended December 31,</w:t>
            </w:r>
          </w:p>
        </w:tc>
      </w:tr>
      <w:tr w:rsidR="00000000">
        <w:trPr>
          <w:tblCellSpacing w:w="0" w:type="dxa"/>
        </w:trPr>
        <w:tc>
          <w:tcPr>
            <w:tcW w:w="2000" w:type="pct"/>
            <w:vAlign w:val="bottom"/>
            <w:hideMark/>
          </w:tcPr>
          <w:p w:rsidR="00000000" w:rsidRDefault="001D2166">
            <w:pPr>
              <w:rPr>
                <w:rFonts w:eastAsia="Times New Roman"/>
                <w:sz w:val="20"/>
                <w:szCs w:val="20"/>
              </w:rPr>
            </w:pPr>
            <w:r>
              <w:rPr>
                <w:rFonts w:eastAsia="Times New Roman"/>
                <w:sz w:val="20"/>
                <w:szCs w:val="20"/>
              </w:rPr>
              <w:t> </w:t>
            </w:r>
          </w:p>
        </w:tc>
        <w:tc>
          <w:tcPr>
            <w:tcW w:w="20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tcMar>
              <w:top w:w="0" w:type="dxa"/>
              <w:left w:w="0" w:type="dxa"/>
              <w:bottom w:w="15" w:type="dxa"/>
              <w:right w:w="0" w:type="dxa"/>
            </w:tcMar>
            <w:vAlign w:val="bottom"/>
            <w:hideMark/>
          </w:tcPr>
          <w:p w:rsidR="00000000" w:rsidRDefault="001D2166">
            <w:pPr>
              <w:jc w:val="center"/>
              <w:rPr>
                <w:rFonts w:eastAsia="Times New Roman"/>
                <w:sz w:val="20"/>
                <w:szCs w:val="20"/>
              </w:rPr>
            </w:pPr>
            <w:r>
              <w:rPr>
                <w:rFonts w:eastAsia="Times New Roman"/>
                <w:sz w:val="20"/>
                <w:szCs w:val="20"/>
              </w:rPr>
              <w:t> </w:t>
            </w:r>
          </w:p>
        </w:tc>
        <w:tc>
          <w:tcPr>
            <w:tcW w:w="800" w:type="pct"/>
            <w:tcBorders>
              <w:bottom w:val="single" w:sz="6" w:space="0" w:color="000000"/>
            </w:tcBorders>
            <w:tcMar>
              <w:top w:w="0" w:type="dxa"/>
              <w:left w:w="0" w:type="dxa"/>
              <w:bottom w:w="15" w:type="dxa"/>
              <w:right w:w="0" w:type="dxa"/>
            </w:tcMar>
            <w:vAlign w:val="bottom"/>
            <w:hideMark/>
          </w:tcPr>
          <w:p w:rsidR="00000000" w:rsidRDefault="001D2166">
            <w:pPr>
              <w:jc w:val="center"/>
              <w:rPr>
                <w:rFonts w:eastAsia="Times New Roman"/>
                <w:sz w:val="20"/>
                <w:szCs w:val="20"/>
              </w:rPr>
            </w:pPr>
            <w:r>
              <w:rPr>
                <w:rFonts w:eastAsia="Times New Roman"/>
                <w:b/>
                <w:bCs/>
                <w:sz w:val="20"/>
                <w:szCs w:val="20"/>
              </w:rPr>
              <w:t>2019</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Lease cost:</w:t>
            </w:r>
          </w:p>
        </w:tc>
        <w:tc>
          <w:tcPr>
            <w:tcW w:w="2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Finance lease cost</w:t>
            </w:r>
          </w:p>
        </w:tc>
        <w:tc>
          <w:tcPr>
            <w:tcW w:w="20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Operating lease cost</w:t>
            </w:r>
          </w:p>
        </w:tc>
        <w:tc>
          <w:tcPr>
            <w:tcW w:w="2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11,637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10,371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12,630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Variable lease cost</w:t>
            </w:r>
          </w:p>
        </w:tc>
        <w:tc>
          <w:tcPr>
            <w:tcW w:w="20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3,972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2,852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tcMar>
              <w:top w:w="0" w:type="dxa"/>
              <w:left w:w="0" w:type="dxa"/>
              <w:bottom w:w="15" w:type="dxa"/>
              <w:right w:w="0" w:type="dxa"/>
            </w:tcMar>
            <w:vAlign w:val="bottom"/>
            <w:hideMark/>
          </w:tcPr>
          <w:p w:rsidR="00000000" w:rsidRDefault="001D2166">
            <w:pPr>
              <w:jc w:val="right"/>
              <w:rPr>
                <w:rFonts w:eastAsia="Times New Roman"/>
                <w:sz w:val="20"/>
                <w:szCs w:val="20"/>
              </w:rPr>
            </w:pPr>
            <w:r>
              <w:rPr>
                <w:rFonts w:eastAsia="Times New Roman"/>
                <w:sz w:val="20"/>
                <w:szCs w:val="20"/>
              </w:rPr>
              <w:t>2,038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Total lease cost</w:t>
            </w:r>
          </w:p>
        </w:tc>
        <w:tc>
          <w:tcPr>
            <w:tcW w:w="20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16,178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13,223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tcMar>
              <w:top w:w="0" w:type="dxa"/>
              <w:left w:w="0" w:type="dxa"/>
              <w:bottom w:w="45" w:type="dxa"/>
              <w:right w:w="0" w:type="dxa"/>
            </w:tcMar>
            <w:vAlign w:val="bottom"/>
            <w:hideMark/>
          </w:tcPr>
          <w:p w:rsidR="00000000" w:rsidRDefault="001D2166">
            <w:pPr>
              <w:jc w:val="right"/>
              <w:rPr>
                <w:rFonts w:eastAsia="Times New Roman"/>
                <w:sz w:val="20"/>
                <w:szCs w:val="20"/>
              </w:rPr>
            </w:pPr>
            <w:r>
              <w:rPr>
                <w:rFonts w:eastAsia="Times New Roman"/>
                <w:sz w:val="20"/>
                <w:szCs w:val="20"/>
              </w:rPr>
              <w:t>14,668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 xml:space="preserve">The table below reconciles the undiscounted cash flows for each of the </w:t>
      </w:r>
      <w:r>
        <w:rPr>
          <w:rStyle w:val="a6"/>
          <w:sz w:val="20"/>
          <w:szCs w:val="20"/>
        </w:rPr>
        <w:t>first</w:t>
      </w:r>
      <w:r>
        <w:rPr>
          <w:sz w:val="20"/>
          <w:szCs w:val="20"/>
        </w:rPr>
        <w:t xml:space="preserve"> </w:t>
      </w:r>
      <w:r>
        <w:rPr>
          <w:rStyle w:val="a6"/>
          <w:sz w:val="20"/>
          <w:szCs w:val="20"/>
        </w:rPr>
        <w:t>five</w:t>
      </w:r>
      <w:r>
        <w:rPr>
          <w:sz w:val="20"/>
          <w:szCs w:val="20"/>
        </w:rPr>
        <w:t xml:space="preserve"> years and total of the remaining years to the operating and financing lease liabilities (in thousands):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1"/>
        <w:gridCol w:w="1039"/>
        <w:gridCol w:w="67"/>
        <w:gridCol w:w="67"/>
        <w:gridCol w:w="101"/>
        <w:gridCol w:w="1039"/>
        <w:gridCol w:w="68"/>
      </w:tblGrid>
      <w:tr w:rsidR="00000000">
        <w:trPr>
          <w:tblCellSpacing w:w="0" w:type="dxa"/>
        </w:trPr>
        <w:tc>
          <w:tcPr>
            <w:tcW w:w="0" w:type="auto"/>
            <w:gridSpan w:val="9"/>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Year Ending December 31,</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Operating Leases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Financing Leases (1)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2022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12,688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1,709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2023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12,716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22,987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2024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11,894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2025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11,395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2026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10,742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215,413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minimum lease payments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274,848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24,696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Less imputed interest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(151,069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(1,956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lease liabilities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123,779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22,740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Includes bargain purchase options exercisable in </w:t>
            </w:r>
            <w:r>
              <w:rPr>
                <w:rStyle w:val="a6"/>
                <w:sz w:val="20"/>
                <w:szCs w:val="20"/>
              </w:rPr>
              <w:t>2023</w:t>
            </w:r>
            <w:r>
              <w:rPr>
                <w:sz w:val="20"/>
                <w:szCs w:val="20"/>
              </w:rPr>
              <w:t xml:space="preserve"> related to </w:t>
            </w:r>
            <w:r>
              <w:rPr>
                <w:rStyle w:val="a6"/>
                <w:sz w:val="20"/>
                <w:szCs w:val="20"/>
              </w:rPr>
              <w:t>two</w:t>
            </w:r>
            <w:r>
              <w:rPr>
                <w:sz w:val="20"/>
                <w:szCs w:val="20"/>
              </w:rPr>
              <w:t xml:space="preserve"> properties.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Operating lease liabilities are included in Operating lease liabilities and financing lease liabilities are included in Other liabilities on the Company’s Consolidated Balance Sheets.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702630962"/>
        <w:rPr>
          <w:rFonts w:eastAsia="Times New Roman"/>
          <w:sz w:val="20"/>
          <w:szCs w:val="20"/>
        </w:rPr>
      </w:pPr>
      <w:r>
        <w:rPr>
          <w:rFonts w:eastAsia="Times New Roman"/>
          <w:sz w:val="20"/>
          <w:szCs w:val="20"/>
        </w:rPr>
        <w:t xml:space="preserve">78 </w:t>
      </w:r>
    </w:p>
    <w:p w:rsidR="00000000" w:rsidRDefault="001D2166">
      <w:pPr>
        <w:divId w:val="577596299"/>
        <w:rPr>
          <w:rFonts w:eastAsia="Times New Roman"/>
          <w:sz w:val="20"/>
          <w:szCs w:val="20"/>
        </w:rPr>
      </w:pPr>
      <w:r>
        <w:rPr>
          <w:rFonts w:eastAsia="Times New Roman"/>
          <w:sz w:val="20"/>
          <w:szCs w:val="20"/>
        </w:rPr>
        <w:pict>
          <v:rect id="_x0000_i1110" style="width:415.3pt;height:1.5pt" o:hralign="center" o:hrstd="t" o:hrnoshade="t" o:hr="t" fillcolor="black" stroked="f"/>
        </w:pict>
      </w:r>
    </w:p>
    <w:p w:rsidR="00000000" w:rsidRDefault="001D2166">
      <w:pPr>
        <w:divId w:val="308080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535574852"/>
        <w:rPr>
          <w:rFonts w:eastAsia="Times New Roman"/>
          <w:sz w:val="20"/>
          <w:szCs w:val="20"/>
        </w:rPr>
      </w:pPr>
      <w:r>
        <w:rPr>
          <w:rFonts w:eastAsia="Times New Roman"/>
          <w:sz w:val="20"/>
          <w:szCs w:val="20"/>
        </w:rPr>
        <w:t xml:space="preserve">KIMCO REALTY CORPORATION AND SUBSIDIARIES </w:t>
      </w:r>
    </w:p>
    <w:p w:rsidR="00000000" w:rsidRDefault="001D2166">
      <w:pPr>
        <w:divId w:val="1373921107"/>
        <w:rPr>
          <w:rFonts w:eastAsia="Times New Roman"/>
          <w:sz w:val="20"/>
          <w:szCs w:val="20"/>
        </w:rPr>
      </w:pPr>
      <w:r>
        <w:rPr>
          <w:rFonts w:eastAsia="Times New Roman"/>
          <w:sz w:val="20"/>
          <w:szCs w:val="20"/>
        </w:rPr>
        <w:t xml:space="preserve">  </w:t>
      </w:r>
    </w:p>
    <w:p w:rsidR="00000000" w:rsidRDefault="001D2166">
      <w:pPr>
        <w:jc w:val="center"/>
        <w:divId w:val="1035077849"/>
        <w:rPr>
          <w:rFonts w:eastAsia="Times New Roman"/>
          <w:sz w:val="20"/>
          <w:szCs w:val="20"/>
        </w:rPr>
      </w:pPr>
      <w:r>
        <w:rPr>
          <w:rFonts w:eastAsia="Times New Roman"/>
          <w:sz w:val="20"/>
          <w:szCs w:val="20"/>
        </w:rPr>
        <w:t xml:space="preserve">NOTES TO CONSOLIDATED FINANCIAL STATEMENTS, continued </w:t>
      </w:r>
    </w:p>
    <w:p w:rsidR="00000000" w:rsidRDefault="001D2166">
      <w:pPr>
        <w:pStyle w:val="a3"/>
        <w:spacing w:before="0" w:beforeAutospacing="0" w:after="0" w:afterAutospacing="0"/>
        <w:rPr>
          <w:sz w:val="20"/>
          <w:szCs w:val="20"/>
        </w:rPr>
      </w:pPr>
      <w:r>
        <w:rPr>
          <w:sz w:val="20"/>
          <w:szCs w:val="20"/>
        </w:rPr>
        <w:t> </w:t>
      </w:r>
    </w:p>
    <w:p w:rsidR="00000000" w:rsidRDefault="001D2166">
      <w:pPr>
        <w:divId w:val="1570574249"/>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13.</w:t>
      </w:r>
      <w:r>
        <w:rPr>
          <w:sz w:val="20"/>
          <w:szCs w:val="20"/>
        </w:rPr>
        <w:t>  </w:t>
      </w:r>
      <w:r>
        <w:rPr>
          <w:sz w:val="20"/>
          <w:szCs w:val="20"/>
          <w:u w:val="single"/>
        </w:rPr>
        <w:t>Other Assets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Assets Held-For-Sale</w:t>
      </w:r>
    </w:p>
    <w:p w:rsidR="00000000" w:rsidRDefault="001D2166">
      <w:pPr>
        <w:pStyle w:val="a3"/>
        <w:spacing w:before="0" w:beforeAutospacing="0" w:after="0" w:afterAutospacing="0"/>
        <w:ind w:left="36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 xml:space="preserve">At </w:t>
      </w:r>
      <w:r>
        <w:rPr>
          <w:rStyle w:val="a6"/>
          <w:sz w:val="20"/>
          <w:szCs w:val="20"/>
        </w:rPr>
        <w:t xml:space="preserve">December 31, 2021, </w:t>
      </w:r>
      <w:r>
        <w:rPr>
          <w:sz w:val="20"/>
          <w:szCs w:val="20"/>
        </w:rPr>
        <w:t>the Company had a property and land parcel classified as held-for-sale at a net carr</w:t>
      </w:r>
      <w:r>
        <w:rPr>
          <w:sz w:val="20"/>
          <w:szCs w:val="20"/>
        </w:rPr>
        <w:t>ying amount of $13.7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Mortgages and Other Financing Receivables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has various mortgages and other financing receivables which consist of loans acquired and loans originated by the Company. For a complete listing of the Company’s mortgages and other financing receivables at </w:t>
      </w:r>
      <w:r>
        <w:rPr>
          <w:rStyle w:val="a6"/>
          <w:sz w:val="20"/>
          <w:szCs w:val="20"/>
        </w:rPr>
        <w:t xml:space="preserve">December 31, 2021, </w:t>
      </w:r>
      <w:r>
        <w:rPr>
          <w:sz w:val="20"/>
          <w:szCs w:val="20"/>
        </w:rPr>
        <w:t>see Financial Sta</w:t>
      </w:r>
      <w:r>
        <w:rPr>
          <w:sz w:val="20"/>
          <w:szCs w:val="20"/>
        </w:rPr>
        <w:t xml:space="preserve">tement Schedule IV included in this annual report on Form </w:t>
      </w:r>
      <w:r>
        <w:rPr>
          <w:rStyle w:val="a6"/>
          <w:sz w:val="20"/>
          <w:szCs w:val="20"/>
        </w:rPr>
        <w:t>10</w:t>
      </w:r>
      <w:r>
        <w:rPr>
          <w:sz w:val="20"/>
          <w:szCs w:val="20"/>
        </w:rPr>
        <w:t>-K.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following table reconciles mortgage loans and other financing receivables from </w:t>
      </w:r>
      <w:r>
        <w:rPr>
          <w:rStyle w:val="a6"/>
          <w:sz w:val="20"/>
          <w:szCs w:val="20"/>
        </w:rPr>
        <w:t xml:space="preserve">January 1, 2019 </w:t>
      </w:r>
      <w:r>
        <w:rPr>
          <w:sz w:val="20"/>
          <w:szCs w:val="20"/>
        </w:rPr>
        <w:t xml:space="preserve">to </w:t>
      </w:r>
      <w:r>
        <w:rPr>
          <w:rStyle w:val="a6"/>
          <w:sz w:val="20"/>
          <w:szCs w:val="20"/>
        </w:rPr>
        <w:t>December 31, 2021 (</w:t>
      </w:r>
      <w:r>
        <w:rPr>
          <w:sz w:val="20"/>
          <w:szCs w:val="20"/>
        </w:rPr>
        <w:t>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42"/>
        <w:gridCol w:w="51"/>
        <w:gridCol w:w="100"/>
        <w:gridCol w:w="1049"/>
        <w:gridCol w:w="67"/>
        <w:gridCol w:w="52"/>
        <w:gridCol w:w="100"/>
        <w:gridCol w:w="1049"/>
        <w:gridCol w:w="67"/>
        <w:gridCol w:w="52"/>
        <w:gridCol w:w="100"/>
        <w:gridCol w:w="1049"/>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32,246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7,829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14,448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Additions: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New mortgage and other loans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55,307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25,500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Additions under existing mortgage loans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Amortization of loan discounts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Deductions: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Loan repayments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(13,646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(10,136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Collections of principal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Allowance for credit losses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(906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Other adjustments</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at December 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73,102</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32,246</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7,829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2"/>
        <w:gridCol w:w="234"/>
        <w:gridCol w:w="7940"/>
      </w:tblGrid>
      <w:tr w:rsidR="00000000">
        <w:trPr>
          <w:tblCellSpacing w:w="0" w:type="dxa"/>
        </w:trPr>
        <w:tc>
          <w:tcPr>
            <w:tcW w:w="100" w:type="pct"/>
            <w:vAlign w:val="center"/>
            <w:hideMark/>
          </w:tcPr>
          <w:p w:rsidR="00000000" w:rsidRDefault="001D2166">
            <w:pPr>
              <w:rPr>
                <w:rFonts w:eastAsia="Times New Roman"/>
                <w:sz w:val="20"/>
                <w:szCs w:val="20"/>
              </w:rPr>
            </w:pPr>
            <w:r>
              <w:rPr>
                <w:rFonts w:eastAsia="Times New Roman"/>
                <w:sz w:val="20"/>
                <w:szCs w:val="20"/>
              </w:rPr>
              <w:t> </w:t>
            </w:r>
          </w:p>
        </w:tc>
        <w:tc>
          <w:tcPr>
            <w:tcW w:w="100" w:type="pct"/>
            <w:vAlign w:val="center"/>
            <w:hideMark/>
          </w:tcPr>
          <w:p w:rsidR="00000000" w:rsidRDefault="001D2166">
            <w:pPr>
              <w:rPr>
                <w:rFonts w:eastAsia="Times New Roman"/>
                <w:sz w:val="20"/>
                <w:szCs w:val="20"/>
              </w:rPr>
            </w:pPr>
            <w:r>
              <w:rPr>
                <w:rFonts w:eastAsia="Times New Roman"/>
                <w:sz w:val="20"/>
                <w:szCs w:val="20"/>
              </w:rPr>
              <w:t>(</w:t>
            </w:r>
            <w:r>
              <w:rPr>
                <w:rStyle w:val="a6"/>
                <w:rFonts w:eastAsia="Times New Roman"/>
                <w:sz w:val="20"/>
                <w:szCs w:val="20"/>
              </w:rPr>
              <w:t>1</w:t>
            </w:r>
            <w:r>
              <w:rPr>
                <w:rFonts w:eastAsia="Times New Roman"/>
                <w:sz w:val="20"/>
                <w:szCs w:val="20"/>
              </w:rPr>
              <w:t>)</w:t>
            </w:r>
          </w:p>
        </w:tc>
        <w:tc>
          <w:tcPr>
            <w:tcW w:w="4800" w:type="pct"/>
            <w:vAlign w:val="center"/>
            <w:hideMark/>
          </w:tcPr>
          <w:p w:rsidR="00000000" w:rsidRDefault="001D2166">
            <w:pPr>
              <w:rPr>
                <w:rFonts w:eastAsia="Times New Roman"/>
                <w:sz w:val="20"/>
                <w:szCs w:val="20"/>
              </w:rPr>
            </w:pPr>
            <w:r>
              <w:rPr>
                <w:rFonts w:eastAsia="Times New Roman"/>
                <w:sz w:val="20"/>
                <w:szCs w:val="20"/>
              </w:rPr>
              <w:t xml:space="preserve">During </w:t>
            </w:r>
            <w:r>
              <w:rPr>
                <w:rStyle w:val="a6"/>
                <w:rFonts w:eastAsia="Times New Roman"/>
                <w:sz w:val="20"/>
                <w:szCs w:val="20"/>
              </w:rPr>
              <w:t>2021,</w:t>
            </w:r>
            <w:r>
              <w:rPr>
                <w:rFonts w:eastAsia="Times New Roman"/>
                <w:sz w:val="20"/>
                <w:szCs w:val="20"/>
              </w:rPr>
              <w:t xml:space="preserve"> the Company acquired $13.4 </w:t>
            </w:r>
            <w:r>
              <w:rPr>
                <w:rFonts w:eastAsia="Times New Roman"/>
                <w:sz w:val="20"/>
                <w:szCs w:val="20"/>
              </w:rPr>
              <w:t>million of mortgage loan receivables in connection with the Merger.</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reviews payment status to identify performing versus non-performing loans. As of </w:t>
      </w:r>
      <w:r>
        <w:rPr>
          <w:rStyle w:val="a6"/>
          <w:sz w:val="20"/>
          <w:szCs w:val="20"/>
        </w:rPr>
        <w:t xml:space="preserve">December 31, 2021, </w:t>
      </w:r>
      <w:r>
        <w:rPr>
          <w:sz w:val="20"/>
          <w:szCs w:val="20"/>
        </w:rPr>
        <w:t>the Company had a total of 11 loans, of which 10 were performing loans an</w:t>
      </w:r>
      <w:r>
        <w:rPr>
          <w:sz w:val="20"/>
          <w:szCs w:val="20"/>
        </w:rPr>
        <w:t>d one is non-performing.</w:t>
      </w:r>
    </w:p>
    <w:p w:rsidR="00000000" w:rsidRDefault="001D2166">
      <w:pPr>
        <w:pStyle w:val="a3"/>
        <w:spacing w:before="0" w:beforeAutospacing="0" w:after="0" w:afterAutospacing="0"/>
        <w:rPr>
          <w:sz w:val="20"/>
          <w:szCs w:val="20"/>
        </w:rPr>
      </w:pPr>
      <w:r>
        <w:rPr>
          <w:sz w:val="20"/>
          <w:szCs w:val="20"/>
        </w:rPr>
        <w:t> </w:t>
      </w:r>
    </w:p>
    <w:p w:rsidR="00000000" w:rsidRDefault="001D2166">
      <w:pPr>
        <w:divId w:val="1920676738"/>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14.</w:t>
      </w:r>
      <w:r>
        <w:rPr>
          <w:sz w:val="20"/>
          <w:szCs w:val="20"/>
        </w:rPr>
        <w:t>  </w:t>
      </w:r>
      <w:r>
        <w:rPr>
          <w:sz w:val="20"/>
          <w:szCs w:val="20"/>
          <w:u w:val="single"/>
        </w:rPr>
        <w:t>Notes Payable</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the Company’s Notes payable, net consisted of the following (dollars in millions):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229"/>
        <w:gridCol w:w="61"/>
        <w:gridCol w:w="100"/>
        <w:gridCol w:w="808"/>
        <w:gridCol w:w="67"/>
        <w:gridCol w:w="55"/>
        <w:gridCol w:w="100"/>
        <w:gridCol w:w="808"/>
        <w:gridCol w:w="67"/>
        <w:gridCol w:w="55"/>
        <w:gridCol w:w="61"/>
        <w:gridCol w:w="808"/>
        <w:gridCol w:w="167"/>
        <w:gridCol w:w="61"/>
        <w:gridCol w:w="61"/>
        <w:gridCol w:w="808"/>
        <w:gridCol w:w="167"/>
        <w:gridCol w:w="61"/>
        <w:gridCol w:w="73"/>
        <w:gridCol w:w="796"/>
        <w:gridCol w:w="62"/>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Carrying Amount at</w:t>
            </w:r>
          </w:p>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Interest Rate at</w:t>
            </w:r>
          </w:p>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vAlign w:val="bottom"/>
            <w:hideMark/>
          </w:tcPr>
          <w:p w:rsidR="00000000" w:rsidRDefault="001D2166">
            <w:pPr>
              <w:pStyle w:val="a3"/>
              <w:spacing w:before="0" w:beforeAutospacing="0" w:after="0" w:afterAutospacing="0"/>
              <w:jc w:val="center"/>
              <w:rPr>
                <w:sz w:val="20"/>
                <w:szCs w:val="20"/>
              </w:rPr>
            </w:pPr>
            <w:r>
              <w:rPr>
                <w:b/>
                <w:bCs/>
                <w:sz w:val="20"/>
                <w:szCs w:val="20"/>
              </w:rPr>
              <w:t xml:space="preserve">Maturity Date at </w:t>
            </w:r>
          </w:p>
          <w:p w:rsidR="00000000" w:rsidRDefault="001D2166">
            <w:pPr>
              <w:pStyle w:val="a3"/>
              <w:spacing w:before="0" w:beforeAutospacing="0" w:after="0" w:afterAutospacing="0"/>
              <w:jc w:val="center"/>
              <w:rPr>
                <w:sz w:val="20"/>
                <w:szCs w:val="20"/>
              </w:rPr>
            </w:pPr>
            <w:r>
              <w:rPr>
                <w:b/>
                <w:bCs/>
                <w:sz w:val="20"/>
                <w:szCs w:val="20"/>
              </w:rPr>
              <w:t xml:space="preserve">December 31,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jc w:val="center"/>
              <w:rPr>
                <w:rFonts w:eastAsia="Times New Roman"/>
                <w:sz w:val="20"/>
                <w:szCs w:val="20"/>
              </w:rPr>
            </w:pPr>
            <w:r>
              <w:rPr>
                <w:rFonts w:eastAsia="Times New Roman"/>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1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Senior unsecured notes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5,100.0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1.90% - 6.88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ind w:left="40"/>
              <w:jc w:val="right"/>
              <w:rPr>
                <w:rFonts w:eastAsia="Times New Roman"/>
                <w:sz w:val="20"/>
                <w:szCs w:val="20"/>
              </w:rPr>
            </w:pPr>
            <w:r>
              <w:rPr>
                <w:rFonts w:eastAsia="Times New Roman"/>
                <w:sz w:val="20"/>
                <w:szCs w:val="20"/>
              </w:rPr>
              <w:t>1.90% - 4.45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Oct-2022– Oct 2049</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Credit facility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0.87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0.91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Mar-2024</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Fair value debt adjustments,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81.0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1D2166">
            <w:pPr>
              <w:jc w:val="center"/>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Deferred financing costs, net (2)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(56.0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(55.8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1D2166">
            <w:pPr>
              <w:jc w:val="center"/>
              <w:rPr>
                <w:rFonts w:eastAsia="Times New Roman"/>
                <w:sz w:val="20"/>
                <w:szCs w:val="20"/>
              </w:rPr>
            </w:pPr>
            <w:r>
              <w:rPr>
                <w:rStyle w:val="a6"/>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7,027.1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5,044.2</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3.35%</w:t>
            </w: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5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b/>
                <w:bCs/>
                <w:sz w:val="20"/>
                <w:szCs w:val="20"/>
              </w:rPr>
              <w:t>3.33%</w:t>
            </w: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jc w:val="center"/>
              <w:rPr>
                <w:rFonts w:eastAsia="Times New Roman"/>
                <w:sz w:val="20"/>
                <w:szCs w:val="20"/>
              </w:rPr>
            </w:pPr>
            <w:r>
              <w:rPr>
                <w:rStyle w:val="a6"/>
                <w:rFonts w:eastAsia="Times New Roman"/>
                <w:b/>
                <w:bCs/>
                <w:sz w:val="20"/>
                <w:szCs w:val="20"/>
              </w:rPr>
              <w:t> </w:t>
            </w:r>
          </w:p>
        </w:tc>
        <w:tc>
          <w:tcPr>
            <w:tcW w:w="0" w:type="auto"/>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bl>
    <w:p w:rsidR="00000000" w:rsidRDefault="001D2166">
      <w:pPr>
        <w:pStyle w:val="a3"/>
        <w:spacing w:before="0" w:beforeAutospacing="0" w:after="0" w:afterAutospacing="0"/>
        <w:ind w:left="360"/>
        <w:jc w:val="both"/>
        <w:rPr>
          <w:sz w:val="20"/>
          <w:szCs w:val="20"/>
        </w:rPr>
      </w:pPr>
      <w:r>
        <w:rPr>
          <w:sz w:val="20"/>
          <w:szCs w:val="20"/>
        </w:rPr>
        <w:t>* Weighted-average interest rate</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Accrues interest at a rate of LIBOR plus 0.765%.</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the Company had $4.0 million and $5.6 </w:t>
            </w:r>
            <w:r>
              <w:rPr>
                <w:sz w:val="20"/>
                <w:szCs w:val="20"/>
              </w:rPr>
              <w:t>million of deferred financing costs, net related to the Credit Facility that are included in Other assets on the Company’s Consolidated Balance Sheets, respectively.</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connection with the Merger, the Company assumed senior unsecured notes aggregating $</w:t>
      </w:r>
      <w:r>
        <w:rPr>
          <w:sz w:val="20"/>
          <w:szCs w:val="20"/>
        </w:rPr>
        <w:t xml:space="preserve">1.5 billion (including fair market value adjustment of $95.6 million), which have scheduled maturity dates ranging from </w:t>
      </w:r>
      <w:r>
        <w:rPr>
          <w:rStyle w:val="a6"/>
          <w:sz w:val="20"/>
          <w:szCs w:val="20"/>
        </w:rPr>
        <w:t xml:space="preserve">October 2022 </w:t>
      </w:r>
      <w:r>
        <w:rPr>
          <w:sz w:val="20"/>
          <w:szCs w:val="20"/>
        </w:rPr>
        <w:t xml:space="preserve">to </w:t>
      </w:r>
      <w:r>
        <w:rPr>
          <w:rStyle w:val="a6"/>
          <w:sz w:val="20"/>
          <w:szCs w:val="20"/>
        </w:rPr>
        <w:t xml:space="preserve">August 2028 </w:t>
      </w:r>
      <w:r>
        <w:rPr>
          <w:sz w:val="20"/>
          <w:szCs w:val="20"/>
        </w:rPr>
        <w:t>and accrue interest at rates ranging from 3.25% to 6.88% per annum. The senior unsecured notes assumed durin</w:t>
      </w:r>
      <w:r>
        <w:rPr>
          <w:sz w:val="20"/>
          <w:szCs w:val="20"/>
        </w:rPr>
        <w:t>g the Merger have covenants that are similar to the Company’s existing debt covenants for its senior unsecured notes.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the Company issued the following senior unsecured notes (dollars in millions):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917"/>
        <w:gridCol w:w="2169"/>
        <w:gridCol w:w="50"/>
        <w:gridCol w:w="101"/>
        <w:gridCol w:w="1045"/>
        <w:gridCol w:w="50"/>
        <w:gridCol w:w="50"/>
        <w:gridCol w:w="51"/>
        <w:gridCol w:w="1045"/>
        <w:gridCol w:w="167"/>
      </w:tblGrid>
      <w:tr w:rsidR="00000000">
        <w:trPr>
          <w:tblCellSpacing w:w="0" w:type="dxa"/>
        </w:trPr>
        <w:tc>
          <w:tcPr>
            <w:tcW w:w="145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Date</w:t>
            </w:r>
            <w:r>
              <w:rPr>
                <w:b/>
                <w:bCs/>
                <w:sz w:val="20"/>
                <w:szCs w:val="20"/>
              </w:rPr>
              <w:t xml:space="preserve"> Issued</w:t>
            </w:r>
          </w:p>
        </w:tc>
        <w:tc>
          <w:tcPr>
            <w:tcW w:w="164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Maturity Date</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Amount Issued </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Sept-2021</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Dec-2031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sz w:val="20"/>
                <w:szCs w:val="20"/>
              </w:rPr>
              <w:t>Aug-2020</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Mar-2028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Jul-2020 (1)</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Oct-2030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In </w:t>
            </w:r>
            <w:r>
              <w:rPr>
                <w:rStyle w:val="a6"/>
                <w:sz w:val="20"/>
                <w:szCs w:val="20"/>
              </w:rPr>
              <w:t xml:space="preserve">July 2020, </w:t>
            </w:r>
            <w:r>
              <w:rPr>
                <w:sz w:val="20"/>
                <w:szCs w:val="20"/>
              </w:rPr>
              <w:t xml:space="preserve">the Company issued unsecured notes (the “Green Bond”), of which the net proceeds from this offering are allocated to finance or refinance, in whole or in part, recently completed, existing or future Eligible Green Projects, in alignment with the </w:t>
            </w:r>
            <w:r>
              <w:rPr>
                <w:rStyle w:val="a6"/>
                <w:sz w:val="20"/>
                <w:szCs w:val="20"/>
              </w:rPr>
              <w:t>four</w:t>
            </w:r>
            <w:r>
              <w:rPr>
                <w:sz w:val="20"/>
                <w:szCs w:val="20"/>
              </w:rPr>
              <w:t xml:space="preserve"> core </w:t>
            </w:r>
            <w:r>
              <w:rPr>
                <w:sz w:val="20"/>
                <w:szCs w:val="20"/>
              </w:rPr>
              <w:t xml:space="preserve">components of the Green Bond Principles, </w:t>
            </w:r>
            <w:r>
              <w:rPr>
                <w:rStyle w:val="a6"/>
                <w:sz w:val="20"/>
                <w:szCs w:val="20"/>
              </w:rPr>
              <w:t>2018</w:t>
            </w:r>
            <w:r>
              <w:rPr>
                <w:sz w:val="20"/>
                <w:szCs w:val="20"/>
              </w:rPr>
              <w:t xml:space="preserve"> as administered by the International Capital Market Association. Eligible Green Projects include projects with disbursements made in the </w:t>
            </w:r>
            <w:r>
              <w:rPr>
                <w:rStyle w:val="a6"/>
                <w:sz w:val="20"/>
                <w:szCs w:val="20"/>
              </w:rPr>
              <w:t>three</w:t>
            </w:r>
            <w:r>
              <w:rPr>
                <w:sz w:val="20"/>
                <w:szCs w:val="20"/>
              </w:rPr>
              <w:t xml:space="preserve"> years preceding the issue date of the notes.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97805531"/>
        <w:rPr>
          <w:rFonts w:eastAsia="Times New Roman"/>
          <w:sz w:val="20"/>
          <w:szCs w:val="20"/>
        </w:rPr>
      </w:pPr>
      <w:r>
        <w:rPr>
          <w:rStyle w:val="a6"/>
          <w:rFonts w:eastAsia="Times New Roman"/>
          <w:sz w:val="20"/>
          <w:szCs w:val="20"/>
        </w:rPr>
        <w:t>79</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1" style="width:415.3pt;height:1.5pt" o:hralign="center" o:hrstd="t" o:hrnoshade="t" o:hr="t" fillcolor="black" stroked="f"/>
        </w:pict>
      </w:r>
    </w:p>
    <w:p w:rsidR="00000000" w:rsidRDefault="001D2166">
      <w:pPr>
        <w:divId w:val="95348359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731467664"/>
        <w:rPr>
          <w:rFonts w:eastAsia="Times New Roman"/>
          <w:sz w:val="20"/>
          <w:szCs w:val="20"/>
        </w:rPr>
      </w:pPr>
      <w:r>
        <w:rPr>
          <w:rFonts w:eastAsia="Times New Roman"/>
          <w:sz w:val="20"/>
          <w:szCs w:val="20"/>
        </w:rPr>
        <w:t xml:space="preserve">KIMCO REALTY CORPORATION AND SUBSIDIARIES </w:t>
      </w:r>
    </w:p>
    <w:p w:rsidR="00000000" w:rsidRDefault="001D2166">
      <w:pPr>
        <w:divId w:val="2028410073"/>
        <w:rPr>
          <w:rFonts w:eastAsia="Times New Roman"/>
          <w:sz w:val="20"/>
          <w:szCs w:val="20"/>
        </w:rPr>
      </w:pPr>
      <w:r>
        <w:rPr>
          <w:rFonts w:eastAsia="Times New Roman"/>
          <w:sz w:val="20"/>
          <w:szCs w:val="20"/>
        </w:rPr>
        <w:t xml:space="preserve">  </w:t>
      </w:r>
    </w:p>
    <w:p w:rsidR="00000000" w:rsidRDefault="001D2166">
      <w:pPr>
        <w:jc w:val="center"/>
        <w:divId w:val="603540172"/>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2020, </w:t>
      </w:r>
      <w:r>
        <w:rPr>
          <w:sz w:val="20"/>
          <w:szCs w:val="20"/>
        </w:rPr>
        <w:t>the Company repaid the following senior unsecured notes (dollars in millions):</w:t>
      </w:r>
    </w:p>
    <w:p w:rsidR="00000000" w:rsidRDefault="001D2166">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109"/>
        <w:gridCol w:w="2377"/>
        <w:gridCol w:w="55"/>
        <w:gridCol w:w="101"/>
        <w:gridCol w:w="1043"/>
        <w:gridCol w:w="55"/>
        <w:gridCol w:w="55"/>
        <w:gridCol w:w="55"/>
        <w:gridCol w:w="1043"/>
        <w:gridCol w:w="167"/>
      </w:tblGrid>
      <w:tr w:rsidR="00000000">
        <w:trPr>
          <w:tblCellSpacing w:w="0" w:type="dxa"/>
        </w:trPr>
        <w:tc>
          <w:tcPr>
            <w:tcW w:w="150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Date Paid</w:t>
            </w:r>
          </w:p>
        </w:tc>
        <w:tc>
          <w:tcPr>
            <w:tcW w:w="169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Maturity Date</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Amount Repaid</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sz w:val="20"/>
                <w:szCs w:val="20"/>
              </w:rPr>
              <w:t>Jul-2020 &amp; Au</w:t>
            </w:r>
            <w:r>
              <w:rPr>
                <w:sz w:val="20"/>
                <w:szCs w:val="20"/>
              </w:rPr>
              <w:t>g-2020 (1)</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May-2021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The Company incurred a prepayment charge of $7.5 </w:t>
            </w:r>
            <w:r>
              <w:rPr>
                <w:sz w:val="20"/>
                <w:szCs w:val="20"/>
              </w:rPr>
              <w:t>million, which is included in Early extinguishment of debt charges on the Company’s Consolidated Statements of Income.</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February 15, 2022, </w:t>
      </w:r>
      <w:r>
        <w:rPr>
          <w:sz w:val="20"/>
          <w:szCs w:val="20"/>
        </w:rPr>
        <w:t xml:space="preserve">the Company announced the redemption of its $500.0 million 3.40% senior unsecured notes outstanding, which were </w:t>
      </w:r>
      <w:r>
        <w:rPr>
          <w:sz w:val="20"/>
          <w:szCs w:val="20"/>
        </w:rPr>
        <w:t xml:space="preserve">scheduled to mature in </w:t>
      </w:r>
      <w:r>
        <w:rPr>
          <w:rStyle w:val="a6"/>
          <w:sz w:val="20"/>
          <w:szCs w:val="20"/>
        </w:rPr>
        <w:t xml:space="preserve">November 2022. </w:t>
      </w:r>
      <w:r>
        <w:rPr>
          <w:sz w:val="20"/>
          <w:szCs w:val="20"/>
        </w:rPr>
        <w:t xml:space="preserve">The Company plans to redeem these notes on </w:t>
      </w:r>
      <w:r>
        <w:rPr>
          <w:rStyle w:val="a6"/>
          <w:sz w:val="20"/>
          <w:szCs w:val="20"/>
        </w:rPr>
        <w:t xml:space="preserve">March 2, 2022 </w:t>
      </w:r>
      <w:r>
        <w:rPr>
          <w:sz w:val="20"/>
          <w:szCs w:val="20"/>
        </w:rPr>
        <w:t>and as a result, the Company will incur a prepayment charge of approximately $6.5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 xml:space="preserve">In addition, in </w:t>
      </w:r>
      <w:r>
        <w:rPr>
          <w:rStyle w:val="a6"/>
          <w:sz w:val="20"/>
          <w:szCs w:val="20"/>
        </w:rPr>
        <w:t xml:space="preserve">February 2022, </w:t>
      </w:r>
      <w:r>
        <w:rPr>
          <w:sz w:val="20"/>
          <w:szCs w:val="20"/>
        </w:rPr>
        <w:t xml:space="preserve">the Company issued $600.0 million in </w:t>
      </w:r>
      <w:r>
        <w:rPr>
          <w:sz w:val="20"/>
          <w:szCs w:val="20"/>
        </w:rPr>
        <w:t xml:space="preserve">senior unsecured notes, which are scheduled to mature in </w:t>
      </w:r>
      <w:r>
        <w:rPr>
          <w:rStyle w:val="a6"/>
          <w:sz w:val="20"/>
          <w:szCs w:val="20"/>
        </w:rPr>
        <w:t xml:space="preserve">April 2032 </w:t>
      </w:r>
      <w:r>
        <w:rPr>
          <w:sz w:val="20"/>
          <w:szCs w:val="20"/>
        </w:rPr>
        <w:t>and accrue interest at a rate of 3.20% per annum.</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divId w:val="1524900299"/>
        <w:rPr>
          <w:rFonts w:eastAsia="Times New Roman"/>
          <w:sz w:val="20"/>
          <w:szCs w:val="20"/>
        </w:rPr>
      </w:pPr>
      <w:r>
        <w:rPr>
          <w:rFonts w:eastAsia="Times New Roman"/>
          <w:sz w:val="20"/>
          <w:szCs w:val="20"/>
        </w:rPr>
        <w:t>The scheduled maturities of all notes payable excluding unamortized fair value debt adjustments of $81.0 million and unamortized debt is</w:t>
      </w:r>
      <w:r>
        <w:rPr>
          <w:rFonts w:eastAsia="Times New Roman"/>
          <w:sz w:val="20"/>
          <w:szCs w:val="20"/>
        </w:rPr>
        <w:t xml:space="preserve">suance costs of $56.0 million, as of </w:t>
      </w:r>
      <w:r>
        <w:rPr>
          <w:rStyle w:val="a6"/>
          <w:rFonts w:eastAsia="Times New Roman"/>
          <w:sz w:val="20"/>
          <w:szCs w:val="20"/>
        </w:rPr>
        <w:t xml:space="preserve">December 31, 2021, </w:t>
      </w:r>
      <w:r>
        <w:rPr>
          <w:rFonts w:eastAsia="Times New Roman"/>
          <w:sz w:val="20"/>
          <w:szCs w:val="20"/>
        </w:rPr>
        <w:t xml:space="preserve">were as follows (in millions): </w:t>
      </w:r>
    </w:p>
    <w:p w:rsidR="00000000" w:rsidRDefault="001D2166">
      <w:pPr>
        <w:divId w:val="1993169040"/>
        <w:rPr>
          <w:rFonts w:eastAsia="Times New Roman"/>
          <w:sz w:val="20"/>
          <w:szCs w:val="20"/>
        </w:rPr>
      </w:pPr>
      <w:r>
        <w:rPr>
          <w:rFonts w:eastAsia="Times New Roman"/>
          <w:sz w:val="20"/>
          <w:szCs w:val="20"/>
        </w:rPr>
        <w:t xml:space="preserve">  </w:t>
      </w:r>
    </w:p>
    <w:tbl>
      <w:tblPr>
        <w:tblW w:w="4500" w:type="pct"/>
        <w:tblCellSpacing w:w="0" w:type="dxa"/>
        <w:tblInd w:w="5" w:type="dxa"/>
        <w:tblCellMar>
          <w:left w:w="0" w:type="dxa"/>
          <w:right w:w="0" w:type="dxa"/>
        </w:tblCellMar>
        <w:tblLook w:val="04A0" w:firstRow="1" w:lastRow="0" w:firstColumn="1" w:lastColumn="0" w:noHBand="0" w:noVBand="1"/>
      </w:tblPr>
      <w:tblGrid>
        <w:gridCol w:w="1179"/>
        <w:gridCol w:w="58"/>
        <w:gridCol w:w="100"/>
        <w:gridCol w:w="656"/>
        <w:gridCol w:w="59"/>
        <w:gridCol w:w="59"/>
        <w:gridCol w:w="100"/>
        <w:gridCol w:w="657"/>
        <w:gridCol w:w="59"/>
        <w:gridCol w:w="59"/>
        <w:gridCol w:w="100"/>
        <w:gridCol w:w="657"/>
        <w:gridCol w:w="59"/>
        <w:gridCol w:w="59"/>
        <w:gridCol w:w="100"/>
        <w:gridCol w:w="657"/>
        <w:gridCol w:w="59"/>
        <w:gridCol w:w="59"/>
        <w:gridCol w:w="100"/>
        <w:gridCol w:w="657"/>
        <w:gridCol w:w="59"/>
        <w:gridCol w:w="59"/>
        <w:gridCol w:w="101"/>
        <w:gridCol w:w="829"/>
        <w:gridCol w:w="59"/>
        <w:gridCol w:w="59"/>
        <w:gridCol w:w="100"/>
        <w:gridCol w:w="657"/>
        <w:gridCol w:w="59"/>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1D2166">
        <w:trPr>
          <w:tblCellSpacing w:w="0" w:type="dxa"/>
        </w:trPr>
        <w:tc>
          <w:tcPr>
            <w:tcW w:w="8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Principal payments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799.4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649.7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646.2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740.5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773.0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3,393.3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w:t>
      </w:r>
      <w:r>
        <w:rPr>
          <w:sz w:val="20"/>
          <w:szCs w:val="20"/>
        </w:rPr>
        <w:t>s supplemental indentures governing its Senior Unsecured Notes contain covenants whereby the Company is subject to maintaining (a) certain maximum leverage ratios on both unsecured senior corporate and secured debt, minimum debt service coverage ratios and</w:t>
      </w:r>
      <w:r>
        <w:rPr>
          <w:sz w:val="20"/>
          <w:szCs w:val="20"/>
        </w:rPr>
        <w:t xml:space="preserve"> minimum equity levels, (b) certain debt service ratios and (c) certain asset to debt ratios. In addition, the Company is restricted from paying dividends in amounts that exceed by more than $26.0 million the funds from operations, as defined therein, gene</w:t>
      </w:r>
      <w:r>
        <w:rPr>
          <w:sz w:val="20"/>
          <w:szCs w:val="20"/>
        </w:rPr>
        <w:t xml:space="preserve">rated through the end of the calendar quarter most recently completed prior to the declaration of such dividend; however, this dividend limitation does </w:t>
      </w:r>
      <w:r>
        <w:rPr>
          <w:rStyle w:val="a6"/>
          <w:sz w:val="20"/>
          <w:szCs w:val="20"/>
        </w:rPr>
        <w:t>not</w:t>
      </w:r>
      <w:r>
        <w:rPr>
          <w:sz w:val="20"/>
          <w:szCs w:val="20"/>
        </w:rPr>
        <w:t xml:space="preserve"> apply to any distributions necessary to maintain the Company's qualification as a REIT providing the</w:t>
      </w:r>
      <w:r>
        <w:rPr>
          <w:sz w:val="20"/>
          <w:szCs w:val="20"/>
        </w:rPr>
        <w:t xml:space="preserve"> Company is in compliance with its total leverage limitations. The Company was in compliance with all of the covenants as of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Interest on the Company’</w:t>
      </w:r>
      <w:r>
        <w:rPr>
          <w:sz w:val="20"/>
          <w:szCs w:val="20"/>
        </w:rPr>
        <w:t xml:space="preserve">s fixed-rate Senior Unsecured Notes is payable semi-annually in arrears. Proceeds from these issuances were primarily used for the acquisition of shopping centers, the expansion and improvement of properties in the Company’s portfolio and the repayment of </w:t>
      </w:r>
      <w:r>
        <w:rPr>
          <w:sz w:val="20"/>
          <w:szCs w:val="20"/>
        </w:rPr>
        <w:t>certain debt obligations of the Company.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Term Loan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April 1, 2020, </w:t>
      </w:r>
      <w:r>
        <w:rPr>
          <w:sz w:val="20"/>
          <w:szCs w:val="20"/>
        </w:rPr>
        <w:t>the Company entered into an unsecured term loan (the “Term Loan”) with total outstanding borrowings of $590.0 million pursuant to a credit agreement with a group of banks. The Term Lo</w:t>
      </w:r>
      <w:r>
        <w:rPr>
          <w:sz w:val="20"/>
          <w:szCs w:val="20"/>
        </w:rPr>
        <w:t xml:space="preserve">an was scheduled to mature in </w:t>
      </w:r>
      <w:r>
        <w:rPr>
          <w:rStyle w:val="a6"/>
          <w:sz w:val="20"/>
          <w:szCs w:val="20"/>
        </w:rPr>
        <w:t xml:space="preserve">April 2021, </w:t>
      </w:r>
      <w:r>
        <w:rPr>
          <w:sz w:val="20"/>
          <w:szCs w:val="20"/>
        </w:rPr>
        <w:t xml:space="preserve">with a </w:t>
      </w:r>
      <w:r>
        <w:rPr>
          <w:rStyle w:val="a6"/>
          <w:sz w:val="20"/>
          <w:szCs w:val="20"/>
        </w:rPr>
        <w:t>one</w:t>
      </w:r>
      <w:r>
        <w:rPr>
          <w:sz w:val="20"/>
          <w:szCs w:val="20"/>
        </w:rPr>
        <w:t xml:space="preserve">-year extension option to extend the maturity date, at the Company’s discretion, to </w:t>
      </w:r>
      <w:r>
        <w:rPr>
          <w:rStyle w:val="a6"/>
          <w:sz w:val="20"/>
          <w:szCs w:val="20"/>
        </w:rPr>
        <w:t xml:space="preserve">April 2022. </w:t>
      </w:r>
      <w:r>
        <w:rPr>
          <w:sz w:val="20"/>
          <w:szCs w:val="20"/>
        </w:rPr>
        <w:t>The Term Loan accrued interest at a rate of LIBOR plus 140 basis points or, at the Company’s option, a sprea</w:t>
      </w:r>
      <w:r>
        <w:rPr>
          <w:sz w:val="20"/>
          <w:szCs w:val="20"/>
        </w:rPr>
        <w:t>d of 40 basis points to the base rate defined in the Term Loan, that in each case fluctuated in accordance with changes in the Company’s senior debt ratings. The Term Loan could be increased by an additional $750.0 million through an accordion feature. Pur</w:t>
      </w:r>
      <w:r>
        <w:rPr>
          <w:sz w:val="20"/>
          <w:szCs w:val="20"/>
        </w:rPr>
        <w:t xml:space="preserve">suant to the terms of the Term Loan, the Company was subject to covenants that were substantially the same as those in the Credit Facility. During </w:t>
      </w:r>
      <w:r>
        <w:rPr>
          <w:rStyle w:val="a6"/>
          <w:sz w:val="20"/>
          <w:szCs w:val="20"/>
        </w:rPr>
        <w:t xml:space="preserve">July 2020, </w:t>
      </w:r>
      <w:r>
        <w:rPr>
          <w:sz w:val="20"/>
          <w:szCs w:val="20"/>
        </w:rPr>
        <w:t>the Term Loan was fully repaid and the facility was terminated.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Credit Facility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w:t>
      </w:r>
      <w:r>
        <w:rPr>
          <w:rStyle w:val="a6"/>
          <w:sz w:val="20"/>
          <w:szCs w:val="20"/>
        </w:rPr>
        <w:t>February 20</w:t>
      </w:r>
      <w:r>
        <w:rPr>
          <w:rStyle w:val="a6"/>
          <w:sz w:val="20"/>
          <w:szCs w:val="20"/>
        </w:rPr>
        <w:t xml:space="preserve">20, </w:t>
      </w:r>
      <w:r>
        <w:rPr>
          <w:sz w:val="20"/>
          <w:szCs w:val="20"/>
        </w:rPr>
        <w:t>the Company obtained a $2.0 billion unsecured revolving credit facility (the “Credit Facility”) with a group of banks, which replaced the Company’s existing $2.25 billion unsecured revolving credit facility. The Credit Facility is scheduled to expire i</w:t>
      </w:r>
      <w:r>
        <w:rPr>
          <w:sz w:val="20"/>
          <w:szCs w:val="20"/>
        </w:rPr>
        <w:t xml:space="preserve">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Credit Facility is a green credit facility tied to sustainability metric targets, as described in the agreement. The Company ac</w:t>
      </w:r>
      <w:r>
        <w:rPr>
          <w:sz w:val="20"/>
          <w:szCs w:val="20"/>
        </w:rPr>
        <w:t>hieved such targets, which effectively reduced the rate on the Credit Facility by</w:t>
      </w:r>
      <w:r>
        <w:rPr>
          <w:sz w:val="20"/>
          <w:szCs w:val="20"/>
        </w:rPr>
        <w:t xml:space="preserve"> </w:t>
      </w:r>
      <w:r>
        <w:rPr>
          <w:sz w:val="20"/>
          <w:szCs w:val="20"/>
        </w:rPr>
        <w:t>on</w:t>
      </w:r>
      <w:r>
        <w:rPr>
          <w:sz w:val="20"/>
          <w:szCs w:val="20"/>
        </w:rPr>
        <w:t>e</w:t>
      </w:r>
      <w:r>
        <w:rPr>
          <w:sz w:val="20"/>
          <w:szCs w:val="20"/>
        </w:rPr>
        <w:t xml:space="preserve"> basis point. The Credit Facility, which accrues interest at a rate of LIBOR plus 76.5 basis points (0.87% as of </w:t>
      </w:r>
      <w:r>
        <w:rPr>
          <w:rStyle w:val="a6"/>
          <w:sz w:val="20"/>
          <w:szCs w:val="20"/>
        </w:rPr>
        <w:t xml:space="preserve">December 31, 2021), </w:t>
      </w:r>
      <w:r>
        <w:rPr>
          <w:sz w:val="20"/>
          <w:szCs w:val="20"/>
        </w:rPr>
        <w:t>can be increased to $2.75 billion thro</w:t>
      </w:r>
      <w:r>
        <w:rPr>
          <w:sz w:val="20"/>
          <w:szCs w:val="20"/>
        </w:rPr>
        <w:t xml:space="preserve">ugh an accordion feature. Pursuant to the terms of the Credit Facility, the Company, among other things, is subject to covenants requiring the maintenance of (i) maximum indebtedness ratios and (ii) minimum interest and fixed charge coverage ratios. As of </w:t>
      </w:r>
      <w:r>
        <w:rPr>
          <w:rStyle w:val="a6"/>
          <w:sz w:val="20"/>
          <w:szCs w:val="20"/>
        </w:rPr>
        <w:t xml:space="preserve">December 31, 2021, </w:t>
      </w:r>
      <w:r>
        <w:rPr>
          <w:sz w:val="20"/>
          <w:szCs w:val="20"/>
        </w:rPr>
        <w:t>the Credit Facility had</w:t>
      </w:r>
      <w:r>
        <w:rPr>
          <w:sz w:val="20"/>
          <w:szCs w:val="20"/>
        </w:rPr>
        <w:t xml:space="preserve"> </w:t>
      </w:r>
      <w:r>
        <w:rPr>
          <w:sz w:val="20"/>
          <w:szCs w:val="20"/>
        </w:rPr>
        <w:t>n</w:t>
      </w:r>
      <w:r>
        <w:rPr>
          <w:sz w:val="20"/>
          <w:szCs w:val="20"/>
        </w:rPr>
        <w:t>o</w:t>
      </w:r>
      <w:r>
        <w:rPr>
          <w:sz w:val="20"/>
          <w:szCs w:val="20"/>
        </w:rPr>
        <w:t xml:space="preserve"> outstanding balance, $1.9 million appropriated for letters of credit and the Company was in compliance with its covenants.</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jc w:val="center"/>
        <w:divId w:val="811680611"/>
        <w:rPr>
          <w:rFonts w:eastAsia="Times New Roman"/>
          <w:sz w:val="20"/>
          <w:szCs w:val="20"/>
        </w:rPr>
      </w:pPr>
      <w:r>
        <w:rPr>
          <w:rFonts w:eastAsia="Times New Roman"/>
          <w:sz w:val="20"/>
          <w:szCs w:val="20"/>
        </w:rPr>
        <w:t xml:space="preserve">80 </w:t>
      </w:r>
    </w:p>
    <w:p w:rsidR="00000000" w:rsidRDefault="001D2166">
      <w:pPr>
        <w:divId w:val="1148478772"/>
        <w:rPr>
          <w:rFonts w:eastAsia="Times New Roman"/>
          <w:sz w:val="20"/>
          <w:szCs w:val="20"/>
        </w:rPr>
      </w:pPr>
      <w:r>
        <w:rPr>
          <w:rFonts w:eastAsia="Times New Roman"/>
          <w:sz w:val="20"/>
          <w:szCs w:val="20"/>
        </w:rPr>
        <w:pict>
          <v:rect id="_x0000_i1112" style="width:415.3pt;height:1.5pt" o:hralign="center" o:hrstd="t" o:hrnoshade="t" o:hr="t" fillcolor="black" stroked="f"/>
        </w:pict>
      </w:r>
    </w:p>
    <w:p w:rsidR="00000000" w:rsidRDefault="001D2166">
      <w:pPr>
        <w:divId w:val="9441149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695304296"/>
        <w:rPr>
          <w:rFonts w:eastAsia="Times New Roman"/>
          <w:sz w:val="20"/>
          <w:szCs w:val="20"/>
        </w:rPr>
      </w:pPr>
      <w:r>
        <w:rPr>
          <w:rFonts w:eastAsia="Times New Roman"/>
          <w:sz w:val="20"/>
          <w:szCs w:val="20"/>
        </w:rPr>
        <w:t xml:space="preserve">KIMCO REALTY CORPORATION AND SUBSIDIARIES </w:t>
      </w:r>
    </w:p>
    <w:p w:rsidR="00000000" w:rsidRDefault="001D2166">
      <w:pPr>
        <w:divId w:val="441920066"/>
        <w:rPr>
          <w:rFonts w:eastAsia="Times New Roman"/>
          <w:sz w:val="20"/>
          <w:szCs w:val="20"/>
        </w:rPr>
      </w:pPr>
      <w:r>
        <w:rPr>
          <w:rFonts w:eastAsia="Times New Roman"/>
          <w:sz w:val="20"/>
          <w:szCs w:val="20"/>
        </w:rPr>
        <w:t xml:space="preserve">  </w:t>
      </w:r>
    </w:p>
    <w:p w:rsidR="00000000" w:rsidRDefault="001D2166">
      <w:pPr>
        <w:jc w:val="center"/>
        <w:divId w:val="1277175359"/>
        <w:rPr>
          <w:rFonts w:eastAsia="Times New Roman"/>
          <w:sz w:val="20"/>
          <w:szCs w:val="20"/>
        </w:rPr>
      </w:pPr>
      <w:r>
        <w:rPr>
          <w:rFonts w:eastAsia="Times New Roman"/>
          <w:sz w:val="20"/>
          <w:szCs w:val="20"/>
        </w:rPr>
        <w:t xml:space="preserve">NOTES TO CONSOLIDATED FINANCIAL STATEMENTS, continued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divId w:val="504129264"/>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15.</w:t>
      </w:r>
      <w:r>
        <w:rPr>
          <w:sz w:val="20"/>
          <w:szCs w:val="20"/>
        </w:rPr>
        <w:t>  </w:t>
      </w:r>
      <w:r>
        <w:rPr>
          <w:sz w:val="20"/>
          <w:szCs w:val="20"/>
          <w:u w:val="single"/>
        </w:rPr>
        <w:t>Mortgages Payable</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Mortgages, collateralized by certain shopping center properties (see Financial Statement Schedule III included in this annual report on Form </w:t>
      </w:r>
      <w:r>
        <w:rPr>
          <w:rStyle w:val="a6"/>
          <w:sz w:val="20"/>
          <w:szCs w:val="20"/>
        </w:rPr>
        <w:t>10</w:t>
      </w:r>
      <w:r>
        <w:rPr>
          <w:sz w:val="20"/>
          <w:szCs w:val="20"/>
        </w:rPr>
        <w:t>-K), are generally due in monthly installments of principal and/or interest.</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the Company’s Mortgages payable, net consisted of the following (in millions):</w:t>
      </w:r>
    </w:p>
    <w:tbl>
      <w:tblPr>
        <w:tblW w:w="4750" w:type="pct"/>
        <w:tblCellSpacing w:w="0" w:type="dxa"/>
        <w:tblInd w:w="2" w:type="dxa"/>
        <w:tblCellMar>
          <w:left w:w="0" w:type="dxa"/>
          <w:right w:w="0" w:type="dxa"/>
        </w:tblCellMar>
        <w:tblLook w:val="04A0" w:firstRow="1" w:lastRow="0" w:firstColumn="1" w:lastColumn="0" w:noHBand="0" w:noVBand="1"/>
      </w:tblPr>
      <w:tblGrid>
        <w:gridCol w:w="2433"/>
        <w:gridCol w:w="66"/>
        <w:gridCol w:w="100"/>
        <w:gridCol w:w="776"/>
        <w:gridCol w:w="67"/>
        <w:gridCol w:w="65"/>
        <w:gridCol w:w="100"/>
        <w:gridCol w:w="776"/>
        <w:gridCol w:w="67"/>
        <w:gridCol w:w="65"/>
        <w:gridCol w:w="66"/>
        <w:gridCol w:w="776"/>
        <w:gridCol w:w="167"/>
        <w:gridCol w:w="66"/>
        <w:gridCol w:w="66"/>
        <w:gridCol w:w="776"/>
        <w:gridCol w:w="167"/>
        <w:gridCol w:w="66"/>
        <w:gridCol w:w="66"/>
        <w:gridCol w:w="1093"/>
        <w:gridCol w:w="67"/>
      </w:tblGrid>
      <w:tr w:rsidR="00000000">
        <w:trPr>
          <w:tblCellSpacing w:w="0" w:type="dxa"/>
        </w:trPr>
        <w:tc>
          <w:tcPr>
            <w:tcW w:w="15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Carrying Amount at</w:t>
            </w:r>
          </w:p>
          <w:p w:rsidR="00000000" w:rsidRDefault="001D2166">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Interest Rate at</w:t>
            </w:r>
          </w:p>
          <w:p w:rsidR="00000000" w:rsidRDefault="001D2166">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vAlign w:val="bottom"/>
            <w:hideMark/>
          </w:tcPr>
          <w:p w:rsidR="00000000" w:rsidRDefault="001D2166">
            <w:pPr>
              <w:pStyle w:val="a3"/>
              <w:spacing w:before="0" w:beforeAutospacing="0" w:after="0" w:afterAutospacing="0"/>
              <w:jc w:val="center"/>
              <w:rPr>
                <w:sz w:val="20"/>
                <w:szCs w:val="20"/>
              </w:rPr>
            </w:pPr>
            <w:r>
              <w:rPr>
                <w:b/>
                <w:bCs/>
                <w:sz w:val="20"/>
                <w:szCs w:val="20"/>
              </w:rPr>
              <w:t xml:space="preserve">Maturity Date at </w:t>
            </w:r>
          </w:p>
          <w:p w:rsidR="00000000" w:rsidRDefault="001D2166">
            <w:pPr>
              <w:pStyle w:val="a3"/>
              <w:spacing w:before="0" w:beforeAutospacing="0" w:after="0" w:afterAutospacing="0"/>
              <w:jc w:val="center"/>
              <w:rPr>
                <w:sz w:val="20"/>
                <w:szCs w:val="20"/>
              </w:rPr>
            </w:pPr>
            <w:r>
              <w:rPr>
                <w:b/>
                <w:bCs/>
                <w:sz w:val="20"/>
                <w:szCs w:val="20"/>
              </w:rPr>
              <w:t xml:space="preserve">December 31, </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5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jc w:val="center"/>
              <w:rPr>
                <w:rFonts w:eastAsia="Times New Roman"/>
                <w:sz w:val="20"/>
                <w:szCs w:val="20"/>
              </w:rPr>
            </w:pPr>
            <w:r>
              <w:rPr>
                <w:rFonts w:eastAsia="Times New Roman"/>
                <w:b/>
                <w:bCs/>
                <w:sz w:val="20"/>
                <w:szCs w:val="20"/>
              </w:rPr>
              <w:t>2021</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15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Mortgages payable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439.2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308.4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3.23% - 7.23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3.23% - 7.23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Apr-2022 – Jul-2029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Fair value debt adjustments,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center"/>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Deferred financing costs, net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(0.6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center"/>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5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448.7</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311.3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4.12%</w:t>
            </w: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4.73%</w:t>
            </w: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bl>
    <w:p w:rsidR="00000000" w:rsidRDefault="001D2166">
      <w:pPr>
        <w:pStyle w:val="a3"/>
        <w:spacing w:before="0" w:beforeAutospacing="0" w:after="0" w:afterAutospacing="0"/>
        <w:ind w:left="360"/>
        <w:jc w:val="both"/>
        <w:rPr>
          <w:sz w:val="20"/>
          <w:szCs w:val="20"/>
        </w:rPr>
      </w:pPr>
      <w:r>
        <w:rPr>
          <w:sz w:val="20"/>
          <w:szCs w:val="20"/>
        </w:rPr>
        <w:t>* Weighted-average interest rate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the Company (i) assumed $234.1 </w:t>
      </w:r>
      <w:r>
        <w:rPr>
          <w:sz w:val="20"/>
          <w:szCs w:val="20"/>
        </w:rPr>
        <w:t xml:space="preserve">million of individual non-recourse mortgage debt through the consolidation of nine operating properties, (ii) repaid $230.5 million of mortgage debt (including fair market value adjustment of $1.2 million) that encumbered 28 operating properties and (iii) </w:t>
      </w:r>
      <w:r>
        <w:rPr>
          <w:sz w:val="20"/>
          <w:szCs w:val="20"/>
        </w:rPr>
        <w:t xml:space="preserve">deconsolidated $170.0 million of individual non-recourse mortgage debt relating to six operating properties for which the Company </w:t>
      </w:r>
      <w:r>
        <w:rPr>
          <w:rStyle w:val="a6"/>
          <w:sz w:val="20"/>
          <w:szCs w:val="20"/>
        </w:rPr>
        <w:t>no</w:t>
      </w:r>
      <w:r>
        <w:rPr>
          <w:sz w:val="20"/>
          <w:szCs w:val="20"/>
        </w:rPr>
        <w:t xml:space="preserve"> longer holds a controlling interest.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addition, in connection with the Merger, the Company assumed mortgage debt of $317.7 million (including fair market value adjustment of $11.0 million) that encumber 16 operating properties, which have scheduled maturity dates ranging from </w:t>
      </w:r>
      <w:r>
        <w:rPr>
          <w:rStyle w:val="a6"/>
          <w:sz w:val="20"/>
          <w:szCs w:val="20"/>
        </w:rPr>
        <w:t xml:space="preserve">April 2022 </w:t>
      </w:r>
      <w:r>
        <w:rPr>
          <w:sz w:val="20"/>
          <w:szCs w:val="20"/>
        </w:rPr>
        <w:t xml:space="preserve">to </w:t>
      </w:r>
      <w:r>
        <w:rPr>
          <w:rStyle w:val="a6"/>
          <w:sz w:val="20"/>
          <w:szCs w:val="20"/>
        </w:rPr>
        <w:t xml:space="preserve">August 2038 </w:t>
      </w:r>
      <w:r>
        <w:rPr>
          <w:sz w:val="20"/>
          <w:szCs w:val="20"/>
        </w:rPr>
        <w:t>and accrue interest at rates ranging from 3.50% to 6.95% per annum.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2020,</w:t>
      </w:r>
      <w:r>
        <w:rPr>
          <w:sz w:val="20"/>
          <w:szCs w:val="20"/>
        </w:rPr>
        <w:t xml:space="preserve"> the Company repaid $92.0 million of mortgage debt (including fair market value adjustment of $0.4 million) that encumbered</w:t>
      </w:r>
      <w:r>
        <w:rPr>
          <w:sz w:val="20"/>
          <w:szCs w:val="20"/>
        </w:rPr>
        <w:t xml:space="preserve"> </w:t>
      </w:r>
      <w:r>
        <w:rPr>
          <w:sz w:val="20"/>
          <w:szCs w:val="20"/>
        </w:rPr>
        <w:t>fou</w:t>
      </w:r>
      <w:r>
        <w:rPr>
          <w:sz w:val="20"/>
          <w:szCs w:val="20"/>
        </w:rPr>
        <w:t>r</w:t>
      </w:r>
      <w:r>
        <w:rPr>
          <w:sz w:val="20"/>
          <w:szCs w:val="20"/>
        </w:rPr>
        <w:t xml:space="preserve"> operating properties.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sched</w:t>
      </w:r>
      <w:r>
        <w:rPr>
          <w:sz w:val="20"/>
          <w:szCs w:val="20"/>
        </w:rPr>
        <w:t xml:space="preserve">uled principal payments (excluding any extension options available to the Company) of all mortgages payable, excluding unamortized fair value debt adjustments of $10.8 million and unamortized debt issuance costs of $1.3 million, as of </w:t>
      </w:r>
      <w:r>
        <w:rPr>
          <w:rStyle w:val="a6"/>
          <w:sz w:val="20"/>
          <w:szCs w:val="20"/>
        </w:rPr>
        <w:t xml:space="preserve">December 31, 2021, </w:t>
      </w:r>
      <w:r>
        <w:rPr>
          <w:sz w:val="20"/>
          <w:szCs w:val="20"/>
        </w:rPr>
        <w:t>we</w:t>
      </w:r>
      <w:r>
        <w:rPr>
          <w:sz w:val="20"/>
          <w:szCs w:val="20"/>
        </w:rPr>
        <w:t>re as follows (in millions):</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1798"/>
        <w:gridCol w:w="62"/>
        <w:gridCol w:w="100"/>
        <w:gridCol w:w="614"/>
        <w:gridCol w:w="62"/>
        <w:gridCol w:w="63"/>
        <w:gridCol w:w="100"/>
        <w:gridCol w:w="615"/>
        <w:gridCol w:w="63"/>
        <w:gridCol w:w="63"/>
        <w:gridCol w:w="101"/>
        <w:gridCol w:w="615"/>
        <w:gridCol w:w="63"/>
        <w:gridCol w:w="63"/>
        <w:gridCol w:w="100"/>
        <w:gridCol w:w="615"/>
        <w:gridCol w:w="63"/>
        <w:gridCol w:w="63"/>
        <w:gridCol w:w="101"/>
        <w:gridCol w:w="615"/>
        <w:gridCol w:w="63"/>
        <w:gridCol w:w="63"/>
        <w:gridCol w:w="103"/>
        <w:gridCol w:w="819"/>
        <w:gridCol w:w="63"/>
        <w:gridCol w:w="63"/>
        <w:gridCol w:w="100"/>
        <w:gridCol w:w="615"/>
        <w:gridCol w:w="63"/>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1D2166">
        <w:trPr>
          <w:tblCellSpacing w:w="0" w:type="dxa"/>
        </w:trPr>
        <w:tc>
          <w:tcPr>
            <w:tcW w:w="1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Principal payments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63.6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183.3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439.2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64516110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both"/>
        <w:rPr>
          <w:sz w:val="20"/>
          <w:szCs w:val="20"/>
        </w:rPr>
      </w:pPr>
      <w:r>
        <w:rPr>
          <w:rStyle w:val="a6"/>
          <w:sz w:val="20"/>
          <w:szCs w:val="20"/>
        </w:rPr>
        <w:t>16.</w:t>
      </w:r>
      <w:r>
        <w:rPr>
          <w:sz w:val="20"/>
          <w:szCs w:val="20"/>
        </w:rPr>
        <w:t>  </w:t>
      </w:r>
      <w:r>
        <w:rPr>
          <w:sz w:val="20"/>
          <w:szCs w:val="20"/>
          <w:u w:val="single"/>
        </w:rPr>
        <w:t>Noncontrolling Interests and Redeemable Noncontrolling Interests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w:t>
      </w:r>
      <w:r>
        <w:rPr>
          <w:sz w:val="20"/>
          <w:szCs w:val="20"/>
        </w:rPr>
        <w:t xml:space="preserve">own in those entities it consolidates as a result of having a controlling interest or having determined that the Company was the primary beneficiary of a VIE in accordance with the provisions of the FASB’s Consolidation guidance.  The Company accounts and </w:t>
      </w:r>
      <w:r>
        <w:rPr>
          <w:sz w:val="20"/>
          <w:szCs w:val="20"/>
        </w:rPr>
        <w:t>reports for noncontrolling interests in accordance with the Consolidation guidance and the Distinguishing Liabilities from Equity guidance issued by the FASB. The Company identifies its noncontrolling interests separately within the equity section on the C</w:t>
      </w:r>
      <w:r>
        <w:rPr>
          <w:sz w:val="20"/>
          <w:szCs w:val="20"/>
        </w:rPr>
        <w:t>ompany’s Consolidated Balance Sheets. The amounts of consolidated net income attributable to the Company and to the noncontrolling interests are presented separately on the Company’s Consolidated Statements of Income.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Noncontrolling interests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w:t>
      </w:r>
      <w:r>
        <w:rPr>
          <w:sz w:val="20"/>
          <w:szCs w:val="20"/>
        </w:rPr>
        <w:t>pany owns</w:t>
      </w:r>
      <w:r>
        <w:rPr>
          <w:sz w:val="20"/>
          <w:szCs w:val="20"/>
        </w:rPr>
        <w:t xml:space="preserve"> </w:t>
      </w:r>
      <w:r>
        <w:rPr>
          <w:sz w:val="20"/>
          <w:szCs w:val="20"/>
        </w:rPr>
        <w:t>seve</w:t>
      </w:r>
      <w:r>
        <w:rPr>
          <w:sz w:val="20"/>
          <w:szCs w:val="20"/>
        </w:rPr>
        <w:t>n</w:t>
      </w:r>
      <w:r>
        <w:rPr>
          <w:sz w:val="20"/>
          <w:szCs w:val="20"/>
        </w:rPr>
        <w:t xml:space="preserve"> shopping center properties located throughout Puerto Rico. These properties were acquired partially through the issuance of $158.6 million of non-convertible units and $45.8 million of convertible units. Noncontrolling interests related to </w:t>
      </w:r>
      <w:r>
        <w:rPr>
          <w:sz w:val="20"/>
          <w:szCs w:val="20"/>
        </w:rPr>
        <w:t>these acquisitions totaled $233.0 million of units, including premiums of $13.5 million and a fair market value adjustment of $15.1 million (collectively, the "Units"). Since the acquisition date the Company has redeemed a substantial portion of these unit</w:t>
      </w:r>
      <w:r>
        <w:rPr>
          <w:sz w:val="20"/>
          <w:szCs w:val="20"/>
        </w:rPr>
        <w:t xml:space="preserve">s. 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noncontrolling interests relating to the remaining units were $5.2 million. The Units related annual cash distribution rates and related conversion features consisted of the following as of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2357"/>
        <w:gridCol w:w="69"/>
        <w:gridCol w:w="100"/>
        <w:gridCol w:w="1410"/>
        <w:gridCol w:w="69"/>
        <w:gridCol w:w="69"/>
        <w:gridCol w:w="69"/>
        <w:gridCol w:w="1410"/>
        <w:gridCol w:w="69"/>
        <w:gridCol w:w="69"/>
        <w:gridCol w:w="69"/>
        <w:gridCol w:w="1964"/>
        <w:gridCol w:w="167"/>
      </w:tblGrid>
      <w:tr w:rsidR="00000000">
        <w:trPr>
          <w:tblCellSpacing w:w="0" w:type="dxa"/>
        </w:trPr>
        <w:tc>
          <w:tcPr>
            <w:tcW w:w="150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Type</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w:t>
            </w:r>
            <w:r>
              <w:rPr>
                <w:b/>
                <w:bCs/>
                <w:sz w:val="20"/>
                <w:szCs w:val="20"/>
              </w:rPr>
              <w:t>ar Value Per Unit</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Number of Units Remaining</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Return Per Annum</w:t>
            </w:r>
          </w:p>
        </w:tc>
        <w:tc>
          <w:tcPr>
            <w:tcW w:w="50" w:type="pct"/>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Class B-1 Preferred Units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12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1500" w:type="pct"/>
            <w:shd w:val="clear" w:color="auto" w:fill="FFFFFF"/>
            <w:vAlign w:val="bottom"/>
            <w:hideMark/>
          </w:tcPr>
          <w:p w:rsidR="00000000" w:rsidRDefault="001D2166">
            <w:pPr>
              <w:pStyle w:val="a3"/>
              <w:spacing w:before="0" w:beforeAutospacing="0" w:after="0" w:afterAutospacing="0"/>
              <w:rPr>
                <w:sz w:val="20"/>
                <w:szCs w:val="20"/>
              </w:rPr>
            </w:pPr>
            <w:r>
              <w:rPr>
                <w:sz w:val="20"/>
                <w:szCs w:val="20"/>
              </w:rPr>
              <w:t>Class B-2 Preferred Units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12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15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Class C DownReit Units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30.52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52,797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gridSpan w:val="2"/>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Equal to the Company’s common stock dividend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These units are redeemable for cash by the holder or at the Company’s option, shares of the Company’</w:t>
            </w:r>
            <w:r>
              <w:rPr>
                <w:sz w:val="20"/>
                <w:szCs w:val="20"/>
              </w:rPr>
              <w:t>s common stock, based upon the conversion calculation as defined in the agreement. These units are included in Noncontrolling interests on the Company’s Consolidated Balance Sheets.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These units are redeemable for cash by the holder or callable by the Company and are included in Redeemable noncontrolling interests on the Company’s Consolidated Balance Sheets.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927731971"/>
        <w:rPr>
          <w:rFonts w:eastAsia="Times New Roman"/>
          <w:sz w:val="20"/>
          <w:szCs w:val="20"/>
        </w:rPr>
      </w:pPr>
      <w:r>
        <w:rPr>
          <w:rStyle w:val="a6"/>
          <w:rFonts w:eastAsia="Times New Roman"/>
          <w:sz w:val="20"/>
          <w:szCs w:val="20"/>
        </w:rPr>
        <w:t>81</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3" style="width:415.3pt;height:1.5pt" o:hralign="center" o:hrstd="t" o:hrnoshade="t" o:hr="t" fillcolor="black" stroked="f"/>
        </w:pict>
      </w:r>
    </w:p>
    <w:p w:rsidR="00000000" w:rsidRDefault="001D2166">
      <w:pPr>
        <w:divId w:val="5503845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749235970"/>
        <w:rPr>
          <w:rFonts w:eastAsia="Times New Roman"/>
          <w:sz w:val="20"/>
          <w:szCs w:val="20"/>
        </w:rPr>
      </w:pPr>
      <w:r>
        <w:rPr>
          <w:rFonts w:eastAsia="Times New Roman"/>
          <w:sz w:val="20"/>
          <w:szCs w:val="20"/>
        </w:rPr>
        <w:t xml:space="preserve">KIMCO REALTY CORPORATION AND SUBSIDIARIES </w:t>
      </w:r>
    </w:p>
    <w:p w:rsidR="00000000" w:rsidRDefault="001D2166">
      <w:pPr>
        <w:divId w:val="1233663407"/>
        <w:rPr>
          <w:rFonts w:eastAsia="Times New Roman"/>
          <w:sz w:val="20"/>
          <w:szCs w:val="20"/>
        </w:rPr>
      </w:pPr>
      <w:r>
        <w:rPr>
          <w:rFonts w:eastAsia="Times New Roman"/>
          <w:sz w:val="20"/>
          <w:szCs w:val="20"/>
        </w:rPr>
        <w:t xml:space="preserve">  </w:t>
      </w:r>
    </w:p>
    <w:p w:rsidR="00000000" w:rsidRDefault="001D2166">
      <w:pPr>
        <w:jc w:val="center"/>
        <w:divId w:val="169829750"/>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The Company owns a shopping center located in Bay Shore, NY, which was acquired in </w:t>
      </w:r>
      <w:r>
        <w:rPr>
          <w:rStyle w:val="a6"/>
          <w:sz w:val="20"/>
          <w:szCs w:val="20"/>
        </w:rPr>
        <w:t>2006</w:t>
      </w:r>
      <w:r>
        <w:rPr>
          <w:sz w:val="20"/>
          <w:szCs w:val="20"/>
        </w:rPr>
        <w:t xml:space="preserve"> with the issuance of 647,758 redeemable Class B Units at a par </w:t>
      </w:r>
      <w:r>
        <w:rPr>
          <w:sz w:val="20"/>
          <w:szCs w:val="20"/>
        </w:rPr>
        <w:t>value of $37.24 per unit. The units accrue a return equal to the Company’s common stock dividend and are redeemable for cash by the holder or at the Company’s option, shares of the Company’s common stock at a ratio of</w:t>
      </w:r>
      <w:r>
        <w:rPr>
          <w:sz w:val="20"/>
          <w:szCs w:val="20"/>
        </w:rPr>
        <w:t xml:space="preserve"> </w:t>
      </w:r>
      <w:r>
        <w:rPr>
          <w:sz w:val="20"/>
          <w:szCs w:val="20"/>
        </w:rPr>
        <w:t>1:1</w:t>
      </w:r>
      <w:r>
        <w:rPr>
          <w:sz w:val="20"/>
          <w:szCs w:val="20"/>
        </w:rPr>
        <w:t>.</w:t>
      </w:r>
      <w:r>
        <w:rPr>
          <w:sz w:val="20"/>
          <w:szCs w:val="20"/>
        </w:rPr>
        <w:t xml:space="preserve"> These units are callable by the C</w:t>
      </w:r>
      <w:r>
        <w:rPr>
          <w:sz w:val="20"/>
          <w:szCs w:val="20"/>
        </w:rPr>
        <w:t xml:space="preserve">ompany any time after </w:t>
      </w:r>
      <w:r>
        <w:rPr>
          <w:rStyle w:val="a6"/>
          <w:sz w:val="20"/>
          <w:szCs w:val="20"/>
        </w:rPr>
        <w:t xml:space="preserve">April 3, 2026, </w:t>
      </w:r>
      <w:r>
        <w:rPr>
          <w:sz w:val="20"/>
          <w:szCs w:val="20"/>
        </w:rPr>
        <w:t xml:space="preserve">and are included in Noncontrolling interests on the Company’s Consolidated Balance Sheets. During </w:t>
      </w:r>
      <w:r>
        <w:rPr>
          <w:rStyle w:val="a6"/>
          <w:sz w:val="20"/>
          <w:szCs w:val="20"/>
        </w:rPr>
        <w:t>2007,</w:t>
      </w:r>
      <w:r>
        <w:rPr>
          <w:sz w:val="20"/>
          <w:szCs w:val="20"/>
        </w:rPr>
        <w:t xml:space="preserve"> 30,000 units, or $1.1 million par value, of the Class B </w:t>
      </w:r>
      <w:r>
        <w:rPr>
          <w:sz w:val="20"/>
          <w:szCs w:val="20"/>
        </w:rPr>
        <w:t xml:space="preserve">Units were redeemed and at the Company’s option settled in cash. In addition, during </w:t>
      </w:r>
      <w:r>
        <w:rPr>
          <w:rStyle w:val="a6"/>
          <w:sz w:val="20"/>
          <w:szCs w:val="20"/>
        </w:rPr>
        <w:t>2019</w:t>
      </w:r>
      <w:r>
        <w:rPr>
          <w:sz w:val="20"/>
          <w:szCs w:val="20"/>
        </w:rPr>
        <w:t xml:space="preserve"> and </w:t>
      </w:r>
      <w:r>
        <w:rPr>
          <w:rStyle w:val="a6"/>
          <w:sz w:val="20"/>
          <w:szCs w:val="20"/>
        </w:rPr>
        <w:t>2018,</w:t>
      </w:r>
      <w:r>
        <w:rPr>
          <w:sz w:val="20"/>
          <w:szCs w:val="20"/>
        </w:rPr>
        <w:t xml:space="preserve"> 188,951 and 25,970 units, or $8.0 million and $1.1 million book value, respectively, of the Class B Units were redeemed and at the Company’s option settled </w:t>
      </w:r>
      <w:r>
        <w:rPr>
          <w:sz w:val="20"/>
          <w:szCs w:val="20"/>
        </w:rPr>
        <w:t xml:space="preserve">in cash for $4.0 million and $0.5 million, respectively. The redemption value of these units is calculated using the </w:t>
      </w:r>
      <w:r>
        <w:rPr>
          <w:rStyle w:val="a6"/>
          <w:sz w:val="20"/>
          <w:szCs w:val="20"/>
        </w:rPr>
        <w:t>30</w:t>
      </w:r>
      <w:r>
        <w:rPr>
          <w:sz w:val="20"/>
          <w:szCs w:val="20"/>
        </w:rPr>
        <w:t xml:space="preserve">-day weighted average closing price of the Company’s common stock prior to redemption. 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noncontrolling i</w:t>
      </w:r>
      <w:r>
        <w:rPr>
          <w:sz w:val="20"/>
          <w:szCs w:val="20"/>
        </w:rPr>
        <w:t>nterest relating to the remaining Class B Units was $16.1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Noncontrolling interests also includes 138,015 convertible units issued during </w:t>
      </w:r>
      <w:r>
        <w:rPr>
          <w:rStyle w:val="a6"/>
          <w:sz w:val="20"/>
          <w:szCs w:val="20"/>
        </w:rPr>
        <w:t>2006</w:t>
      </w:r>
      <w:r>
        <w:rPr>
          <w:sz w:val="20"/>
          <w:szCs w:val="20"/>
        </w:rPr>
        <w:t xml:space="preserve"> by the Company, which were valued at $5.3 million, including a fair market value adjustment of $0.3 mil</w:t>
      </w:r>
      <w:r>
        <w:rPr>
          <w:sz w:val="20"/>
          <w:szCs w:val="20"/>
        </w:rPr>
        <w:t xml:space="preserve">lion, related to an interest acquired in an office building located in Albany, NY. These units are currently redeemable at the option of the holder for cash or at the option of the Company for the Company’s common stock at a ratio of </w:t>
      </w:r>
      <w:r>
        <w:rPr>
          <w:rStyle w:val="a6"/>
          <w:sz w:val="20"/>
          <w:szCs w:val="20"/>
        </w:rPr>
        <w:t>1:1.</w:t>
      </w:r>
      <w:r>
        <w:rPr>
          <w:sz w:val="20"/>
          <w:szCs w:val="20"/>
        </w:rPr>
        <w:t xml:space="preserve"> The holder is ent</w:t>
      </w:r>
      <w:r>
        <w:rPr>
          <w:sz w:val="20"/>
          <w:szCs w:val="20"/>
        </w:rPr>
        <w:t>itled to a distribution equal to the dividend rate of the Company’s 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connection with the Merger, the Company acquired</w:t>
      </w:r>
      <w:r>
        <w:rPr>
          <w:sz w:val="20"/>
          <w:szCs w:val="20"/>
        </w:rPr>
        <w:t xml:space="preserve"> </w:t>
      </w:r>
      <w:r>
        <w:rPr>
          <w:sz w:val="20"/>
          <w:szCs w:val="20"/>
        </w:rPr>
        <w:t>tw</w:t>
      </w:r>
      <w:r>
        <w:rPr>
          <w:sz w:val="20"/>
          <w:szCs w:val="20"/>
        </w:rPr>
        <w:t>o</w:t>
      </w:r>
      <w:r>
        <w:rPr>
          <w:sz w:val="20"/>
          <w:szCs w:val="20"/>
        </w:rPr>
        <w:t xml:space="preserve"> consolidated joint ventures structured as DownREIT partnerships. As of the date of the Merger, the Raleigh Limited P</w:t>
      </w:r>
      <w:r>
        <w:rPr>
          <w:sz w:val="20"/>
          <w:szCs w:val="20"/>
        </w:rPr>
        <w:t>artnership had 1,813,615 units and the Madison Village Limited Partnership had 174,411 units, together which had an aggregate fair value of $41.7 million. These ventures allow the outside limited partners to redeem their interest in the partnership (at the</w:t>
      </w:r>
      <w:r>
        <w:rPr>
          <w:sz w:val="20"/>
          <w:szCs w:val="20"/>
        </w:rPr>
        <w:t xml:space="preserve"> Company’s option) in cash or for the Company’s common stock at a ratio of</w:t>
      </w:r>
      <w:r>
        <w:rPr>
          <w:sz w:val="20"/>
          <w:szCs w:val="20"/>
        </w:rPr>
        <w:t xml:space="preserve"> </w:t>
      </w:r>
      <w:r>
        <w:rPr>
          <w:sz w:val="20"/>
          <w:szCs w:val="20"/>
        </w:rPr>
        <w:t>1:1</w:t>
      </w:r>
      <w:r>
        <w:rPr>
          <w:sz w:val="20"/>
          <w:szCs w:val="20"/>
        </w:rPr>
        <w:t>.</w:t>
      </w:r>
      <w:r>
        <w:rPr>
          <w:sz w:val="20"/>
          <w:szCs w:val="20"/>
        </w:rPr>
        <w:t xml:space="preserve"> The unit holders are entitled to a distribution equal to the dividend rate of the Company’s common stock. During </w:t>
      </w:r>
      <w:r>
        <w:rPr>
          <w:rStyle w:val="a6"/>
          <w:sz w:val="20"/>
          <w:szCs w:val="20"/>
        </w:rPr>
        <w:t>2021,</w:t>
      </w:r>
      <w:r>
        <w:rPr>
          <w:sz w:val="20"/>
          <w:szCs w:val="20"/>
        </w:rPr>
        <w:t xml:space="preserve"> 73,466 units were redeemed for 73,466 common shares of th</w:t>
      </w:r>
      <w:r>
        <w:rPr>
          <w:sz w:val="20"/>
          <w:szCs w:val="20"/>
        </w:rPr>
        <w:t>e Company’s common stock with a redemption value of $1.7 million. This transaction resulted in a net decrease in Noncontrolling interests of $1.5 million and a corresponding decrease in Common stock and Paid-in capital totaling $1.5 million, on the Company</w:t>
      </w:r>
      <w:r>
        <w:rPr>
          <w:sz w:val="20"/>
          <w:szCs w:val="20"/>
        </w:rPr>
        <w:t xml:space="preserve">’s Consolidated Balance Sheets. As of </w:t>
      </w:r>
      <w:r>
        <w:rPr>
          <w:rStyle w:val="a6"/>
          <w:sz w:val="20"/>
          <w:szCs w:val="20"/>
        </w:rPr>
        <w:t xml:space="preserve">December 31, 2021, </w:t>
      </w:r>
      <w:r>
        <w:rPr>
          <w:sz w:val="20"/>
          <w:szCs w:val="20"/>
        </w:rPr>
        <w:t>the aggregate redemption value of these noncontrolling interests was approximately $40.1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addition, the Company acquired ownership interests in</w:t>
      </w:r>
      <w:r>
        <w:rPr>
          <w:sz w:val="20"/>
          <w:szCs w:val="20"/>
        </w:rPr>
        <w:t xml:space="preserve"> </w:t>
      </w:r>
      <w:r>
        <w:rPr>
          <w:sz w:val="20"/>
          <w:szCs w:val="20"/>
        </w:rPr>
        <w:t>eigh</w:t>
      </w:r>
      <w:r>
        <w:rPr>
          <w:sz w:val="20"/>
          <w:szCs w:val="20"/>
        </w:rPr>
        <w:t>t</w:t>
      </w:r>
      <w:r>
        <w:rPr>
          <w:sz w:val="20"/>
          <w:szCs w:val="20"/>
        </w:rPr>
        <w:t xml:space="preserve"> consolidated joint ventures in conne</w:t>
      </w:r>
      <w:r>
        <w:rPr>
          <w:sz w:val="20"/>
          <w:szCs w:val="20"/>
        </w:rPr>
        <w:t>ction with the Merger, which had noncontrolling interests of $132.3 million as of the date of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2020, </w:t>
      </w:r>
      <w:r>
        <w:rPr>
          <w:sz w:val="20"/>
          <w:szCs w:val="20"/>
        </w:rPr>
        <w:t xml:space="preserve">the Company acquired its partners’ interests in </w:t>
      </w:r>
      <w:r>
        <w:rPr>
          <w:rStyle w:val="a6"/>
          <w:sz w:val="20"/>
          <w:szCs w:val="20"/>
        </w:rPr>
        <w:t>two</w:t>
      </w:r>
      <w:r>
        <w:rPr>
          <w:sz w:val="20"/>
          <w:szCs w:val="20"/>
        </w:rPr>
        <w:t xml:space="preserve"> </w:t>
      </w:r>
      <w:r>
        <w:rPr>
          <w:sz w:val="20"/>
          <w:szCs w:val="20"/>
        </w:rPr>
        <w:t>consolidated entities, in separate transactions, for an aggregate purchase price of $20.6 million. These transactions resulted in a net decrease in Noncontrolling interests of $1.3 million and a corresponding net decrease in Paid-in capital of $19.3 millio</w:t>
      </w:r>
      <w:r>
        <w:rPr>
          <w:sz w:val="20"/>
          <w:szCs w:val="20"/>
        </w:rPr>
        <w:t xml:space="preserve">n on the Company’s Consolidated Balance Sheets. There are </w:t>
      </w:r>
      <w:r>
        <w:rPr>
          <w:rStyle w:val="a6"/>
          <w:sz w:val="20"/>
          <w:szCs w:val="20"/>
        </w:rPr>
        <w:t>no</w:t>
      </w:r>
      <w:r>
        <w:rPr>
          <w:sz w:val="20"/>
          <w:szCs w:val="20"/>
        </w:rPr>
        <w:t xml:space="preserve"> remaining partners in </w:t>
      </w:r>
      <w:r>
        <w:rPr>
          <w:rStyle w:val="a6"/>
          <w:sz w:val="20"/>
          <w:szCs w:val="20"/>
        </w:rPr>
        <w:t>one</w:t>
      </w:r>
      <w:r>
        <w:rPr>
          <w:sz w:val="20"/>
          <w:szCs w:val="20"/>
        </w:rPr>
        <w:t xml:space="preserve"> of these consolidated entities.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Redeemable noncontrolling interests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Included within noncontrolling interests are units that were determined to be contingently redeem</w:t>
      </w:r>
      <w:r>
        <w:rPr>
          <w:sz w:val="20"/>
          <w:szCs w:val="20"/>
        </w:rPr>
        <w:t>able that are classified as Redeemable noncontrolling interests and presented in the mezzanine section between Total liabilities and Stockholder’s equity on the Company’s Consolidated Balance Sheets.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table presents the change in the redempt</w:t>
      </w:r>
      <w:r>
        <w:rPr>
          <w:sz w:val="20"/>
          <w:szCs w:val="20"/>
        </w:rPr>
        <w:t xml:space="preserve">ion value of the Redeemable noncontrolling interests for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87"/>
        <w:gridCol w:w="100"/>
        <w:gridCol w:w="1067"/>
        <w:gridCol w:w="67"/>
        <w:gridCol w:w="100"/>
        <w:gridCol w:w="1057"/>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Fair value allocation to partnership interest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Income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1,022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Distributions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(2,819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Adjustment to estimated redemption value (2)</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(2,304</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(2,160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Balance at December 31,</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13,480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During </w:t>
            </w:r>
            <w:r>
              <w:rPr>
                <w:rStyle w:val="a6"/>
                <w:sz w:val="20"/>
                <w:szCs w:val="20"/>
              </w:rPr>
              <w:t xml:space="preserve">January 2021, </w:t>
            </w:r>
            <w:r>
              <w:rPr>
                <w:sz w:val="20"/>
                <w:szCs w:val="20"/>
              </w:rPr>
              <w:t>KIM RDC, LLC (“KIM RDC”), a wholly owned subsidiary of the Company, and KP Lancewood LLC (“KPR Member”) entered into a joint venture agreement wherein KIM RDC has a 100% controlling interest and KPR Member is entitled to a profit part</w:t>
            </w:r>
            <w:r>
              <w:rPr>
                <w:sz w:val="20"/>
                <w:szCs w:val="20"/>
              </w:rPr>
              <w:t xml:space="preserve">icipation. The joint venture acquired </w:t>
            </w:r>
            <w:r>
              <w:rPr>
                <w:rStyle w:val="a6"/>
                <w:sz w:val="20"/>
                <w:szCs w:val="20"/>
              </w:rPr>
              <w:t>two</w:t>
            </w:r>
            <w:r>
              <w:rPr>
                <w:sz w:val="20"/>
                <w:szCs w:val="20"/>
              </w:rPr>
              <w:t xml:space="preserve"> operating properties for a gross fair value of $104.0 million (see Footnote </w:t>
            </w:r>
            <w:r>
              <w:rPr>
                <w:rStyle w:val="a6"/>
                <w:sz w:val="20"/>
                <w:szCs w:val="20"/>
              </w:rPr>
              <w:t>4</w:t>
            </w:r>
            <w:r>
              <w:rPr>
                <w:sz w:val="20"/>
                <w:szCs w:val="20"/>
              </w:rPr>
              <w:t xml:space="preserve"> of the Company’s Consolidated Financial Statements). During </w:t>
            </w:r>
            <w:r>
              <w:rPr>
                <w:rStyle w:val="a6"/>
                <w:sz w:val="20"/>
                <w:szCs w:val="20"/>
              </w:rPr>
              <w:t xml:space="preserve">June 2021, </w:t>
            </w:r>
            <w:r>
              <w:rPr>
                <w:sz w:val="20"/>
                <w:szCs w:val="20"/>
              </w:rPr>
              <w:t>the two joint venture properties were sold for a combined sales p</w:t>
            </w:r>
            <w:r>
              <w:rPr>
                <w:sz w:val="20"/>
                <w:szCs w:val="20"/>
              </w:rPr>
              <w:t>rice of $108.0 million of which the KPR Member received a distribution of $2.1 million.</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610968964"/>
        <w:rPr>
          <w:rFonts w:eastAsia="Times New Roman"/>
          <w:sz w:val="20"/>
          <w:szCs w:val="20"/>
        </w:rPr>
      </w:pPr>
      <w:r>
        <w:rPr>
          <w:rStyle w:val="a6"/>
          <w:rFonts w:eastAsia="Times New Roman"/>
          <w:sz w:val="20"/>
          <w:szCs w:val="20"/>
        </w:rPr>
        <w:t>82</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4" style="width:415.3pt;height:1.5pt" o:hralign="center" o:hrstd="t" o:hrnoshade="t" o:hr="t" fillcolor="black" stroked="f"/>
        </w:pict>
      </w:r>
    </w:p>
    <w:p w:rsidR="00000000" w:rsidRDefault="001D2166">
      <w:pPr>
        <w:divId w:val="11264617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839613540"/>
        <w:rPr>
          <w:rFonts w:eastAsia="Times New Roman"/>
          <w:sz w:val="20"/>
          <w:szCs w:val="20"/>
        </w:rPr>
      </w:pPr>
      <w:r>
        <w:rPr>
          <w:rFonts w:eastAsia="Times New Roman"/>
          <w:sz w:val="20"/>
          <w:szCs w:val="20"/>
        </w:rPr>
        <w:t xml:space="preserve">KIMCO REALTY CORPORATION AND SUBSIDIARIES </w:t>
      </w:r>
    </w:p>
    <w:p w:rsidR="00000000" w:rsidRDefault="001D2166">
      <w:pPr>
        <w:divId w:val="910164961"/>
        <w:rPr>
          <w:rFonts w:eastAsia="Times New Roman"/>
          <w:sz w:val="20"/>
          <w:szCs w:val="20"/>
        </w:rPr>
      </w:pPr>
      <w:r>
        <w:rPr>
          <w:rFonts w:eastAsia="Times New Roman"/>
          <w:sz w:val="20"/>
          <w:szCs w:val="20"/>
        </w:rPr>
        <w:t xml:space="preserve">  </w:t>
      </w:r>
    </w:p>
    <w:p w:rsidR="00000000" w:rsidRDefault="001D2166">
      <w:pPr>
        <w:jc w:val="center"/>
        <w:divId w:val="377558011"/>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jc w:val="both"/>
              <w:rPr>
                <w:sz w:val="20"/>
                <w:szCs w:val="20"/>
              </w:rPr>
            </w:pPr>
            <w:r>
              <w:rPr>
                <w:sz w:val="20"/>
                <w:szCs w:val="20"/>
              </w:rPr>
              <w:t xml:space="preserve">The Company recorded an adjustment </w:t>
            </w:r>
            <w:r>
              <w:rPr>
                <w:sz w:val="20"/>
                <w:szCs w:val="20"/>
              </w:rPr>
              <w:t xml:space="preserve">to the estimated redemption fair market value of a noncontrolling interest in accordance with the provisions of the respective joint venture agreement and ASC </w:t>
            </w:r>
            <w:r>
              <w:rPr>
                <w:rStyle w:val="a6"/>
                <w:sz w:val="20"/>
                <w:szCs w:val="20"/>
              </w:rPr>
              <w:t>480,</w:t>
            </w:r>
            <w:r>
              <w:rPr>
                <w:sz w:val="20"/>
                <w:szCs w:val="20"/>
              </w:rPr>
              <w:t xml:space="preserve"> </w:t>
            </w:r>
            <w:r>
              <w:rPr>
                <w:i/>
                <w:iCs/>
                <w:sz w:val="20"/>
                <w:szCs w:val="20"/>
              </w:rPr>
              <w:t>Accounting for Redeemable Equity Instruments</w:t>
            </w:r>
            <w:r>
              <w:rPr>
                <w:sz w:val="20"/>
                <w:szCs w:val="20"/>
              </w:rPr>
              <w:t xml:space="preserve">. The Company assesses the fair market value of </w:t>
            </w:r>
            <w:r>
              <w:rPr>
                <w:sz w:val="20"/>
                <w:szCs w:val="20"/>
              </w:rPr>
              <w:t xml:space="preserve">this noncontrolling interest on a recurring basis and determined that its valuation was classified within Level </w:t>
            </w:r>
            <w:r>
              <w:rPr>
                <w:rStyle w:val="a6"/>
                <w:sz w:val="20"/>
                <w:szCs w:val="20"/>
              </w:rPr>
              <w:t>3</w:t>
            </w:r>
            <w:r>
              <w:rPr>
                <w:sz w:val="20"/>
                <w:szCs w:val="20"/>
              </w:rPr>
              <w:t xml:space="preserve"> of the fair value hierarchy. The estimated fair market value of this noncontrolling interest was based upon a discounted cash flow model, for </w:t>
            </w:r>
            <w:r>
              <w:rPr>
                <w:sz w:val="20"/>
                <w:szCs w:val="20"/>
              </w:rPr>
              <w:t>which a capitalization rate of 5.50% and discount rate of 6.50% were utilized in the model based upon unobservable rates that the Company believes to be within a reasonable range of current market rates.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19405808"/>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17.</w:t>
      </w:r>
      <w:r>
        <w:rPr>
          <w:sz w:val="20"/>
          <w:szCs w:val="20"/>
        </w:rPr>
        <w:t>  </w:t>
      </w:r>
      <w:r>
        <w:rPr>
          <w:sz w:val="20"/>
          <w:szCs w:val="20"/>
          <w:u w:val="single"/>
        </w:rPr>
        <w:t>Fair Value Disclosure of Financial Instru</w:t>
      </w:r>
      <w:r>
        <w:rPr>
          <w:sz w:val="20"/>
          <w:szCs w:val="20"/>
          <w:u w:val="single"/>
        </w:rPr>
        <w:t>ments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All financial instruments of the Company are reflected in the accompanying Consolidated Balance Sheets at amounts which, in management’s estimation, based upon an interpretation of available market information and valuation methodologies, reasonably approx</w:t>
      </w:r>
      <w:r>
        <w:rPr>
          <w:sz w:val="20"/>
          <w:szCs w:val="20"/>
        </w:rPr>
        <w:t>imate their fair values except those listed below, for which fair values are disclosed. The valuation method used to estimate fair value for fixed-rate and variable-rate debt is based on discounted cash flow analyses, with assumptions that include credit s</w:t>
      </w:r>
      <w:r>
        <w:rPr>
          <w:sz w:val="20"/>
          <w:szCs w:val="20"/>
        </w:rPr>
        <w:t xml:space="preserve">preads, market yield curves, trading activity, loan amounts and debt maturities. The fair values for marketable securities are based on published values, securities dealers’ estimated market values or comparable market sales. Such fair value estimates are </w:t>
      </w:r>
      <w:r>
        <w:rPr>
          <w:rStyle w:val="a6"/>
          <w:sz w:val="20"/>
          <w:szCs w:val="20"/>
        </w:rPr>
        <w:t>not</w:t>
      </w:r>
      <w:r>
        <w:rPr>
          <w:sz w:val="20"/>
          <w:szCs w:val="20"/>
        </w:rPr>
        <w:t xml:space="preserve"> necessarily indicative of the amounts that would be realized upon disposition.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As a basis for considering market participant assumptions in fair value measurements, the FASB’s Fair Value Measurements and Disclosures guidance establishes a fair value </w:t>
      </w:r>
      <w:r>
        <w:rPr>
          <w:sz w:val="20"/>
          <w:szCs w:val="20"/>
        </w:rPr>
        <w:t xml:space="preserve">hierarchy that distinguishes between market participant assumptions based on market data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entity’s own</w:t>
      </w:r>
      <w:r>
        <w:rPr>
          <w:sz w:val="20"/>
          <w:szCs w:val="20"/>
        </w:rPr>
        <w:t xml:space="preserve"> assumptions about market participant assumptions (unobservable inputs classified within Level </w:t>
      </w:r>
      <w:r>
        <w:rPr>
          <w:rStyle w:val="a6"/>
          <w:sz w:val="20"/>
          <w:szCs w:val="20"/>
        </w:rPr>
        <w:t>3</w:t>
      </w:r>
      <w:r>
        <w:rPr>
          <w:sz w:val="20"/>
          <w:szCs w:val="20"/>
        </w:rPr>
        <w:t xml:space="preserve"> of the hierarchy).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are financial instruments for which the Company’s estimate of fair value differs from the carrying amounts (in thousands):</w:t>
      </w:r>
    </w:p>
    <w:p w:rsidR="00000000" w:rsidRDefault="001D2166">
      <w:pPr>
        <w:pStyle w:val="a3"/>
        <w:spacing w:before="0" w:beforeAutospacing="0" w:after="0" w:afterAutospacing="0"/>
        <w:ind w:left="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73"/>
        <w:gridCol w:w="64"/>
        <w:gridCol w:w="100"/>
        <w:gridCol w:w="800"/>
        <w:gridCol w:w="64"/>
        <w:gridCol w:w="65"/>
        <w:gridCol w:w="100"/>
        <w:gridCol w:w="800"/>
        <w:gridCol w:w="65"/>
        <w:gridCol w:w="65"/>
        <w:gridCol w:w="100"/>
        <w:gridCol w:w="800"/>
        <w:gridCol w:w="65"/>
        <w:gridCol w:w="65"/>
        <w:gridCol w:w="100"/>
        <w:gridCol w:w="800"/>
        <w:gridCol w:w="65"/>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Carrying</w:t>
            </w:r>
          </w:p>
          <w:p w:rsidR="00000000" w:rsidRDefault="001D2166">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Estimated</w:t>
            </w:r>
          </w:p>
          <w:p w:rsidR="00000000" w:rsidRDefault="001D2166">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Carrying</w:t>
            </w:r>
          </w:p>
          <w:p w:rsidR="00000000" w:rsidRDefault="001D2166">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Estimated</w:t>
            </w:r>
          </w:p>
          <w:p w:rsidR="00000000" w:rsidRDefault="001D2166">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7,027,050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7,330,723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5,044,208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5,486,953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Mortgages payable, net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448,652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449,758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311,272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312,933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Credit Facility was classified within Level </w:t>
            </w:r>
            <w:r>
              <w:rPr>
                <w:rStyle w:val="a6"/>
                <w:sz w:val="20"/>
                <w:szCs w:val="20"/>
              </w:rPr>
              <w:t>3</w:t>
            </w:r>
            <w:r>
              <w:rPr>
                <w:sz w:val="20"/>
                <w:szCs w:val="20"/>
              </w:rPr>
              <w:t xml:space="preserve"> of the fair value hierarchy. The estimated fair value amounts classifie</w:t>
            </w:r>
            <w:r>
              <w:rPr>
                <w:sz w:val="20"/>
                <w:szCs w:val="20"/>
              </w:rPr>
              <w:t xml:space="preserve">d as Level </w:t>
            </w:r>
            <w:r>
              <w:rPr>
                <w:rStyle w:val="a6"/>
                <w:sz w:val="20"/>
                <w:szCs w:val="20"/>
              </w:rPr>
              <w:t>2</w:t>
            </w:r>
            <w:r>
              <w:rPr>
                <w:sz w:val="20"/>
                <w:szCs w:val="20"/>
              </w:rPr>
              <w:t xml:space="preserve"> 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were $7.3 billion and $5.5 billion, respectively.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Company determined that its valuation of these mortgages payable was classified within Level </w:t>
            </w:r>
            <w:r>
              <w:rPr>
                <w:rStyle w:val="a6"/>
                <w:sz w:val="20"/>
                <w:szCs w:val="20"/>
              </w:rPr>
              <w:t>3</w:t>
            </w:r>
            <w:r>
              <w:rPr>
                <w:sz w:val="20"/>
                <w:szCs w:val="20"/>
              </w:rPr>
              <w:t xml:space="preserve"> of the fair value hierarchy.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has certain financial instruments that must be measured under the FASB’s Fair Value Measurements and Disclosures</w:t>
      </w:r>
      <w:r>
        <w:rPr>
          <w:sz w:val="20"/>
          <w:szCs w:val="20"/>
        </w:rPr>
        <w:t xml:space="preserve"> guidance,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instances where the determination of the fa</w:t>
      </w:r>
      <w:r>
        <w:rPr>
          <w:sz w:val="20"/>
          <w:szCs w:val="20"/>
        </w:rPr>
        <w:t>ir value measurement is based on inputs from different levels of the fair value hierarchy, the level of the fair value hierarchy within which the entire fair value measurement falls is based on the lowest level input that is significant to the fair value m</w:t>
      </w:r>
      <w:r>
        <w:rPr>
          <w:sz w:val="20"/>
          <w:szCs w:val="20"/>
        </w:rPr>
        <w:t>easurement in its entirety. The Company’s assessment of the significance of a particular input to the fair value measurement in its entirety requires judgment and considers factors specific to the asset or liability.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from time to time has use</w:t>
      </w:r>
      <w:r>
        <w:rPr>
          <w:sz w:val="20"/>
          <w:szCs w:val="20"/>
        </w:rPr>
        <w:t>d interest rate swaps to manage its interest rate risk. The fair values of interest rate swaps are determined using the market standard methodology of netting the discounted future fixed cash receipts (or payments) and the discounted expected variable cash</w:t>
      </w:r>
      <w:r>
        <w:rPr>
          <w:sz w:val="20"/>
          <w:szCs w:val="20"/>
        </w:rPr>
        <w:t xml:space="preserve"> payments (or receipts).  The variable cash payments (or receipts) are based on an expectation of future interest rates (forward curves) derived from observable market interest rate curves.  Based on these inputs, the Company has determined that interest r</w:t>
      </w:r>
      <w:r>
        <w:rPr>
          <w:sz w:val="20"/>
          <w:szCs w:val="20"/>
        </w:rPr>
        <w:t xml:space="preserve">ate swap valuations are classified within Level </w:t>
      </w:r>
      <w:r>
        <w:rPr>
          <w:rStyle w:val="a6"/>
          <w:sz w:val="20"/>
          <w:szCs w:val="20"/>
        </w:rPr>
        <w:t>2</w:t>
      </w:r>
      <w:r>
        <w:rPr>
          <w:sz w:val="20"/>
          <w:szCs w:val="20"/>
        </w:rPr>
        <w:t xml:space="preserve"> of the fair value hierarchy.</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132547315"/>
        <w:rPr>
          <w:rFonts w:eastAsia="Times New Roman"/>
          <w:sz w:val="20"/>
          <w:szCs w:val="20"/>
        </w:rPr>
      </w:pPr>
      <w:r>
        <w:rPr>
          <w:rStyle w:val="a6"/>
          <w:rFonts w:eastAsia="Times New Roman"/>
          <w:sz w:val="20"/>
          <w:szCs w:val="20"/>
        </w:rPr>
        <w:t>83</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5" style="width:415.3pt;height:1.5pt" o:hralign="center" o:hrstd="t" o:hrnoshade="t" o:hr="t" fillcolor="black" stroked="f"/>
        </w:pict>
      </w:r>
    </w:p>
    <w:p w:rsidR="00000000" w:rsidRDefault="001D2166">
      <w:pPr>
        <w:divId w:val="20835972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464884228"/>
        <w:rPr>
          <w:rFonts w:eastAsia="Times New Roman"/>
          <w:sz w:val="20"/>
          <w:szCs w:val="20"/>
        </w:rPr>
      </w:pPr>
      <w:r>
        <w:rPr>
          <w:rFonts w:eastAsia="Times New Roman"/>
          <w:sz w:val="20"/>
          <w:szCs w:val="20"/>
        </w:rPr>
        <w:t xml:space="preserve">KIMCO REALTY CORPORATION AND SUBSIDIARIES </w:t>
      </w:r>
    </w:p>
    <w:p w:rsidR="00000000" w:rsidRDefault="001D2166">
      <w:pPr>
        <w:divId w:val="721486267"/>
        <w:rPr>
          <w:rFonts w:eastAsia="Times New Roman"/>
          <w:sz w:val="20"/>
          <w:szCs w:val="20"/>
        </w:rPr>
      </w:pPr>
      <w:r>
        <w:rPr>
          <w:rFonts w:eastAsia="Times New Roman"/>
          <w:sz w:val="20"/>
          <w:szCs w:val="20"/>
        </w:rPr>
        <w:t xml:space="preserve">  </w:t>
      </w:r>
    </w:p>
    <w:p w:rsidR="00000000" w:rsidRDefault="001D2166">
      <w:pPr>
        <w:jc w:val="center"/>
        <w:divId w:val="2025588395"/>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w:t>
      </w:r>
      <w:r>
        <w:rPr>
          <w:sz w:val="20"/>
          <w:szCs w:val="20"/>
        </w:rPr>
        <w:t xml:space="preserve"> tables below present the Company’s financial assets measured at fair value on a recurring basis as of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aggregated by the level of the fair value hierarchy within which those measurements fall (in thousands):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1"/>
        <w:gridCol w:w="814"/>
        <w:gridCol w:w="67"/>
        <w:gridCol w:w="67"/>
        <w:gridCol w:w="101"/>
        <w:gridCol w:w="814"/>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Balance at</w:t>
            </w:r>
          </w:p>
          <w:p w:rsidR="00000000" w:rsidRDefault="001D2166">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200" w:type="pct"/>
            <w:vAlign w:val="bottom"/>
            <w:hideMark/>
          </w:tcPr>
          <w:p w:rsidR="00000000" w:rsidRDefault="001D2166">
            <w:pPr>
              <w:pStyle w:val="a3"/>
              <w:spacing w:before="0" w:beforeAutospacing="0" w:after="0" w:afterAutospacing="0"/>
              <w:rPr>
                <w:sz w:val="20"/>
                <w:szCs w:val="20"/>
              </w:rPr>
            </w:pPr>
            <w:r>
              <w:rPr>
                <w:b/>
                <w:bCs/>
                <w:sz w:val="20"/>
                <w:szCs w:val="20"/>
              </w:rPr>
              <w:t>Assets:</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Marketable equity securities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0"/>
        <w:gridCol w:w="67"/>
        <w:gridCol w:w="101"/>
        <w:gridCol w:w="814"/>
        <w:gridCol w:w="67"/>
        <w:gridCol w:w="67"/>
        <w:gridCol w:w="100"/>
        <w:gridCol w:w="814"/>
        <w:gridCol w:w="67"/>
        <w:gridCol w:w="67"/>
        <w:gridCol w:w="101"/>
        <w:gridCol w:w="814"/>
        <w:gridCol w:w="67"/>
        <w:gridCol w:w="67"/>
        <w:gridCol w:w="101"/>
        <w:gridCol w:w="814"/>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Balance at</w:t>
            </w:r>
          </w:p>
          <w:p w:rsidR="00000000" w:rsidRDefault="001D2166">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200" w:type="pct"/>
            <w:vAlign w:val="bottom"/>
            <w:hideMark/>
          </w:tcPr>
          <w:p w:rsidR="00000000" w:rsidRDefault="001D2166">
            <w:pPr>
              <w:pStyle w:val="a3"/>
              <w:spacing w:before="0" w:beforeAutospacing="0" w:after="0" w:afterAutospacing="0"/>
              <w:rPr>
                <w:sz w:val="20"/>
                <w:szCs w:val="20"/>
              </w:rPr>
            </w:pPr>
            <w:r>
              <w:rPr>
                <w:b/>
                <w:bCs/>
                <w:sz w:val="20"/>
                <w:szCs w:val="20"/>
              </w:rPr>
              <w:t>Assets:</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c>
          <w:tcPr>
            <w:tcW w:w="0" w:type="auto"/>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Marketable equity securities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 xml:space="preserve">Assets measured at fair value on a non-recurring basis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are as follows (in thousands):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0"/>
        <w:gridCol w:w="67"/>
        <w:gridCol w:w="101"/>
        <w:gridCol w:w="814"/>
        <w:gridCol w:w="67"/>
        <w:gridCol w:w="67"/>
        <w:gridCol w:w="101"/>
        <w:gridCol w:w="814"/>
        <w:gridCol w:w="67"/>
        <w:gridCol w:w="67"/>
        <w:gridCol w:w="101"/>
        <w:gridCol w:w="814"/>
        <w:gridCol w:w="67"/>
        <w:gridCol w:w="67"/>
        <w:gridCol w:w="100"/>
        <w:gridCol w:w="814"/>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Balance at</w:t>
            </w:r>
          </w:p>
          <w:p w:rsidR="00000000" w:rsidRDefault="001D2166">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Other investments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0"/>
        <w:gridCol w:w="67"/>
        <w:gridCol w:w="101"/>
        <w:gridCol w:w="814"/>
        <w:gridCol w:w="67"/>
        <w:gridCol w:w="67"/>
        <w:gridCol w:w="101"/>
        <w:gridCol w:w="814"/>
        <w:gridCol w:w="67"/>
        <w:gridCol w:w="67"/>
        <w:gridCol w:w="101"/>
        <w:gridCol w:w="814"/>
        <w:gridCol w:w="67"/>
        <w:gridCol w:w="67"/>
        <w:gridCol w:w="100"/>
        <w:gridCol w:w="814"/>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Balance at</w:t>
            </w:r>
          </w:p>
          <w:p w:rsidR="00000000" w:rsidRDefault="001D2166">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Other investments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estimated fair values of these assets </w:t>
      </w:r>
      <w:r>
        <w:rPr>
          <w:sz w:val="20"/>
          <w:szCs w:val="20"/>
        </w:rPr>
        <w:t xml:space="preserve">were primarily based upon estimated sales prices from signed contracts or letters of intent from </w:t>
      </w:r>
      <w:r>
        <w:rPr>
          <w:rStyle w:val="a6"/>
          <w:sz w:val="20"/>
          <w:szCs w:val="20"/>
        </w:rPr>
        <w:t>third</w:t>
      </w:r>
      <w:r>
        <w:rPr>
          <w:sz w:val="20"/>
          <w:szCs w:val="20"/>
        </w:rPr>
        <w:t xml:space="preserve">-party offers, which were less than the carrying value of the assets. The Company does </w:t>
      </w:r>
      <w:r>
        <w:rPr>
          <w:rStyle w:val="a6"/>
          <w:sz w:val="20"/>
          <w:szCs w:val="20"/>
        </w:rPr>
        <w:t>not</w:t>
      </w:r>
      <w:r>
        <w:rPr>
          <w:sz w:val="20"/>
          <w:szCs w:val="20"/>
        </w:rPr>
        <w:t xml:space="preserve"> have access to the unobservable inputs used to determine the es</w:t>
      </w:r>
      <w:r>
        <w:rPr>
          <w:sz w:val="20"/>
          <w:szCs w:val="20"/>
        </w:rPr>
        <w:t xml:space="preserve">timated fair values of </w:t>
      </w:r>
      <w:r>
        <w:rPr>
          <w:rStyle w:val="a6"/>
          <w:sz w:val="20"/>
          <w:szCs w:val="20"/>
        </w:rPr>
        <w:t>third</w:t>
      </w:r>
      <w:r>
        <w:rPr>
          <w:sz w:val="20"/>
          <w:szCs w:val="20"/>
        </w:rPr>
        <w:t xml:space="preserve">-party offers. Based on these inputs, the Company determined that its valuation of these investment was classified within Level </w:t>
      </w:r>
      <w:r>
        <w:rPr>
          <w:rStyle w:val="a6"/>
          <w:sz w:val="20"/>
          <w:szCs w:val="20"/>
        </w:rPr>
        <w:t>3</w:t>
      </w:r>
      <w:r>
        <w:rPr>
          <w:sz w:val="20"/>
          <w:szCs w:val="20"/>
        </w:rPr>
        <w:t xml:space="preserve"> of the fair value hierarchy.</w:t>
      </w:r>
    </w:p>
    <w:p w:rsidR="00000000" w:rsidRDefault="001D2166">
      <w:pPr>
        <w:pStyle w:val="a3"/>
        <w:spacing w:before="0" w:beforeAutospacing="0" w:after="0" w:afterAutospacing="0"/>
        <w:rPr>
          <w:sz w:val="20"/>
          <w:szCs w:val="20"/>
        </w:rPr>
      </w:pPr>
      <w:r>
        <w:rPr>
          <w:sz w:val="20"/>
          <w:szCs w:val="20"/>
        </w:rPr>
        <w:t> </w:t>
      </w:r>
    </w:p>
    <w:p w:rsidR="00000000" w:rsidRDefault="001D2166">
      <w:pPr>
        <w:divId w:val="1093168802"/>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both"/>
        <w:rPr>
          <w:sz w:val="20"/>
          <w:szCs w:val="20"/>
        </w:rPr>
      </w:pPr>
      <w:r>
        <w:rPr>
          <w:rStyle w:val="a6"/>
          <w:sz w:val="20"/>
          <w:szCs w:val="20"/>
        </w:rPr>
        <w:t>18.</w:t>
      </w:r>
      <w:r>
        <w:rPr>
          <w:sz w:val="20"/>
          <w:szCs w:val="20"/>
        </w:rPr>
        <w:t>  </w:t>
      </w:r>
      <w:r>
        <w:rPr>
          <w:sz w:val="20"/>
          <w:szCs w:val="20"/>
          <w:u w:val="single"/>
        </w:rPr>
        <w:t>Preferred Stock, Common Stock and Convertible Unit Transact</w:t>
      </w:r>
      <w:r>
        <w:rPr>
          <w:sz w:val="20"/>
          <w:szCs w:val="20"/>
          <w:u w:val="single"/>
        </w:rPr>
        <w:t>ions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Preferred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outstanding Preferred Stock is detailed below (in thousands, except share data and par values):</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833"/>
        <w:gridCol w:w="50"/>
        <w:gridCol w:w="88"/>
        <w:gridCol w:w="879"/>
        <w:gridCol w:w="50"/>
        <w:gridCol w:w="50"/>
        <w:gridCol w:w="98"/>
        <w:gridCol w:w="970"/>
        <w:gridCol w:w="50"/>
        <w:gridCol w:w="50"/>
        <w:gridCol w:w="460"/>
        <w:gridCol w:w="1010"/>
        <w:gridCol w:w="50"/>
        <w:gridCol w:w="50"/>
        <w:gridCol w:w="71"/>
        <w:gridCol w:w="708"/>
        <w:gridCol w:w="167"/>
        <w:gridCol w:w="50"/>
        <w:gridCol w:w="101"/>
        <w:gridCol w:w="849"/>
        <w:gridCol w:w="50"/>
        <w:gridCol w:w="50"/>
        <w:gridCol w:w="121"/>
        <w:gridCol w:w="454"/>
        <w:gridCol w:w="50"/>
        <w:gridCol w:w="1045"/>
      </w:tblGrid>
      <w:tr w:rsidR="00000000">
        <w:trPr>
          <w:tblCellSpacing w:w="0" w:type="dxa"/>
        </w:trPr>
        <w:tc>
          <w:tcPr>
            <w:tcW w:w="0" w:type="auto"/>
            <w:gridSpan w:val="2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 of December 31, 2021 and 2020</w:t>
            </w:r>
          </w:p>
        </w:tc>
      </w:tr>
      <w:tr w:rsidR="00000000">
        <w:trPr>
          <w:tblCellSpacing w:w="0" w:type="dxa"/>
        </w:trPr>
        <w:tc>
          <w:tcPr>
            <w:tcW w:w="52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Class of</w:t>
            </w:r>
          </w:p>
          <w:p w:rsidR="00000000" w:rsidRDefault="001D2166">
            <w:pPr>
              <w:pStyle w:val="a3"/>
              <w:spacing w:before="0" w:beforeAutospacing="0" w:after="0" w:afterAutospacing="0"/>
              <w:jc w:val="center"/>
              <w:rPr>
                <w:sz w:val="20"/>
                <w:szCs w:val="20"/>
              </w:rPr>
            </w:pPr>
            <w:r>
              <w:rPr>
                <w:b/>
                <w:bCs/>
                <w:sz w:val="20"/>
                <w:szCs w:val="20"/>
              </w:rPr>
              <w:t>Preferred</w:t>
            </w:r>
          </w:p>
          <w:p w:rsidR="00000000" w:rsidRDefault="001D2166">
            <w:pPr>
              <w:pStyle w:val="a3"/>
              <w:spacing w:before="0" w:beforeAutospacing="0" w:after="0" w:afterAutospacing="0"/>
              <w:jc w:val="center"/>
              <w:rPr>
                <w:sz w:val="20"/>
                <w:szCs w:val="20"/>
              </w:rPr>
            </w:pPr>
            <w:r>
              <w:rPr>
                <w:b/>
                <w:bCs/>
                <w:sz w:val="20"/>
                <w:szCs w:val="20"/>
              </w:rPr>
              <w:t>Stock</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Shares</w:t>
            </w:r>
          </w:p>
          <w:p w:rsidR="00000000" w:rsidRDefault="001D2166">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Shares</w:t>
            </w:r>
          </w:p>
          <w:p w:rsidR="00000000" w:rsidRDefault="001D2166">
            <w:pPr>
              <w:pStyle w:val="a3"/>
              <w:spacing w:before="0" w:beforeAutospacing="0" w:after="0" w:afterAutospacing="0"/>
              <w:jc w:val="center"/>
              <w:rPr>
                <w:sz w:val="20"/>
                <w:szCs w:val="20"/>
              </w:rPr>
            </w:pPr>
            <w:r>
              <w:rPr>
                <w:b/>
                <w:bCs/>
                <w:sz w:val="20"/>
                <w:szCs w:val="20"/>
              </w:rPr>
              <w:t>Issued and Outstanding</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Liquidation Preference</w:t>
            </w:r>
          </w:p>
          <w:p w:rsidR="00000000" w:rsidRDefault="001D2166">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Dividend</w:t>
            </w:r>
          </w:p>
          <w:p w:rsidR="00000000" w:rsidRDefault="001D2166">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Annual</w:t>
            </w:r>
          </w:p>
          <w:p w:rsidR="00000000" w:rsidRDefault="001D2166">
            <w:pPr>
              <w:pStyle w:val="a3"/>
              <w:spacing w:before="0" w:beforeAutospacing="0" w:after="0" w:afterAutospacing="0"/>
              <w:jc w:val="center"/>
              <w:rPr>
                <w:sz w:val="20"/>
                <w:szCs w:val="20"/>
              </w:rPr>
            </w:pPr>
            <w:r>
              <w:rPr>
                <w:b/>
                <w:bCs/>
                <w:sz w:val="20"/>
                <w:szCs w:val="20"/>
              </w:rPr>
              <w:t xml:space="preserve">Dividend per </w:t>
            </w:r>
          </w:p>
          <w:p w:rsidR="00000000" w:rsidRDefault="001D2166">
            <w:pPr>
              <w:pStyle w:val="a3"/>
              <w:spacing w:before="0" w:beforeAutospacing="0" w:after="0" w:afterAutospacing="0"/>
              <w:jc w:val="center"/>
              <w:rPr>
                <w:sz w:val="20"/>
                <w:szCs w:val="20"/>
              </w:rPr>
            </w:pPr>
            <w:r>
              <w:rPr>
                <w:b/>
                <w:bCs/>
                <w:sz w:val="20"/>
                <w:szCs w:val="20"/>
              </w:rPr>
              <w:t>Depositary</w:t>
            </w:r>
          </w:p>
          <w:p w:rsidR="00000000" w:rsidRDefault="001D2166">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Par</w:t>
            </w:r>
          </w:p>
          <w:p w:rsidR="00000000" w:rsidRDefault="001D2166">
            <w:pPr>
              <w:pStyle w:val="a3"/>
              <w:spacing w:before="0" w:beforeAutospacing="0" w:after="0" w:afterAutospacing="0"/>
              <w:jc w:val="center"/>
              <w:rPr>
                <w:sz w:val="20"/>
                <w:szCs w:val="20"/>
              </w:rPr>
            </w:pPr>
            <w:r>
              <w:rPr>
                <w:b/>
                <w:bCs/>
                <w:sz w:val="20"/>
                <w:szCs w:val="20"/>
              </w:rPr>
              <w:t>Value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7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Optional Redemption</w:t>
            </w:r>
          </w:p>
          <w:p w:rsidR="00000000" w:rsidRDefault="001D2166">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Class 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20"/>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1D2166">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Class M</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264,500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ind w:left="20"/>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ind w:left="360"/>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Style w:val="a6"/>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w:t>
      </w:r>
      <w:r>
        <w:rPr>
          <w:sz w:val="20"/>
          <w:szCs w:val="20"/>
        </w:rPr>
        <w:t xml:space="preserve">s Preferred Stock Depositary Shares for all classes are </w:t>
      </w:r>
      <w:r>
        <w:rPr>
          <w:rStyle w:val="a6"/>
          <w:sz w:val="20"/>
          <w:szCs w:val="20"/>
        </w:rPr>
        <w:t>not</w:t>
      </w:r>
      <w:r>
        <w:rPr>
          <w:sz w:val="20"/>
          <w:szCs w:val="20"/>
        </w:rPr>
        <w:t xml:space="preserve"> convertible or exchangeable for any other property or securities of the Company.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Voting Rights - The Class L and M Preferred Stock rank pari passu as to voting rights, priority for receiving dividends and liquidation preference as set forth below.</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607544191"/>
        <w:rPr>
          <w:rFonts w:eastAsia="Times New Roman"/>
          <w:sz w:val="20"/>
          <w:szCs w:val="20"/>
        </w:rPr>
      </w:pPr>
      <w:r>
        <w:rPr>
          <w:rStyle w:val="a6"/>
          <w:rFonts w:eastAsia="Times New Roman"/>
          <w:sz w:val="20"/>
          <w:szCs w:val="20"/>
        </w:rPr>
        <w:t>84</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6" style="width:415.3pt;height:1.5pt" o:hralign="center" o:hrstd="t" o:hrnoshade="t" o:hr="t" fillcolor="black" stroked="f"/>
        </w:pict>
      </w:r>
    </w:p>
    <w:p w:rsidR="00000000" w:rsidRDefault="001D2166">
      <w:pPr>
        <w:divId w:val="20933566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984505235"/>
        <w:rPr>
          <w:rFonts w:eastAsia="Times New Roman"/>
          <w:sz w:val="20"/>
          <w:szCs w:val="20"/>
        </w:rPr>
      </w:pPr>
      <w:r>
        <w:rPr>
          <w:rFonts w:eastAsia="Times New Roman"/>
          <w:sz w:val="20"/>
          <w:szCs w:val="20"/>
        </w:rPr>
        <w:t xml:space="preserve">KIMCO REALTY CORPORATION AND SUBSIDIARIES </w:t>
      </w:r>
    </w:p>
    <w:p w:rsidR="00000000" w:rsidRDefault="001D2166">
      <w:pPr>
        <w:divId w:val="697779372"/>
        <w:rPr>
          <w:rFonts w:eastAsia="Times New Roman"/>
          <w:sz w:val="20"/>
          <w:szCs w:val="20"/>
        </w:rPr>
      </w:pPr>
      <w:r>
        <w:rPr>
          <w:rFonts w:eastAsia="Times New Roman"/>
          <w:sz w:val="20"/>
          <w:szCs w:val="20"/>
        </w:rPr>
        <w:t xml:space="preserve">  </w:t>
      </w:r>
    </w:p>
    <w:p w:rsidR="00000000" w:rsidRDefault="001D2166">
      <w:pPr>
        <w:jc w:val="center"/>
        <w:divId w:val="404642498"/>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As to any matter on which the Class L or M Preferred Stock </w:t>
      </w:r>
      <w:r>
        <w:rPr>
          <w:rStyle w:val="a6"/>
          <w:sz w:val="20"/>
          <w:szCs w:val="20"/>
        </w:rPr>
        <w:t xml:space="preserve">may </w:t>
      </w:r>
      <w:r>
        <w:rPr>
          <w:sz w:val="20"/>
          <w:szCs w:val="20"/>
        </w:rPr>
        <w:t xml:space="preserve">vote, including any actions by written consent, each share of the Class L or M Preferred Stock shall be entitled to 1,000 votes, each of which 1,000 votes </w:t>
      </w:r>
      <w:r>
        <w:rPr>
          <w:rStyle w:val="a6"/>
          <w:sz w:val="20"/>
          <w:szCs w:val="20"/>
        </w:rPr>
        <w:t xml:space="preserve">may </w:t>
      </w:r>
      <w:r>
        <w:rPr>
          <w:sz w:val="20"/>
          <w:szCs w:val="20"/>
        </w:rPr>
        <w:t>be directed separately by the hol</w:t>
      </w:r>
      <w:r>
        <w:rPr>
          <w:sz w:val="20"/>
          <w:szCs w:val="20"/>
        </w:rPr>
        <w:t xml:space="preserve">der thereof. With respect to each share of Class L or M Preferred Stock, the holder thereof </w:t>
      </w:r>
      <w:r>
        <w:rPr>
          <w:rStyle w:val="a6"/>
          <w:sz w:val="20"/>
          <w:szCs w:val="20"/>
        </w:rPr>
        <w:t xml:space="preserve">may </w:t>
      </w:r>
      <w:r>
        <w:rPr>
          <w:sz w:val="20"/>
          <w:szCs w:val="20"/>
        </w:rPr>
        <w:t xml:space="preserve">designate up to </w:t>
      </w:r>
      <w:r>
        <w:rPr>
          <w:rStyle w:val="a6"/>
          <w:sz w:val="20"/>
          <w:szCs w:val="20"/>
        </w:rPr>
        <w:t>1,000</w:t>
      </w:r>
      <w:r>
        <w:rPr>
          <w:sz w:val="20"/>
          <w:szCs w:val="20"/>
        </w:rPr>
        <w:t xml:space="preserve"> proxies, with each such proxy having the right to vote a whole number of votes (totaling </w:t>
      </w:r>
      <w:r>
        <w:rPr>
          <w:rStyle w:val="a6"/>
          <w:sz w:val="20"/>
          <w:szCs w:val="20"/>
        </w:rPr>
        <w:t>1,000</w:t>
      </w:r>
      <w:r>
        <w:rPr>
          <w:sz w:val="20"/>
          <w:szCs w:val="20"/>
        </w:rPr>
        <w:t xml:space="preserve"> votes per share of Class L or M Preferred S</w:t>
      </w:r>
      <w:r>
        <w:rPr>
          <w:sz w:val="20"/>
          <w:szCs w:val="20"/>
        </w:rPr>
        <w:t>tock). As a result, each Class L or M Depositary Share is entitled to one vote.</w:t>
      </w:r>
    </w:p>
    <w:p w:rsidR="00000000" w:rsidRDefault="001D2166">
      <w:pPr>
        <w:pStyle w:val="a3"/>
        <w:spacing w:before="0" w:beforeAutospacing="0" w:after="0" w:afterAutospacing="0"/>
        <w:ind w:firstLine="18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Liquidation Rights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the event of any liquidation, dissolution or winding up of the affairs of the Company, preferred stock holders are entitled to be paid, out of the ass</w:t>
      </w:r>
      <w:r>
        <w:rPr>
          <w:sz w:val="20"/>
          <w:szCs w:val="20"/>
        </w:rPr>
        <w:t>ets of the Company legally available for distribution to its stockholders, a liquidation preference of $25,000 per share of Class L Preferred Stock and $25,000 per share of Class M Preferred Stock ($25.00 per each Class L and Class M Depositary Share), plu</w:t>
      </w:r>
      <w:r>
        <w:rPr>
          <w:sz w:val="20"/>
          <w:szCs w:val="20"/>
        </w:rPr>
        <w:t>s an amount equal to any accrued and unpaid dividends to the date of payment, before any distribution of assets is made to holders of the Company’s common stock or any other capital stock that ranks junior to the preferred stock as to liquidation rights.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 xml:space="preserve">August 2021, </w:t>
      </w:r>
      <w:r>
        <w:rPr>
          <w:sz w:val="20"/>
          <w:szCs w:val="20"/>
        </w:rPr>
        <w:t xml:space="preserve">the Company established an at-the-market continuous offering program (the “ATM program”) pursuant to which the Company </w:t>
      </w:r>
      <w:r>
        <w:rPr>
          <w:rStyle w:val="a6"/>
          <w:sz w:val="20"/>
          <w:szCs w:val="20"/>
        </w:rPr>
        <w:t xml:space="preserve">may </w:t>
      </w:r>
      <w:r>
        <w:rPr>
          <w:sz w:val="20"/>
          <w:szCs w:val="20"/>
        </w:rPr>
        <w:t>offer and sell from time-to-time shares of its common stock, par value $0.01 per share, with an a</w:t>
      </w:r>
      <w:r>
        <w:rPr>
          <w:sz w:val="20"/>
          <w:szCs w:val="20"/>
        </w:rPr>
        <w:t xml:space="preserve">ggregate gross sales price of up to $500.0 million through a consortium of banks acting as sales agents. Sales of the shares of common stock </w:t>
      </w:r>
      <w:r>
        <w:rPr>
          <w:rStyle w:val="a6"/>
          <w:sz w:val="20"/>
          <w:szCs w:val="20"/>
        </w:rPr>
        <w:t xml:space="preserve">may </w:t>
      </w:r>
      <w:r>
        <w:rPr>
          <w:sz w:val="20"/>
          <w:szCs w:val="20"/>
        </w:rPr>
        <w:t xml:space="preserve">be made, as needed, from time to time in “at the market” offerings as defined in Rule </w:t>
      </w:r>
      <w:r>
        <w:rPr>
          <w:rStyle w:val="a6"/>
          <w:sz w:val="20"/>
          <w:szCs w:val="20"/>
        </w:rPr>
        <w:t>415</w:t>
      </w:r>
      <w:r>
        <w:rPr>
          <w:sz w:val="20"/>
          <w:szCs w:val="20"/>
        </w:rPr>
        <w:t xml:space="preserve"> of the Securities Act</w:t>
      </w:r>
      <w:r>
        <w:rPr>
          <w:sz w:val="20"/>
          <w:szCs w:val="20"/>
        </w:rPr>
        <w:t xml:space="preserve"> of </w:t>
      </w:r>
      <w:r>
        <w:rPr>
          <w:rStyle w:val="a6"/>
          <w:sz w:val="20"/>
          <w:szCs w:val="20"/>
        </w:rPr>
        <w:t>1933,</w:t>
      </w:r>
      <w:r>
        <w:rPr>
          <w:sz w:val="20"/>
          <w:szCs w:val="20"/>
        </w:rPr>
        <w:t xml:space="preserve"> including by means of ordinary brokers’ transactions on the New York Stock Exchange or otherwise (i) at market prices prevailing at the time of sale, (ii) at prices related to prevailing market prices or (iii) as otherwise agreed to with the appl</w:t>
      </w:r>
      <w:r>
        <w:rPr>
          <w:sz w:val="20"/>
          <w:szCs w:val="20"/>
        </w:rPr>
        <w:t xml:space="preserve">icable sales agent. In addition, the Company </w:t>
      </w:r>
      <w:r>
        <w:rPr>
          <w:rStyle w:val="a6"/>
          <w:sz w:val="20"/>
          <w:szCs w:val="20"/>
        </w:rPr>
        <w:t xml:space="preserve">may </w:t>
      </w:r>
      <w:r>
        <w:rPr>
          <w:sz w:val="20"/>
          <w:szCs w:val="20"/>
        </w:rPr>
        <w:t xml:space="preserve">from time to time enter into separate forward sale agreements with </w:t>
      </w:r>
      <w:r>
        <w:rPr>
          <w:rStyle w:val="a6"/>
          <w:sz w:val="20"/>
          <w:szCs w:val="20"/>
        </w:rPr>
        <w:t>one</w:t>
      </w:r>
      <w:r>
        <w:rPr>
          <w:sz w:val="20"/>
          <w:szCs w:val="20"/>
        </w:rPr>
        <w:t xml:space="preserve"> or more banks. During </w:t>
      </w:r>
      <w:r>
        <w:rPr>
          <w:rStyle w:val="a6"/>
          <w:sz w:val="20"/>
          <w:szCs w:val="20"/>
        </w:rPr>
        <w:t>2021,</w:t>
      </w:r>
      <w:r>
        <w:rPr>
          <w:sz w:val="20"/>
          <w:szCs w:val="20"/>
        </w:rPr>
        <w:t xml:space="preserve"> the Company issued 3.5 million shares and received net proceeds after commissions of $76.9 million. As of </w:t>
      </w:r>
      <w:r>
        <w:rPr>
          <w:rStyle w:val="a6"/>
          <w:sz w:val="20"/>
          <w:szCs w:val="20"/>
        </w:rPr>
        <w:t>De</w:t>
      </w:r>
      <w:r>
        <w:rPr>
          <w:rStyle w:val="a6"/>
          <w:sz w:val="20"/>
          <w:szCs w:val="20"/>
        </w:rPr>
        <w:t xml:space="preserve">cember 31, 2021, </w:t>
      </w:r>
      <w:r>
        <w:rPr>
          <w:sz w:val="20"/>
          <w:szCs w:val="20"/>
        </w:rPr>
        <w:t>the Company had $422.4 million available under this ATM program.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connection with the Merger, each Weingarten common share, issued and outstanding immediately prior to the effective time of the Merger, was converted into 1.408 shares o</w:t>
      </w:r>
      <w:r>
        <w:rPr>
          <w:sz w:val="20"/>
          <w:szCs w:val="20"/>
        </w:rPr>
        <w:t>f newly issued shares of Kimco common stock, resulting in approximately 179.9 million common shares being issued in connection with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has a share repurchase program, which is scheduled to expire </w:t>
      </w:r>
      <w:r>
        <w:rPr>
          <w:rStyle w:val="a6"/>
          <w:sz w:val="20"/>
          <w:szCs w:val="20"/>
        </w:rPr>
        <w:t>February 29,</w:t>
      </w:r>
      <w:r>
        <w:rPr>
          <w:sz w:val="20"/>
          <w:szCs w:val="20"/>
        </w:rPr>
        <w:t xml:space="preserve"> </w:t>
      </w:r>
      <w:r>
        <w:rPr>
          <w:rStyle w:val="a6"/>
          <w:sz w:val="20"/>
          <w:szCs w:val="20"/>
        </w:rPr>
        <w:t>2024.</w:t>
      </w:r>
      <w:r>
        <w:rPr>
          <w:sz w:val="20"/>
          <w:szCs w:val="20"/>
        </w:rPr>
        <w:t xml:space="preserve"> Under this program</w:t>
      </w:r>
      <w:r>
        <w:rPr>
          <w:sz w:val="20"/>
          <w:szCs w:val="20"/>
        </w:rPr>
        <w:t xml:space="preserve">, the Company </w:t>
      </w:r>
      <w:r>
        <w:rPr>
          <w:rStyle w:val="a6"/>
          <w:sz w:val="20"/>
          <w:szCs w:val="20"/>
        </w:rPr>
        <w:t xml:space="preserve">may </w:t>
      </w:r>
      <w:r>
        <w:rPr>
          <w:sz w:val="20"/>
          <w:szCs w:val="20"/>
        </w:rPr>
        <w:t>repurchase shares of its common stock, par value $0.01 per share, with an aggregate gross purchase price of up to $300.0 million. The 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the years ended </w:t>
      </w:r>
      <w:r>
        <w:rPr>
          <w:rStyle w:val="a6"/>
          <w:sz w:val="20"/>
          <w:szCs w:val="20"/>
        </w:rPr>
        <w:t>December</w:t>
      </w:r>
      <w:r>
        <w:rPr>
          <w:rStyle w:val="a6"/>
          <w:sz w:val="20"/>
          <w:szCs w:val="20"/>
        </w:rPr>
        <w:t xml:space="preserve"> 31, 2021 </w:t>
      </w:r>
      <w:r>
        <w:rPr>
          <w:sz w:val="20"/>
          <w:szCs w:val="20"/>
        </w:rPr>
        <w:t xml:space="preserve">and </w:t>
      </w:r>
      <w:r>
        <w:rPr>
          <w:rStyle w:val="a6"/>
          <w:sz w:val="20"/>
          <w:szCs w:val="20"/>
        </w:rPr>
        <w:t>2020.</w:t>
      </w:r>
      <w:r>
        <w:rPr>
          <w:sz w:val="20"/>
          <w:szCs w:val="20"/>
        </w:rPr>
        <w:t xml:space="preserve"> As of </w:t>
      </w:r>
      <w:r>
        <w:rPr>
          <w:rStyle w:val="a6"/>
          <w:sz w:val="20"/>
          <w:szCs w:val="20"/>
        </w:rPr>
        <w:t xml:space="preserve">December 31, 2021, </w:t>
      </w:r>
      <w:r>
        <w:rPr>
          <w:sz w:val="20"/>
          <w:szCs w:val="20"/>
        </w:rPr>
        <w:t>the Company had $224.9 million available under this share repurchase program.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from time to time, repurchases shares of its common stock in amounts that offset new issuances of common stock relating to the exercise of stock options or the issuance of restricted stock awards. These repurchases </w:t>
      </w:r>
      <w:r>
        <w:rPr>
          <w:rStyle w:val="a6"/>
          <w:sz w:val="20"/>
          <w:szCs w:val="20"/>
        </w:rPr>
        <w:t xml:space="preserve">may </w:t>
      </w:r>
      <w:r>
        <w:rPr>
          <w:sz w:val="20"/>
          <w:szCs w:val="20"/>
        </w:rPr>
        <w:t>occur in open market pur</w:t>
      </w:r>
      <w:r>
        <w:rPr>
          <w:sz w:val="20"/>
          <w:szCs w:val="20"/>
        </w:rPr>
        <w:t xml:space="preserve">chases, privately negotiated transactions or otherwise subject to prevailing market conditions, the Company’s liquidity requirements, contractual restrictions and other factors. During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the Company repurchased 1,084,953, 294,346 and </w:t>
      </w:r>
      <w:r>
        <w:rPr>
          <w:sz w:val="20"/>
          <w:szCs w:val="20"/>
        </w:rPr>
        <w:t>223,609 shares, respectively, relating to shares of common stock surrendered to the Company to satisfy statutory minimum tax withholding obligations relating to the vesting of restricted stock awards under the Company’s equity-based compensation plans.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C</w:t>
      </w:r>
      <w:r>
        <w:rPr>
          <w:i/>
          <w:iCs/>
          <w:sz w:val="20"/>
          <w:szCs w:val="20"/>
        </w:rPr>
        <w:t>onvertible Units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has various types of convertible units that were issued in connection with the purchase of operating properties (see Footnote </w:t>
      </w:r>
      <w:r>
        <w:rPr>
          <w:rStyle w:val="a6"/>
          <w:sz w:val="20"/>
          <w:szCs w:val="20"/>
        </w:rPr>
        <w:t>16</w:t>
      </w:r>
      <w:r>
        <w:rPr>
          <w:sz w:val="20"/>
          <w:szCs w:val="20"/>
        </w:rPr>
        <w:t xml:space="preserve"> of the Notes to Consolidated Financial Statements). The amount of consideration that would be pa</w:t>
      </w:r>
      <w:r>
        <w:rPr>
          <w:sz w:val="20"/>
          <w:szCs w:val="20"/>
        </w:rPr>
        <w:t xml:space="preserve">id to unaffiliated holders of units issued from the Company’s consolidated subsidiaries which are </w:t>
      </w:r>
      <w:r>
        <w:rPr>
          <w:rStyle w:val="a6"/>
          <w:sz w:val="20"/>
          <w:szCs w:val="20"/>
        </w:rPr>
        <w:t>not</w:t>
      </w:r>
      <w:r>
        <w:rPr>
          <w:sz w:val="20"/>
          <w:szCs w:val="20"/>
        </w:rPr>
        <w:t xml:space="preserve"> mandatorily redeemable, as if the termination of these consolidated subsidiaries occurred on </w:t>
      </w:r>
      <w:r>
        <w:rPr>
          <w:rStyle w:val="a6"/>
          <w:sz w:val="20"/>
          <w:szCs w:val="20"/>
        </w:rPr>
        <w:t xml:space="preserve">December 31, 2021, </w:t>
      </w:r>
      <w:r>
        <w:rPr>
          <w:sz w:val="20"/>
          <w:szCs w:val="20"/>
        </w:rPr>
        <w:t>is $60.9 million. The Company has the opti</w:t>
      </w:r>
      <w:r>
        <w:rPr>
          <w:sz w:val="20"/>
          <w:szCs w:val="20"/>
        </w:rPr>
        <w:t>on to settle such redemption in cash or shares of the Company’s common stock. If the Company exercised its right to settle in common stock, the unit holders would receive 2.6 million shares of common stock.</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63709727"/>
        <w:rPr>
          <w:rFonts w:eastAsia="Times New Roman"/>
          <w:sz w:val="20"/>
          <w:szCs w:val="20"/>
        </w:rPr>
      </w:pPr>
      <w:r>
        <w:rPr>
          <w:rStyle w:val="a6"/>
          <w:rFonts w:eastAsia="Times New Roman"/>
          <w:sz w:val="20"/>
          <w:szCs w:val="20"/>
        </w:rPr>
        <w:t>85</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7" style="width:415.3pt;height:1.5pt" o:hralign="center" o:hrstd="t" o:hrnoshade="t" o:hr="t" fillcolor="black" stroked="f"/>
        </w:pict>
      </w:r>
    </w:p>
    <w:p w:rsidR="00000000" w:rsidRDefault="001D2166">
      <w:pPr>
        <w:divId w:val="9116206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356546276"/>
        <w:rPr>
          <w:rFonts w:eastAsia="Times New Roman"/>
          <w:sz w:val="20"/>
          <w:szCs w:val="20"/>
        </w:rPr>
      </w:pPr>
      <w:r>
        <w:rPr>
          <w:rFonts w:eastAsia="Times New Roman"/>
          <w:sz w:val="20"/>
          <w:szCs w:val="20"/>
        </w:rPr>
        <w:t xml:space="preserve">KIMCO REALTY CORPORATION AND SUBSIDIARIES </w:t>
      </w:r>
    </w:p>
    <w:p w:rsidR="00000000" w:rsidRDefault="001D2166">
      <w:pPr>
        <w:divId w:val="987129486"/>
        <w:rPr>
          <w:rFonts w:eastAsia="Times New Roman"/>
          <w:sz w:val="20"/>
          <w:szCs w:val="20"/>
        </w:rPr>
      </w:pPr>
      <w:r>
        <w:rPr>
          <w:rFonts w:eastAsia="Times New Roman"/>
          <w:sz w:val="20"/>
          <w:szCs w:val="20"/>
        </w:rPr>
        <w:t xml:space="preserve">  </w:t>
      </w:r>
    </w:p>
    <w:p w:rsidR="00000000" w:rsidRDefault="001D2166">
      <w:pPr>
        <w:jc w:val="center"/>
        <w:divId w:val="1021778007"/>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firstLine="360"/>
        <w:jc w:val="both"/>
        <w:rPr>
          <w:sz w:val="20"/>
          <w:szCs w:val="20"/>
        </w:rPr>
      </w:pPr>
      <w:r>
        <w:rPr>
          <w:i/>
          <w:iCs/>
          <w:sz w:val="20"/>
          <w:szCs w:val="20"/>
        </w:rPr>
        <w:t>Dividends Declared</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table provides a summary of the dividends declared per share:</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47"/>
        <w:gridCol w:w="56"/>
        <w:gridCol w:w="100"/>
        <w:gridCol w:w="1053"/>
        <w:gridCol w:w="56"/>
        <w:gridCol w:w="56"/>
        <w:gridCol w:w="100"/>
        <w:gridCol w:w="1053"/>
        <w:gridCol w:w="56"/>
        <w:gridCol w:w="57"/>
        <w:gridCol w:w="100"/>
        <w:gridCol w:w="1054"/>
        <w:gridCol w:w="5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jc w:val="center"/>
              <w:rPr>
                <w:rFonts w:eastAsia="Times New Roman"/>
                <w:sz w:val="20"/>
                <w:szCs w:val="20"/>
              </w:rPr>
            </w:pPr>
            <w:r>
              <w:rPr>
                <w:rFonts w:eastAsia="Times New Roman"/>
                <w:b/>
                <w:bCs/>
                <w:sz w:val="20"/>
                <w:szCs w:val="20"/>
              </w:rPr>
              <w:t>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Common Stock</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0.68000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0.54000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1.12000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Class I Depositary Shares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0.99583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Class J Depositary Shares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1.37500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Class K Depositary Shares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0.93359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Class L Depositary Shares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Class M Depositary Shares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532808861"/>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1000" w:hanging="1000"/>
        <w:rPr>
          <w:sz w:val="20"/>
          <w:szCs w:val="20"/>
        </w:rPr>
      </w:pPr>
      <w:r>
        <w:rPr>
          <w:rStyle w:val="a6"/>
          <w:sz w:val="20"/>
          <w:szCs w:val="20"/>
        </w:rPr>
        <w:t>19.</w:t>
      </w:r>
      <w:r>
        <w:rPr>
          <w:sz w:val="20"/>
          <w:szCs w:val="20"/>
        </w:rPr>
        <w:t>  </w:t>
      </w:r>
      <w:r>
        <w:rPr>
          <w:sz w:val="20"/>
          <w:szCs w:val="20"/>
          <w:u w:val="single"/>
        </w:rPr>
        <w:t>Supplemental Schedule of Non-Cash Investing/Financing Activities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following schedule summarizes the non-cash investing and financing activities of the Company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(in thousands):</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Acquisition of real estate interests through proceeds held in escrow</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36,076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Proceeds deposited in escrow through sale of real estate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5,106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Disposition of real estate interests through the issuance of mortgage receivable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Disposition of real estate interests by a deed in lieu/foreclosure of debt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3,892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Forgiveness of debt due to a deed in lieu/foreclosure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6,905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Capital expenditures accrual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34,651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37,411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65,900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Surrender of common stock</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20,909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5,395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4,030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126,274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Decrease in redeemable noncontrolling interests’ carrying amount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(2,304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r>
              <w:rPr>
                <w:rFonts w:eastAsia="Times New Roman"/>
                <w:sz w:val="20"/>
                <w:szCs w:val="20"/>
              </w:rPr>
              <w:t>2,160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Lease liabilities arising from obtaining operating right-of-use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553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Allocation of fair value to noncontrolling interests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2,068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Purchase price fair value adjustment to prepaid rent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15,620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Decrease in noncontrolling interests from redemption of units for common stock</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1,540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Weingarten Merger:</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Real estate assets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5,627,469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585,382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Notes payable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(1,497,632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Mortgages payable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(317,671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Below-market leases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(119,373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Noncontrolling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(177,039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Other assets and liabilities,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(154,775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Lease liabilities arising from obtaining operating right-of-use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32,569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Lease liabilities arising from obtaining financing right-of-use assets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23,026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Common stock issued in exchange for Weingarten common shares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(3,738,735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Consolidation of Joint Ventures: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Increase in real estate and other assets,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506,266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7,884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Increase in mortgages payable, other liabilities and noncontrolling interests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234,091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7,747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Deconsolidation of Joint Venture:</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Decrease in real estate and other assets,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300,099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Decrease in mortgages payable and other liabilities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170,000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table provides a reconciliation of cash, cash equivalents and restricted cash recorded on the Company’s Consolidated Balance Sheets to the Company’s Consolidated Statements of Cash Flows (in thousands):</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2351"/>
        <w:gridCol w:w="50"/>
        <w:gridCol w:w="1060"/>
        <w:gridCol w:w="1610"/>
        <w:gridCol w:w="50"/>
        <w:gridCol w:w="50"/>
        <w:gridCol w:w="1060"/>
        <w:gridCol w:w="1610"/>
        <w:gridCol w:w="50"/>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ind w:left="96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ind w:left="960"/>
              <w:jc w:val="center"/>
              <w:rPr>
                <w:sz w:val="20"/>
                <w:szCs w:val="20"/>
              </w:rPr>
            </w:pPr>
            <w:r>
              <w:rPr>
                <w:b/>
                <w:bCs/>
                <w:sz w:val="20"/>
                <w:szCs w:val="20"/>
              </w:rPr>
              <w:t>As of December 31, 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Cash and cash equivalents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96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ind w:left="960"/>
              <w:jc w:val="right"/>
              <w:rPr>
                <w:rFonts w:eastAsia="Times New Roman"/>
                <w:sz w:val="20"/>
                <w:szCs w:val="20"/>
              </w:rPr>
            </w:pPr>
            <w:r>
              <w:rPr>
                <w:rFonts w:eastAsia="Times New Roman"/>
                <w:sz w:val="20"/>
                <w:szCs w:val="20"/>
              </w:rPr>
              <w:t>325,631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96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ind w:left="960"/>
              <w:jc w:val="right"/>
              <w:rPr>
                <w:rFonts w:eastAsia="Times New Roman"/>
                <w:sz w:val="20"/>
                <w:szCs w:val="20"/>
              </w:rPr>
            </w:pPr>
            <w:r>
              <w:rPr>
                <w:rFonts w:eastAsia="Times New Roman"/>
                <w:sz w:val="20"/>
                <w:szCs w:val="20"/>
              </w:rPr>
              <w:t>292,953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Restricted cash</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ind w:left="960"/>
              <w:jc w:val="right"/>
              <w:rPr>
                <w:rFonts w:eastAsia="Times New Roman"/>
                <w:sz w:val="20"/>
                <w:szCs w:val="20"/>
              </w:rPr>
            </w:pPr>
            <w:r>
              <w:rPr>
                <w:rFonts w:eastAsia="Times New Roman"/>
                <w:sz w:val="20"/>
                <w:szCs w:val="20"/>
              </w:rPr>
              <w:t>9,032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ind w:left="960"/>
              <w:jc w:val="right"/>
              <w:rPr>
                <w:rFonts w:eastAsia="Times New Roman"/>
                <w:sz w:val="20"/>
                <w:szCs w:val="20"/>
              </w:rPr>
            </w:pPr>
            <w:r>
              <w:rPr>
                <w:rFonts w:eastAsia="Times New Roman"/>
                <w:sz w:val="20"/>
                <w:szCs w:val="20"/>
              </w:rPr>
              <w:t>235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cash, cash equivalents and restricted cash</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ind w:left="960"/>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ind w:left="960"/>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ind w:left="960"/>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ind w:left="960"/>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9013218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1000" w:hanging="1000"/>
        <w:rPr>
          <w:sz w:val="20"/>
          <w:szCs w:val="20"/>
        </w:rPr>
      </w:pPr>
      <w:r>
        <w:rPr>
          <w:rStyle w:val="a6"/>
          <w:sz w:val="20"/>
          <w:szCs w:val="20"/>
        </w:rPr>
        <w:t>20.</w:t>
      </w:r>
      <w:r>
        <w:rPr>
          <w:sz w:val="20"/>
          <w:szCs w:val="20"/>
        </w:rPr>
        <w:t>  </w:t>
      </w:r>
      <w:r>
        <w:rPr>
          <w:sz w:val="20"/>
          <w:szCs w:val="20"/>
          <w:u w:val="single"/>
        </w:rPr>
        <w:t>Transactions with Related Parties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provides management services for shopping centers owned principally by affiliated entities and various real estate joint ventures in which certain stockholders of the Company have economic interests. Such se</w:t>
      </w:r>
      <w:r>
        <w:rPr>
          <w:sz w:val="20"/>
          <w:szCs w:val="20"/>
        </w:rPr>
        <w:t>rvices are performed pursuant to management agreements which provide for fees based upon a percentage of gross revenues from the properties and other direct costs incurred in connection with management of the centers. Substantially all of the Management an</w:t>
      </w:r>
      <w:r>
        <w:rPr>
          <w:sz w:val="20"/>
          <w:szCs w:val="20"/>
        </w:rPr>
        <w:t xml:space="preserve">d other fee income on the Company’s Consolidated Statements of Income constitute fees earned from affiliated entities. Reference is made to Footnote </w:t>
      </w:r>
      <w:r>
        <w:rPr>
          <w:rStyle w:val="a6"/>
          <w:sz w:val="20"/>
          <w:szCs w:val="20"/>
        </w:rPr>
        <w:t>7</w:t>
      </w:r>
      <w:r>
        <w:rPr>
          <w:sz w:val="20"/>
          <w:szCs w:val="20"/>
        </w:rPr>
        <w:t xml:space="preserve"> of the Notes to Consolidated Financial Statements for additional information regarding transactions with </w:t>
      </w:r>
      <w:r>
        <w:rPr>
          <w:sz w:val="20"/>
          <w:szCs w:val="20"/>
        </w:rPr>
        <w:t>related parties.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272397287"/>
        <w:rPr>
          <w:rFonts w:eastAsia="Times New Roman"/>
          <w:sz w:val="20"/>
          <w:szCs w:val="20"/>
        </w:rPr>
      </w:pPr>
      <w:r>
        <w:rPr>
          <w:rStyle w:val="a6"/>
          <w:rFonts w:eastAsia="Times New Roman"/>
          <w:sz w:val="20"/>
          <w:szCs w:val="20"/>
        </w:rPr>
        <w:t>86</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8" style="width:415.3pt;height:1.5pt" o:hralign="center" o:hrstd="t" o:hrnoshade="t" o:hr="t" fillcolor="black" stroked="f"/>
        </w:pict>
      </w:r>
    </w:p>
    <w:p w:rsidR="00000000" w:rsidRDefault="001D2166">
      <w:pPr>
        <w:divId w:val="17193588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730228912"/>
        <w:rPr>
          <w:rFonts w:eastAsia="Times New Roman"/>
          <w:sz w:val="20"/>
          <w:szCs w:val="20"/>
        </w:rPr>
      </w:pPr>
      <w:r>
        <w:rPr>
          <w:rFonts w:eastAsia="Times New Roman"/>
          <w:sz w:val="20"/>
          <w:szCs w:val="20"/>
        </w:rPr>
        <w:t xml:space="preserve">KIMCO REALTY CORPORATION AND SUBSIDIARIES </w:t>
      </w:r>
    </w:p>
    <w:p w:rsidR="00000000" w:rsidRDefault="001D2166">
      <w:pPr>
        <w:divId w:val="1407990799"/>
        <w:rPr>
          <w:rFonts w:eastAsia="Times New Roman"/>
          <w:sz w:val="20"/>
          <w:szCs w:val="20"/>
        </w:rPr>
      </w:pPr>
      <w:r>
        <w:rPr>
          <w:rFonts w:eastAsia="Times New Roman"/>
          <w:sz w:val="20"/>
          <w:szCs w:val="20"/>
        </w:rPr>
        <w:t xml:space="preserve">  </w:t>
      </w:r>
    </w:p>
    <w:p w:rsidR="00000000" w:rsidRDefault="001D2166">
      <w:pPr>
        <w:jc w:val="center"/>
        <w:divId w:val="1632398710"/>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i/>
          <w:iCs/>
          <w:sz w:val="20"/>
          <w:szCs w:val="20"/>
        </w:rPr>
        <w:t>Ripco</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Ripco Real Estate Corp. (“Ripco”</w:t>
      </w:r>
      <w:r>
        <w:rPr>
          <w:sz w:val="20"/>
          <w:szCs w:val="20"/>
        </w:rPr>
        <w:t>) business activities include serving as a leasing agent and representative for national and regional retailers including Target, Best Buy, Kohl’s and many others, providing real estate brokerage services and principal real estate investing. Todd Cooper, a</w:t>
      </w:r>
      <w:r>
        <w:rPr>
          <w:sz w:val="20"/>
          <w:szCs w:val="20"/>
        </w:rPr>
        <w:t xml:space="preserve">n officer and 50% shareholder of Ripco, is a son of Milton Cooper, Executive Chairman of the Board of Directors of the Company. During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the Company paid brokerage commissions of $0.4 million, $0.5 million and $0.4 million, respectively,</w:t>
      </w:r>
      <w:r>
        <w:rPr>
          <w:sz w:val="20"/>
          <w:szCs w:val="20"/>
        </w:rPr>
        <w:t xml:space="preserve"> to Ripco for services rendered primarily as leasing agent for various national tenants in shopping center properties owned by the Company.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Fifth Wall</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the Company entered into an investment commitment of up to $25.0 million with Fifth Wall</w:t>
      </w:r>
      <w:r>
        <w:rPr>
          <w:sz w:val="20"/>
          <w:szCs w:val="20"/>
        </w:rPr>
        <w:t xml:space="preserve">’s Climate Technology Fund, of which $2.8 million has been funded as of </w:t>
      </w:r>
      <w:r>
        <w:rPr>
          <w:rStyle w:val="a6"/>
          <w:sz w:val="20"/>
          <w:szCs w:val="20"/>
        </w:rPr>
        <w:t xml:space="preserve">December 31, 2021. </w:t>
      </w:r>
      <w:r>
        <w:rPr>
          <w:sz w:val="20"/>
          <w:szCs w:val="20"/>
        </w:rPr>
        <w:t xml:space="preserve">During </w:t>
      </w:r>
      <w:r>
        <w:rPr>
          <w:rStyle w:val="a6"/>
          <w:sz w:val="20"/>
          <w:szCs w:val="20"/>
        </w:rPr>
        <w:t xml:space="preserve">October 2021, </w:t>
      </w:r>
      <w:r>
        <w:rPr>
          <w:sz w:val="20"/>
          <w:szCs w:val="20"/>
        </w:rPr>
        <w:t>Mary Hogan Preusse, a member of the Company’s Board of Directors, joined Fifth Wall as a Senior Advisor.</w:t>
      </w:r>
    </w:p>
    <w:p w:rsidR="00000000" w:rsidRDefault="001D2166">
      <w:pPr>
        <w:pStyle w:val="a3"/>
        <w:spacing w:before="0" w:beforeAutospacing="0" w:after="0" w:afterAutospacing="0"/>
        <w:rPr>
          <w:sz w:val="20"/>
          <w:szCs w:val="20"/>
        </w:rPr>
      </w:pPr>
      <w:r>
        <w:rPr>
          <w:sz w:val="20"/>
          <w:szCs w:val="20"/>
        </w:rPr>
        <w:t> </w:t>
      </w:r>
    </w:p>
    <w:p w:rsidR="00000000" w:rsidRDefault="001D2166">
      <w:pPr>
        <w:divId w:val="630675341"/>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1000" w:hanging="1000"/>
        <w:rPr>
          <w:sz w:val="20"/>
          <w:szCs w:val="20"/>
        </w:rPr>
      </w:pPr>
      <w:r>
        <w:rPr>
          <w:rStyle w:val="a6"/>
          <w:sz w:val="20"/>
          <w:szCs w:val="20"/>
        </w:rPr>
        <w:t>21.</w:t>
      </w:r>
      <w:r>
        <w:rPr>
          <w:sz w:val="20"/>
          <w:szCs w:val="20"/>
        </w:rPr>
        <w:t>  </w:t>
      </w:r>
      <w:r>
        <w:rPr>
          <w:sz w:val="20"/>
          <w:szCs w:val="20"/>
          <w:u w:val="single"/>
        </w:rPr>
        <w:t>Commitments and Contingencies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Letters of Credit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has issued letters of credit in connection with the completion and repayment guarantees primarily on certain of the Company’s redevelopment projects and guaranty of payment related to the Company’s insurance program. At </w:t>
      </w:r>
      <w:r>
        <w:rPr>
          <w:rStyle w:val="a6"/>
          <w:sz w:val="20"/>
          <w:szCs w:val="20"/>
        </w:rPr>
        <w:t xml:space="preserve">December 31, 2021, </w:t>
      </w:r>
      <w:r>
        <w:rPr>
          <w:sz w:val="20"/>
          <w:szCs w:val="20"/>
        </w:rPr>
        <w:t>these letters of credit aggregated $44.5 million.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Funding Commitments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has </w:t>
      </w:r>
      <w:r>
        <w:rPr>
          <w:rStyle w:val="a6"/>
          <w:sz w:val="20"/>
          <w:szCs w:val="20"/>
        </w:rPr>
        <w:t>two</w:t>
      </w:r>
      <w:r>
        <w:rPr>
          <w:sz w:val="20"/>
          <w:szCs w:val="20"/>
        </w:rPr>
        <w:t xml:space="preserve"> investments, including Fifth Wall discussed above, that </w:t>
      </w:r>
      <w:r>
        <w:rPr>
          <w:sz w:val="20"/>
          <w:szCs w:val="20"/>
        </w:rPr>
        <w:t xml:space="preserve">have investment funding commitments totaling $27.0 million, of which $4.3 million has been funded as of </w:t>
      </w:r>
      <w:r>
        <w:rPr>
          <w:rStyle w:val="a6"/>
          <w:sz w:val="20"/>
          <w:szCs w:val="20"/>
        </w:rPr>
        <w:t xml:space="preserve">December 31, 2021. </w:t>
      </w:r>
      <w:r>
        <w:rPr>
          <w:sz w:val="20"/>
          <w:szCs w:val="20"/>
        </w:rPr>
        <w:t xml:space="preserve">The Company’s remaining commitment to fund related to these investments is $22.7 million in total as of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Other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connection with the construction of its development and redevelopment projects and related infrastructure, certain public agencies require posting of performance and surety bonds to guarantee that the Company’s obligations are satisfied. These bonds exp</w:t>
      </w:r>
      <w:r>
        <w:rPr>
          <w:sz w:val="20"/>
          <w:szCs w:val="20"/>
        </w:rPr>
        <w:t xml:space="preserve">ire upon the completion of the improvements and infrastructure. As of </w:t>
      </w:r>
      <w:r>
        <w:rPr>
          <w:rStyle w:val="a6"/>
          <w:sz w:val="20"/>
          <w:szCs w:val="20"/>
        </w:rPr>
        <w:t xml:space="preserve">December 31, 2021, </w:t>
      </w:r>
      <w:r>
        <w:rPr>
          <w:sz w:val="20"/>
          <w:szCs w:val="20"/>
        </w:rPr>
        <w:t>there were $12.7 million in performance and surety bonds outstanding.</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connection with the Merger, the Company now provides a guaranty for the payment of any debt service shortfalls on the Sheridan Redevelopment Agency issued Series A bonds which are tax increment revenue bonds issued in connection with a development proje</w:t>
      </w:r>
      <w:r>
        <w:rPr>
          <w:sz w:val="20"/>
          <w:szCs w:val="20"/>
        </w:rPr>
        <w:t xml:space="preserve">ct in Sheridan, Colorado. These tax increment revenue bonds have a balance of $49.7 million outstanding at </w:t>
      </w:r>
      <w:r>
        <w:rPr>
          <w:rStyle w:val="a6"/>
          <w:sz w:val="20"/>
          <w:szCs w:val="20"/>
        </w:rPr>
        <w:t xml:space="preserve">December 31, 2021. </w:t>
      </w:r>
      <w:r>
        <w:rPr>
          <w:sz w:val="20"/>
          <w:szCs w:val="20"/>
        </w:rPr>
        <w:t>The bonds are to be repaid with incremental sales and property taxes and a public improvement fee ("PIF") to be assessed on curren</w:t>
      </w:r>
      <w:r>
        <w:rPr>
          <w:sz w:val="20"/>
          <w:szCs w:val="20"/>
        </w:rPr>
        <w:t xml:space="preserve">t and future retail sales and, to the extent necessary, any amounts we </w:t>
      </w:r>
      <w:r>
        <w:rPr>
          <w:rStyle w:val="a6"/>
          <w:sz w:val="20"/>
          <w:szCs w:val="20"/>
        </w:rPr>
        <w:t xml:space="preserve">may </w:t>
      </w:r>
      <w:r>
        <w:rPr>
          <w:sz w:val="20"/>
          <w:szCs w:val="20"/>
        </w:rPr>
        <w:t>have to provide under a guaranty. The revenue generated from incremental sales, property taxes and PIF have satisfied the debt service requirements to date. The incremental taxes an</w:t>
      </w:r>
      <w:r>
        <w:rPr>
          <w:sz w:val="20"/>
          <w:szCs w:val="20"/>
        </w:rPr>
        <w:t xml:space="preserve">d PIF are to remain intact until the earlier of the payment of the bond liability in full or </w:t>
      </w:r>
      <w:r>
        <w:rPr>
          <w:rStyle w:val="a6"/>
          <w:sz w:val="20"/>
          <w:szCs w:val="20"/>
        </w:rPr>
        <w:t>2040.</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is subject to various other legal proceedings and claims that arise in the ordinary course of business. Management believes that the final outc</w:t>
      </w:r>
      <w:r>
        <w:rPr>
          <w:sz w:val="20"/>
          <w:szCs w:val="20"/>
        </w:rPr>
        <w:t xml:space="preserve">ome of such matters will </w:t>
      </w:r>
      <w:r>
        <w:rPr>
          <w:rStyle w:val="a6"/>
          <w:sz w:val="20"/>
          <w:szCs w:val="20"/>
        </w:rPr>
        <w:t>not</w:t>
      </w:r>
      <w:r>
        <w:rPr>
          <w:sz w:val="20"/>
          <w:szCs w:val="20"/>
        </w:rPr>
        <w:t xml:space="preserve"> have a material adverse effect on the financial position, results of operations or liquidity of the Company taken as a whole as of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divId w:val="183182331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1000" w:hanging="1000"/>
        <w:rPr>
          <w:sz w:val="20"/>
          <w:szCs w:val="20"/>
        </w:rPr>
      </w:pPr>
      <w:r>
        <w:rPr>
          <w:rStyle w:val="a6"/>
          <w:sz w:val="20"/>
          <w:szCs w:val="20"/>
        </w:rPr>
        <w:t>22.</w:t>
      </w:r>
      <w:r>
        <w:rPr>
          <w:sz w:val="20"/>
          <w:szCs w:val="20"/>
        </w:rPr>
        <w:t>  </w:t>
      </w:r>
      <w:r>
        <w:rPr>
          <w:sz w:val="20"/>
          <w:szCs w:val="20"/>
          <w:u w:val="single"/>
        </w:rPr>
        <w:t>Incentive Plans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May 2020, </w:t>
      </w:r>
      <w:r>
        <w:rPr>
          <w:sz w:val="20"/>
          <w:szCs w:val="20"/>
        </w:rPr>
        <w:t>the Company’s stockholders approved</w:t>
      </w:r>
      <w:r>
        <w:rPr>
          <w:sz w:val="20"/>
          <w:szCs w:val="20"/>
        </w:rPr>
        <w:t xml:space="preserve">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(the </w:t>
      </w:r>
      <w:r>
        <w:rPr>
          <w:rStyle w:val="a6"/>
          <w:sz w:val="20"/>
          <w:szCs w:val="20"/>
        </w:rPr>
        <w:t>“2010</w:t>
      </w:r>
      <w:r>
        <w:rPr>
          <w:sz w:val="20"/>
          <w:szCs w:val="20"/>
        </w:rPr>
        <w:t xml:space="preserve"> Plan” and together with the </w:t>
      </w:r>
      <w:r>
        <w:rPr>
          <w:rStyle w:val="a6"/>
          <w:sz w:val="20"/>
          <w:szCs w:val="20"/>
        </w:rPr>
        <w:t>2020</w:t>
      </w:r>
      <w:r>
        <w:rPr>
          <w:sz w:val="20"/>
          <w:szCs w:val="20"/>
        </w:rPr>
        <w:t xml:space="preserve"> Plan, the “Plan”) that expired in </w:t>
      </w:r>
      <w:r>
        <w:rPr>
          <w:rStyle w:val="a6"/>
          <w:sz w:val="20"/>
          <w:szCs w:val="20"/>
        </w:rPr>
        <w:t>March 2020.  </w:t>
      </w:r>
      <w:r>
        <w:rPr>
          <w:sz w:val="20"/>
          <w:szCs w:val="20"/>
        </w:rPr>
        <w:t xml:space="preserve">The </w:t>
      </w:r>
      <w:r>
        <w:rPr>
          <w:rStyle w:val="a6"/>
          <w:sz w:val="20"/>
          <w:szCs w:val="20"/>
        </w:rPr>
        <w:t>2020</w:t>
      </w:r>
      <w:r>
        <w:rPr>
          <w:sz w:val="20"/>
          <w:szCs w:val="20"/>
        </w:rPr>
        <w:t xml:space="preserve"> Plan pro</w:t>
      </w:r>
      <w:r>
        <w:rPr>
          <w:sz w:val="20"/>
          <w:szCs w:val="20"/>
        </w:rPr>
        <w:t>vides for a maximum of 10.0 million shares of the Company’s common stock to be reserved for the issuance of stock options, stock appreciation rights, restricted stock, restricted stock units, performance awards, dividend equivalents, stock payments and def</w:t>
      </w:r>
      <w:r>
        <w:rPr>
          <w:sz w:val="20"/>
          <w:szCs w:val="20"/>
        </w:rPr>
        <w:t xml:space="preserve">erred stock awards.  At </w:t>
      </w:r>
      <w:r>
        <w:rPr>
          <w:rStyle w:val="a6"/>
          <w:sz w:val="20"/>
          <w:szCs w:val="20"/>
        </w:rPr>
        <w:t xml:space="preserve">December 31, 2021, </w:t>
      </w:r>
      <w:r>
        <w:rPr>
          <w:sz w:val="20"/>
          <w:szCs w:val="20"/>
        </w:rPr>
        <w:t xml:space="preserve">the Company had 8.5 million shares of common stock available for issuance under the </w:t>
      </w:r>
      <w:r>
        <w:rPr>
          <w:rStyle w:val="a6"/>
          <w:sz w:val="20"/>
          <w:szCs w:val="20"/>
        </w:rPr>
        <w:t>2020</w:t>
      </w:r>
      <w:r>
        <w:rPr>
          <w:sz w:val="20"/>
          <w:szCs w:val="20"/>
        </w:rPr>
        <w:t xml:space="preserve"> Plan.</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853908677"/>
        <w:rPr>
          <w:rFonts w:eastAsia="Times New Roman"/>
          <w:sz w:val="20"/>
          <w:szCs w:val="20"/>
        </w:rPr>
      </w:pPr>
      <w:r>
        <w:rPr>
          <w:rStyle w:val="a6"/>
          <w:rFonts w:eastAsia="Times New Roman"/>
          <w:sz w:val="20"/>
          <w:szCs w:val="20"/>
        </w:rPr>
        <w:t>87</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19" style="width:415.3pt;height:1.5pt" o:hralign="center" o:hrstd="t" o:hrnoshade="t" o:hr="t" fillcolor="black" stroked="f"/>
        </w:pict>
      </w:r>
    </w:p>
    <w:p w:rsidR="00000000" w:rsidRDefault="001D2166">
      <w:pPr>
        <w:divId w:val="100401189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792282673"/>
        <w:rPr>
          <w:rFonts w:eastAsia="Times New Roman"/>
          <w:sz w:val="20"/>
          <w:szCs w:val="20"/>
        </w:rPr>
      </w:pPr>
      <w:r>
        <w:rPr>
          <w:rFonts w:eastAsia="Times New Roman"/>
          <w:sz w:val="20"/>
          <w:szCs w:val="20"/>
        </w:rPr>
        <w:t>KIMCO REALTY CORPORATION AND SU</w:t>
      </w:r>
      <w:r>
        <w:rPr>
          <w:rFonts w:eastAsia="Times New Roman"/>
          <w:sz w:val="20"/>
          <w:szCs w:val="20"/>
        </w:rPr>
        <w:t xml:space="preserve">BSIDIARIES </w:t>
      </w:r>
    </w:p>
    <w:p w:rsidR="00000000" w:rsidRDefault="001D2166">
      <w:pPr>
        <w:divId w:val="709113709"/>
        <w:rPr>
          <w:rFonts w:eastAsia="Times New Roman"/>
          <w:sz w:val="20"/>
          <w:szCs w:val="20"/>
        </w:rPr>
      </w:pPr>
      <w:r>
        <w:rPr>
          <w:rFonts w:eastAsia="Times New Roman"/>
          <w:sz w:val="20"/>
          <w:szCs w:val="20"/>
        </w:rPr>
        <w:t xml:space="preserve">  </w:t>
      </w:r>
    </w:p>
    <w:p w:rsidR="00000000" w:rsidRDefault="001D2166">
      <w:pPr>
        <w:jc w:val="center"/>
        <w:divId w:val="1092167535"/>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 Company accounts for equity awards in accordance with FASB’s Compensation – Stock Compensation guidance which requires that all share-based payments to employees, including grants</w:t>
      </w:r>
      <w:r>
        <w:rPr>
          <w:sz w:val="20"/>
          <w:szCs w:val="20"/>
        </w:rPr>
        <w:t xml:space="preserve"> of employee stock options, restricted stock and performance shares, be recognized in the Consolidated Statements of Income over the service period based on their fair values. Fair value of performance awards is determined using the Monte Carlo method, whi</w:t>
      </w:r>
      <w:r>
        <w:rPr>
          <w:sz w:val="20"/>
          <w:szCs w:val="20"/>
        </w:rPr>
        <w:t>ch is intended to estimate the fair value of the awards at the grant date. Fair value of restricted shares is based on the price on the date of grant.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recognized expense associated with its equity awards of $23.2 million, $23.7 million and $2</w:t>
      </w:r>
      <w:r>
        <w:rPr>
          <w:sz w:val="20"/>
          <w:szCs w:val="20"/>
        </w:rPr>
        <w:t xml:space="preserve">0.2 million,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respectively.  As of </w:t>
      </w:r>
      <w:r>
        <w:rPr>
          <w:rStyle w:val="a6"/>
          <w:sz w:val="20"/>
          <w:szCs w:val="20"/>
        </w:rPr>
        <w:t xml:space="preserve">December 31, 2021, </w:t>
      </w:r>
      <w:r>
        <w:rPr>
          <w:sz w:val="20"/>
          <w:szCs w:val="20"/>
        </w:rPr>
        <w:t>the Company had $36.5 million of total unrecognized compensation cost related to unvested stock compensation granted under the Plan.  That cost is ex</w:t>
      </w:r>
      <w:r>
        <w:rPr>
          <w:sz w:val="20"/>
          <w:szCs w:val="20"/>
        </w:rPr>
        <w:t>pected to be recognized over a weighted-average period of 2.7 years.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Stock Options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During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the Company did</w:t>
      </w:r>
      <w:r>
        <w:rPr>
          <w:sz w:val="20"/>
          <w:szCs w:val="20"/>
        </w:rPr>
        <w:t xml:space="preserve"> </w:t>
      </w:r>
      <w:r>
        <w:rPr>
          <w:sz w:val="20"/>
          <w:szCs w:val="20"/>
        </w:rPr>
        <w:t>no</w:t>
      </w:r>
      <w:r>
        <w:rPr>
          <w:sz w:val="20"/>
          <w:szCs w:val="20"/>
        </w:rPr>
        <w:t>t</w:t>
      </w:r>
      <w:r>
        <w:rPr>
          <w:sz w:val="20"/>
          <w:szCs w:val="20"/>
        </w:rPr>
        <w:t xml:space="preserve"> grant any stock options. Information with respect to stock options outstanding under the </w:t>
      </w:r>
      <w:r>
        <w:rPr>
          <w:rStyle w:val="a6"/>
          <w:sz w:val="20"/>
          <w:szCs w:val="20"/>
        </w:rPr>
        <w:t>2010</w:t>
      </w:r>
      <w:r>
        <w:rPr>
          <w:sz w:val="20"/>
          <w:szCs w:val="20"/>
        </w:rPr>
        <w:t xml:space="preserve"> Plan for the years ended </w:t>
      </w:r>
      <w:r>
        <w:rPr>
          <w:rStyle w:val="a6"/>
          <w:sz w:val="20"/>
          <w:szCs w:val="20"/>
        </w:rPr>
        <w:t>De</w:t>
      </w:r>
      <w:r>
        <w:rPr>
          <w:rStyle w:val="a6"/>
          <w:sz w:val="20"/>
          <w:szCs w:val="20"/>
        </w:rPr>
        <w:t>cember 31, 2021, 2020</w:t>
      </w:r>
      <w:r>
        <w:rPr>
          <w:sz w:val="20"/>
          <w:szCs w:val="20"/>
        </w:rPr>
        <w:t xml:space="preserve"> and </w:t>
      </w:r>
      <w:r>
        <w:rPr>
          <w:rStyle w:val="a6"/>
          <w:sz w:val="20"/>
          <w:szCs w:val="20"/>
        </w:rPr>
        <w:t>2019</w:t>
      </w:r>
      <w:r>
        <w:rPr>
          <w:sz w:val="20"/>
          <w:szCs w:val="20"/>
        </w:rPr>
        <w:t xml:space="preserve"> are as follows:</w:t>
      </w:r>
    </w:p>
    <w:p w:rsidR="00000000" w:rsidRDefault="001D2166">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7"/>
        <w:gridCol w:w="70"/>
        <w:gridCol w:w="70"/>
        <w:gridCol w:w="1042"/>
        <w:gridCol w:w="70"/>
        <w:gridCol w:w="70"/>
        <w:gridCol w:w="101"/>
        <w:gridCol w:w="1042"/>
        <w:gridCol w:w="70"/>
        <w:gridCol w:w="70"/>
        <w:gridCol w:w="101"/>
        <w:gridCol w:w="1042"/>
        <w:gridCol w:w="70"/>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Weighted-Average</w:t>
            </w:r>
          </w:p>
          <w:p w:rsidR="00000000" w:rsidRDefault="001D2166">
            <w:pPr>
              <w:pStyle w:val="a3"/>
              <w:spacing w:before="0" w:beforeAutospacing="0" w:after="0" w:afterAutospacing="0"/>
              <w:jc w:val="center"/>
              <w:rPr>
                <w:sz w:val="20"/>
                <w:szCs w:val="20"/>
              </w:rPr>
            </w:pPr>
            <w:r>
              <w:rPr>
                <w:b/>
                <w:bCs/>
                <w:sz w:val="20"/>
                <w:szCs w:val="20"/>
              </w:rPr>
              <w:t>Exercise Price</w:t>
            </w:r>
          </w:p>
          <w:p w:rsidR="00000000" w:rsidRDefault="001D2166">
            <w:pPr>
              <w:pStyle w:val="a3"/>
              <w:spacing w:before="0" w:beforeAutospacing="0" w:after="0" w:afterAutospacing="0"/>
              <w:jc w:val="center"/>
              <w:rPr>
                <w:sz w:val="20"/>
                <w:szCs w:val="20"/>
              </w:rPr>
            </w:pPr>
            <w:r>
              <w:rPr>
                <w:b/>
                <w:bCs/>
                <w:sz w:val="20"/>
                <w:szCs w:val="20"/>
              </w:rPr>
              <w:t>Per Share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Aggregate Intrinsic Value</w:t>
            </w:r>
          </w:p>
          <w:p w:rsidR="00000000" w:rsidRDefault="001D2166">
            <w:pPr>
              <w:pStyle w:val="a3"/>
              <w:spacing w:before="0" w:beforeAutospacing="0" w:after="0" w:afterAutospacing="0"/>
              <w:jc w:val="center"/>
              <w:rPr>
                <w:sz w:val="20"/>
                <w:szCs w:val="20"/>
              </w:rPr>
            </w:pPr>
            <w:r>
              <w:rPr>
                <w:b/>
                <w:bCs/>
                <w:sz w:val="20"/>
                <w:szCs w:val="20"/>
              </w:rPr>
              <w:t>(in millions)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Options outstanding, January 1, 2019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1,641,366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18.78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0.4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Exercised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r>
              <w:rPr>
                <w:rFonts w:eastAsia="Times New Roman"/>
                <w:sz w:val="20"/>
                <w:szCs w:val="20"/>
              </w:rPr>
              <w:t>268,856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14.43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Forfeited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(74,574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Options outstanding, December 31, 2019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1,297,936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19.60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Exercised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(63,365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0.2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Forfeited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(72,250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16.20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Options outstanding, December 31, 2020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1,162,321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20.03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Exercised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(315,750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Forfeited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(357,816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19.01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Options outstanding, December 31,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488,755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21.48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Options exercisable (fully vested)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December 31, 2019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1,297,936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19.60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540"/>
              <w:rPr>
                <w:sz w:val="20"/>
                <w:szCs w:val="20"/>
              </w:rPr>
            </w:pPr>
            <w:r>
              <w:rPr>
                <w:sz w:val="20"/>
                <w:szCs w:val="20"/>
              </w:rPr>
              <w:t>December 31, 2020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1,162,321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20.03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540"/>
              <w:rPr>
                <w:sz w:val="20"/>
                <w:szCs w:val="20"/>
              </w:rPr>
            </w:pPr>
            <w:r>
              <w:rPr>
                <w:sz w:val="20"/>
                <w:szCs w:val="20"/>
              </w:rPr>
              <w:t>December 31, 2021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488,755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21.48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exercise price per share for options outstanding as of </w:t>
      </w:r>
      <w:r>
        <w:rPr>
          <w:rStyle w:val="a6"/>
          <w:sz w:val="20"/>
          <w:szCs w:val="20"/>
        </w:rPr>
        <w:t xml:space="preserve">December 31, 2021 </w:t>
      </w:r>
      <w:r>
        <w:rPr>
          <w:sz w:val="20"/>
          <w:szCs w:val="20"/>
        </w:rPr>
        <w:t xml:space="preserve">ranges from $18.44 to $24.12. As of </w:t>
      </w:r>
      <w:r>
        <w:rPr>
          <w:rStyle w:val="a6"/>
          <w:sz w:val="20"/>
          <w:szCs w:val="20"/>
        </w:rPr>
        <w:t xml:space="preserve">December 31, 2021, </w:t>
      </w:r>
      <w:r>
        <w:rPr>
          <w:sz w:val="20"/>
          <w:szCs w:val="20"/>
        </w:rPr>
        <w:t>all of the Company’s outstanding options were vested. The weighted-average remaining contractual life for options outstandin</w:t>
      </w:r>
      <w:r>
        <w:rPr>
          <w:sz w:val="20"/>
          <w:szCs w:val="20"/>
        </w:rPr>
        <w:t xml:space="preserve">g and exercisable as of </w:t>
      </w:r>
      <w:r>
        <w:rPr>
          <w:rStyle w:val="a6"/>
          <w:sz w:val="20"/>
          <w:szCs w:val="20"/>
        </w:rPr>
        <w:t xml:space="preserve">December 31, 2021 </w:t>
      </w:r>
      <w:r>
        <w:rPr>
          <w:sz w:val="20"/>
          <w:szCs w:val="20"/>
        </w:rPr>
        <w:t xml:space="preserve">was 1.0 year. Cash received from options exercised under the </w:t>
      </w:r>
      <w:r>
        <w:rPr>
          <w:rStyle w:val="a6"/>
          <w:sz w:val="20"/>
          <w:szCs w:val="20"/>
        </w:rPr>
        <w:t>2010</w:t>
      </w:r>
      <w:r>
        <w:rPr>
          <w:sz w:val="20"/>
          <w:szCs w:val="20"/>
        </w:rPr>
        <w:t xml:space="preserve"> Plan was $6.1 million, $1.0 million and $3.9 million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Restricted Stock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Inform</w:t>
      </w:r>
      <w:r>
        <w:rPr>
          <w:sz w:val="20"/>
          <w:szCs w:val="20"/>
        </w:rPr>
        <w:t xml:space="preserve">ation with respect to restricted stock under the Plan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are as follows: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58"/>
        <w:gridCol w:w="67"/>
        <w:gridCol w:w="66"/>
        <w:gridCol w:w="1063"/>
        <w:gridCol w:w="67"/>
        <w:gridCol w:w="66"/>
        <w:gridCol w:w="66"/>
        <w:gridCol w:w="1063"/>
        <w:gridCol w:w="67"/>
        <w:gridCol w:w="66"/>
        <w:gridCol w:w="66"/>
        <w:gridCol w:w="1063"/>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ind w:left="4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Restricted stock outstanding as of January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2,394,825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2,367,843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2,104,914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vAlign w:val="bottom"/>
            <w:hideMark/>
          </w:tcPr>
          <w:p w:rsidR="00000000" w:rsidRDefault="001D2166">
            <w:pPr>
              <w:pStyle w:val="a3"/>
              <w:spacing w:before="0" w:beforeAutospacing="0" w:after="0" w:afterAutospacing="0"/>
              <w:ind w:left="180"/>
              <w:rPr>
                <w:sz w:val="20"/>
                <w:szCs w:val="20"/>
              </w:rPr>
            </w:pPr>
            <w:r>
              <w:rPr>
                <w:sz w:val="20"/>
                <w:szCs w:val="20"/>
              </w:rPr>
              <w:t>Granted (1)</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800" w:type="pct"/>
            <w:vAlign w:val="bottom"/>
            <w:hideMark/>
          </w:tcPr>
          <w:p w:rsidR="00000000" w:rsidRDefault="001D2166">
            <w:pPr>
              <w:jc w:val="right"/>
              <w:rPr>
                <w:rFonts w:eastAsia="Times New Roman"/>
                <w:sz w:val="20"/>
                <w:szCs w:val="20"/>
              </w:rPr>
            </w:pPr>
            <w:r>
              <w:rPr>
                <w:rFonts w:eastAsia="Times New Roman"/>
                <w:sz w:val="20"/>
                <w:szCs w:val="20"/>
              </w:rPr>
              <w:t>754,560</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800" w:type="pct"/>
            <w:vAlign w:val="bottom"/>
            <w:hideMark/>
          </w:tcPr>
          <w:p w:rsidR="00000000" w:rsidRDefault="001D2166">
            <w:pPr>
              <w:jc w:val="right"/>
              <w:rPr>
                <w:rFonts w:eastAsia="Times New Roman"/>
                <w:sz w:val="20"/>
                <w:szCs w:val="20"/>
              </w:rPr>
            </w:pPr>
            <w:r>
              <w:rPr>
                <w:rFonts w:eastAsia="Times New Roman"/>
                <w:sz w:val="20"/>
                <w:szCs w:val="20"/>
              </w:rPr>
              <w:t>820,150</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800" w:type="pct"/>
            <w:vAlign w:val="bottom"/>
            <w:hideMark/>
          </w:tcPr>
          <w:p w:rsidR="00000000" w:rsidRDefault="001D2166">
            <w:pPr>
              <w:jc w:val="right"/>
              <w:rPr>
                <w:rFonts w:eastAsia="Times New Roman"/>
                <w:sz w:val="20"/>
                <w:szCs w:val="20"/>
              </w:rPr>
            </w:pPr>
            <w:r>
              <w:rPr>
                <w:rFonts w:eastAsia="Times New Roman"/>
                <w:sz w:val="20"/>
                <w:szCs w:val="20"/>
              </w:rPr>
              <w:t>884,170</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Vested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(759,665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(784,120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(603,148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Forfeited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(42,112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(9,048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(18,093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Restricted stock outstanding as of December 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2,347,608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2,394,825</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2,367,843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360"/>
        <w:gridCol w:w="7896"/>
      </w:tblGrid>
      <w:tr w:rsidR="00000000">
        <w:trPr>
          <w:tblCellSpacing w:w="0" w:type="dxa"/>
        </w:trPr>
        <w:tc>
          <w:tcPr>
            <w:tcW w:w="6"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weighted-average grant date fair value for restricted stock issued during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were $17.81, $18.67 and $18.03, respectively.</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085760717"/>
        <w:rPr>
          <w:rFonts w:eastAsia="Times New Roman"/>
          <w:sz w:val="20"/>
          <w:szCs w:val="20"/>
        </w:rPr>
      </w:pPr>
      <w:r>
        <w:rPr>
          <w:rStyle w:val="a6"/>
          <w:rFonts w:eastAsia="Times New Roman"/>
          <w:sz w:val="20"/>
          <w:szCs w:val="20"/>
        </w:rPr>
        <w:t>88</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0" style="width:415.3pt;height:1.5pt" o:hralign="center" o:hrstd="t" o:hrnoshade="t" o:hr="t" fillcolor="black" stroked="f"/>
        </w:pict>
      </w:r>
    </w:p>
    <w:p w:rsidR="00000000" w:rsidRDefault="001D2166">
      <w:pPr>
        <w:divId w:val="20828258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1156805545"/>
        <w:rPr>
          <w:rFonts w:eastAsia="Times New Roman"/>
          <w:sz w:val="20"/>
          <w:szCs w:val="20"/>
        </w:rPr>
      </w:pPr>
      <w:r>
        <w:rPr>
          <w:rFonts w:eastAsia="Times New Roman"/>
          <w:sz w:val="20"/>
          <w:szCs w:val="20"/>
        </w:rPr>
        <w:t xml:space="preserve">KIMCO REALTY CORPORATION AND SUBSIDIARIES </w:t>
      </w:r>
    </w:p>
    <w:p w:rsidR="00000000" w:rsidRDefault="001D2166">
      <w:pPr>
        <w:divId w:val="1049691033"/>
        <w:rPr>
          <w:rFonts w:eastAsia="Times New Roman"/>
          <w:sz w:val="20"/>
          <w:szCs w:val="20"/>
        </w:rPr>
      </w:pPr>
      <w:r>
        <w:rPr>
          <w:rFonts w:eastAsia="Times New Roman"/>
          <w:sz w:val="20"/>
          <w:szCs w:val="20"/>
        </w:rPr>
        <w:t xml:space="preserve">  </w:t>
      </w:r>
    </w:p>
    <w:p w:rsidR="00000000" w:rsidRDefault="001D2166">
      <w:pPr>
        <w:jc w:val="center"/>
        <w:divId w:val="734283631"/>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Restricted shares have the same voting rights as the Company’</w:t>
      </w:r>
      <w:r>
        <w:rPr>
          <w:sz w:val="20"/>
          <w:szCs w:val="20"/>
        </w:rPr>
        <w:t xml:space="preserve">s common stock and are entitled to a cash dividend per share equal to the Company’s common dividend which is taxable as ordinary income to the holder.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w:t>
      </w:r>
      <w:r>
        <w:rPr>
          <w:sz w:val="20"/>
          <w:szCs w:val="20"/>
        </w:rPr>
        <w:t>the dividends paid on unvested restricted shares were $1.8 million, $2.2 million and $3.0 million,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Performance Shares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Information with respect to performance share awards under the </w:t>
      </w:r>
      <w:r>
        <w:rPr>
          <w:rStyle w:val="a6"/>
          <w:sz w:val="20"/>
          <w:szCs w:val="20"/>
        </w:rPr>
        <w:t>2010</w:t>
      </w:r>
      <w:r>
        <w:rPr>
          <w:sz w:val="20"/>
          <w:szCs w:val="20"/>
        </w:rPr>
        <w:t xml:space="preserve"> Plan for the years ended </w:t>
      </w:r>
      <w:r>
        <w:rPr>
          <w:rStyle w:val="a6"/>
          <w:sz w:val="20"/>
          <w:szCs w:val="20"/>
        </w:rPr>
        <w:t>December 31, 2021, 2020</w:t>
      </w:r>
      <w:r>
        <w:rPr>
          <w:sz w:val="20"/>
          <w:szCs w:val="20"/>
        </w:rPr>
        <w:t xml:space="preserve"> and</w:t>
      </w:r>
      <w:r>
        <w:rPr>
          <w:sz w:val="20"/>
          <w:szCs w:val="20"/>
        </w:rPr>
        <w:t xml:space="preserve"> </w:t>
      </w:r>
      <w:r>
        <w:rPr>
          <w:rStyle w:val="a6"/>
          <w:sz w:val="20"/>
          <w:szCs w:val="20"/>
        </w:rPr>
        <w:t>2019</w:t>
      </w:r>
      <w:r>
        <w:rPr>
          <w:sz w:val="20"/>
          <w:szCs w:val="20"/>
        </w:rPr>
        <w:t xml:space="preserve"> are as follows:</w:t>
      </w:r>
    </w:p>
    <w:tbl>
      <w:tblPr>
        <w:tblW w:w="4000" w:type="pct"/>
        <w:tblCellSpacing w:w="0" w:type="dxa"/>
        <w:tblInd w:w="10" w:type="dxa"/>
        <w:tblCellMar>
          <w:left w:w="0" w:type="dxa"/>
          <w:right w:w="0" w:type="dxa"/>
        </w:tblCellMar>
        <w:tblLook w:val="04A0" w:firstRow="1" w:lastRow="0" w:firstColumn="1" w:lastColumn="0" w:noHBand="0" w:noVBand="1"/>
      </w:tblPr>
      <w:tblGrid>
        <w:gridCol w:w="2858"/>
        <w:gridCol w:w="67"/>
        <w:gridCol w:w="66"/>
        <w:gridCol w:w="1063"/>
        <w:gridCol w:w="67"/>
        <w:gridCol w:w="66"/>
        <w:gridCol w:w="66"/>
        <w:gridCol w:w="1063"/>
        <w:gridCol w:w="67"/>
        <w:gridCol w:w="66"/>
        <w:gridCol w:w="66"/>
        <w:gridCol w:w="1063"/>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ind w:left="4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Performance share awards outstanding as of January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913,800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704,530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433,230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Granted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545,380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506,720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407,080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Vested (2)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(407,080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(297,450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r>
              <w:rPr>
                <w:rFonts w:eastAsia="Times New Roman"/>
                <w:sz w:val="20"/>
                <w:szCs w:val="20"/>
              </w:rPr>
              <w:t>135,780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Performance share awards outstanding as of December 31,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1,052,100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913,800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704,530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360"/>
        <w:gridCol w:w="7896"/>
      </w:tblGrid>
      <w:tr w:rsidR="00000000">
        <w:trPr>
          <w:tblCellSpacing w:w="0" w:type="dxa"/>
        </w:trPr>
        <w:tc>
          <w:tcPr>
            <w:tcW w:w="6"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weighted-average grant date fair value for performance shares issued during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were $22.96, $18.02 and $22.00, respectively.</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50"/>
        <w:gridCol w:w="360"/>
        <w:gridCol w:w="7896"/>
      </w:tblGrid>
      <w:tr w:rsidR="00000000">
        <w:trPr>
          <w:tblCellSpacing w:w="0" w:type="dxa"/>
        </w:trPr>
        <w:tc>
          <w:tcPr>
            <w:tcW w:w="6"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the corresponding c</w:t>
            </w:r>
            <w:r>
              <w:rPr>
                <w:sz w:val="20"/>
                <w:szCs w:val="20"/>
              </w:rPr>
              <w:t>ommon stock equivalent of these vested awards were 814,160, 594,900 and 104,551 shares, respectively.</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more significant assumptions underlying the determination of fair values for these performance awards granted during </w:t>
      </w:r>
      <w:r>
        <w:rPr>
          <w:rStyle w:val="a6"/>
          <w:sz w:val="20"/>
          <w:szCs w:val="20"/>
        </w:rPr>
        <w:t>2021,</w:t>
      </w:r>
      <w:r>
        <w:rPr>
          <w:sz w:val="20"/>
          <w:szCs w:val="20"/>
        </w:rPr>
        <w:t xml:space="preserve"> </w:t>
      </w:r>
      <w:r>
        <w:rPr>
          <w:rStyle w:val="a6"/>
          <w:sz w:val="20"/>
          <w:szCs w:val="20"/>
        </w:rPr>
        <w:t>2020</w:t>
      </w:r>
      <w:r>
        <w:rPr>
          <w:sz w:val="20"/>
          <w:szCs w:val="20"/>
        </w:rPr>
        <w:t xml:space="preserve"> and </w:t>
      </w:r>
      <w:r>
        <w:rPr>
          <w:rStyle w:val="a6"/>
          <w:sz w:val="20"/>
          <w:szCs w:val="20"/>
        </w:rPr>
        <w:t>2019</w:t>
      </w:r>
      <w:r>
        <w:rPr>
          <w:sz w:val="20"/>
          <w:szCs w:val="20"/>
        </w:rPr>
        <w:t xml:space="preserve"> were as follows: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184"/>
        <w:gridCol w:w="50"/>
        <w:gridCol w:w="460"/>
        <w:gridCol w:w="810"/>
        <w:gridCol w:w="167"/>
        <w:gridCol w:w="50"/>
        <w:gridCol w:w="460"/>
        <w:gridCol w:w="810"/>
        <w:gridCol w:w="167"/>
        <w:gridCol w:w="50"/>
        <w:gridCol w:w="460"/>
        <w:gridCol w:w="810"/>
        <w:gridCol w:w="1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ind w:left="8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Stock price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360"/>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17.87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360"/>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18.93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ind w:left="360"/>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17.81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Dividend yield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Risk-free rate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1.42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2.52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Volatility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ind w:left="360"/>
              <w:jc w:val="right"/>
              <w:rPr>
                <w:rFonts w:eastAsia="Times New Roman"/>
                <w:sz w:val="20"/>
                <w:szCs w:val="20"/>
              </w:rPr>
            </w:pPr>
            <w:r>
              <w:rPr>
                <w:rFonts w:eastAsia="Times New Roman"/>
                <w:sz w:val="20"/>
                <w:szCs w:val="20"/>
              </w:rPr>
              <w:t>48.41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ind w:left="360"/>
              <w:jc w:val="right"/>
              <w:rPr>
                <w:rFonts w:eastAsia="Times New Roman"/>
                <w:sz w:val="20"/>
                <w:szCs w:val="20"/>
              </w:rPr>
            </w:pPr>
            <w:r>
              <w:rPr>
                <w:rFonts w:eastAsia="Times New Roman"/>
                <w:sz w:val="20"/>
                <w:szCs w:val="20"/>
              </w:rPr>
              <w:t>24.67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ind w:left="360"/>
              <w:jc w:val="right"/>
              <w:rPr>
                <w:rFonts w:eastAsia="Times New Roman"/>
                <w:sz w:val="20"/>
                <w:szCs w:val="20"/>
              </w:rPr>
            </w:pPr>
            <w:r>
              <w:rPr>
                <w:rFonts w:eastAsia="Times New Roman"/>
                <w:sz w:val="20"/>
                <w:szCs w:val="20"/>
              </w:rPr>
              <w:t>24.55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Term of the award (years)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360"/>
        <w:gridCol w:w="7896"/>
      </w:tblGrid>
      <w:tr w:rsidR="00000000">
        <w:trPr>
          <w:tblCellSpacing w:w="0" w:type="dxa"/>
        </w:trPr>
        <w:tc>
          <w:tcPr>
            <w:tcW w:w="6"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Total Shareholder Returns, as used in the performance share awards computation, are measured based on cumulative dividend stock prices, as such a</w:t>
            </w:r>
            <w:r>
              <w:rPr>
                <w:sz w:val="20"/>
                <w:szCs w:val="20"/>
              </w:rPr>
              <w:t xml:space="preserve"> </w:t>
            </w:r>
            <w:r>
              <w:rPr>
                <w:sz w:val="20"/>
                <w:szCs w:val="20"/>
              </w:rPr>
              <w:t>zer</w:t>
            </w:r>
            <w:r>
              <w:rPr>
                <w:sz w:val="20"/>
                <w:szCs w:val="20"/>
              </w:rPr>
              <w:t>o</w:t>
            </w:r>
            <w:r>
              <w:rPr>
                <w:sz w:val="20"/>
                <w:szCs w:val="20"/>
              </w:rPr>
              <w:t xml:space="preserve"> percent dividend yield is utilized.</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50"/>
        <w:gridCol w:w="360"/>
        <w:gridCol w:w="7896"/>
      </w:tblGrid>
      <w:tr w:rsidR="00000000">
        <w:trPr>
          <w:tblCellSpacing w:w="0" w:type="dxa"/>
        </w:trPr>
        <w:tc>
          <w:tcPr>
            <w:tcW w:w="6"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Volatility is based on the annualized standard deviation of the daily logarithmic returns on dividend-adjusted closing prices over the look-back period based on the term of the award.</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i/>
          <w:iCs/>
          <w:sz w:val="20"/>
          <w:szCs w:val="20"/>
        </w:rPr>
        <w:t>Other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maintains a </w:t>
      </w:r>
      <w:r>
        <w:rPr>
          <w:rStyle w:val="a6"/>
          <w:sz w:val="20"/>
          <w:szCs w:val="20"/>
        </w:rPr>
        <w:t>401</w:t>
      </w:r>
      <w:r>
        <w:rPr>
          <w:sz w:val="20"/>
          <w:szCs w:val="20"/>
        </w:rPr>
        <w:t>(k)-retirement plan covering subst</w:t>
      </w:r>
      <w:r>
        <w:rPr>
          <w:sz w:val="20"/>
          <w:szCs w:val="20"/>
        </w:rPr>
        <w:t>antially all officers and employees, which permits participants to defer up to the maximum allowable amount determined by the Internal Revenue Service of their eligible compensation. This deferred compensation, together with Company matching contributions,</w:t>
      </w:r>
      <w:r>
        <w:rPr>
          <w:sz w:val="20"/>
          <w:szCs w:val="20"/>
        </w:rPr>
        <w:t xml:space="preserve"> which generally equal employee deferrals up to a maximum of 5% of their eligible compensation, is fully vested and funded as of </w:t>
      </w:r>
      <w:r>
        <w:rPr>
          <w:rStyle w:val="a6"/>
          <w:sz w:val="20"/>
          <w:szCs w:val="20"/>
        </w:rPr>
        <w:t xml:space="preserve">December 31, 2021. </w:t>
      </w:r>
      <w:r>
        <w:rPr>
          <w:sz w:val="20"/>
          <w:szCs w:val="20"/>
        </w:rPr>
        <w:t>The Company’s contributions to the plan were $2.4 million, $2.3 million and $2.2 million for the years ended</w:t>
      </w:r>
      <w:r>
        <w:rPr>
          <w:sz w:val="20"/>
          <w:szCs w:val="20"/>
        </w:rPr>
        <w:t xml:space="preserve"> </w:t>
      </w:r>
      <w:r>
        <w:rPr>
          <w:rStyle w:val="a6"/>
          <w:sz w:val="20"/>
          <w:szCs w:val="20"/>
        </w:rPr>
        <w:t>December 31, 2021, 2020</w:t>
      </w:r>
      <w:r>
        <w:rPr>
          <w:sz w:val="20"/>
          <w:szCs w:val="20"/>
        </w:rPr>
        <w:t xml:space="preserve"> and </w:t>
      </w:r>
      <w:r>
        <w:rPr>
          <w:rStyle w:val="a6"/>
          <w:sz w:val="20"/>
          <w:szCs w:val="20"/>
        </w:rPr>
        <w:t>2019,</w:t>
      </w:r>
      <w:r>
        <w:rPr>
          <w:sz w:val="20"/>
          <w:szCs w:val="20"/>
        </w:rPr>
        <w:t xml:space="preserve">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recognized severance costs associated with employee retirements and terminations during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of $14.4 million (including $13.7 million of severance </w:t>
      </w:r>
      <w:r>
        <w:rPr>
          <w:sz w:val="20"/>
          <w:szCs w:val="20"/>
        </w:rPr>
        <w:t>costs included in Merger charges on the Company's Consolidated Statements of Income), $8.7 million and $2.6 million,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divId w:val="351298913"/>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1000" w:hanging="1000"/>
        <w:rPr>
          <w:sz w:val="20"/>
          <w:szCs w:val="20"/>
        </w:rPr>
      </w:pPr>
      <w:r>
        <w:rPr>
          <w:rStyle w:val="a6"/>
          <w:sz w:val="20"/>
          <w:szCs w:val="20"/>
        </w:rPr>
        <w:t>23.</w:t>
      </w:r>
      <w:r>
        <w:rPr>
          <w:sz w:val="20"/>
          <w:szCs w:val="20"/>
        </w:rPr>
        <w:t>  </w:t>
      </w:r>
      <w:r>
        <w:rPr>
          <w:sz w:val="20"/>
          <w:szCs w:val="20"/>
          <w:u w:val="single"/>
        </w:rPr>
        <w:t>Defined Benefit Plan:</w:t>
      </w:r>
      <w:r>
        <w:rPr>
          <w:i/>
          <w:iCs/>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As part of the Merger, the Company assumed sponsorship of Weingarten’s noncontributory qua</w:t>
      </w:r>
      <w:r>
        <w:rPr>
          <w:sz w:val="20"/>
          <w:szCs w:val="20"/>
        </w:rPr>
        <w:t xml:space="preserve">lified cash balance retirement plan (“the Benefit Plan”). At the date of the Merger, the Benefit Plan was frozen and as a result </w:t>
      </w:r>
      <w:r>
        <w:rPr>
          <w:rStyle w:val="a6"/>
          <w:sz w:val="20"/>
          <w:szCs w:val="20"/>
        </w:rPr>
        <w:t>no</w:t>
      </w:r>
      <w:r>
        <w:rPr>
          <w:sz w:val="20"/>
          <w:szCs w:val="20"/>
        </w:rPr>
        <w:t xml:space="preserve"> new benefits will be offered to employees who were </w:t>
      </w:r>
      <w:r>
        <w:rPr>
          <w:rStyle w:val="a6"/>
          <w:sz w:val="20"/>
          <w:szCs w:val="20"/>
        </w:rPr>
        <w:t>not</w:t>
      </w:r>
      <w:r>
        <w:rPr>
          <w:sz w:val="20"/>
          <w:szCs w:val="20"/>
        </w:rPr>
        <w:t xml:space="preserve"> already part of the Benefit Plan on the Merger date. The Benefit Plan</w:t>
      </w:r>
      <w:r>
        <w:rPr>
          <w:sz w:val="20"/>
          <w:szCs w:val="20"/>
        </w:rPr>
        <w:t xml:space="preserve"> was terminated as of </w:t>
      </w:r>
      <w:r>
        <w:rPr>
          <w:rStyle w:val="a6"/>
          <w:sz w:val="20"/>
          <w:szCs w:val="20"/>
        </w:rPr>
        <w:t xml:space="preserve">December 31, 2021. </w:t>
      </w:r>
      <w:r>
        <w:rPr>
          <w:sz w:val="20"/>
          <w:szCs w:val="20"/>
        </w:rPr>
        <w:t>The Benefit Plan maintains a separate account for each participant. Annual additions to each participant’s account included an interest credit of 4.5% as the service credit was suspended upon the freeze. The partici</w:t>
      </w:r>
      <w:r>
        <w:rPr>
          <w:sz w:val="20"/>
          <w:szCs w:val="20"/>
        </w:rPr>
        <w:t xml:space="preserve">pant data used in determining the liabilities and costs for the Benefit Plan was determined as of </w:t>
      </w:r>
      <w:r>
        <w:rPr>
          <w:rStyle w:val="a6"/>
          <w:sz w:val="20"/>
          <w:szCs w:val="20"/>
        </w:rPr>
        <w:t>January 1,</w:t>
      </w:r>
      <w:r>
        <w:rPr>
          <w:sz w:val="20"/>
          <w:szCs w:val="20"/>
        </w:rPr>
        <w:t xml:space="preserve"> </w:t>
      </w:r>
      <w:r>
        <w:rPr>
          <w:rStyle w:val="a6"/>
          <w:sz w:val="20"/>
          <w:szCs w:val="20"/>
        </w:rPr>
        <w:t>2021.</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704867002"/>
        <w:rPr>
          <w:rFonts w:eastAsia="Times New Roman"/>
          <w:sz w:val="20"/>
          <w:szCs w:val="20"/>
        </w:rPr>
      </w:pPr>
      <w:r>
        <w:rPr>
          <w:rStyle w:val="a6"/>
          <w:rFonts w:eastAsia="Times New Roman"/>
          <w:sz w:val="20"/>
          <w:szCs w:val="20"/>
        </w:rPr>
        <w:t>89</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1" style="width:415.3pt;height:1.5pt" o:hralign="center" o:hrstd="t" o:hrnoshade="t" o:hr="t" fillcolor="black" stroked="f"/>
        </w:pict>
      </w:r>
    </w:p>
    <w:p w:rsidR="00000000" w:rsidRDefault="001D2166">
      <w:pPr>
        <w:divId w:val="16103095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946471748"/>
        <w:rPr>
          <w:rFonts w:eastAsia="Times New Roman"/>
          <w:sz w:val="20"/>
          <w:szCs w:val="20"/>
        </w:rPr>
      </w:pPr>
      <w:r>
        <w:rPr>
          <w:rFonts w:eastAsia="Times New Roman"/>
          <w:sz w:val="20"/>
          <w:szCs w:val="20"/>
        </w:rPr>
        <w:t xml:space="preserve">KIMCO REALTY CORPORATION AND SUBSIDIARIES </w:t>
      </w:r>
    </w:p>
    <w:p w:rsidR="00000000" w:rsidRDefault="001D2166">
      <w:pPr>
        <w:divId w:val="1277559082"/>
        <w:rPr>
          <w:rFonts w:eastAsia="Times New Roman"/>
          <w:sz w:val="20"/>
          <w:szCs w:val="20"/>
        </w:rPr>
      </w:pPr>
      <w:r>
        <w:rPr>
          <w:rFonts w:eastAsia="Times New Roman"/>
          <w:sz w:val="20"/>
          <w:szCs w:val="20"/>
        </w:rPr>
        <w:t xml:space="preserve">  </w:t>
      </w:r>
    </w:p>
    <w:p w:rsidR="00000000" w:rsidRDefault="001D2166">
      <w:pPr>
        <w:jc w:val="center"/>
        <w:divId w:val="206912822"/>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 following table summarizes the measurement changes in the Benefit Plan’s projected benefit obligation, plan assets and funded status, as well as the components of net periodic benefit costs, including key assumptions, from the date of the Merger throu</w:t>
      </w:r>
      <w:r>
        <w:rPr>
          <w:sz w:val="20"/>
          <w:szCs w:val="20"/>
        </w:rPr>
        <w:t xml:space="preserve">gh </w:t>
      </w:r>
      <w:r>
        <w:rPr>
          <w:rStyle w:val="a6"/>
          <w:sz w:val="20"/>
          <w:szCs w:val="20"/>
        </w:rPr>
        <w:t>December 31, 2021 (</w:t>
      </w:r>
      <w:r>
        <w:rPr>
          <w:sz w:val="20"/>
          <w:szCs w:val="20"/>
        </w:rPr>
        <w:t>in thousands):</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6622"/>
        <w:gridCol w:w="74"/>
        <w:gridCol w:w="100"/>
        <w:gridCol w:w="1021"/>
        <w:gridCol w:w="74"/>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2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Change in Projected Benefit Obligation:</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Benefit obligation at date of the Merger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73,081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Interest cost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762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Settlement payments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(29,107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Actuarial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(6,831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Benefit payments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(910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Benefit obligation at December 31,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36,995</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Change in Plan Assets: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Fair value of plan assets at date of the Merger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74,025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Actual return on plan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642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Settlement payments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(30,104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Benefit payments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(910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Fair value of plan assets at December 31,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43,653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Funded status at December 31, 2021 (included in Other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6,658</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Accumulated benefit obligation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36,995</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Net gain recognized in other comprehensive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components of net periodic benefit income, included in Other income, net in the Company’</w:t>
      </w:r>
      <w:r>
        <w:rPr>
          <w:sz w:val="20"/>
          <w:szCs w:val="20"/>
        </w:rPr>
        <w:t xml:space="preserve">s Consolidated Statements of Income for the year ended </w:t>
      </w:r>
      <w:r>
        <w:rPr>
          <w:rStyle w:val="a6"/>
          <w:sz w:val="20"/>
          <w:szCs w:val="20"/>
        </w:rPr>
        <w:t xml:space="preserve">December 31, 2021 </w:t>
      </w:r>
      <w:r>
        <w:rPr>
          <w:sz w:val="20"/>
          <w:szCs w:val="20"/>
        </w:rPr>
        <w:t>are as follows (in thousands):</w:t>
      </w:r>
    </w:p>
    <w:p w:rsidR="00000000" w:rsidRDefault="001D2166">
      <w:pPr>
        <w:pStyle w:val="a3"/>
        <w:spacing w:before="0" w:beforeAutospacing="0" w:after="0" w:afterAutospacing="0"/>
        <w:ind w:left="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6622"/>
        <w:gridCol w:w="74"/>
        <w:gridCol w:w="100"/>
        <w:gridCol w:w="1021"/>
        <w:gridCol w:w="74"/>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2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Interest cost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Expected return on plan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2,125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Settlement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Total net periodic benefit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3,591</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weighted-average assumptions used to determine the benefit obligation as of </w:t>
      </w:r>
      <w:r>
        <w:rPr>
          <w:rStyle w:val="a6"/>
          <w:sz w:val="20"/>
          <w:szCs w:val="20"/>
        </w:rPr>
        <w:t xml:space="preserve">December 31, 2021 </w:t>
      </w:r>
      <w:r>
        <w:rPr>
          <w:sz w:val="20"/>
          <w:szCs w:val="20"/>
        </w:rPr>
        <w:t>are as follows:</w:t>
      </w:r>
    </w:p>
    <w:p w:rsidR="00000000" w:rsidRDefault="001D2166">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57"/>
        <w:gridCol w:w="50"/>
        <w:gridCol w:w="50"/>
        <w:gridCol w:w="1021"/>
        <w:gridCol w:w="167"/>
      </w:tblGrid>
      <w:tr w:rsidR="00000000">
        <w:trPr>
          <w:tblCellSpacing w:w="0" w:type="dxa"/>
        </w:trPr>
        <w:tc>
          <w:tcPr>
            <w:tcW w:w="40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Discount rate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Salary scale increases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Interest credit rate for cash balance plan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selection of the discount rate is made annually after comparison to yields based on high quality fixed-income investments. The long-term rate of return is a composite rate for the Benefit Plan. I</w:t>
      </w:r>
      <w:r>
        <w:rPr>
          <w:sz w:val="20"/>
          <w:szCs w:val="20"/>
        </w:rPr>
        <w:t>t is derived as the sum of the percentages invested in each principal asset class included in the portfolio multiplied by their respective expected rates of return. The Company considered the historical returns and the future expectations for returns for e</w:t>
      </w:r>
      <w:r>
        <w:rPr>
          <w:sz w:val="20"/>
          <w:szCs w:val="20"/>
        </w:rPr>
        <w:t xml:space="preserve">ach asset class, as well as the target asset allocation of the Benefit Plan portfolio. This analysis resulted in the selection of 7.00% as the long-term rate of return assumption for the year ended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No </w:t>
      </w:r>
      <w:r>
        <w:rPr>
          <w:sz w:val="20"/>
          <w:szCs w:val="20"/>
        </w:rPr>
        <w:t xml:space="preserve">contributions are anticipated to be made to the Benefit Plan during </w:t>
      </w:r>
      <w:r>
        <w:rPr>
          <w:rStyle w:val="a6"/>
          <w:sz w:val="20"/>
          <w:szCs w:val="20"/>
        </w:rPr>
        <w:t>2022.</w:t>
      </w:r>
      <w:r>
        <w:rPr>
          <w:sz w:val="20"/>
          <w:szCs w:val="20"/>
        </w:rPr>
        <w:t xml:space="preserve"> The expected benefit payments for the next </w:t>
      </w:r>
      <w:r>
        <w:rPr>
          <w:rStyle w:val="a6"/>
          <w:sz w:val="20"/>
          <w:szCs w:val="20"/>
        </w:rPr>
        <w:t>10</w:t>
      </w:r>
      <w:r>
        <w:rPr>
          <w:sz w:val="20"/>
          <w:szCs w:val="20"/>
        </w:rPr>
        <w:t xml:space="preserve"> years for the Benefit Plan is as follows (in millions):</w:t>
      </w:r>
    </w:p>
    <w:p w:rsidR="00000000" w:rsidRDefault="001D2166">
      <w:pPr>
        <w:pStyle w:val="a3"/>
        <w:spacing w:before="0" w:beforeAutospacing="0" w:after="0" w:afterAutospacing="0"/>
        <w:ind w:left="360"/>
        <w:jc w:val="both"/>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2751"/>
        <w:gridCol w:w="100"/>
        <w:gridCol w:w="699"/>
        <w:gridCol w:w="68"/>
        <w:gridCol w:w="100"/>
        <w:gridCol w:w="699"/>
        <w:gridCol w:w="68"/>
        <w:gridCol w:w="100"/>
        <w:gridCol w:w="699"/>
        <w:gridCol w:w="69"/>
        <w:gridCol w:w="100"/>
        <w:gridCol w:w="700"/>
        <w:gridCol w:w="69"/>
        <w:gridCol w:w="100"/>
        <w:gridCol w:w="700"/>
        <w:gridCol w:w="69"/>
        <w:gridCol w:w="100"/>
        <w:gridCol w:w="700"/>
      </w:tblGrid>
      <w:tr w:rsidR="00000000">
        <w:trPr>
          <w:tblCellSpacing w:w="0" w:type="dxa"/>
        </w:trPr>
        <w:tc>
          <w:tcPr>
            <w:tcW w:w="1750" w:type="pct"/>
            <w:hideMark/>
          </w:tcPr>
          <w:p w:rsidR="00000000" w:rsidRDefault="001D2166">
            <w:pPr>
              <w:rPr>
                <w:rFonts w:eastAsia="Times New Roman"/>
                <w:sz w:val="20"/>
                <w:szCs w:val="20"/>
              </w:rPr>
            </w:pPr>
            <w:r>
              <w:rPr>
                <w:rFonts w:eastAsia="Times New Roman"/>
                <w:sz w:val="20"/>
                <w:szCs w:val="20"/>
              </w:rPr>
              <w:t> </w:t>
            </w:r>
          </w:p>
        </w:tc>
        <w:tc>
          <w:tcPr>
            <w:tcW w:w="50" w:type="pct"/>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2022</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2023</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2024</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2025</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2026</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50" w:type="pct"/>
            <w:vAlign w:val="bottom"/>
            <w:hideMark/>
          </w:tcPr>
          <w:p w:rsidR="00000000" w:rsidRDefault="001D2166">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2027 - 2031</w:t>
            </w:r>
          </w:p>
        </w:tc>
      </w:tr>
      <w:tr w:rsidR="00000000">
        <w:trPr>
          <w:tblCellSpacing w:w="0" w:type="dxa"/>
        </w:trPr>
        <w:tc>
          <w:tcPr>
            <w:tcW w:w="1750" w:type="pct"/>
            <w:shd w:val="clear" w:color="auto" w:fill="CCEEFF"/>
            <w:hideMark/>
          </w:tcPr>
          <w:p w:rsidR="00000000" w:rsidRDefault="001D2166">
            <w:pPr>
              <w:pStyle w:val="a3"/>
              <w:spacing w:before="0" w:beforeAutospacing="0" w:after="0" w:afterAutospacing="0"/>
              <w:rPr>
                <w:sz w:val="20"/>
                <w:szCs w:val="20"/>
              </w:rPr>
            </w:pPr>
            <w:r>
              <w:rPr>
                <w:sz w:val="20"/>
                <w:szCs w:val="20"/>
              </w:rPr>
              <w:t>Benefit payments</w:t>
            </w:r>
          </w:p>
        </w:tc>
        <w:tc>
          <w:tcPr>
            <w:tcW w:w="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w:t>
            </w:r>
          </w:p>
        </w:tc>
        <w:tc>
          <w:tcPr>
            <w:tcW w:w="4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19.5</w:t>
            </w:r>
          </w:p>
        </w:tc>
        <w:tc>
          <w:tcPr>
            <w:tcW w:w="50" w:type="pct"/>
            <w:shd w:val="clear" w:color="auto" w:fill="CCEEFF"/>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w:t>
            </w:r>
          </w:p>
        </w:tc>
        <w:tc>
          <w:tcPr>
            <w:tcW w:w="4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2.3</w:t>
            </w:r>
          </w:p>
        </w:tc>
        <w:tc>
          <w:tcPr>
            <w:tcW w:w="50" w:type="pct"/>
            <w:shd w:val="clear" w:color="auto" w:fill="CCEEFF"/>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w:t>
            </w:r>
          </w:p>
        </w:tc>
        <w:tc>
          <w:tcPr>
            <w:tcW w:w="4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2.3</w:t>
            </w:r>
          </w:p>
        </w:tc>
        <w:tc>
          <w:tcPr>
            <w:tcW w:w="50" w:type="pct"/>
            <w:shd w:val="clear" w:color="auto" w:fill="CCEEFF"/>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w:t>
            </w:r>
          </w:p>
        </w:tc>
        <w:tc>
          <w:tcPr>
            <w:tcW w:w="4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2.3</w:t>
            </w:r>
          </w:p>
        </w:tc>
        <w:tc>
          <w:tcPr>
            <w:tcW w:w="50" w:type="pct"/>
            <w:shd w:val="clear" w:color="auto" w:fill="CCEEFF"/>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w:t>
            </w:r>
          </w:p>
        </w:tc>
        <w:tc>
          <w:tcPr>
            <w:tcW w:w="4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2.2</w:t>
            </w:r>
          </w:p>
        </w:tc>
        <w:tc>
          <w:tcPr>
            <w:tcW w:w="50" w:type="pct"/>
            <w:shd w:val="clear" w:color="auto" w:fill="CCEEFF"/>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w:t>
            </w:r>
          </w:p>
        </w:tc>
        <w:tc>
          <w:tcPr>
            <w:tcW w:w="450" w:type="pct"/>
            <w:shd w:val="clear" w:color="auto" w:fill="CCEEFF"/>
            <w:hideMark/>
          </w:tcPr>
          <w:p w:rsidR="00000000" w:rsidRDefault="001D2166">
            <w:pPr>
              <w:pStyle w:val="a3"/>
              <w:spacing w:before="0" w:beforeAutospacing="0" w:after="0" w:afterAutospacing="0"/>
              <w:jc w:val="right"/>
              <w:rPr>
                <w:sz w:val="20"/>
                <w:szCs w:val="20"/>
              </w:rPr>
            </w:pPr>
            <w:r>
              <w:rPr>
                <w:sz w:val="20"/>
                <w:szCs w:val="20"/>
              </w:rPr>
              <w:t>10.4</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Benefit Plan’</w:t>
      </w:r>
      <w:r>
        <w:rPr>
          <w:sz w:val="20"/>
          <w:szCs w:val="20"/>
        </w:rPr>
        <w:t>s investment policy is to address the long-term needs of the Benefit Plan and consider the risk tolerances of participants, to select appropriate investments to be offered by the Benefit Plan and to establish procedures for monitoring and evaluating the pe</w:t>
      </w:r>
      <w:r>
        <w:rPr>
          <w:sz w:val="20"/>
          <w:szCs w:val="20"/>
        </w:rPr>
        <w:t>rformance of the investments of the Benefit Plan. The Benefit Plan’s overall objectives for selecting and monitoring investment options are (i) to promote and optimize retirement wealth accumulation, (ii) to provide a full range of asset classes and invest</w:t>
      </w:r>
      <w:r>
        <w:rPr>
          <w:sz w:val="20"/>
          <w:szCs w:val="20"/>
        </w:rPr>
        <w:t>ment options that are intended to help diversify the portfolio to maximize return within reasonable and prudent levels of risk, (iii) to control costs of administering the Benefit Plan and (iv) to manage the investments held by the Benefit Plan.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sele</w:t>
      </w:r>
      <w:r>
        <w:rPr>
          <w:sz w:val="20"/>
          <w:szCs w:val="20"/>
        </w:rPr>
        <w:t>ction of investment options is determined using criteria based on the following characteristics: fund history, relative performance, investment style, portfolio structure, manager tenure, minimum assets, expenses and operation considerations. Investment op</w:t>
      </w:r>
      <w:r>
        <w:rPr>
          <w:sz w:val="20"/>
          <w:szCs w:val="20"/>
        </w:rPr>
        <w:t>tions selected for use in the Benefit Plan are reviewed at least on a semi-annual basis to evaluate material changes from the selection criteria. Asset allocation is used to determine how the investment portfolio should be split between stocks, bonds and c</w:t>
      </w:r>
      <w:r>
        <w:rPr>
          <w:sz w:val="20"/>
          <w:szCs w:val="20"/>
        </w:rPr>
        <w:t xml:space="preserve">ash. The asset allocation decision is influenced by investment time horizon; risk tolerance; and investment return objectives. The primary factor in establishing asset allocation is demographics of the Benefit Plan. A broad market diversification model is </w:t>
      </w:r>
      <w:r>
        <w:rPr>
          <w:sz w:val="20"/>
          <w:szCs w:val="20"/>
        </w:rPr>
        <w:t xml:space="preserve">used in considering all these factors, and the percentage allocation to each investment category </w:t>
      </w:r>
      <w:r>
        <w:rPr>
          <w:rStyle w:val="a6"/>
          <w:sz w:val="20"/>
          <w:szCs w:val="20"/>
        </w:rPr>
        <w:t xml:space="preserve">may </w:t>
      </w:r>
      <w:r>
        <w:rPr>
          <w:sz w:val="20"/>
          <w:szCs w:val="20"/>
        </w:rPr>
        <w:t>also vary depending upon market conditions. Re-balancing of the allocation of the Benefit Plan’s assets occurs semi-annually.</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766412341"/>
        <w:rPr>
          <w:rFonts w:eastAsia="Times New Roman"/>
          <w:sz w:val="20"/>
          <w:szCs w:val="20"/>
        </w:rPr>
      </w:pPr>
      <w:r>
        <w:rPr>
          <w:rStyle w:val="a6"/>
          <w:rFonts w:eastAsia="Times New Roman"/>
          <w:sz w:val="20"/>
          <w:szCs w:val="20"/>
        </w:rPr>
        <w:t>90</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2" style="width:415.3pt;height:1.5pt" o:hralign="center" o:hrstd="t" o:hrnoshade="t" o:hr="t" fillcolor="black" stroked="f"/>
        </w:pict>
      </w:r>
    </w:p>
    <w:p w:rsidR="00000000" w:rsidRDefault="001D2166">
      <w:pPr>
        <w:divId w:val="784618636"/>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1D2166">
      <w:pPr>
        <w:jc w:val="center"/>
        <w:divId w:val="789325833"/>
        <w:rPr>
          <w:rFonts w:eastAsia="Times New Roman"/>
          <w:sz w:val="20"/>
          <w:szCs w:val="20"/>
        </w:rPr>
      </w:pPr>
      <w:r>
        <w:rPr>
          <w:rFonts w:eastAsia="Times New Roman"/>
          <w:sz w:val="20"/>
          <w:szCs w:val="20"/>
        </w:rPr>
        <w:t xml:space="preserve">KIMCO REALTY CORPORATION AND SUBSIDIARIES </w:t>
      </w:r>
    </w:p>
    <w:p w:rsidR="00000000" w:rsidRDefault="001D2166">
      <w:pPr>
        <w:divId w:val="1811898255"/>
        <w:rPr>
          <w:rFonts w:eastAsia="Times New Roman"/>
          <w:sz w:val="20"/>
          <w:szCs w:val="20"/>
        </w:rPr>
      </w:pPr>
      <w:r>
        <w:rPr>
          <w:rFonts w:eastAsia="Times New Roman"/>
          <w:sz w:val="20"/>
          <w:szCs w:val="20"/>
        </w:rPr>
        <w:t xml:space="preserve">  </w:t>
      </w:r>
    </w:p>
    <w:p w:rsidR="00000000" w:rsidRDefault="001D2166">
      <w:pPr>
        <w:jc w:val="center"/>
        <w:divId w:val="1961910834"/>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The fair value of plan assets was determined based on publicly quoted market prices for identical assets as of the </w:t>
      </w:r>
      <w:r>
        <w:rPr>
          <w:rStyle w:val="a6"/>
          <w:sz w:val="20"/>
          <w:szCs w:val="20"/>
        </w:rPr>
        <w:t xml:space="preserve">December 31, 2021, </w:t>
      </w:r>
      <w:r>
        <w:rPr>
          <w:sz w:val="20"/>
          <w:szCs w:val="20"/>
        </w:rPr>
        <w:t>which are all</w:t>
      </w:r>
      <w:r>
        <w:rPr>
          <w:sz w:val="20"/>
          <w:szCs w:val="20"/>
        </w:rPr>
        <w:t xml:space="preserve"> classified as Level </w:t>
      </w:r>
      <w:r>
        <w:rPr>
          <w:rStyle w:val="a6"/>
          <w:sz w:val="20"/>
          <w:szCs w:val="20"/>
        </w:rPr>
        <w:t>1</w:t>
      </w:r>
      <w:r>
        <w:rPr>
          <w:sz w:val="20"/>
          <w:szCs w:val="20"/>
        </w:rPr>
        <w:t xml:space="preserve"> observable inputs. The fair value and allocation of the plan assets were as follows (in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1"/>
        <w:gridCol w:w="50"/>
        <w:gridCol w:w="100"/>
        <w:gridCol w:w="1041"/>
        <w:gridCol w:w="50"/>
        <w:gridCol w:w="50"/>
        <w:gridCol w:w="52"/>
        <w:gridCol w:w="1034"/>
        <w:gridCol w:w="1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Asset Allocation</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Cash and short-term investments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26,246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60.1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Large company funds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7,130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Mid company funds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662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Small company funds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1,958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International funds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1,972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Fixed income funds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4,260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Growth funds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1,425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Total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43,653</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Concentrations of risk within the equity portfolio are investments classified within the following sectors: technology, healthcare, consumer cyclical goods, financial services, and communication services, which represent approximately 24%, 15%, 14%, 14% an</w:t>
      </w:r>
      <w:r>
        <w:rPr>
          <w:sz w:val="20"/>
          <w:szCs w:val="20"/>
        </w:rPr>
        <w:t>d 11% of total equity investments, respectively.</w:t>
      </w:r>
    </w:p>
    <w:p w:rsidR="00000000" w:rsidRDefault="001D2166">
      <w:pPr>
        <w:pStyle w:val="a3"/>
        <w:spacing w:before="0" w:beforeAutospacing="0" w:after="0" w:afterAutospacing="0"/>
        <w:rPr>
          <w:sz w:val="20"/>
          <w:szCs w:val="20"/>
        </w:rPr>
      </w:pPr>
      <w:r>
        <w:rPr>
          <w:sz w:val="20"/>
          <w:szCs w:val="20"/>
        </w:rPr>
        <w:t> </w:t>
      </w:r>
    </w:p>
    <w:p w:rsidR="00000000" w:rsidRDefault="001D2166">
      <w:pPr>
        <w:divId w:val="1230072010"/>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24.</w:t>
      </w:r>
      <w:r>
        <w:rPr>
          <w:sz w:val="20"/>
          <w:szCs w:val="20"/>
        </w:rPr>
        <w:t>  </w:t>
      </w:r>
      <w:r>
        <w:rPr>
          <w:sz w:val="20"/>
          <w:szCs w:val="20"/>
          <w:u w:val="single"/>
        </w:rPr>
        <w:t>Income Taxes</w:t>
      </w:r>
      <w:r>
        <w:rPr>
          <w:sz w:val="20"/>
          <w:szCs w:val="20"/>
        </w:rPr>
        <w:t>:</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elected to qualify as a REIT in accordance with the Code commencing with its taxable year which began </w:t>
      </w:r>
      <w:r>
        <w:rPr>
          <w:rStyle w:val="a6"/>
          <w:sz w:val="20"/>
          <w:szCs w:val="20"/>
        </w:rPr>
        <w:t xml:space="preserve">January 1, 1992. </w:t>
      </w:r>
      <w:r>
        <w:rPr>
          <w:sz w:val="20"/>
          <w:szCs w:val="20"/>
        </w:rPr>
        <w:t>To qualify as a REIT, the Company must meet several organizational and operational requirements, including a requirement that</w:t>
      </w:r>
      <w:r>
        <w:rPr>
          <w:sz w:val="20"/>
          <w:szCs w:val="20"/>
        </w:rPr>
        <w:t xml:space="preserve"> it currently distribute at least 90% of its REIT taxable income to its stockholders. Management intends to adhere to these requirements and maintain the Company’s REIT status. As a REIT, the Company generally will </w:t>
      </w:r>
      <w:r>
        <w:rPr>
          <w:rStyle w:val="a6"/>
          <w:sz w:val="20"/>
          <w:szCs w:val="20"/>
        </w:rPr>
        <w:t>not</w:t>
      </w:r>
      <w:r>
        <w:rPr>
          <w:sz w:val="20"/>
          <w:szCs w:val="20"/>
        </w:rPr>
        <w:t xml:space="preserve"> be subject to corporate federal incom</w:t>
      </w:r>
      <w:r>
        <w:rPr>
          <w:sz w:val="20"/>
          <w:szCs w:val="20"/>
        </w:rPr>
        <w:t>e tax, provided that dividends to its stockholders equal at least the amount of its REIT taxable income. If the Company were to fail to qualify as a REIT in any taxable year, it would be subject to federal income taxes at regular corporate rates (including</w:t>
      </w:r>
      <w:r>
        <w:rPr>
          <w:sz w:val="20"/>
          <w:szCs w:val="20"/>
        </w:rPr>
        <w:t xml:space="preserve"> any applicable alternative minimum tax) and would </w:t>
      </w:r>
      <w:r>
        <w:rPr>
          <w:rStyle w:val="a6"/>
          <w:sz w:val="20"/>
          <w:szCs w:val="20"/>
        </w:rPr>
        <w:t>not</w:t>
      </w:r>
      <w:r>
        <w:rPr>
          <w:sz w:val="20"/>
          <w:szCs w:val="20"/>
        </w:rPr>
        <w:t xml:space="preserve"> be permitted to elect REIT status for </w:t>
      </w:r>
      <w:r>
        <w:rPr>
          <w:rStyle w:val="a6"/>
          <w:sz w:val="20"/>
          <w:szCs w:val="20"/>
        </w:rPr>
        <w:t>four</w:t>
      </w:r>
      <w:r>
        <w:rPr>
          <w:sz w:val="20"/>
          <w:szCs w:val="20"/>
        </w:rPr>
        <w:t xml:space="preserve"> subsequent taxable years. Even if the Company qualifies for taxation as a REIT, the Company is subject to certain state and local taxes on its income and prop</w:t>
      </w:r>
      <w:r>
        <w:rPr>
          <w:sz w:val="20"/>
          <w:szCs w:val="20"/>
        </w:rPr>
        <w:t>erty, and federal income and excise taxes on its undistributed taxable income. In addition, taxable income from non-REIT activities managed through TRSs is subject to federal, state and local income taxes. The Company is also subject to local taxes on cert</w:t>
      </w:r>
      <w:r>
        <w:rPr>
          <w:sz w:val="20"/>
          <w:szCs w:val="20"/>
        </w:rPr>
        <w:t>ain non-U.S. investments.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Reconciliation between GAAP Net Income and Federal Taxable Income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following table reconciles GAAP net income to taxable income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(in thousands):</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096"/>
        <w:gridCol w:w="72"/>
        <w:gridCol w:w="101"/>
        <w:gridCol w:w="1019"/>
        <w:gridCol w:w="72"/>
        <w:gridCol w:w="72"/>
        <w:gridCol w:w="100"/>
        <w:gridCol w:w="1020"/>
        <w:gridCol w:w="73"/>
        <w:gridCol w:w="73"/>
        <w:gridCol w:w="100"/>
        <w:gridCol w:w="1020"/>
        <w:gridCol w:w="73"/>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(Estimated)</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GAAP net income attributable to the Company</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844,059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1,000,833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410,605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GAAP net (income)/loss attributable to TRSs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(24,502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(956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1,119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GAAP net income from REIT operations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819,557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999,877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411,724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Net book depreciation in excess of tax depreciation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70,792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(55,072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55,903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Deferred/prepaid/above-market and below-market rents, net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(33,580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(16,632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(33,287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Fair market value debt amortization</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(18,079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(3,847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(4,510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Book/tax differences from executive compensation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19,882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10,388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6,026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Book/tax differences from non-qualified stock options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(1,121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Book/tax differences from defined benefit plan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(2,948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Book/tax differences from investments in and advances to real estate joint ventures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25,502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40,176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4,837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Book/tax differences from sale of properties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(51,951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(10,547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(13,830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Book/tax differences from accounts receivable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(19,971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44,193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1,573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Book adjustment to property carrying values and marketable equity securities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(499,996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(589,698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37,709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Taxable currency exchange gain/(loss),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882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Tangible property regulation deduction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(48,194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GAAP gain on change in control of joint venture interests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(5,607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Dividends from TRSs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23,314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3,331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Severance accrual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(5,358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5,874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(475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Other book/tax differences, net (2)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(21,955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802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(3,946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Adjusted REIT taxable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299,415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377,062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463,764</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343555104"/>
        <w:rPr>
          <w:rFonts w:eastAsia="Times New Roman"/>
          <w:sz w:val="20"/>
          <w:szCs w:val="20"/>
        </w:rPr>
      </w:pPr>
      <w:r>
        <w:rPr>
          <w:rStyle w:val="a6"/>
          <w:rFonts w:eastAsia="Times New Roman"/>
          <w:sz w:val="20"/>
          <w:szCs w:val="20"/>
        </w:rPr>
        <w:t>91</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3" style="width:415.3pt;height:1.5pt" o:hralign="center" o:hrstd="t" o:hrnoshade="t" o:hr="t" fillcolor="black" stroked="f"/>
        </w:pict>
      </w:r>
    </w:p>
    <w:p w:rsidR="00000000" w:rsidRDefault="001D2166">
      <w:pPr>
        <w:divId w:val="20513718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724373883"/>
        <w:rPr>
          <w:rFonts w:eastAsia="Times New Roman"/>
          <w:sz w:val="20"/>
          <w:szCs w:val="20"/>
        </w:rPr>
      </w:pPr>
      <w:r>
        <w:rPr>
          <w:rFonts w:eastAsia="Times New Roman"/>
          <w:sz w:val="20"/>
          <w:szCs w:val="20"/>
        </w:rPr>
        <w:t xml:space="preserve">KIMCO REALTY CORPORATION AND SUBSIDIARIES </w:t>
      </w:r>
    </w:p>
    <w:p w:rsidR="00000000" w:rsidRDefault="001D2166">
      <w:pPr>
        <w:divId w:val="758867291"/>
        <w:rPr>
          <w:rFonts w:eastAsia="Times New Roman"/>
          <w:sz w:val="20"/>
          <w:szCs w:val="20"/>
        </w:rPr>
      </w:pPr>
      <w:r>
        <w:rPr>
          <w:rFonts w:eastAsia="Times New Roman"/>
          <w:sz w:val="20"/>
          <w:szCs w:val="20"/>
        </w:rPr>
        <w:t xml:space="preserve">  </w:t>
      </w:r>
    </w:p>
    <w:p w:rsidR="00000000" w:rsidRDefault="001D2166">
      <w:pPr>
        <w:jc w:val="center"/>
        <w:divId w:val="590117595"/>
        <w:rPr>
          <w:rFonts w:eastAsia="Times New Roman"/>
          <w:sz w:val="20"/>
          <w:szCs w:val="20"/>
        </w:rPr>
      </w:pPr>
      <w:r>
        <w:rPr>
          <w:rFonts w:eastAsia="Times New Roman"/>
          <w:sz w:val="20"/>
          <w:szCs w:val="20"/>
        </w:rPr>
        <w:t>NOTES TO CONSOLIDATED FIN</w:t>
      </w:r>
      <w:r>
        <w:rPr>
          <w:rFonts w:eastAsia="Times New Roman"/>
          <w:sz w:val="20"/>
          <w:szCs w:val="20"/>
        </w:rPr>
        <w:t xml:space="preserve">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Certain amounts in the prior periods have been reclassified to conform to the current year presentation, in the table above.</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All adjustments to "GAAP net income from REIT operations" are net of amounts attributable to</w:t>
            </w:r>
            <w:r>
              <w:rPr>
                <w:sz w:val="20"/>
                <w:szCs w:val="20"/>
              </w:rPr>
              <w:t xml:space="preserve"> noncontrolling interests and TRSs.</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Includes Merger related costs of $20.7 million for the year ended </w:t>
            </w:r>
            <w:r>
              <w:rPr>
                <w:rStyle w:val="a6"/>
                <w:sz w:val="20"/>
                <w:szCs w:val="20"/>
              </w:rPr>
              <w:t>December 31, 2021.</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Characterization of Distributions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following characterizes distributions paid for tax purposes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(amounts in thousands):</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1718"/>
        <w:gridCol w:w="61"/>
        <w:gridCol w:w="100"/>
        <w:gridCol w:w="771"/>
        <w:gridCol w:w="61"/>
        <w:gridCol w:w="61"/>
        <w:gridCol w:w="62"/>
        <w:gridCol w:w="772"/>
        <w:gridCol w:w="167"/>
        <w:gridCol w:w="62"/>
        <w:gridCol w:w="100"/>
        <w:gridCol w:w="772"/>
        <w:gridCol w:w="62"/>
        <w:gridCol w:w="62"/>
        <w:gridCol w:w="62"/>
        <w:gridCol w:w="772"/>
        <w:gridCol w:w="167"/>
        <w:gridCol w:w="62"/>
        <w:gridCol w:w="100"/>
        <w:gridCol w:w="772"/>
        <w:gridCol w:w="62"/>
        <w:gridCol w:w="62"/>
        <w:gridCol w:w="62"/>
        <w:gridCol w:w="772"/>
        <w:gridCol w:w="1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u w:val="single"/>
              </w:rPr>
              <w:t>Preferred I Dividends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7,389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2,207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9,596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u w:val="single"/>
              </w:rPr>
              <w:t>Preferred J Dividends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11,541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3,447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14,988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u w:val="single"/>
              </w:rPr>
              <w:t>Preferred K Dividends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6,927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2,069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8,996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u w:val="single"/>
              </w:rPr>
              <w:t xml:space="preserve">Preferred L Dividends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11,185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4,382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8,879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346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7,149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2,652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u w:val="single"/>
              </w:rPr>
              <w:t xml:space="preserve">Preferred M Dividends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5,277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10,692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417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8,609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3,194</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u w:val="single"/>
              </w:rPr>
              <w:t>Common Dividends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273,272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133,849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328,726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10,647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214,863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98,618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70,980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3,522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42,265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354,899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352,234</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469,609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hanging="180"/>
              <w:rPr>
                <w:sz w:val="20"/>
                <w:szCs w:val="20"/>
              </w:rPr>
            </w:pPr>
            <w:r>
              <w:rPr>
                <w:sz w:val="20"/>
                <w:szCs w:val="20"/>
              </w:rPr>
              <w:t>Total dividends distributed for tax purposes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380,316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377,651</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528,606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w:t>
      </w:r>
      <w:r>
        <w:rPr>
          <w:sz w:val="20"/>
          <w:szCs w:val="20"/>
        </w:rPr>
        <w:t>cash dividends paid for tax purposes were equivalent to, or in excess of, the dividends paid deduction.</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Taxable REIT Subsidiaries and Taxable Entities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is subject to federal, state and local income taxes on income reported through its TRS ac</w:t>
      </w:r>
      <w:r>
        <w:rPr>
          <w:sz w:val="20"/>
          <w:szCs w:val="20"/>
        </w:rPr>
        <w:t>tivities, which include wholly owned subsidiaries of the Company. The Company’s TRSs include Kimco Realty Services II, Inc. (“KRS”), FNC Realty Corporation, Kimco Insurance Company (collectively “KRS Consolidated”) and the consolidated entity, Blue Ridge R</w:t>
      </w:r>
      <w:r>
        <w:rPr>
          <w:sz w:val="20"/>
          <w:szCs w:val="20"/>
        </w:rPr>
        <w:t>eal Estate Company/Big Boulder Corporation. In connection with the Merger, the Company acquired Weingarten Investment Inc. (“WII”), a TRS of Weingarten.</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1432971351"/>
        <w:rPr>
          <w:rFonts w:eastAsia="Times New Roman"/>
          <w:sz w:val="20"/>
          <w:szCs w:val="20"/>
        </w:rPr>
      </w:pPr>
      <w:r>
        <w:rPr>
          <w:rStyle w:val="a6"/>
          <w:rFonts w:eastAsia="Times New Roman"/>
          <w:sz w:val="20"/>
          <w:szCs w:val="20"/>
        </w:rPr>
        <w:t>92</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4" style="width:415.3pt;height:1.5pt" o:hralign="center" o:hrstd="t" o:hrnoshade="t" o:hr="t" fillcolor="black" stroked="f"/>
        </w:pict>
      </w:r>
    </w:p>
    <w:p w:rsidR="00000000" w:rsidRDefault="001D2166">
      <w:pPr>
        <w:divId w:val="207500342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574432259"/>
        <w:rPr>
          <w:rFonts w:eastAsia="Times New Roman"/>
          <w:sz w:val="20"/>
          <w:szCs w:val="20"/>
        </w:rPr>
      </w:pPr>
      <w:r>
        <w:rPr>
          <w:rFonts w:eastAsia="Times New Roman"/>
          <w:sz w:val="20"/>
          <w:szCs w:val="20"/>
        </w:rPr>
        <w:t xml:space="preserve">KIMCO REALTY CORPORATION AND SUBSIDIARIES </w:t>
      </w:r>
    </w:p>
    <w:p w:rsidR="00000000" w:rsidRDefault="001D2166">
      <w:pPr>
        <w:divId w:val="710225104"/>
        <w:rPr>
          <w:rFonts w:eastAsia="Times New Roman"/>
          <w:sz w:val="20"/>
          <w:szCs w:val="20"/>
        </w:rPr>
      </w:pPr>
      <w:r>
        <w:rPr>
          <w:rFonts w:eastAsia="Times New Roman"/>
          <w:sz w:val="20"/>
          <w:szCs w:val="20"/>
        </w:rPr>
        <w:t xml:space="preserve">  </w:t>
      </w:r>
    </w:p>
    <w:p w:rsidR="00000000" w:rsidRDefault="001D2166">
      <w:pPr>
        <w:jc w:val="center"/>
        <w:divId w:val="971668223"/>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The Company is subject to local non-U.S. taxes on certain investments located outside the U.S.  In general, under local country law applicable to the entity ownership structures the Company has in p</w:t>
      </w:r>
      <w:r>
        <w:rPr>
          <w:sz w:val="20"/>
          <w:szCs w:val="20"/>
        </w:rPr>
        <w:t xml:space="preserve">lace and applicable tax treaties, the repatriation of cash to the Company from its subsidiaries and joint ventures in Canada, Puerto Rico and Mexico generally is </w:t>
      </w:r>
      <w:r>
        <w:rPr>
          <w:rStyle w:val="a6"/>
          <w:sz w:val="20"/>
          <w:szCs w:val="20"/>
        </w:rPr>
        <w:t>not</w:t>
      </w:r>
      <w:r>
        <w:rPr>
          <w:sz w:val="20"/>
          <w:szCs w:val="20"/>
        </w:rPr>
        <w:t xml:space="preserve"> subject to withholding tax. The Company is subject to and includes in its tax provision no</w:t>
      </w:r>
      <w:r>
        <w:rPr>
          <w:sz w:val="20"/>
          <w:szCs w:val="20"/>
        </w:rPr>
        <w:t xml:space="preserve">n-U.S. income taxes on certain investments located in jurisdictions outside the U.S. These investments are primarily held by the Company at the REIT level and </w:t>
      </w:r>
      <w:r>
        <w:rPr>
          <w:rStyle w:val="a6"/>
          <w:sz w:val="20"/>
          <w:szCs w:val="20"/>
        </w:rPr>
        <w:t>not</w:t>
      </w:r>
      <w:r>
        <w:rPr>
          <w:sz w:val="20"/>
          <w:szCs w:val="20"/>
        </w:rPr>
        <w:t xml:space="preserve"> in the Company’s TRSs. Accordingly, the Company does </w:t>
      </w:r>
      <w:r>
        <w:rPr>
          <w:rStyle w:val="a6"/>
          <w:sz w:val="20"/>
          <w:szCs w:val="20"/>
        </w:rPr>
        <w:t>not</w:t>
      </w:r>
      <w:r>
        <w:rPr>
          <w:sz w:val="20"/>
          <w:szCs w:val="20"/>
        </w:rPr>
        <w:t xml:space="preserve"> expect a U.S. income tax impact asso</w:t>
      </w:r>
      <w:r>
        <w:rPr>
          <w:sz w:val="20"/>
          <w:szCs w:val="20"/>
        </w:rPr>
        <w:t>ciated with the repatriation of undistributed earnings from the Company’s foreign subsidiaries.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Income taxes are accounted for under the asset and liability method. Deferred income taxes are recognized for the temporary differences between the financial </w:t>
      </w:r>
      <w:r>
        <w:rPr>
          <w:sz w:val="20"/>
          <w:szCs w:val="20"/>
        </w:rPr>
        <w:t>reporting basis and the tax basis of taxable assets and liabilities.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pre-tax book income/(loss) and (provision)/benefit for income taxes relating to the Company’s TRSs and taxable entities which have been consolidated for accounting reporti</w:t>
      </w:r>
      <w:r>
        <w:rPr>
          <w:sz w:val="20"/>
          <w:szCs w:val="20"/>
        </w:rPr>
        <w:t xml:space="preserve">ng purposes,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are summarized as follows (in thousands):</w:t>
      </w:r>
    </w:p>
    <w:p w:rsidR="00000000" w:rsidRDefault="001D2166">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Income/(loss) before income taxes – U.S.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26,421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1,051</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(1,682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(Provision)/benefit for income taxes, net: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Federal:</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Current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(2,656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(482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3,362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Deferred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312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539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(349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Federal tax (provision)/benefit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(2,344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3,013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State and local:</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Current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Deferred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State and local tax provision</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(408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(14</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tax (provision)/benefit – U.S.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(2,752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43</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2,968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income from U.S. TRSs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23,669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1,094</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1,286</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Loss before taxes – Non-U.S.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(64</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(599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(Provision)/benefit for Non-U.S. income taxes: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360"/>
              <w:rPr>
                <w:sz w:val="20"/>
                <w:szCs w:val="20"/>
              </w:rPr>
            </w:pPr>
            <w:r>
              <w:rPr>
                <w:sz w:val="20"/>
                <w:szCs w:val="20"/>
              </w:rPr>
              <w:t>Current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479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360"/>
              <w:rPr>
                <w:sz w:val="20"/>
                <w:szCs w:val="20"/>
              </w:rPr>
            </w:pPr>
            <w:r>
              <w:rPr>
                <w:sz w:val="20"/>
                <w:szCs w:val="20"/>
              </w:rPr>
              <w:t>Deferred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(529</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418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Non-U.S. tax (provision)/benefit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(529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479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349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addition, the Company’s Provision for income taxes, net includes $0.1 million and $1.5 million of estimated state and local tax provision related to the REIT operations during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respectively.</w:t>
      </w:r>
    </w:p>
    <w:p w:rsidR="00000000" w:rsidRDefault="001D2166">
      <w:pPr>
        <w:pStyle w:val="a3"/>
        <w:spacing w:before="0" w:beforeAutospacing="0" w:after="0" w:afterAutospacing="0"/>
        <w:ind w:left="720"/>
        <w:jc w:val="both"/>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(Provision)/benefit for income taxes, net differs from the amounts computed by applying the statutory federal income tax rate to taxable income before income taxes as follows (in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842"/>
        <w:gridCol w:w="51"/>
        <w:gridCol w:w="100"/>
        <w:gridCol w:w="1049"/>
        <w:gridCol w:w="67"/>
        <w:gridCol w:w="52"/>
        <w:gridCol w:w="100"/>
        <w:gridCol w:w="1049"/>
        <w:gridCol w:w="67"/>
        <w:gridCol w:w="52"/>
        <w:gridCol w:w="100"/>
        <w:gridCol w:w="1049"/>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1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Federal (provision)/benefit at</w:t>
            </w:r>
            <w:r>
              <w:rPr>
                <w:sz w:val="20"/>
                <w:szCs w:val="20"/>
              </w:rPr>
              <w:t xml:space="preserve"> statutory tax rate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(5,548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3,010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State and local provision, net of federal benefit (2)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2,796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(1,236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(42</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Total tax (provision)/benefit – U.S.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(2,752</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(1,457</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2,968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year ended </w:t>
            </w:r>
            <w:r>
              <w:rPr>
                <w:rStyle w:val="a6"/>
                <w:sz w:val="20"/>
                <w:szCs w:val="20"/>
              </w:rPr>
              <w:t xml:space="preserve">December 31, 2019 </w:t>
            </w:r>
            <w:r>
              <w:rPr>
                <w:sz w:val="20"/>
                <w:szCs w:val="20"/>
              </w:rPr>
              <w:t>includes a tax benefit from AMT credit refunds of $3.7 million and $1.1 million related to the recording of a deferred tax valuation allowance.</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year ended </w:t>
            </w:r>
            <w:r>
              <w:rPr>
                <w:rStyle w:val="a6"/>
                <w:sz w:val="20"/>
                <w:szCs w:val="20"/>
              </w:rPr>
              <w:t xml:space="preserve">December 31, 2020 </w:t>
            </w:r>
            <w:r>
              <w:rPr>
                <w:sz w:val="20"/>
                <w:szCs w:val="20"/>
              </w:rPr>
              <w:t>includes $1.5 million of estimated sta</w:t>
            </w:r>
            <w:r>
              <w:rPr>
                <w:sz w:val="20"/>
                <w:szCs w:val="20"/>
              </w:rPr>
              <w:t>te and local tax provision related to the REIT operations.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495456324"/>
        <w:rPr>
          <w:rFonts w:eastAsia="Times New Roman"/>
          <w:sz w:val="20"/>
          <w:szCs w:val="20"/>
        </w:rPr>
      </w:pPr>
      <w:r>
        <w:rPr>
          <w:rStyle w:val="a6"/>
          <w:rFonts w:eastAsia="Times New Roman"/>
          <w:sz w:val="20"/>
          <w:szCs w:val="20"/>
        </w:rPr>
        <w:t>93</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5" style="width:415.3pt;height:1.5pt" o:hralign="center" o:hrstd="t" o:hrnoshade="t" o:hr="t" fillcolor="black" stroked="f"/>
        </w:pict>
      </w:r>
    </w:p>
    <w:p w:rsidR="00000000" w:rsidRDefault="001D2166">
      <w:pPr>
        <w:divId w:val="23182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234752573"/>
        <w:rPr>
          <w:rFonts w:eastAsia="Times New Roman"/>
          <w:sz w:val="20"/>
          <w:szCs w:val="20"/>
        </w:rPr>
      </w:pPr>
      <w:r>
        <w:rPr>
          <w:rFonts w:eastAsia="Times New Roman"/>
          <w:sz w:val="20"/>
          <w:szCs w:val="20"/>
        </w:rPr>
        <w:t xml:space="preserve">KIMCO REALTY CORPORATION AND SUBSIDIARIES </w:t>
      </w:r>
    </w:p>
    <w:p w:rsidR="00000000" w:rsidRDefault="001D2166">
      <w:pPr>
        <w:divId w:val="1174760789"/>
        <w:rPr>
          <w:rFonts w:eastAsia="Times New Roman"/>
          <w:sz w:val="20"/>
          <w:szCs w:val="20"/>
        </w:rPr>
      </w:pPr>
      <w:r>
        <w:rPr>
          <w:rFonts w:eastAsia="Times New Roman"/>
          <w:sz w:val="20"/>
          <w:szCs w:val="20"/>
        </w:rPr>
        <w:t xml:space="preserve">  </w:t>
      </w:r>
    </w:p>
    <w:p w:rsidR="00000000" w:rsidRDefault="001D2166">
      <w:pPr>
        <w:jc w:val="center"/>
        <w:divId w:val="313875700"/>
        <w:rPr>
          <w:rFonts w:eastAsia="Times New Roman"/>
          <w:sz w:val="20"/>
          <w:szCs w:val="20"/>
        </w:rPr>
      </w:pPr>
      <w:r>
        <w:rPr>
          <w:rFonts w:eastAsia="Times New Roman"/>
          <w:sz w:val="20"/>
          <w:szCs w:val="20"/>
        </w:rPr>
        <w:t>NOTES TO CONSOLIDATED</w:t>
      </w:r>
      <w:r>
        <w:rPr>
          <w:rFonts w:eastAsia="Times New Roman"/>
          <w:sz w:val="20"/>
          <w:szCs w:val="20"/>
        </w:rPr>
        <w:t xml:space="preserve">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i/>
          <w:iCs/>
          <w:sz w:val="20"/>
          <w:szCs w:val="20"/>
        </w:rPr>
        <w:t>Deferred Tax Assets, Liabilities and Valuation Allowances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Company’s deferred tax assets and liabilities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were as follows (in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Deferred tax assets: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Tax/GAAP basis differences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3,286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29,105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Net operating losses (1)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17,885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Tax credit carryforwards (2)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2,340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2,340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Related party deferred losses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619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Charitable contribution carryforwards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Valuation allowance</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(4,067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(36,957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Total deferred tax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6,139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13,015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Deferred tax liabilities</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(8,058</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(12,765</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Net deferred tax (liabilities)/assets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(1,919</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250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Net operating losses expire in </w:t>
            </w:r>
            <w:r>
              <w:rPr>
                <w:rStyle w:val="a6"/>
                <w:sz w:val="20"/>
                <w:szCs w:val="20"/>
              </w:rPr>
              <w:t>2032.</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1D2166">
            <w:pPr>
              <w:rPr>
                <w:rFonts w:eastAsia="Times New Roman"/>
                <w:sz w:val="20"/>
                <w:szCs w:val="20"/>
              </w:rPr>
            </w:pPr>
            <w:r>
              <w:rPr>
                <w:rFonts w:eastAsia="Times New Roman"/>
                <w:sz w:val="20"/>
                <w:szCs w:val="20"/>
              </w:rPr>
              <w:t> </w:t>
            </w:r>
          </w:p>
        </w:tc>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Expiration dates ranging from </w:t>
            </w:r>
            <w:r>
              <w:rPr>
                <w:rStyle w:val="a6"/>
                <w:sz w:val="20"/>
                <w:szCs w:val="20"/>
              </w:rPr>
              <w:t>2027</w:t>
            </w:r>
            <w:r>
              <w:rPr>
                <w:sz w:val="20"/>
                <w:szCs w:val="20"/>
              </w:rPr>
              <w:t xml:space="preserve"> to </w:t>
            </w:r>
            <w:r>
              <w:rPr>
                <w:rStyle w:val="a6"/>
                <w:sz w:val="20"/>
                <w:szCs w:val="20"/>
              </w:rPr>
              <w:t>2035.</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major differences between the GAAP basis of accounting and the basis of accounting used for federal and state income tax reporting consist of impairment charges recorded for GAAP purposes, but </w:t>
      </w:r>
      <w:r>
        <w:rPr>
          <w:rStyle w:val="a6"/>
          <w:sz w:val="20"/>
          <w:szCs w:val="20"/>
        </w:rPr>
        <w:t>not</w:t>
      </w:r>
      <w:r>
        <w:rPr>
          <w:sz w:val="20"/>
          <w:szCs w:val="20"/>
        </w:rPr>
        <w:t xml:space="preserve"> recognized for tax purposes, depreciation and amortizat</w:t>
      </w:r>
      <w:r>
        <w:rPr>
          <w:sz w:val="20"/>
          <w:szCs w:val="20"/>
        </w:rPr>
        <w:t>ion, rental revenue recognized on the straight-line method for GAAP, reserves for doubtful accounts, above-market and below-market lease amortization, differences in GAAP and tax basis of assets sold, and the period in which certain gains were recognized f</w:t>
      </w:r>
      <w:r>
        <w:rPr>
          <w:sz w:val="20"/>
          <w:szCs w:val="20"/>
        </w:rPr>
        <w:t xml:space="preserve">or tax purposes, but </w:t>
      </w:r>
      <w:r>
        <w:rPr>
          <w:rStyle w:val="a6"/>
          <w:sz w:val="20"/>
          <w:szCs w:val="20"/>
        </w:rPr>
        <w:t>not</w:t>
      </w:r>
      <w:r>
        <w:rPr>
          <w:sz w:val="20"/>
          <w:szCs w:val="20"/>
        </w:rPr>
        <w:t xml:space="preserve"> yet recognized under GAAP.</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Deferred tax assets and deferred tax liabilities are included in the captions Other assets and Other liabilities on the Company’s Consolidated Balance Sheets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Operating losses and the valuation allowance are related primarily </w:t>
      </w:r>
      <w:r>
        <w:rPr>
          <w:sz w:val="20"/>
          <w:szCs w:val="20"/>
        </w:rPr>
        <w:t>to the Company’s consolidation of its TRSs for accounting and reporting purposes.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Under GAAP a reduction of the carrying amounts of deferred tax assets by a valuation allowance is required, if, based on the evidence available, it is more likely than </w:t>
      </w:r>
      <w:r>
        <w:rPr>
          <w:rStyle w:val="a6"/>
          <w:sz w:val="20"/>
          <w:szCs w:val="20"/>
        </w:rPr>
        <w:t>not</w:t>
      </w:r>
      <w:r>
        <w:rPr>
          <w:sz w:val="20"/>
          <w:szCs w:val="20"/>
        </w:rPr>
        <w:t xml:space="preserve"> </w:t>
      </w:r>
      <w:r>
        <w:rPr>
          <w:sz w:val="20"/>
          <w:szCs w:val="20"/>
        </w:rPr>
        <w:t xml:space="preserve">(a likelihood of more than </w:t>
      </w:r>
      <w:r>
        <w:rPr>
          <w:rStyle w:val="a6"/>
          <w:sz w:val="20"/>
          <w:szCs w:val="20"/>
        </w:rPr>
        <w:t>50%</w:t>
      </w:r>
      <w:r>
        <w:rPr>
          <w:sz w:val="20"/>
          <w:szCs w:val="20"/>
        </w:rPr>
        <w:t xml:space="preserve">) that some portion or all of the deferred tax assets will </w:t>
      </w:r>
      <w:r>
        <w:rPr>
          <w:rStyle w:val="a6"/>
          <w:sz w:val="20"/>
          <w:szCs w:val="20"/>
        </w:rPr>
        <w:t>not</w:t>
      </w:r>
      <w:r>
        <w:rPr>
          <w:sz w:val="20"/>
          <w:szCs w:val="20"/>
        </w:rPr>
        <w:t xml:space="preserve"> be realized.  The valuation allowance should be sufficient to reduce the deferred tax asset to the amount that is more likely than </w:t>
      </w:r>
      <w:r>
        <w:rPr>
          <w:rStyle w:val="a6"/>
          <w:sz w:val="20"/>
          <w:szCs w:val="20"/>
        </w:rPr>
        <w:t>not</w:t>
      </w:r>
      <w:r>
        <w:rPr>
          <w:sz w:val="20"/>
          <w:szCs w:val="20"/>
        </w:rPr>
        <w:t xml:space="preserve"> to be realized. Effective </w:t>
      </w:r>
      <w:r>
        <w:rPr>
          <w:rStyle w:val="a6"/>
          <w:sz w:val="20"/>
          <w:szCs w:val="20"/>
        </w:rPr>
        <w:t>Au</w:t>
      </w:r>
      <w:r>
        <w:rPr>
          <w:rStyle w:val="a6"/>
          <w:sz w:val="20"/>
          <w:szCs w:val="20"/>
        </w:rPr>
        <w:t xml:space="preserve">gust 1, 2016, </w:t>
      </w:r>
      <w:r>
        <w:rPr>
          <w:sz w:val="20"/>
          <w:szCs w:val="20"/>
        </w:rPr>
        <w:t xml:space="preserve">the Company merged Kimco Realty Services, Inc. (“KRSI”), a TRS holding REIT qualifying real estate, into a wholly owned LLC (the “TRS Merger”) and KRSI was dissolved. As a result of the TRS Merger, the Company determined that the realization </w:t>
      </w:r>
      <w:r>
        <w:rPr>
          <w:sz w:val="20"/>
          <w:szCs w:val="20"/>
        </w:rPr>
        <w:t xml:space="preserve">of its then net deferred tax assets was </w:t>
      </w:r>
      <w:r>
        <w:rPr>
          <w:rStyle w:val="a6"/>
          <w:sz w:val="20"/>
          <w:szCs w:val="20"/>
        </w:rPr>
        <w:t>not</w:t>
      </w:r>
      <w:r>
        <w:rPr>
          <w:sz w:val="20"/>
          <w:szCs w:val="20"/>
        </w:rPr>
        <w:t xml:space="preserve"> deemed more likely than </w:t>
      </w:r>
      <w:r>
        <w:rPr>
          <w:rStyle w:val="a6"/>
          <w:sz w:val="20"/>
          <w:szCs w:val="20"/>
        </w:rPr>
        <w:t>not</w:t>
      </w:r>
      <w:r>
        <w:rPr>
          <w:sz w:val="20"/>
          <w:szCs w:val="20"/>
        </w:rPr>
        <w:t xml:space="preserve"> and as such, the Company recorded a full valuation allowance against these net deferred tax assets that existed at the time of the Merger.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 prepared an analysis of the tax</w:t>
      </w:r>
      <w:r>
        <w:rPr>
          <w:sz w:val="20"/>
          <w:szCs w:val="20"/>
        </w:rPr>
        <w:t xml:space="preserve"> basis built-in tax gain or built-in loss inherent in each asset acquired from KRSI in the TRS Merger. Assets of a TRS that become REIT assets in a merger transaction of the type entered into by the Company and KRSI are subject to corporate tax on the aggr</w:t>
      </w:r>
      <w:r>
        <w:rPr>
          <w:sz w:val="20"/>
          <w:szCs w:val="20"/>
        </w:rPr>
        <w:t xml:space="preserve">egate net built-in gain (built-in gains in excess of built-in losses) during a recognition period. Accordingly, the Company is subject to corporate-level taxation on the aggregate net built-in gain from the sale of KRSI assets within </w:t>
      </w:r>
      <w:r>
        <w:rPr>
          <w:rStyle w:val="a6"/>
          <w:sz w:val="20"/>
          <w:szCs w:val="20"/>
        </w:rPr>
        <w:t>60</w:t>
      </w:r>
      <w:r>
        <w:rPr>
          <w:sz w:val="20"/>
          <w:szCs w:val="20"/>
        </w:rPr>
        <w:t xml:space="preserve"> months from the TRS</w:t>
      </w:r>
      <w:r>
        <w:rPr>
          <w:sz w:val="20"/>
          <w:szCs w:val="20"/>
        </w:rPr>
        <w:t xml:space="preserve"> Merger date (the recognition period) which expired </w:t>
      </w:r>
      <w:r>
        <w:rPr>
          <w:rStyle w:val="a6"/>
          <w:sz w:val="20"/>
          <w:szCs w:val="20"/>
        </w:rPr>
        <w:t xml:space="preserve"> August 1, 2021. </w:t>
      </w:r>
      <w:r>
        <w:rPr>
          <w:sz w:val="20"/>
          <w:szCs w:val="20"/>
        </w:rPr>
        <w:t xml:space="preserve">The maximum taxable amount with respect to all merged assets disposed within </w:t>
      </w:r>
      <w:r>
        <w:rPr>
          <w:rStyle w:val="a6"/>
          <w:sz w:val="20"/>
          <w:szCs w:val="20"/>
        </w:rPr>
        <w:t>60</w:t>
      </w:r>
      <w:r>
        <w:rPr>
          <w:sz w:val="20"/>
          <w:szCs w:val="20"/>
        </w:rPr>
        <w:t xml:space="preserve"> months of the TRS Merger is limited to the aggregate net built-in gain at the TRS Merger date. The Company </w:t>
      </w:r>
      <w:r>
        <w:rPr>
          <w:sz w:val="20"/>
          <w:szCs w:val="20"/>
        </w:rPr>
        <w:t>compared fair value to tax basis for each property or asset to determine its built-in gain (value over basis) or built-in loss (basis over value) which could be subject to corporate level taxes if the Company disposed of the asset previously held by KRSI d</w:t>
      </w:r>
      <w:r>
        <w:rPr>
          <w:sz w:val="20"/>
          <w:szCs w:val="20"/>
        </w:rPr>
        <w:t xml:space="preserve">uring the </w:t>
      </w:r>
      <w:r>
        <w:rPr>
          <w:rStyle w:val="a6"/>
          <w:sz w:val="20"/>
          <w:szCs w:val="20"/>
        </w:rPr>
        <w:t>60</w:t>
      </w:r>
      <w:r>
        <w:rPr>
          <w:sz w:val="20"/>
          <w:szCs w:val="20"/>
        </w:rPr>
        <w:t xml:space="preserve"> months following the TRS Merger date. In the event that sales of KRSI assets during the recognition period result in corporate level tax, the unrecognized tax benefits reported as deferred tax assets from KRSI will be utilized to reduce the co</w:t>
      </w:r>
      <w:r>
        <w:rPr>
          <w:sz w:val="20"/>
          <w:szCs w:val="20"/>
        </w:rPr>
        <w:t xml:space="preserve">rporate level tax for GAAP purposes. As of </w:t>
      </w:r>
      <w:r>
        <w:rPr>
          <w:rStyle w:val="a6"/>
          <w:sz w:val="20"/>
          <w:szCs w:val="20"/>
        </w:rPr>
        <w:t xml:space="preserve">August 1, 2021, </w:t>
      </w:r>
      <w:r>
        <w:rPr>
          <w:sz w:val="20"/>
          <w:szCs w:val="20"/>
        </w:rPr>
        <w:t>the recognition period, as described above, terminated. As a result of the termination of the recognition period the Company wrote off deferred tax assets and deferred tax liabilities resulting fro</w:t>
      </w:r>
      <w:r>
        <w:rPr>
          <w:sz w:val="20"/>
          <w:szCs w:val="20"/>
        </w:rPr>
        <w:t xml:space="preserve">m the TRS Merger. The Company recorded a full valuation allowance against these net deferred tax assets there was </w:t>
      </w:r>
      <w:r>
        <w:rPr>
          <w:rStyle w:val="a6"/>
          <w:sz w:val="20"/>
          <w:szCs w:val="20"/>
        </w:rPr>
        <w:t>no</w:t>
      </w:r>
      <w:r>
        <w:rPr>
          <w:sz w:val="20"/>
          <w:szCs w:val="20"/>
        </w:rPr>
        <w:t xml:space="preserve"> income or loss recognized on the write off. The deferred tax assets that relate to net operating losses and tax credit carryforwards that c</w:t>
      </w:r>
      <w:r>
        <w:rPr>
          <w:sz w:val="20"/>
          <w:szCs w:val="20"/>
        </w:rPr>
        <w:t>an still be utilized by the Company remain on the books with a full valuation allowance against them.</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i/>
          <w:iCs/>
          <w:sz w:val="20"/>
          <w:szCs w:val="20"/>
        </w:rPr>
        <w:t>Uncertain Tax Positions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The Company is subject to income tax in certain jurisdictions outside the U.S., principally Canada and Mexico. The statute of </w:t>
      </w:r>
      <w:r>
        <w:rPr>
          <w:sz w:val="20"/>
          <w:szCs w:val="20"/>
        </w:rPr>
        <w:t xml:space="preserve">limitations on assessment of tax varies from </w:t>
      </w:r>
      <w:r>
        <w:rPr>
          <w:rStyle w:val="a6"/>
          <w:sz w:val="20"/>
          <w:szCs w:val="20"/>
        </w:rPr>
        <w:t>three</w:t>
      </w:r>
      <w:r>
        <w:rPr>
          <w:sz w:val="20"/>
          <w:szCs w:val="20"/>
        </w:rPr>
        <w:t xml:space="preserve"> to </w:t>
      </w:r>
      <w:r>
        <w:rPr>
          <w:rStyle w:val="a6"/>
          <w:sz w:val="20"/>
          <w:szCs w:val="20"/>
        </w:rPr>
        <w:t>seven</w:t>
      </w:r>
      <w:r>
        <w:rPr>
          <w:sz w:val="20"/>
          <w:szCs w:val="20"/>
        </w:rPr>
        <w:t xml:space="preserve"> years depending on the jurisdiction and tax issue. Tax returns filed in each jurisdiction are subject to examination by local tax authorities. The Company is currently under audit by the Canadian </w:t>
      </w:r>
      <w:r>
        <w:rPr>
          <w:sz w:val="20"/>
          <w:szCs w:val="20"/>
        </w:rPr>
        <w:t xml:space="preserve">Revenue Agency and Mexican Tax Authority. The resolution of these audits are </w:t>
      </w:r>
      <w:r>
        <w:rPr>
          <w:rStyle w:val="a6"/>
          <w:sz w:val="20"/>
          <w:szCs w:val="20"/>
        </w:rPr>
        <w:t>not</w:t>
      </w:r>
      <w:r>
        <w:rPr>
          <w:sz w:val="20"/>
          <w:szCs w:val="20"/>
        </w:rPr>
        <w:t xml:space="preserve"> expected to have a material effect on the Company’s financial statements. The Company has accrued $1.4 million and $1.5 million of non-current uncertain tax positions and rela</w:t>
      </w:r>
      <w:r>
        <w:rPr>
          <w:sz w:val="20"/>
          <w:szCs w:val="20"/>
        </w:rPr>
        <w:t xml:space="preserve">ted interest under the provisions of the authoritative guidance that addresses accounting for income taxes at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respectively, which are included in Other liabilities on the Company’s Consolidated Balance Sheets. The Company does </w:t>
      </w:r>
      <w:r>
        <w:rPr>
          <w:rStyle w:val="a6"/>
          <w:sz w:val="20"/>
          <w:szCs w:val="20"/>
        </w:rPr>
        <w:t>n</w:t>
      </w:r>
      <w:r>
        <w:rPr>
          <w:rStyle w:val="a6"/>
          <w:sz w:val="20"/>
          <w:szCs w:val="20"/>
        </w:rPr>
        <w:t>ot</w:t>
      </w:r>
      <w:r>
        <w:rPr>
          <w:sz w:val="20"/>
          <w:szCs w:val="20"/>
        </w:rPr>
        <w:t xml:space="preserve"> believe that the total amount of unrecognized tax benefits as of </w:t>
      </w:r>
      <w:r>
        <w:rPr>
          <w:rStyle w:val="a6"/>
          <w:sz w:val="20"/>
          <w:szCs w:val="20"/>
        </w:rPr>
        <w:t xml:space="preserve">December 31, 2021, </w:t>
      </w:r>
      <w:r>
        <w:rPr>
          <w:sz w:val="20"/>
          <w:szCs w:val="20"/>
        </w:rPr>
        <w:t xml:space="preserve">will significantly increase or decrease within the next </w:t>
      </w:r>
      <w:r>
        <w:rPr>
          <w:rStyle w:val="a6"/>
          <w:sz w:val="20"/>
          <w:szCs w:val="20"/>
        </w:rPr>
        <w:t>12</w:t>
      </w:r>
      <w:r>
        <w:rPr>
          <w:sz w:val="20"/>
          <w:szCs w:val="20"/>
        </w:rPr>
        <w:t xml:space="preserve"> months.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76289247"/>
        <w:rPr>
          <w:rFonts w:eastAsia="Times New Roman"/>
          <w:sz w:val="20"/>
          <w:szCs w:val="20"/>
        </w:rPr>
      </w:pPr>
      <w:r>
        <w:rPr>
          <w:rStyle w:val="a6"/>
          <w:rFonts w:eastAsia="Times New Roman"/>
          <w:sz w:val="20"/>
          <w:szCs w:val="20"/>
        </w:rPr>
        <w:t>94</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6" style="width:415.3pt;height:1.5pt" o:hralign="center" o:hrstd="t" o:hrnoshade="t" o:hr="t" fillcolor="black" stroked="f"/>
        </w:pict>
      </w:r>
    </w:p>
    <w:p w:rsidR="00000000" w:rsidRDefault="001D2166">
      <w:pPr>
        <w:divId w:val="8594695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jc w:val="center"/>
        <w:divId w:val="682320681"/>
        <w:rPr>
          <w:rFonts w:eastAsia="Times New Roman"/>
          <w:sz w:val="20"/>
          <w:szCs w:val="20"/>
        </w:rPr>
      </w:pPr>
      <w:r>
        <w:rPr>
          <w:rFonts w:eastAsia="Times New Roman"/>
          <w:sz w:val="20"/>
          <w:szCs w:val="20"/>
        </w:rPr>
        <w:t xml:space="preserve">KIMCO REALTY CORPORATION AND SUBSIDIARIES </w:t>
      </w:r>
    </w:p>
    <w:p w:rsidR="00000000" w:rsidRDefault="001D2166">
      <w:pPr>
        <w:divId w:val="1413894385"/>
        <w:rPr>
          <w:rFonts w:eastAsia="Times New Roman"/>
          <w:sz w:val="20"/>
          <w:szCs w:val="20"/>
        </w:rPr>
      </w:pPr>
      <w:r>
        <w:rPr>
          <w:rFonts w:eastAsia="Times New Roman"/>
          <w:sz w:val="20"/>
          <w:szCs w:val="20"/>
        </w:rPr>
        <w:t xml:space="preserve">  </w:t>
      </w:r>
    </w:p>
    <w:p w:rsidR="00000000" w:rsidRDefault="001D2166">
      <w:pPr>
        <w:jc w:val="center"/>
        <w:divId w:val="2119062942"/>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August 2016, </w:t>
      </w:r>
      <w:r>
        <w:rPr>
          <w:sz w:val="20"/>
          <w:szCs w:val="20"/>
        </w:rPr>
        <w:t xml:space="preserve">the Mexican Tax Authority issued </w:t>
      </w:r>
      <w:r>
        <w:rPr>
          <w:rStyle w:val="a6"/>
          <w:sz w:val="20"/>
          <w:szCs w:val="20"/>
        </w:rPr>
        <w:t>36</w:t>
      </w:r>
      <w:r>
        <w:rPr>
          <w:sz w:val="20"/>
          <w:szCs w:val="20"/>
        </w:rPr>
        <w:t xml:space="preserve"> tax assessments against</w:t>
      </w:r>
      <w:r>
        <w:rPr>
          <w:sz w:val="20"/>
          <w:szCs w:val="20"/>
        </w:rPr>
        <w:t xml:space="preserve"> </w:t>
      </w:r>
      <w:r>
        <w:rPr>
          <w:rStyle w:val="a6"/>
          <w:sz w:val="20"/>
          <w:szCs w:val="20"/>
        </w:rPr>
        <w:t>32</w:t>
      </w:r>
      <w:r>
        <w:rPr>
          <w:sz w:val="20"/>
          <w:szCs w:val="20"/>
        </w:rPr>
        <w:t xml:space="preserve"> entities, which includes certain joint ventures, that had previously held interests in operating properties in Mexico. These assessments are for certain income taxes, interest expense and withholding taxes subject to the controlling provisions of Unite</w:t>
      </w:r>
      <w:r>
        <w:rPr>
          <w:sz w:val="20"/>
          <w:szCs w:val="20"/>
        </w:rPr>
        <w:t xml:space="preserve">d States-Mexico Income Tax Convention (the “Treaty”). The assessments are for the 2010 tax year with </w:t>
      </w:r>
      <w:r>
        <w:rPr>
          <w:rStyle w:val="a6"/>
          <w:sz w:val="20"/>
          <w:szCs w:val="20"/>
        </w:rPr>
        <w:t>4</w:t>
      </w:r>
      <w:r>
        <w:rPr>
          <w:sz w:val="20"/>
          <w:szCs w:val="20"/>
        </w:rPr>
        <w:t xml:space="preserve"> of the </w:t>
      </w:r>
      <w:r>
        <w:rPr>
          <w:rStyle w:val="a6"/>
          <w:sz w:val="20"/>
          <w:szCs w:val="20"/>
        </w:rPr>
        <w:t>32</w:t>
      </w:r>
      <w:r>
        <w:rPr>
          <w:sz w:val="20"/>
          <w:szCs w:val="20"/>
        </w:rPr>
        <w:t xml:space="preserve"> entities also assessed for tax years </w:t>
      </w:r>
      <w:r>
        <w:rPr>
          <w:rStyle w:val="a6"/>
          <w:sz w:val="20"/>
          <w:szCs w:val="20"/>
        </w:rPr>
        <w:t>2007</w:t>
      </w:r>
      <w:r>
        <w:rPr>
          <w:sz w:val="20"/>
          <w:szCs w:val="20"/>
        </w:rPr>
        <w:t xml:space="preserve"> and/or </w:t>
      </w:r>
      <w:r>
        <w:rPr>
          <w:rStyle w:val="a6"/>
          <w:sz w:val="20"/>
          <w:szCs w:val="20"/>
        </w:rPr>
        <w:t>2008.</w:t>
      </w:r>
      <w:r>
        <w:rPr>
          <w:sz w:val="20"/>
          <w:szCs w:val="20"/>
        </w:rPr>
        <w:t xml:space="preserve"> The assessments included amounts for taxes aggregating $33.7 million, interest aggregati</w:t>
      </w:r>
      <w:r>
        <w:rPr>
          <w:sz w:val="20"/>
          <w:szCs w:val="20"/>
        </w:rPr>
        <w:t xml:space="preserve">ng $16.5 million and penalties aggregating $11.4 million. The Company’s aggregate share of these amounts was $52.6 million. The Company believes it has operated in accordance with the Treaty provisions and has therefore concluded that </w:t>
      </w:r>
      <w:r>
        <w:rPr>
          <w:rStyle w:val="a6"/>
          <w:sz w:val="20"/>
          <w:szCs w:val="20"/>
        </w:rPr>
        <w:t>no</w:t>
      </w:r>
      <w:r>
        <w:rPr>
          <w:sz w:val="20"/>
          <w:szCs w:val="20"/>
        </w:rPr>
        <w:t xml:space="preserve"> amounts are payabl</w:t>
      </w:r>
      <w:r>
        <w:rPr>
          <w:sz w:val="20"/>
          <w:szCs w:val="20"/>
        </w:rPr>
        <w:t>e with respect to this matter. The Company sought the assistance of the U.S. Competent Authority (Department of Treasury) (the “Authority”), responsible for administering U.S. tax treaties. The Authority acknowledged its agreement with the Company’s positi</w:t>
      </w:r>
      <w:r>
        <w:rPr>
          <w:sz w:val="20"/>
          <w:szCs w:val="20"/>
        </w:rPr>
        <w:t xml:space="preserve">on and represented the Company regarding this matter with the Mexican Competent Authority, though </w:t>
      </w:r>
      <w:r>
        <w:rPr>
          <w:rStyle w:val="a6"/>
          <w:sz w:val="20"/>
          <w:szCs w:val="20"/>
        </w:rPr>
        <w:t>no</w:t>
      </w:r>
      <w:r>
        <w:rPr>
          <w:sz w:val="20"/>
          <w:szCs w:val="20"/>
        </w:rPr>
        <w:t xml:space="preserve"> agreement resulted from their discussions. Accordingly, the Company filed annulment lawsuits in the Mexican Tax Court in </w:t>
      </w:r>
      <w:r>
        <w:rPr>
          <w:rStyle w:val="a6"/>
          <w:sz w:val="20"/>
          <w:szCs w:val="20"/>
        </w:rPr>
        <w:t xml:space="preserve">September 2018 </w:t>
      </w:r>
      <w:r>
        <w:rPr>
          <w:sz w:val="20"/>
          <w:szCs w:val="20"/>
        </w:rPr>
        <w:t>challenging these a</w:t>
      </w:r>
      <w:r>
        <w:rPr>
          <w:sz w:val="20"/>
          <w:szCs w:val="20"/>
        </w:rPr>
        <w:t xml:space="preserve">ssessments. During </w:t>
      </w:r>
      <w:r>
        <w:rPr>
          <w:rStyle w:val="a6"/>
          <w:sz w:val="20"/>
          <w:szCs w:val="20"/>
        </w:rPr>
        <w:t xml:space="preserve">April 2019, </w:t>
      </w:r>
      <w:r>
        <w:rPr>
          <w:sz w:val="20"/>
          <w:szCs w:val="20"/>
        </w:rPr>
        <w:t xml:space="preserve">the appeals were argued at a hearing in the Superior Chamber of the Tax Court, and beginning in the </w:t>
      </w:r>
      <w:r>
        <w:rPr>
          <w:rStyle w:val="a6"/>
          <w:sz w:val="20"/>
          <w:szCs w:val="20"/>
        </w:rPr>
        <w:t>fourth</w:t>
      </w:r>
      <w:r>
        <w:rPr>
          <w:sz w:val="20"/>
          <w:szCs w:val="20"/>
        </w:rPr>
        <w:t xml:space="preserve"> quarter of </w:t>
      </w:r>
      <w:r>
        <w:rPr>
          <w:rStyle w:val="a6"/>
          <w:sz w:val="20"/>
          <w:szCs w:val="20"/>
        </w:rPr>
        <w:t>2019,</w:t>
      </w:r>
      <w:r>
        <w:rPr>
          <w:sz w:val="20"/>
          <w:szCs w:val="20"/>
        </w:rPr>
        <w:t xml:space="preserve"> the court issued rulings on the </w:t>
      </w:r>
      <w:r>
        <w:rPr>
          <w:rStyle w:val="a6"/>
          <w:sz w:val="20"/>
          <w:szCs w:val="20"/>
        </w:rPr>
        <w:t>36</w:t>
      </w:r>
      <w:r>
        <w:rPr>
          <w:sz w:val="20"/>
          <w:szCs w:val="20"/>
        </w:rPr>
        <w:t xml:space="preserve"> lawsuits, which found that $16.1 million ($12.8 </w:t>
      </w:r>
      <w:r>
        <w:rPr>
          <w:sz w:val="20"/>
          <w:szCs w:val="20"/>
        </w:rPr>
        <w:t xml:space="preserve">million representing the Company’s share) of the total assessments were improperly assessed (the “Flat Tax Assessments”) but ruled in favor of the Mexican Tax Authority with respect to the balance of the assessments. Maintaining its position of compliance </w:t>
      </w:r>
      <w:r>
        <w:rPr>
          <w:sz w:val="20"/>
          <w:szCs w:val="20"/>
        </w:rPr>
        <w:t xml:space="preserve">with the Treaty, the Company filed appeals in the Mexican Circuit (Appeals) Court with respect to the adverse rulings. The appeals were assigned to </w:t>
      </w:r>
      <w:r>
        <w:rPr>
          <w:rStyle w:val="a6"/>
          <w:sz w:val="20"/>
          <w:szCs w:val="20"/>
        </w:rPr>
        <w:t>18</w:t>
      </w:r>
      <w:r>
        <w:rPr>
          <w:sz w:val="20"/>
          <w:szCs w:val="20"/>
        </w:rPr>
        <w:t xml:space="preserve"> separate Circuit Courts, all of which have ruled, and only </w:t>
      </w:r>
      <w:r>
        <w:rPr>
          <w:rStyle w:val="a6"/>
          <w:sz w:val="20"/>
          <w:szCs w:val="20"/>
        </w:rPr>
        <w:t>one</w:t>
      </w:r>
      <w:r>
        <w:rPr>
          <w:sz w:val="20"/>
          <w:szCs w:val="20"/>
        </w:rPr>
        <w:t xml:space="preserve"> of which ruled in favor of the Company. Th</w:t>
      </w:r>
      <w:r>
        <w:rPr>
          <w:sz w:val="20"/>
          <w:szCs w:val="20"/>
        </w:rPr>
        <w:t xml:space="preserve">e Company appealed the </w:t>
      </w:r>
      <w:r>
        <w:rPr>
          <w:rStyle w:val="a6"/>
          <w:sz w:val="20"/>
          <w:szCs w:val="20"/>
        </w:rPr>
        <w:t>35</w:t>
      </w:r>
      <w:r>
        <w:rPr>
          <w:sz w:val="20"/>
          <w:szCs w:val="20"/>
        </w:rPr>
        <w:t xml:space="preserve"> unfavorable rulings to the Mexican Supreme Court and, during the </w:t>
      </w:r>
      <w:r>
        <w:rPr>
          <w:rStyle w:val="a6"/>
          <w:sz w:val="20"/>
          <w:szCs w:val="20"/>
        </w:rPr>
        <w:t>fourth</w:t>
      </w:r>
      <w:r>
        <w:rPr>
          <w:sz w:val="20"/>
          <w:szCs w:val="20"/>
        </w:rPr>
        <w:t xml:space="preserve"> quarter of </w:t>
      </w:r>
      <w:r>
        <w:rPr>
          <w:rStyle w:val="a6"/>
          <w:sz w:val="20"/>
          <w:szCs w:val="20"/>
        </w:rPr>
        <w:t>2021,</w:t>
      </w:r>
      <w:r>
        <w:rPr>
          <w:sz w:val="20"/>
          <w:szCs w:val="20"/>
        </w:rPr>
        <w:t xml:space="preserve"> the court issued its rulings in favor of the Mexican Tax Authority for $45.5 million, however it did affirm and dismiss the improper Flat Tax</w:t>
      </w:r>
      <w:r>
        <w:rPr>
          <w:sz w:val="20"/>
          <w:szCs w:val="20"/>
        </w:rPr>
        <w:t xml:space="preserve"> Assessments, as noted above. The Company’s share of the estimated revised assessments is $41 million. Under Mexican tax law, interest and penalties are capped at </w:t>
      </w:r>
      <w:r>
        <w:rPr>
          <w:rStyle w:val="a6"/>
          <w:sz w:val="20"/>
          <w:szCs w:val="20"/>
        </w:rPr>
        <w:t>5</w:t>
      </w:r>
      <w:r>
        <w:rPr>
          <w:sz w:val="20"/>
          <w:szCs w:val="20"/>
        </w:rPr>
        <w:t xml:space="preserve"> years and will </w:t>
      </w:r>
      <w:r>
        <w:rPr>
          <w:rStyle w:val="a6"/>
          <w:sz w:val="20"/>
          <w:szCs w:val="20"/>
        </w:rPr>
        <w:t>no</w:t>
      </w:r>
      <w:r>
        <w:rPr>
          <w:sz w:val="20"/>
          <w:szCs w:val="20"/>
        </w:rPr>
        <w:t xml:space="preserve"> longer accrue on the final assessments, however, a statutory inflation fa</w:t>
      </w:r>
      <w:r>
        <w:rPr>
          <w:sz w:val="20"/>
          <w:szCs w:val="20"/>
        </w:rPr>
        <w:t>ctor will continue to increase unpaid liabilities. The Company believes it has operated in accordance with the Treaty provisions. In addition, based on legal opinions obtained by the Company, the assessed entities are the only entities liable and such enti</w:t>
      </w:r>
      <w:r>
        <w:rPr>
          <w:sz w:val="20"/>
          <w:szCs w:val="20"/>
        </w:rPr>
        <w:t xml:space="preserve">ties have </w:t>
      </w:r>
      <w:r>
        <w:rPr>
          <w:rStyle w:val="a6"/>
          <w:sz w:val="20"/>
          <w:szCs w:val="20"/>
        </w:rPr>
        <w:t>no</w:t>
      </w:r>
      <w:r>
        <w:rPr>
          <w:sz w:val="20"/>
          <w:szCs w:val="20"/>
        </w:rPr>
        <w:t xml:space="preserve"> assets. Therefore, given that the collection of these assessments by the Mexican tax authority is remote, the Company has </w:t>
      </w:r>
      <w:r>
        <w:rPr>
          <w:rStyle w:val="a6"/>
          <w:sz w:val="20"/>
          <w:szCs w:val="20"/>
        </w:rPr>
        <w:t>not</w:t>
      </w:r>
      <w:r>
        <w:rPr>
          <w:sz w:val="20"/>
          <w:szCs w:val="20"/>
        </w:rPr>
        <w:t xml:space="preserve"> accrued any liability relating to this matter.      </w:t>
      </w:r>
    </w:p>
    <w:p w:rsidR="00000000" w:rsidRDefault="001D2166">
      <w:pPr>
        <w:pStyle w:val="a3"/>
        <w:spacing w:before="0" w:beforeAutospacing="0" w:after="0" w:afterAutospacing="0"/>
        <w:rPr>
          <w:sz w:val="20"/>
          <w:szCs w:val="20"/>
        </w:rPr>
      </w:pPr>
      <w:r>
        <w:rPr>
          <w:sz w:val="20"/>
          <w:szCs w:val="20"/>
        </w:rPr>
        <w:t> </w:t>
      </w:r>
    </w:p>
    <w:p w:rsidR="00000000" w:rsidRDefault="001D2166">
      <w:pPr>
        <w:divId w:val="23744555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25.</w:t>
      </w:r>
      <w:r>
        <w:rPr>
          <w:sz w:val="20"/>
          <w:szCs w:val="20"/>
        </w:rPr>
        <w:t xml:space="preserve"> </w:t>
      </w:r>
      <w:r>
        <w:rPr>
          <w:sz w:val="20"/>
          <w:szCs w:val="20"/>
          <w:u w:val="single"/>
        </w:rPr>
        <w:t>Captive Insurance Company: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October 2007, </w:t>
      </w:r>
      <w:r>
        <w:rPr>
          <w:sz w:val="20"/>
          <w:szCs w:val="20"/>
        </w:rPr>
        <w:t>the Compa</w:t>
      </w:r>
      <w:r>
        <w:rPr>
          <w:sz w:val="20"/>
          <w:szCs w:val="20"/>
        </w:rPr>
        <w:t xml:space="preserve">ny formed a wholly owned captive insurance company, KIC, which provides general liability insurance coverage for all losses below the deductible under the Company’s </w:t>
      </w:r>
      <w:r>
        <w:rPr>
          <w:rStyle w:val="a6"/>
          <w:sz w:val="20"/>
          <w:szCs w:val="20"/>
        </w:rPr>
        <w:t>third</w:t>
      </w:r>
      <w:r>
        <w:rPr>
          <w:sz w:val="20"/>
          <w:szCs w:val="20"/>
        </w:rPr>
        <w:t>-party liability insurance policy. The Company created KIC as part of its overall risk</w:t>
      </w:r>
      <w:r>
        <w:rPr>
          <w:sz w:val="20"/>
          <w:szCs w:val="20"/>
        </w:rPr>
        <w:t xml:space="preserve"> management program and to stabilize its insurance costs, manage exposure and recoup expenses through the functions of the captive program. The Company capitalized KIC in accordance with the applicable regulatory requirements. KIC established annual premiu</w:t>
      </w:r>
      <w:r>
        <w:rPr>
          <w:sz w:val="20"/>
          <w:szCs w:val="20"/>
        </w:rPr>
        <w:t xml:space="preserve">ms based on projections derived from the past loss experience of the Company’s properties. KIC has engaged an independent </w:t>
      </w:r>
      <w:r>
        <w:rPr>
          <w:rStyle w:val="a6"/>
          <w:sz w:val="20"/>
          <w:szCs w:val="20"/>
        </w:rPr>
        <w:t>third</w:t>
      </w:r>
      <w:r>
        <w:rPr>
          <w:sz w:val="20"/>
          <w:szCs w:val="20"/>
        </w:rPr>
        <w:t xml:space="preserve">-party to perform an actuarial estimate of future projected claims, related deductibles and projected expenses necessary to fund </w:t>
      </w:r>
      <w:r>
        <w:rPr>
          <w:sz w:val="20"/>
          <w:szCs w:val="20"/>
        </w:rPr>
        <w:t xml:space="preserve">associated risk management programs. Premiums paid to KIC </w:t>
      </w:r>
      <w:r>
        <w:rPr>
          <w:rStyle w:val="a6"/>
          <w:sz w:val="20"/>
          <w:szCs w:val="20"/>
        </w:rPr>
        <w:t xml:space="preserve">may </w:t>
      </w:r>
      <w:r>
        <w:rPr>
          <w:sz w:val="20"/>
          <w:szCs w:val="20"/>
        </w:rPr>
        <w:t xml:space="preserve">be adjusted based on this estimate. Like premiums paid to </w:t>
      </w:r>
      <w:r>
        <w:rPr>
          <w:rStyle w:val="a6"/>
          <w:sz w:val="20"/>
          <w:szCs w:val="20"/>
        </w:rPr>
        <w:t>third</w:t>
      </w:r>
      <w:r>
        <w:rPr>
          <w:sz w:val="20"/>
          <w:szCs w:val="20"/>
        </w:rPr>
        <w:t xml:space="preserve">-party insurance companies, premiums paid to KIC </w:t>
      </w:r>
      <w:r>
        <w:rPr>
          <w:rStyle w:val="a6"/>
          <w:sz w:val="20"/>
          <w:szCs w:val="20"/>
        </w:rPr>
        <w:t xml:space="preserve">may </w:t>
      </w:r>
      <w:r>
        <w:rPr>
          <w:sz w:val="20"/>
          <w:szCs w:val="20"/>
        </w:rPr>
        <w:t>be reimbursed by tenants pursuant to specific lease terms. KIC assumes occurre</w:t>
      </w:r>
      <w:r>
        <w:rPr>
          <w:sz w:val="20"/>
          <w:szCs w:val="20"/>
        </w:rPr>
        <w:t>nce basis general liability coverage (</w:t>
      </w:r>
      <w:r>
        <w:rPr>
          <w:rStyle w:val="a6"/>
          <w:sz w:val="20"/>
          <w:szCs w:val="20"/>
        </w:rPr>
        <w:t>not</w:t>
      </w:r>
      <w:r>
        <w:rPr>
          <w:sz w:val="20"/>
          <w:szCs w:val="20"/>
        </w:rPr>
        <w:t xml:space="preserve"> including casualty loss or business interruption) for the Company and its affiliates under the terms of a reinsurance agreement entered into by KIC and the reinsurance provider.</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From </w:t>
      </w:r>
      <w:r>
        <w:rPr>
          <w:rStyle w:val="a6"/>
          <w:sz w:val="20"/>
          <w:szCs w:val="20"/>
        </w:rPr>
        <w:t xml:space="preserve">October 1, 2007 </w:t>
      </w:r>
      <w:r>
        <w:rPr>
          <w:sz w:val="20"/>
          <w:szCs w:val="20"/>
        </w:rPr>
        <w:t xml:space="preserve">through </w:t>
      </w:r>
      <w:r>
        <w:rPr>
          <w:rStyle w:val="a6"/>
          <w:sz w:val="20"/>
          <w:szCs w:val="20"/>
        </w:rPr>
        <w:t xml:space="preserve">December 31, 2021, </w:t>
      </w:r>
      <w:r>
        <w:rPr>
          <w:sz w:val="20"/>
          <w:szCs w:val="20"/>
        </w:rPr>
        <w:t xml:space="preserve">KIC assumes 100% of the </w:t>
      </w:r>
      <w:r>
        <w:rPr>
          <w:rStyle w:val="a6"/>
          <w:sz w:val="20"/>
          <w:szCs w:val="20"/>
        </w:rPr>
        <w:t>first</w:t>
      </w:r>
      <w:r>
        <w:rPr>
          <w:sz w:val="20"/>
          <w:szCs w:val="20"/>
        </w:rPr>
        <w:t xml:space="preserve"> $250,000 per occurrence risk layer. This coverage is subject to annual aggregates ranging between $7.8 million and $11.5 million per policy year. The annual aggregate is adjustable ba</w:t>
      </w:r>
      <w:r>
        <w:rPr>
          <w:sz w:val="20"/>
          <w:szCs w:val="20"/>
        </w:rPr>
        <w:t xml:space="preserve">sed on the amount of audited square footage of the insureds’ locations and can be adjusted for subsequent program years. Defense costs erode the stated policy limits. KIC is required to pay the reinsurance provider for unallocated loss adjustment expenses </w:t>
      </w:r>
      <w:r>
        <w:rPr>
          <w:sz w:val="20"/>
          <w:szCs w:val="20"/>
        </w:rPr>
        <w:t xml:space="preserve">an amount ranging between 8.0% and 12.2% of incurred losses for the policy periods ending </w:t>
      </w:r>
      <w:r>
        <w:rPr>
          <w:rStyle w:val="a6"/>
          <w:sz w:val="20"/>
          <w:szCs w:val="20"/>
        </w:rPr>
        <w:t xml:space="preserve">September 30, 2008 </w:t>
      </w:r>
      <w:r>
        <w:rPr>
          <w:sz w:val="20"/>
          <w:szCs w:val="20"/>
        </w:rPr>
        <w:t xml:space="preserve">through </w:t>
      </w:r>
      <w:r>
        <w:rPr>
          <w:rStyle w:val="a6"/>
          <w:sz w:val="20"/>
          <w:szCs w:val="20"/>
        </w:rPr>
        <w:t xml:space="preserve">February 1, 2023. </w:t>
      </w:r>
      <w:r>
        <w:rPr>
          <w:sz w:val="20"/>
          <w:szCs w:val="20"/>
        </w:rPr>
        <w:t xml:space="preserve">These amounts do </w:t>
      </w:r>
      <w:r>
        <w:rPr>
          <w:rStyle w:val="a6"/>
          <w:sz w:val="20"/>
          <w:szCs w:val="20"/>
        </w:rPr>
        <w:t>not</w:t>
      </w:r>
      <w:r>
        <w:rPr>
          <w:sz w:val="20"/>
          <w:szCs w:val="20"/>
        </w:rPr>
        <w:t xml:space="preserve"> erode the Company’s per occurrence or aggregate limits.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In connection with the Merger, the Company</w:t>
      </w:r>
      <w:r>
        <w:rPr>
          <w:sz w:val="20"/>
          <w:szCs w:val="20"/>
        </w:rPr>
        <w:t xml:space="preserve"> acquired U.S. Fire &amp; Indemnity Company (“US Fire”), a capitve insurance company which was wholly owned by Weingarten. US Fire began providing direct coverage to Weingarten with limits of $100,000 per occurrence for all other perils except for flood, named</w:t>
      </w:r>
      <w:r>
        <w:rPr>
          <w:sz w:val="20"/>
          <w:szCs w:val="20"/>
        </w:rPr>
        <w:t xml:space="preserve"> windstorm and earthquake, which had a $5,000,000 annual aggregate. The coverage was cancelled upon the effective date of the Merger. In addition, US Fire assumed general liability coverage from a </w:t>
      </w:r>
      <w:r>
        <w:rPr>
          <w:rStyle w:val="a6"/>
          <w:sz w:val="20"/>
          <w:szCs w:val="20"/>
        </w:rPr>
        <w:t>third</w:t>
      </w:r>
      <w:r>
        <w:rPr>
          <w:sz w:val="20"/>
          <w:szCs w:val="20"/>
        </w:rPr>
        <w:t>-party reinsurer, with limits of $250,000 per occurren</w:t>
      </w:r>
      <w:r>
        <w:rPr>
          <w:sz w:val="20"/>
          <w:szCs w:val="20"/>
        </w:rPr>
        <w:t xml:space="preserve">ce with a $2,000,000 annual aggregate. The reinsurance arrangement was terminated effective as of the Merger date and all risks were assumed by KIC’s reinsurance provider. Effective </w:t>
      </w:r>
      <w:r>
        <w:rPr>
          <w:rStyle w:val="a6"/>
          <w:sz w:val="20"/>
          <w:szCs w:val="20"/>
        </w:rPr>
        <w:t xml:space="preserve">December 15, 2021, </w:t>
      </w:r>
      <w:r>
        <w:rPr>
          <w:sz w:val="20"/>
          <w:szCs w:val="20"/>
        </w:rPr>
        <w:t>US Fire merged into KIC, with KIC continuing as the sur</w:t>
      </w:r>
      <w:r>
        <w:rPr>
          <w:sz w:val="20"/>
          <w:szCs w:val="20"/>
        </w:rPr>
        <w:t>viving company.</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2021, </w:t>
      </w:r>
      <w:r>
        <w:rPr>
          <w:sz w:val="20"/>
          <w:szCs w:val="20"/>
        </w:rPr>
        <w:t>the Company maintained letters of credit in the amount of $28.0 million issued in favor of the reinsurance provider to provide security for the Company’s obligations under its agreements with the reinsurance provi</w:t>
      </w:r>
      <w:r>
        <w:rPr>
          <w:sz w:val="20"/>
          <w:szCs w:val="20"/>
        </w:rPr>
        <w:t>ders.</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305740505"/>
        <w:rPr>
          <w:rFonts w:eastAsia="Times New Roman"/>
          <w:sz w:val="20"/>
          <w:szCs w:val="20"/>
        </w:rPr>
      </w:pPr>
      <w:r>
        <w:rPr>
          <w:rStyle w:val="a6"/>
          <w:rFonts w:eastAsia="Times New Roman"/>
          <w:sz w:val="20"/>
          <w:szCs w:val="20"/>
        </w:rPr>
        <w:t>95</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7" style="width:415.3pt;height:1.5pt" o:hralign="center" o:hrstd="t" o:hrnoshade="t" o:hr="t" fillcolor="black" stroked="f"/>
        </w:pict>
      </w:r>
    </w:p>
    <w:p w:rsidR="00000000" w:rsidRDefault="001D2166">
      <w:pPr>
        <w:divId w:val="701635046"/>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1D2166">
      <w:pPr>
        <w:jc w:val="center"/>
        <w:divId w:val="781805018"/>
        <w:rPr>
          <w:rFonts w:eastAsia="Times New Roman"/>
          <w:sz w:val="20"/>
          <w:szCs w:val="20"/>
        </w:rPr>
      </w:pPr>
      <w:r>
        <w:rPr>
          <w:rFonts w:eastAsia="Times New Roman"/>
          <w:sz w:val="20"/>
          <w:szCs w:val="20"/>
        </w:rPr>
        <w:t xml:space="preserve">KIMCO REALTY CORPORATION AND SUBSIDIARIES </w:t>
      </w:r>
    </w:p>
    <w:p w:rsidR="00000000" w:rsidRDefault="001D2166">
      <w:pPr>
        <w:divId w:val="298270175"/>
        <w:rPr>
          <w:rFonts w:eastAsia="Times New Roman"/>
          <w:sz w:val="20"/>
          <w:szCs w:val="20"/>
        </w:rPr>
      </w:pPr>
      <w:r>
        <w:rPr>
          <w:rFonts w:eastAsia="Times New Roman"/>
          <w:sz w:val="20"/>
          <w:szCs w:val="20"/>
        </w:rPr>
        <w:t xml:space="preserve">  </w:t>
      </w:r>
    </w:p>
    <w:p w:rsidR="00000000" w:rsidRDefault="001D2166">
      <w:pPr>
        <w:jc w:val="center"/>
        <w:divId w:val="1355766016"/>
        <w:rPr>
          <w:rFonts w:eastAsia="Times New Roman"/>
          <w:sz w:val="20"/>
          <w:szCs w:val="20"/>
        </w:rPr>
      </w:pPr>
      <w:r>
        <w:rPr>
          <w:rFonts w:eastAsia="Times New Roman"/>
          <w:sz w:val="20"/>
          <w:szCs w:val="20"/>
        </w:rPr>
        <w:t xml:space="preserve">NOTES TO CONSOLIDATED FINANCIAL STATEMENTS, continued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ind w:left="360"/>
        <w:jc w:val="both"/>
        <w:rPr>
          <w:sz w:val="20"/>
          <w:szCs w:val="20"/>
        </w:rPr>
      </w:pPr>
      <w:r>
        <w:rPr>
          <w:sz w:val="20"/>
          <w:szCs w:val="20"/>
        </w:rPr>
        <w:t xml:space="preserve">Activity in the liability for unpaid losses and loss adjustment expenses for the years ended </w:t>
      </w:r>
      <w:r>
        <w:rPr>
          <w:rStyle w:val="a6"/>
          <w:sz w:val="20"/>
          <w:szCs w:val="20"/>
        </w:rPr>
        <w:t xml:space="preserve">December 31, 2021 </w:t>
      </w:r>
      <w:r>
        <w:rPr>
          <w:sz w:val="20"/>
          <w:szCs w:val="20"/>
        </w:rPr>
        <w:t xml:space="preserve">and </w:t>
      </w:r>
      <w:r>
        <w:rPr>
          <w:rStyle w:val="a6"/>
          <w:sz w:val="20"/>
          <w:szCs w:val="20"/>
        </w:rPr>
        <w:t>2020,</w:t>
      </w:r>
      <w:r>
        <w:rPr>
          <w:sz w:val="20"/>
          <w:szCs w:val="20"/>
        </w:rPr>
        <w:t xml:space="preserve"> is summarized as follows (</w:t>
      </w:r>
      <w:r>
        <w:rPr>
          <w:sz w:val="20"/>
          <w:szCs w:val="20"/>
        </w:rPr>
        <w:t>in thousands):</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at the beginning of the year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13,742</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15,664</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Incurred related to:</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5,375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3,693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Prior years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ind w:left="360"/>
              <w:jc w:val="right"/>
              <w:rPr>
                <w:rFonts w:eastAsia="Times New Roman"/>
                <w:sz w:val="20"/>
                <w:szCs w:val="20"/>
              </w:rPr>
            </w:pPr>
            <w:r>
              <w:rPr>
                <w:rFonts w:eastAsia="Times New Roman"/>
                <w:sz w:val="20"/>
                <w:szCs w:val="20"/>
              </w:rPr>
              <w:t>5,281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(179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incurred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10,656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ind w:left="360"/>
              <w:jc w:val="right"/>
              <w:rPr>
                <w:rFonts w:eastAsia="Times New Roman"/>
                <w:sz w:val="20"/>
                <w:szCs w:val="20"/>
              </w:rPr>
            </w:pPr>
            <w:r>
              <w:rPr>
                <w:rFonts w:eastAsia="Times New Roman"/>
                <w:sz w:val="20"/>
                <w:szCs w:val="20"/>
              </w:rPr>
              <w:t>3,514</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Paid related to:</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(759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Prior years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(3,984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(4,986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Total paid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(4,743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(5,436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Balance at the end of the year</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19,655</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13,742</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During </w:t>
            </w:r>
            <w:r>
              <w:rPr>
                <w:rStyle w:val="a6"/>
                <w:sz w:val="20"/>
                <w:szCs w:val="20"/>
              </w:rPr>
              <w:t>2021,</w:t>
            </w:r>
            <w:r>
              <w:rPr>
                <w:sz w:val="20"/>
                <w:szCs w:val="20"/>
              </w:rPr>
              <w:t xml:space="preserve"> </w:t>
            </w:r>
            <w:r>
              <w:rPr>
                <w:sz w:val="20"/>
                <w:szCs w:val="20"/>
              </w:rPr>
              <w:t xml:space="preserve">the changes in estimates in insured events in the prior years, incurred losses and loss adjustment expenses resulted in an increase of $5.3 million primarily due to the liability incurred as a result of the Merger. During </w:t>
            </w:r>
            <w:r>
              <w:rPr>
                <w:rStyle w:val="a6"/>
                <w:sz w:val="20"/>
                <w:szCs w:val="20"/>
              </w:rPr>
              <w:t>2020,</w:t>
            </w:r>
            <w:r>
              <w:rPr>
                <w:sz w:val="20"/>
                <w:szCs w:val="20"/>
              </w:rPr>
              <w:t xml:space="preserve"> the changes in estimates in </w:t>
            </w:r>
            <w:r>
              <w:rPr>
                <w:sz w:val="20"/>
                <w:szCs w:val="20"/>
              </w:rPr>
              <w:t>insured events in the prior years, incurred losses and loss adjustment expenses resulted in a decrease of $0.2 million primarily due to continued regular favorable loss development on the general liability coverage assumed.</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46716909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rStyle w:val="a6"/>
          <w:sz w:val="20"/>
          <w:szCs w:val="20"/>
        </w:rPr>
        <w:t>26.</w:t>
      </w:r>
      <w:r>
        <w:rPr>
          <w:sz w:val="20"/>
          <w:szCs w:val="20"/>
        </w:rPr>
        <w:t xml:space="preserve"> </w:t>
      </w:r>
      <w:r>
        <w:rPr>
          <w:sz w:val="20"/>
          <w:szCs w:val="20"/>
          <w:u w:val="single"/>
        </w:rPr>
        <w:t>Accumulated Other Comp</w:t>
      </w:r>
      <w:r>
        <w:rPr>
          <w:sz w:val="20"/>
          <w:szCs w:val="20"/>
          <w:u w:val="single"/>
        </w:rPr>
        <w:t>rehensive Income (</w:t>
      </w:r>
      <w:r>
        <w:rPr>
          <w:sz w:val="20"/>
          <w:szCs w:val="20"/>
        </w:rPr>
        <w:t>“</w:t>
      </w:r>
      <w:r>
        <w:rPr>
          <w:sz w:val="20"/>
          <w:szCs w:val="20"/>
          <w:u w:val="single"/>
        </w:rPr>
        <w:t>AOCI</w:t>
      </w:r>
      <w:r>
        <w:rPr>
          <w:sz w:val="20"/>
          <w:szCs w:val="20"/>
        </w:rPr>
        <w:t>”</w:t>
      </w:r>
      <w:r>
        <w:rPr>
          <w:sz w:val="20"/>
          <w:szCs w:val="20"/>
          <w:u w:val="single"/>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rPr>
          <w:sz w:val="20"/>
          <w:szCs w:val="20"/>
        </w:rPr>
      </w:pPr>
      <w:r>
        <w:rPr>
          <w:sz w:val="20"/>
          <w:szCs w:val="20"/>
        </w:rPr>
        <w:t xml:space="preserve">The following table displays the change in the components of AOCI for the year ended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3"/>
        <w:gridCol w:w="58"/>
        <w:gridCol w:w="101"/>
        <w:gridCol w:w="1055"/>
        <w:gridCol w:w="5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Unrealized Gains Related to Defined Benefit Plan</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as of January 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Other comprehensive income before reclassifications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Amounts reclassified from AOCI</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Net current-period other comprehensive income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as of December 31, 2021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divId w:val="1697392246"/>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both"/>
        <w:rPr>
          <w:sz w:val="20"/>
          <w:szCs w:val="20"/>
        </w:rPr>
      </w:pPr>
      <w:r>
        <w:rPr>
          <w:rStyle w:val="a6"/>
          <w:sz w:val="20"/>
          <w:szCs w:val="20"/>
        </w:rPr>
        <w:t>27.</w:t>
      </w:r>
      <w:r>
        <w:rPr>
          <w:sz w:val="20"/>
          <w:szCs w:val="20"/>
        </w:rPr>
        <w:t xml:space="preserve"> </w:t>
      </w:r>
      <w:r>
        <w:rPr>
          <w:sz w:val="20"/>
          <w:szCs w:val="20"/>
          <w:u w:val="single"/>
        </w:rPr>
        <w:t>Earnings Per Share:</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following table sets forth the reconciliation of earnings and the weighted-average number of shares used in the calculation of basic and diluted earnings per share (amounts presented in thousands, except per share data):</w:t>
      </w:r>
    </w:p>
    <w:p w:rsidR="00000000" w:rsidRDefault="001D2166">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For</w:t>
            </w:r>
            <w:r>
              <w:rPr>
                <w:b/>
                <w:bCs/>
                <w:sz w:val="20"/>
                <w:szCs w:val="20"/>
              </w:rPr>
              <w:t xml:space="preserve"> the Year Ended December 31,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1D2166">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818,643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975,417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339,988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Change in estimated redemption value of redeemable noncontrolling interests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2,304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2,160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Earnings attributable to participating securities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(5,346</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(6,347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(2,599</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income available to the Company’s common shareholders for basic earnings per share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815,601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971,230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337,389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Distributions on convertible units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3,087</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161</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income available to the Company’s common shareholders for diluted earnings per share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818,688</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971,391</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337,419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506,248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429,950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420,370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Effect of dilutive securities (1):</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Equity awards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2,422</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1,475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1,365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2,715</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208</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64</w:t>
            </w:r>
          </w:p>
        </w:tc>
        <w:tc>
          <w:tcPr>
            <w:tcW w:w="50" w:type="pct"/>
            <w:shd w:val="clear" w:color="auto" w:fill="FFFF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511,385</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431,633</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421,799</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left="180"/>
              <w:rPr>
                <w:sz w:val="20"/>
                <w:szCs w:val="20"/>
              </w:rPr>
            </w:pPr>
            <w:r>
              <w:rPr>
                <w:sz w:val="20"/>
                <w:szCs w:val="20"/>
              </w:rPr>
              <w:t>Basic earnings per share</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1.61</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2.26</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0.80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left="180"/>
              <w:rPr>
                <w:sz w:val="20"/>
                <w:szCs w:val="20"/>
              </w:rPr>
            </w:pPr>
            <w:r>
              <w:rPr>
                <w:sz w:val="20"/>
                <w:szCs w:val="20"/>
              </w:rPr>
              <w:t>Diluted earnings per share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1.60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2.25</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0.80</w:t>
            </w:r>
          </w:p>
        </w:tc>
        <w:tc>
          <w:tcPr>
            <w:tcW w:w="50" w:type="pct"/>
            <w:shd w:val="clear" w:color="auto" w:fill="CCEE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1D2166">
            <w:pPr>
              <w:pStyle w:val="a3"/>
              <w:spacing w:before="0" w:beforeAutospacing="0" w:after="0" w:afterAutospacing="0"/>
              <w:rPr>
                <w:sz w:val="20"/>
                <w:szCs w:val="20"/>
              </w:rPr>
            </w:pPr>
            <w:r>
              <w:rPr>
                <w:sz w:val="20"/>
                <w:szCs w:val="20"/>
              </w:rPr>
              <w:t xml:space="preserve">The effect of the assumed conversion of certain convertible units had an anti-dilutive effect upon the calculation of Income from continuing operations per share. Accordingly, the impact of such conversions has </w:t>
            </w:r>
            <w:r>
              <w:rPr>
                <w:rStyle w:val="a6"/>
                <w:sz w:val="20"/>
                <w:szCs w:val="20"/>
              </w:rPr>
              <w:t>not</w:t>
            </w:r>
            <w:r>
              <w:rPr>
                <w:sz w:val="20"/>
                <w:szCs w:val="20"/>
              </w:rPr>
              <w:t xml:space="preserve"> been included in the determination of dil</w:t>
            </w:r>
            <w:r>
              <w:rPr>
                <w:sz w:val="20"/>
                <w:szCs w:val="20"/>
              </w:rPr>
              <w:t xml:space="preserve">uted earnings per share calculations. Additionally, there were 0, 1.2 million and 0.5 million stock options that were </w:t>
            </w:r>
            <w:r>
              <w:rPr>
                <w:rStyle w:val="a6"/>
                <w:sz w:val="20"/>
                <w:szCs w:val="20"/>
              </w:rPr>
              <w:t>not</w:t>
            </w:r>
            <w:r>
              <w:rPr>
                <w:sz w:val="20"/>
                <w:szCs w:val="20"/>
              </w:rPr>
              <w:t xml:space="preserve"> dilutive as of </w:t>
            </w:r>
            <w:r>
              <w:rPr>
                <w:rStyle w:val="a6"/>
                <w:sz w:val="20"/>
                <w:szCs w:val="20"/>
              </w:rPr>
              <w:t>December 31, 2021, 2020</w:t>
            </w:r>
            <w:r>
              <w:rPr>
                <w:sz w:val="20"/>
                <w:szCs w:val="20"/>
              </w:rPr>
              <w:t xml:space="preserve"> and </w:t>
            </w:r>
            <w:r>
              <w:rPr>
                <w:rStyle w:val="a6"/>
                <w:sz w:val="20"/>
                <w:szCs w:val="20"/>
              </w:rPr>
              <w:t>2019,</w:t>
            </w:r>
            <w:r>
              <w:rPr>
                <w:sz w:val="20"/>
                <w:szCs w:val="20"/>
              </w:rPr>
              <w:t xml:space="preserve"> respectively.</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360"/>
        <w:jc w:val="both"/>
        <w:rPr>
          <w:sz w:val="20"/>
          <w:szCs w:val="20"/>
        </w:rPr>
      </w:pPr>
      <w:r>
        <w:rPr>
          <w:sz w:val="20"/>
          <w:szCs w:val="20"/>
        </w:rPr>
        <w:t>The Company's unvested restricted share awards contain non-forfeitab</w:t>
      </w:r>
      <w:r>
        <w:rPr>
          <w:sz w:val="20"/>
          <w:szCs w:val="20"/>
        </w:rPr>
        <w:t xml:space="preserve">le rights to distributions or distribution equivalents. The impact of the unvested restricted share awards on earnings per share has been calculated using the </w:t>
      </w:r>
      <w:r>
        <w:rPr>
          <w:rStyle w:val="a6"/>
          <w:sz w:val="20"/>
          <w:szCs w:val="20"/>
        </w:rPr>
        <w:t>two</w:t>
      </w:r>
      <w:r>
        <w:rPr>
          <w:sz w:val="20"/>
          <w:szCs w:val="20"/>
        </w:rPr>
        <w:t xml:space="preserve">-class method whereby earnings are allocated to the unvested restricted share awards based on </w:t>
      </w:r>
      <w:r>
        <w:rPr>
          <w:sz w:val="20"/>
          <w:szCs w:val="20"/>
        </w:rPr>
        <w:t>dividends declared and the unvested restricted shares' participation rights in undistributed earnings.</w:t>
      </w:r>
    </w:p>
    <w:p w:rsidR="00000000" w:rsidRDefault="001D2166">
      <w:pPr>
        <w:pStyle w:val="a3"/>
        <w:spacing w:before="0" w:beforeAutospacing="0" w:after="0" w:afterAutospacing="0"/>
        <w:rPr>
          <w:sz w:val="20"/>
          <w:szCs w:val="20"/>
        </w:rPr>
      </w:pPr>
      <w:r>
        <w:rPr>
          <w:sz w:val="20"/>
          <w:szCs w:val="20"/>
        </w:rPr>
        <w:t>     </w:t>
      </w:r>
    </w:p>
    <w:p w:rsidR="00000000" w:rsidRDefault="001D2166">
      <w:pPr>
        <w:divId w:val="1424186145"/>
        <w:rPr>
          <w:rFonts w:eastAsia="Times New Roman"/>
          <w:sz w:val="20"/>
          <w:szCs w:val="20"/>
        </w:rPr>
      </w:pPr>
      <w:r>
        <w:rPr>
          <w:rFonts w:eastAsia="Times New Roman"/>
          <w:sz w:val="20"/>
          <w:szCs w:val="20"/>
        </w:rPr>
        <w:t xml:space="preserve">  </w:t>
      </w:r>
    </w:p>
    <w:p w:rsidR="00000000" w:rsidRDefault="001D2166">
      <w:pPr>
        <w:jc w:val="center"/>
        <w:divId w:val="285091130"/>
        <w:rPr>
          <w:rFonts w:eastAsia="Times New Roman"/>
          <w:sz w:val="20"/>
          <w:szCs w:val="20"/>
        </w:rPr>
      </w:pPr>
      <w:r>
        <w:rPr>
          <w:rFonts w:eastAsia="Times New Roman"/>
          <w:sz w:val="20"/>
          <w:szCs w:val="20"/>
        </w:rPr>
        <w:t xml:space="preserve">96 </w:t>
      </w:r>
    </w:p>
    <w:p w:rsidR="00000000" w:rsidRDefault="001D2166">
      <w:pPr>
        <w:divId w:val="285091130"/>
        <w:rPr>
          <w:rFonts w:eastAsia="Times New Roman"/>
          <w:sz w:val="20"/>
          <w:szCs w:val="20"/>
        </w:rPr>
      </w:pPr>
      <w:r>
        <w:rPr>
          <w:rFonts w:eastAsia="Times New Roman"/>
          <w:sz w:val="20"/>
          <w:szCs w:val="20"/>
        </w:rPr>
        <w:pict>
          <v:rect id="_x0000_i1128" style="width:415.3pt;height:1.5pt" o:hralign="center" o:hrstd="t" o:hrnoshade="t" o:hr="t" fillcolor="black" stroked="f"/>
        </w:pict>
      </w:r>
    </w:p>
    <w:p w:rsidR="00000000" w:rsidRDefault="001D2166">
      <w:pPr>
        <w:divId w:val="74838006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divId w:val="570777167"/>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center"/>
        <w:rPr>
          <w:sz w:val="20"/>
          <w:szCs w:val="20"/>
        </w:rPr>
      </w:pPr>
      <w:r>
        <w:rPr>
          <w:sz w:val="20"/>
          <w:szCs w:val="20"/>
        </w:rPr>
        <w:t>KIMCO REALTY CORPORATION AND SUBSIDIARIES</w:t>
      </w:r>
    </w:p>
    <w:p w:rsidR="00000000" w:rsidRDefault="001D2166">
      <w:pPr>
        <w:pStyle w:val="a3"/>
        <w:spacing w:before="0" w:beforeAutospacing="0" w:after="0" w:afterAutospacing="0"/>
        <w:jc w:val="center"/>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SCHEDULE II – VALUATION AND QUALIFYING ACCOUNTS</w:t>
      </w:r>
    </w:p>
    <w:p w:rsidR="00000000" w:rsidRDefault="001D2166">
      <w:pPr>
        <w:pStyle w:val="a3"/>
        <w:spacing w:before="0" w:beforeAutospacing="0" w:after="0" w:afterAutospacing="0"/>
        <w:jc w:val="center"/>
        <w:rPr>
          <w:sz w:val="20"/>
          <w:szCs w:val="20"/>
        </w:rPr>
      </w:pPr>
      <w:r>
        <w:rPr>
          <w:sz w:val="20"/>
          <w:szCs w:val="20"/>
        </w:rPr>
        <w:t> </w:t>
      </w:r>
    </w:p>
    <w:p w:rsidR="00000000" w:rsidRDefault="001D2166">
      <w:pPr>
        <w:pStyle w:val="a3"/>
        <w:spacing w:before="0" w:beforeAutospacing="0" w:after="0" w:afterAutospacing="0"/>
        <w:jc w:val="center"/>
        <w:rPr>
          <w:sz w:val="20"/>
          <w:szCs w:val="20"/>
        </w:rPr>
      </w:pPr>
      <w:r>
        <w:rPr>
          <w:sz w:val="20"/>
          <w:szCs w:val="20"/>
        </w:rPr>
        <w:t xml:space="preserve">For Years Ended </w:t>
      </w:r>
      <w:r>
        <w:rPr>
          <w:rStyle w:val="a6"/>
          <w:sz w:val="20"/>
          <w:szCs w:val="20"/>
        </w:rPr>
        <w:t>December 31, 2021, 2020</w:t>
      </w:r>
      <w:r>
        <w:rPr>
          <w:sz w:val="20"/>
          <w:szCs w:val="20"/>
        </w:rPr>
        <w:t xml:space="preserve"> and </w:t>
      </w:r>
      <w:r>
        <w:rPr>
          <w:rStyle w:val="a6"/>
          <w:sz w:val="20"/>
          <w:szCs w:val="20"/>
        </w:rPr>
        <w:t>2019</w:t>
      </w:r>
      <w:r>
        <w:rPr>
          <w:sz w:val="20"/>
          <w:szCs w:val="20"/>
        </w:rPr>
        <w:br/>
        <w:t>(in thousands)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86"/>
        <w:gridCol w:w="50"/>
        <w:gridCol w:w="101"/>
        <w:gridCol w:w="760"/>
        <w:gridCol w:w="50"/>
        <w:gridCol w:w="50"/>
        <w:gridCol w:w="101"/>
        <w:gridCol w:w="706"/>
        <w:gridCol w:w="50"/>
        <w:gridCol w:w="50"/>
        <w:gridCol w:w="109"/>
        <w:gridCol w:w="980"/>
        <w:gridCol w:w="67"/>
        <w:gridCol w:w="50"/>
        <w:gridCol w:w="101"/>
        <w:gridCol w:w="860"/>
        <w:gridCol w:w="67"/>
        <w:gridCol w:w="50"/>
        <w:gridCol w:w="101"/>
        <w:gridCol w:w="667"/>
        <w:gridCol w:w="50"/>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 xml:space="preserve">Balance at </w:t>
            </w:r>
          </w:p>
          <w:p w:rsidR="00000000" w:rsidRDefault="001D2166">
            <w:pPr>
              <w:pStyle w:val="a3"/>
              <w:spacing w:before="0" w:beforeAutospacing="0" w:after="0" w:afterAutospacing="0"/>
              <w:jc w:val="center"/>
              <w:rPr>
                <w:sz w:val="20"/>
                <w:szCs w:val="20"/>
              </w:rPr>
            </w:pPr>
            <w:r>
              <w:rPr>
                <w:b/>
                <w:bCs/>
                <w:sz w:val="20"/>
                <w:szCs w:val="20"/>
              </w:rPr>
              <w:t>beginni</w:t>
            </w:r>
            <w:r>
              <w:rPr>
                <w:b/>
                <w:bCs/>
                <w:sz w:val="20"/>
                <w:szCs w:val="20"/>
              </w:rPr>
              <w:t>ng of</w:t>
            </w:r>
          </w:p>
          <w:p w:rsidR="00000000" w:rsidRDefault="001D2166">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Charged to expenses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Adjustments to valuation</w:t>
            </w:r>
          </w:p>
          <w:p w:rsidR="00000000" w:rsidRDefault="001D2166">
            <w:pPr>
              <w:pStyle w:val="a3"/>
              <w:spacing w:before="0" w:beforeAutospacing="0" w:after="0" w:afterAutospacing="0"/>
              <w:jc w:val="center"/>
              <w:rPr>
                <w:sz w:val="20"/>
                <w:szCs w:val="20"/>
              </w:rPr>
            </w:pPr>
            <w:r>
              <w:rPr>
                <w:b/>
                <w:bCs/>
                <w:sz w:val="20"/>
                <w:szCs w:val="20"/>
              </w:rPr>
              <w:t>accounts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Deductions</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Balance at</w:t>
            </w:r>
          </w:p>
          <w:p w:rsidR="00000000" w:rsidRDefault="001D2166">
            <w:pPr>
              <w:pStyle w:val="a3"/>
              <w:spacing w:before="0" w:beforeAutospacing="0" w:after="0" w:afterAutospacing="0"/>
              <w:jc w:val="center"/>
              <w:rPr>
                <w:sz w:val="20"/>
                <w:szCs w:val="20"/>
              </w:rPr>
            </w:pPr>
            <w:r>
              <w:rPr>
                <w:b/>
                <w:bCs/>
                <w:sz w:val="20"/>
                <w:szCs w:val="20"/>
              </w:rPr>
              <w:t>end of</w:t>
            </w:r>
          </w:p>
          <w:p w:rsidR="00000000" w:rsidRDefault="001D2166">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Year Ended December 31, 2021</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Allowance for uncollectable accounts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(14,038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8,339</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Allowance for deferred tax asset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36,957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(32,890</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4,067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Year Ended December 31, 2020</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Allowance for uncollectable accounts (1)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Allowance for deferred tax asset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42,703</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(5,746</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36,957</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sz w:val="20"/>
                <w:szCs w:val="20"/>
              </w:rPr>
              <w:t>Year Ended December 31, 2019</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Allowance for deferred tax asset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45,413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42,703</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94"/>
        <w:gridCol w:w="5912"/>
      </w:tblGrid>
      <w:tr w:rsidR="00000000">
        <w:trPr>
          <w:tblCellSpacing w:w="0" w:type="dxa"/>
        </w:trPr>
        <w:tc>
          <w:tcPr>
            <w:tcW w:w="36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1D2166">
            <w:pPr>
              <w:pStyle w:val="a3"/>
              <w:spacing w:before="0" w:beforeAutospacing="0" w:after="0" w:afterAutospacing="0"/>
              <w:rPr>
                <w:sz w:val="20"/>
                <w:szCs w:val="20"/>
              </w:rPr>
            </w:pPr>
            <w:r>
              <w:rPr>
                <w:sz w:val="20"/>
                <w:szCs w:val="20"/>
              </w:rPr>
              <w:t>Includes allowances on accounts receivable and straight-line rents.</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264382322"/>
        <w:rPr>
          <w:rFonts w:eastAsia="Times New Roman"/>
          <w:sz w:val="20"/>
          <w:szCs w:val="20"/>
        </w:rPr>
      </w:pPr>
      <w:r>
        <w:rPr>
          <w:rStyle w:val="a6"/>
          <w:rFonts w:eastAsia="Times New Roman"/>
          <w:sz w:val="20"/>
          <w:szCs w:val="20"/>
        </w:rPr>
        <w:t>97</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29" style="width:415.3pt;height:1.5pt" o:hralign="center" o:hrstd="t" o:hrnoshade="t" o:hr="t" fillcolor="black" stroked="f"/>
        </w:pict>
      </w:r>
    </w:p>
    <w:p w:rsidR="00000000" w:rsidRDefault="001D2166">
      <w:pPr>
        <w:divId w:val="148612570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t xml:space="preserve">  </w:t>
      </w:r>
    </w:p>
    <w:p w:rsidR="00000000" w:rsidRDefault="001D2166">
      <w:pPr>
        <w:divId w:val="1518733142"/>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center"/>
        <w:rPr>
          <w:sz w:val="20"/>
          <w:szCs w:val="20"/>
        </w:rPr>
      </w:pPr>
      <w:r>
        <w:rPr>
          <w:b/>
          <w:bCs/>
          <w:sz w:val="20"/>
          <w:szCs w:val="20"/>
        </w:rPr>
        <w:t>KIMCO REALTY CORPORATION AND SUBSIDIARIES</w:t>
      </w:r>
    </w:p>
    <w:p w:rsidR="00000000" w:rsidRDefault="001D2166">
      <w:pPr>
        <w:pStyle w:val="a3"/>
        <w:spacing w:before="0" w:beforeAutospacing="0" w:after="0" w:afterAutospacing="0"/>
        <w:jc w:val="center"/>
        <w:rPr>
          <w:sz w:val="20"/>
          <w:szCs w:val="20"/>
        </w:rPr>
      </w:pPr>
      <w:r>
        <w:rPr>
          <w:b/>
          <w:bCs/>
          <w:sz w:val="20"/>
          <w:szCs w:val="20"/>
        </w:rPr>
        <w:t>SCHEDULE III - REAL ESTATE AND A</w:t>
      </w:r>
      <w:r>
        <w:rPr>
          <w:b/>
          <w:bCs/>
          <w:sz w:val="20"/>
          <w:szCs w:val="20"/>
        </w:rPr>
        <w:t>CCUMULATED DEPRECIATION</w:t>
      </w:r>
    </w:p>
    <w:p w:rsidR="00000000" w:rsidRDefault="001D2166">
      <w:pPr>
        <w:pStyle w:val="a3"/>
        <w:spacing w:before="0" w:beforeAutospacing="0" w:after="0" w:afterAutospacing="0"/>
        <w:jc w:val="center"/>
        <w:rPr>
          <w:sz w:val="20"/>
          <w:szCs w:val="20"/>
        </w:rPr>
      </w:pPr>
      <w:r>
        <w:rPr>
          <w:rStyle w:val="a6"/>
          <w:b/>
          <w:bCs/>
          <w:sz w:val="20"/>
          <w:szCs w:val="20"/>
        </w:rPr>
        <w:t>December 31, 2021</w:t>
      </w:r>
    </w:p>
    <w:p w:rsidR="00000000" w:rsidRDefault="001D2166">
      <w:pPr>
        <w:pStyle w:val="a3"/>
        <w:spacing w:before="0" w:beforeAutospacing="0" w:after="0" w:afterAutospacing="0"/>
        <w:jc w:val="center"/>
        <w:rPr>
          <w:sz w:val="20"/>
          <w:szCs w:val="20"/>
        </w:rPr>
      </w:pPr>
      <w:r>
        <w:rPr>
          <w:b/>
          <w:bCs/>
          <w:sz w:val="20"/>
          <w:szCs w:val="20"/>
        </w:rPr>
        <w:t>(in thousands)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14"/>
          <w:szCs w:val="14"/>
        </w:rPr>
      </w:pPr>
      <w:r>
        <w:rPr>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1254"/>
        <w:gridCol w:w="35"/>
        <w:gridCol w:w="61"/>
        <w:gridCol w:w="243"/>
        <w:gridCol w:w="35"/>
        <w:gridCol w:w="35"/>
        <w:gridCol w:w="70"/>
        <w:gridCol w:w="385"/>
        <w:gridCol w:w="35"/>
        <w:gridCol w:w="35"/>
        <w:gridCol w:w="196"/>
        <w:gridCol w:w="979"/>
        <w:gridCol w:w="35"/>
        <w:gridCol w:w="35"/>
        <w:gridCol w:w="144"/>
        <w:gridCol w:w="864"/>
        <w:gridCol w:w="47"/>
        <w:gridCol w:w="35"/>
        <w:gridCol w:w="70"/>
        <w:gridCol w:w="385"/>
        <w:gridCol w:w="35"/>
        <w:gridCol w:w="35"/>
        <w:gridCol w:w="196"/>
        <w:gridCol w:w="979"/>
        <w:gridCol w:w="35"/>
        <w:gridCol w:w="35"/>
        <w:gridCol w:w="70"/>
        <w:gridCol w:w="455"/>
        <w:gridCol w:w="35"/>
        <w:gridCol w:w="35"/>
        <w:gridCol w:w="187"/>
        <w:gridCol w:w="933"/>
        <w:gridCol w:w="35"/>
        <w:gridCol w:w="35"/>
        <w:gridCol w:w="160"/>
        <w:gridCol w:w="960"/>
        <w:gridCol w:w="35"/>
        <w:gridCol w:w="35"/>
        <w:gridCol w:w="172"/>
        <w:gridCol w:w="1026"/>
        <w:gridCol w:w="35"/>
        <w:gridCol w:w="1338"/>
      </w:tblGrid>
      <w:tr w:rsidR="00000000">
        <w:trPr>
          <w:tblCellSpacing w:w="0" w:type="dxa"/>
        </w:trPr>
        <w:tc>
          <w:tcPr>
            <w:tcW w:w="70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200" w:type="pct"/>
            <w:vAlign w:val="bottom"/>
            <w:hideMark/>
          </w:tcPr>
          <w:p w:rsidR="00000000" w:rsidRDefault="001D2166">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400" w:type="pct"/>
            <w:gridSpan w:val="6"/>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 xml:space="preserve">INITIAL COST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vAlign w:val="bottom"/>
            <w:hideMark/>
          </w:tcPr>
          <w:p w:rsidR="00000000" w:rsidRDefault="001D2166">
            <w:pPr>
              <w:pStyle w:val="a3"/>
              <w:spacing w:before="0" w:beforeAutospacing="0" w:after="0" w:afterAutospacing="0"/>
              <w:jc w:val="center"/>
              <w:rPr>
                <w:sz w:val="14"/>
                <w:szCs w:val="14"/>
              </w:rPr>
            </w:pPr>
            <w:r>
              <w:rPr>
                <w:b/>
                <w:bCs/>
                <w:sz w:val="14"/>
                <w:szCs w:val="14"/>
              </w:rPr>
              <w:t>COST CAPITALIZED </w:t>
            </w:r>
          </w:p>
          <w:p w:rsidR="00000000" w:rsidRDefault="001D2166">
            <w:pPr>
              <w:pStyle w:val="a3"/>
              <w:spacing w:before="0" w:beforeAutospacing="0" w:after="0" w:afterAutospacing="0"/>
              <w:jc w:val="center"/>
              <w:rPr>
                <w:sz w:val="14"/>
                <w:szCs w:val="14"/>
              </w:rPr>
            </w:pPr>
            <w:r>
              <w:rPr>
                <w:b/>
                <w:bCs/>
                <w:sz w:val="14"/>
                <w:szCs w:val="14"/>
              </w:rPr>
              <w:t>SUBSEQUENT</w:t>
            </w:r>
          </w:p>
          <w:p w:rsidR="00000000" w:rsidRDefault="001D2166">
            <w:pPr>
              <w:pStyle w:val="a3"/>
              <w:spacing w:before="0" w:beforeAutospacing="0" w:after="0" w:afterAutospacing="0"/>
              <w:jc w:val="center"/>
              <w:rPr>
                <w:sz w:val="14"/>
                <w:szCs w:val="14"/>
              </w:rPr>
            </w:pPr>
            <w:r>
              <w:rPr>
                <w:b/>
                <w:bCs/>
                <w:sz w:val="14"/>
                <w:szCs w:val="14"/>
              </w:rPr>
              <w:t>TO</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200" w:type="pct"/>
            <w:vAlign w:val="bottom"/>
            <w:hideMark/>
          </w:tcPr>
          <w:p w:rsidR="00000000" w:rsidRDefault="001D2166">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250" w:type="pct"/>
            <w:vAlign w:val="bottom"/>
            <w:hideMark/>
          </w:tcPr>
          <w:p w:rsidR="00000000" w:rsidRDefault="001D2166">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200" w:type="pct"/>
            <w:vAlign w:val="bottom"/>
            <w:hideMark/>
          </w:tcPr>
          <w:p w:rsidR="00000000" w:rsidRDefault="001D2166">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250" w:type="pct"/>
            <w:vAlign w:val="bottom"/>
            <w:hideMark/>
          </w:tcPr>
          <w:p w:rsidR="00000000" w:rsidRDefault="001D2166">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vAlign w:val="bottom"/>
            <w:hideMark/>
          </w:tcPr>
          <w:p w:rsidR="00000000" w:rsidRDefault="001D2166">
            <w:pPr>
              <w:pStyle w:val="a3"/>
              <w:spacing w:before="0" w:beforeAutospacing="0" w:after="0" w:afterAutospacing="0"/>
              <w:jc w:val="center"/>
              <w:rPr>
                <w:sz w:val="14"/>
                <w:szCs w:val="14"/>
              </w:rPr>
            </w:pPr>
            <w:r>
              <w:rPr>
                <w:b/>
                <w:bCs/>
                <w:sz w:val="14"/>
                <w:szCs w:val="14"/>
              </w:rPr>
              <w:t>TOTAL COST, </w:t>
            </w:r>
          </w:p>
          <w:p w:rsidR="00000000" w:rsidRDefault="001D2166">
            <w:pPr>
              <w:jc w:val="center"/>
              <w:rPr>
                <w:rFonts w:eastAsia="Times New Roman"/>
                <w:sz w:val="14"/>
                <w:szCs w:val="14"/>
              </w:rPr>
            </w:pPr>
            <w:r>
              <w:rPr>
                <w:rFonts w:eastAsia="Times New Roman"/>
                <w:b/>
                <w:bCs/>
                <w:sz w:val="14"/>
                <w:szCs w:val="14"/>
              </w:rPr>
              <w:t>NET OF</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300" w:type="pct"/>
            <w:vAlign w:val="bottom"/>
            <w:hideMark/>
          </w:tcPr>
          <w:p w:rsidR="00000000" w:rsidRDefault="001D2166">
            <w:pPr>
              <w:jc w:val="center"/>
              <w:rPr>
                <w:rFonts w:eastAsia="Times New Roman"/>
                <w:sz w:val="14"/>
                <w:szCs w:val="14"/>
              </w:rPr>
            </w:pPr>
            <w:r>
              <w:rPr>
                <w:rFonts w:eastAsia="Times New Roman"/>
                <w:b/>
                <w:bCs/>
                <w:sz w:val="14"/>
                <w:szCs w:val="14"/>
              </w:rPr>
              <w:t> </w:t>
            </w:r>
          </w:p>
        </w:tc>
        <w:tc>
          <w:tcPr>
            <w:tcW w:w="50" w:type="pct"/>
            <w:vAlign w:val="bottom"/>
            <w:hideMark/>
          </w:tcPr>
          <w:p w:rsidR="00000000" w:rsidRDefault="001D2166">
            <w:pPr>
              <w:rPr>
                <w:rFonts w:eastAsia="Times New Roman"/>
                <w:sz w:val="14"/>
                <w:szCs w:val="14"/>
              </w:rPr>
            </w:pPr>
            <w:r>
              <w:rPr>
                <w:rFonts w:eastAsia="Times New Roman"/>
                <w:b/>
                <w:bCs/>
                <w:sz w:val="14"/>
                <w:szCs w:val="14"/>
              </w:rPr>
              <w:t> </w:t>
            </w:r>
          </w:p>
        </w:tc>
        <w:tc>
          <w:tcPr>
            <w:tcW w:w="400" w:type="pct"/>
            <w:vAlign w:val="bottom"/>
            <w:hideMark/>
          </w:tcPr>
          <w:p w:rsidR="00000000" w:rsidRDefault="001D2166">
            <w:pPr>
              <w:pStyle w:val="a3"/>
              <w:spacing w:before="0" w:beforeAutospacing="0" w:after="0" w:afterAutospacing="0"/>
              <w:jc w:val="center"/>
              <w:rPr>
                <w:sz w:val="14"/>
                <w:szCs w:val="14"/>
              </w:rPr>
            </w:pPr>
            <w:r>
              <w:rPr>
                <w:b/>
                <w:bCs/>
                <w:sz w:val="14"/>
                <w:szCs w:val="14"/>
              </w:rPr>
              <w:t>DATE OF</w:t>
            </w:r>
          </w:p>
        </w:tc>
      </w:tr>
      <w:tr w:rsidR="00000000">
        <w:trPr>
          <w:tblCellSpacing w:w="0" w:type="dxa"/>
        </w:trPr>
        <w:tc>
          <w:tcPr>
            <w:tcW w:w="700" w:type="pct"/>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DESCRIPTION</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 xml:space="preserve">State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 xml:space="preserve">LAND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BUILDING AND</w:t>
            </w:r>
          </w:p>
          <w:p w:rsidR="00000000" w:rsidRDefault="001D2166">
            <w:pPr>
              <w:pStyle w:val="a3"/>
              <w:spacing w:before="0" w:beforeAutospacing="0" w:after="0" w:afterAutospacing="0"/>
              <w:jc w:val="center"/>
              <w:rPr>
                <w:sz w:val="14"/>
                <w:szCs w:val="14"/>
              </w:rPr>
            </w:pPr>
            <w:r>
              <w:rPr>
                <w:b/>
                <w:bCs/>
                <w:sz w:val="14"/>
                <w:szCs w:val="14"/>
              </w:rPr>
              <w:t xml:space="preserve">IMPROVEMENTS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ACQUISITION</w:t>
            </w:r>
          </w:p>
          <w:p w:rsidR="00000000" w:rsidRDefault="001D2166">
            <w:pPr>
              <w:pStyle w:val="a3"/>
              <w:spacing w:before="0" w:beforeAutospacing="0" w:after="0" w:afterAutospacing="0"/>
              <w:jc w:val="center"/>
              <w:rPr>
                <w:sz w:val="14"/>
                <w:szCs w:val="14"/>
              </w:rPr>
            </w:pPr>
            <w:r>
              <w:rPr>
                <w:b/>
                <w:bCs/>
                <w:sz w:val="14"/>
                <w:szCs w:val="14"/>
              </w:rPr>
              <w:t>(1)</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 xml:space="preserve">LAND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BUILDING AND</w:t>
            </w:r>
          </w:p>
          <w:p w:rsidR="00000000" w:rsidRDefault="001D2166">
            <w:pPr>
              <w:pStyle w:val="a3"/>
              <w:spacing w:before="0" w:beforeAutospacing="0" w:after="0" w:afterAutospacing="0"/>
              <w:jc w:val="center"/>
              <w:rPr>
                <w:sz w:val="14"/>
                <w:szCs w:val="14"/>
              </w:rPr>
            </w:pPr>
            <w:r>
              <w:rPr>
                <w:b/>
                <w:bCs/>
                <w:sz w:val="14"/>
                <w:szCs w:val="14"/>
              </w:rPr>
              <w:t xml:space="preserve">IMPROVEMENTS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 xml:space="preserve">TOTAL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ACCUMULATED</w:t>
            </w:r>
          </w:p>
          <w:p w:rsidR="00000000" w:rsidRDefault="001D2166">
            <w:pPr>
              <w:pStyle w:val="a3"/>
              <w:spacing w:before="0" w:beforeAutospacing="0" w:after="0" w:afterAutospacing="0"/>
              <w:jc w:val="center"/>
              <w:rPr>
                <w:sz w:val="14"/>
                <w:szCs w:val="14"/>
              </w:rPr>
            </w:pPr>
            <w:r>
              <w:rPr>
                <w:b/>
                <w:bCs/>
                <w:sz w:val="14"/>
                <w:szCs w:val="14"/>
              </w:rPr>
              <w:t xml:space="preserve">DEPRECIATION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ACCUMULATED</w:t>
            </w:r>
          </w:p>
          <w:p w:rsidR="00000000" w:rsidRDefault="001D2166">
            <w:pPr>
              <w:pStyle w:val="a3"/>
              <w:spacing w:before="0" w:beforeAutospacing="0" w:after="0" w:afterAutospacing="0"/>
              <w:jc w:val="center"/>
              <w:rPr>
                <w:sz w:val="14"/>
                <w:szCs w:val="14"/>
              </w:rPr>
            </w:pPr>
            <w:r>
              <w:rPr>
                <w:b/>
                <w:bCs/>
                <w:sz w:val="14"/>
                <w:szCs w:val="14"/>
              </w:rPr>
              <w:t xml:space="preserve">DEPRECIATION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 xml:space="preserve">ENCUMBRANCES (2) </w:t>
            </w:r>
          </w:p>
        </w:tc>
        <w:tc>
          <w:tcPr>
            <w:tcW w:w="50" w:type="pct"/>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400" w:type="pct"/>
            <w:tcBorders>
              <w:bottom w:val="single" w:sz="6" w:space="0" w:color="000000"/>
            </w:tcBorders>
            <w:vAlign w:val="bottom"/>
            <w:hideMark/>
          </w:tcPr>
          <w:p w:rsidR="00000000" w:rsidRDefault="001D2166">
            <w:pPr>
              <w:pStyle w:val="a3"/>
              <w:spacing w:before="0" w:beforeAutospacing="0" w:after="0" w:afterAutospacing="0"/>
              <w:jc w:val="center"/>
              <w:rPr>
                <w:sz w:val="14"/>
                <w:szCs w:val="14"/>
              </w:rPr>
            </w:pPr>
            <w:r>
              <w:rPr>
                <w:b/>
                <w:bCs/>
                <w:sz w:val="14"/>
                <w:szCs w:val="14"/>
              </w:rPr>
              <w:t>ACQUISITION(A)</w:t>
            </w:r>
          </w:p>
          <w:p w:rsidR="00000000" w:rsidRDefault="001D2166">
            <w:pPr>
              <w:pStyle w:val="a3"/>
              <w:spacing w:before="0" w:beforeAutospacing="0" w:after="0" w:afterAutospacing="0"/>
              <w:jc w:val="center"/>
              <w:rPr>
                <w:sz w:val="14"/>
                <w:szCs w:val="14"/>
              </w:rPr>
            </w:pPr>
            <w:r>
              <w:rPr>
                <w:b/>
                <w:bCs/>
                <w:sz w:val="14"/>
                <w:szCs w:val="14"/>
              </w:rPr>
              <w:t>CONSTRUCTION(C)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rPr>
                <w:sz w:val="14"/>
                <w:szCs w:val="14"/>
              </w:rPr>
            </w:pPr>
            <w:r>
              <w:rPr>
                <w:i/>
                <w:iCs/>
                <w:sz w:val="14"/>
                <w:szCs w:val="14"/>
              </w:rPr>
              <w:t>SHOPPING CENTERS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2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2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2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30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i/>
                <w:iCs/>
                <w:sz w:val="14"/>
                <w:szCs w:val="14"/>
              </w:rPr>
              <w:t> </w:t>
            </w:r>
          </w:p>
        </w:tc>
        <w:tc>
          <w:tcPr>
            <w:tcW w:w="4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ARCADIA BILTMORE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BELL CAMINO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9,822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BELL CAMINO-SAFEWAY PARCEL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BROADWAY MARKETPLACE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CAMELBACK MILLER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29,654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35,891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35,032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CAMELBACK VILLAGE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13,038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13,038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13,038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CHRISTOWN SPECTRUM</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33,831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91,004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14,816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76,639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63,012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139,651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122,255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COLLEGE PARK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DESERT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22,025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22,043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27,826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ENTRADA DE ORO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16,376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FOUNTAIN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20,373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20,373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25,167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24,798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MADERA VILLAGE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8,110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11,840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MADISON VILLAGE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18,343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18,450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22,540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22,025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MESA RIVERVIEW</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141,984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156,676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156,984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71,657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85,327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2005(C)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METRO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16,411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18,802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22,903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11,833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MONTE VISTA VILLAGE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12,412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NORTH VALLEY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39,564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32,281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PLAZA AT MOUNTAINSIDE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9,802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14,696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PLAZA DEL SOL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21,270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23,783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PUEBLO ANOZIRA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27,063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27,102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34,836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34,108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RAINTREE RANCH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30,743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30,754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38,474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37,811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RED MOUNTAIN GATEWAY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14,545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SCOTTSDALE HORIZON</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36,728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36,784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44,975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44,022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SCOTTSDALE WATERFRONT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15,872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30,112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15,872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30,112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45,984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45,231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SHOPPES AT BEARS PATH</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SQUAW PEAK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17,021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17,021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19,536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19,081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VILLAGE CROSSROADS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24,981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26,202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31,865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24,135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38"/>
        <w:gridCol w:w="69"/>
        <w:gridCol w:w="179"/>
        <w:gridCol w:w="318"/>
        <w:gridCol w:w="69"/>
        <w:gridCol w:w="69"/>
        <w:gridCol w:w="69"/>
        <w:gridCol w:w="385"/>
        <w:gridCol w:w="69"/>
        <w:gridCol w:w="69"/>
        <w:gridCol w:w="69"/>
        <w:gridCol w:w="455"/>
        <w:gridCol w:w="69"/>
        <w:gridCol w:w="69"/>
        <w:gridCol w:w="69"/>
        <w:gridCol w:w="484"/>
        <w:gridCol w:w="69"/>
        <w:gridCol w:w="69"/>
        <w:gridCol w:w="69"/>
        <w:gridCol w:w="385"/>
        <w:gridCol w:w="69"/>
        <w:gridCol w:w="69"/>
        <w:gridCol w:w="69"/>
        <w:gridCol w:w="455"/>
        <w:gridCol w:w="69"/>
        <w:gridCol w:w="69"/>
        <w:gridCol w:w="70"/>
        <w:gridCol w:w="455"/>
        <w:gridCol w:w="70"/>
        <w:gridCol w:w="70"/>
        <w:gridCol w:w="70"/>
        <w:gridCol w:w="402"/>
        <w:gridCol w:w="70"/>
        <w:gridCol w:w="70"/>
        <w:gridCol w:w="70"/>
        <w:gridCol w:w="485"/>
        <w:gridCol w:w="70"/>
        <w:gridCol w:w="70"/>
        <w:gridCol w:w="70"/>
        <w:gridCol w:w="485"/>
        <w:gridCol w:w="70"/>
        <w:gridCol w:w="568"/>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280 METRO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38,735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94,903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38,735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94,983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133,718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17,862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115,856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580 MARKET 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12,769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48,768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12,769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48,782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61,551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60,657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8000 SUNSET STRIP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43,012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85,115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43,012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85,894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128,906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126,105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AAA BUILDING AT STEVENS CREEK</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ANAHEIM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34,228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73,765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34,228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74,026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108,254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106,888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BLACK MOUNTAIN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13,979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18,657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13,029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BROOKHURST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31,358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22,300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23,830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46,130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40,372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BROOKVALE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14,050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19,771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14,050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19,785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33,835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33,509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CAMBRIAN PARK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41,258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41,258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43,732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42,418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CENTERWOOD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21,670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CHICO CROSSROADS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30,535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27,305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35,210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23,580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CHINO HILLS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72,529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72,593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90,295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88,474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CITY HEIGHTS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10,687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28,325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13,909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24,603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38,512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32,724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CORONA HILLS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53,373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11,568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64,941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78,302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39,950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38,352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COSTCO PLAZA - 541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19,983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25,572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CREEKSIDE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11,563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15,966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CROCKER RANCH</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24,987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32,513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27,216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CUPERTINO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19,886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46,535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27,312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19,886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73,847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93,733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25,083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68,650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EL CAMINO PROMENADE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37,592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37,653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45,025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44,284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FREEDOM CENTRE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8,933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18,622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8,933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18,729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27,662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27,107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FULTON MARKET PLACE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16,632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20,239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26,519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20,848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GATEWAY AT DONNER PASS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18,435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27,194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24,257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GATEWAY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18,372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65,851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18,372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65,851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84,223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82,748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GREENHOUSE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27,721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27,721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38,697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37,816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GREENHOUSE MARKETPLACE II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12,518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HOME DEPOT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18,345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18,345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22,937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11,256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KENNETH HAHN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2010(A)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 MIRADA THEATRE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35,260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36,892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43,781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21,432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22,349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LA VERNE TOWN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8,414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23,856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12,491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16,362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28,399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44,761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37,551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LABAND VILLAGE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13,289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17,863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LAKEWOOD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LAKEWOOD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24,375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20,700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32,383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26,423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LINCOLN HILLS TOWN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26,127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26,645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34,874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28,178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LINDA MAR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16,549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37,521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16,549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42,706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59,255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48,104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MADISON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23,476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28,337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34,211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14,694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19,517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NORTH COUNTY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28,934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20,895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39,153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34,245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NOVATO FAIR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15,600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17,565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26,825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19,272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ON THE CORNER AT STEVENS CREEK</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PLAZA DI NORTHRIDGE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40,575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41,582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54,482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16,930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37,552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POWAY CITY CENTRE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13,792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21,564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28,812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RANCHO PENASQUITOS TOWNE CTR 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20,342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21,100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35,952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31,343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RANCHO PENASQUITOS TWN CTR II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12,945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20,324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12,945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21,119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34,064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29,608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RANCHO PENASQUITOS-VONS PROP.</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11,319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RANCHO SAN MARCOS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29,357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29,488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38,538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37,922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REDWOOD CITY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14,728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11,744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SAN DIEGO CARMEL MOUNTAIN</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9,794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SAN MARCOS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14,739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14,432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SANTEE TROLLEY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40,209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62,964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40,209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62,653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102,862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82,678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SILVER CREEK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33,541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33,541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86,693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85,508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SOUTH NAPA MARKET 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22,159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21,406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23,119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21,546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44,665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13,513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31,152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SOUTHAMPTON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64,096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64,204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74,493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73,104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20,852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STANFORD RANCH</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30,007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9,983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33,490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43,473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36,509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STEVENS CREEK CENTRAL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41,818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45,886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41,818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45,912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87,730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86,542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STONY POINT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38,054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38,023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48,384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47,439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TRUCKEE CROSSROADS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28,325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(18,544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WESTLAKE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16,174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64,819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108,258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16,174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173,077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189,251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68,985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120,266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WESTMINSTER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60,428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64,973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60,428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65,042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125,470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121,913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50,022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WHITTWOOD TOWN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57,136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105,815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57,139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109,619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166,758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21,469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145,289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15"/>
        <w:gridCol w:w="74"/>
        <w:gridCol w:w="195"/>
        <w:gridCol w:w="323"/>
        <w:gridCol w:w="74"/>
        <w:gridCol w:w="74"/>
        <w:gridCol w:w="74"/>
        <w:gridCol w:w="385"/>
        <w:gridCol w:w="74"/>
        <w:gridCol w:w="74"/>
        <w:gridCol w:w="74"/>
        <w:gridCol w:w="406"/>
        <w:gridCol w:w="74"/>
        <w:gridCol w:w="74"/>
        <w:gridCol w:w="74"/>
        <w:gridCol w:w="489"/>
        <w:gridCol w:w="74"/>
        <w:gridCol w:w="74"/>
        <w:gridCol w:w="74"/>
        <w:gridCol w:w="385"/>
        <w:gridCol w:w="74"/>
        <w:gridCol w:w="74"/>
        <w:gridCol w:w="74"/>
        <w:gridCol w:w="406"/>
        <w:gridCol w:w="74"/>
        <w:gridCol w:w="74"/>
        <w:gridCol w:w="75"/>
        <w:gridCol w:w="385"/>
        <w:gridCol w:w="75"/>
        <w:gridCol w:w="75"/>
        <w:gridCol w:w="75"/>
        <w:gridCol w:w="407"/>
        <w:gridCol w:w="75"/>
        <w:gridCol w:w="75"/>
        <w:gridCol w:w="75"/>
        <w:gridCol w:w="490"/>
        <w:gridCol w:w="75"/>
        <w:gridCol w:w="75"/>
        <w:gridCol w:w="75"/>
        <w:gridCol w:w="490"/>
        <w:gridCol w:w="75"/>
        <w:gridCol w:w="573"/>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CROSSING AT STONEGATE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33,111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33,148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45,057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44,327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DENVER WEST 38TH STREET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EAST BANK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11,121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EDGEWATER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32,706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32,776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40,583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40,035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ENGLEWOOD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GREELEY COMMONS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20,070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21,966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25,279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19,248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HERITAGE WEST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HIGHLANDS RANCH II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11,756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12,967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16,482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12,533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HIGHLANDS RANCH VILLAGE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8,135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21,580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25,525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30,862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24,524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LOWRY TOWN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32,685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32,801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35,368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MARKET AT SOUTHPARK</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20,780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25,723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35,506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28,812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NORTHRIDGE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16,496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8,934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15,334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24,268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20,350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QUINCY PLACE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RIVER POINT AT SHERIDAN</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13,223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30,444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13,223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31,090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44,313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42,928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RIVER POINT AT SHERIDAN II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VILLAGE CENTER - HIGHLAND RANCH</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VILLAGE CENTER WEST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9,002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VILLAGE ON THE PARK</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CO</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19,894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27,956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30,974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23,100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BRIGHT HORIZONS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CT</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HAMDEN MART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CT</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13,668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40,890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46,670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60,896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50,043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HOME DEPOT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CT</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30,798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34,601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42,306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19,570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22,736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NEWTOWN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CT</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15,635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16,055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16,055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12,844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WEST FARM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CT</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23,348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19,621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41,190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48,775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28,232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WILTON CAMPUS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CT</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10,169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31,893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10,169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44,920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WILTON RIVER PARK SHOPPING CTR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CT</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27,509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28,118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35,273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28,144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BRANDYWINE COMMONS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DE</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8,055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27,066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CAMDEN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DE</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PROMENADE AT CHRISTIANA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DE</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20,488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19,864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2014(C)</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767"/>
        <w:gridCol w:w="52"/>
        <w:gridCol w:w="164"/>
        <w:gridCol w:w="301"/>
        <w:gridCol w:w="52"/>
        <w:gridCol w:w="52"/>
        <w:gridCol w:w="52"/>
        <w:gridCol w:w="455"/>
        <w:gridCol w:w="52"/>
        <w:gridCol w:w="52"/>
        <w:gridCol w:w="52"/>
        <w:gridCol w:w="455"/>
        <w:gridCol w:w="52"/>
        <w:gridCol w:w="53"/>
        <w:gridCol w:w="53"/>
        <w:gridCol w:w="468"/>
        <w:gridCol w:w="53"/>
        <w:gridCol w:w="53"/>
        <w:gridCol w:w="53"/>
        <w:gridCol w:w="385"/>
        <w:gridCol w:w="53"/>
        <w:gridCol w:w="53"/>
        <w:gridCol w:w="53"/>
        <w:gridCol w:w="455"/>
        <w:gridCol w:w="53"/>
        <w:gridCol w:w="53"/>
        <w:gridCol w:w="53"/>
        <w:gridCol w:w="455"/>
        <w:gridCol w:w="53"/>
        <w:gridCol w:w="53"/>
        <w:gridCol w:w="53"/>
        <w:gridCol w:w="385"/>
        <w:gridCol w:w="53"/>
        <w:gridCol w:w="53"/>
        <w:gridCol w:w="53"/>
        <w:gridCol w:w="468"/>
        <w:gridCol w:w="53"/>
        <w:gridCol w:w="53"/>
        <w:gridCol w:w="53"/>
        <w:gridCol w:w="468"/>
        <w:gridCol w:w="53"/>
        <w:gridCol w:w="551"/>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ARGYLE VILLAGE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36,814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36,804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42,032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41,060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BELMART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BOCA LYONS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13,280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37,751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13,280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37,780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51,060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50,309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CAMINO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CARROLLWOOD COMMONS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20,754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25,974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11,873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CENTER AT MISSOURI AVENUE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7,412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8,204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1968(C)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CHEVRON OUTPARCEL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2010(A)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COLONIAL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25,516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54,604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25,516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58,366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83,882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81,944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CORAL POINTE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21,090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23,502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18,973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CORAL SQUARE PROMENADE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CORSICA SQUARE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18,274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15,766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COUNTRYSIDE CENTRE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41,581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41,903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53,019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51,572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CURLEW CROSSING SHOPPING CTR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12,529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20,849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DANIA POINTE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105,113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113,815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139,909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132,645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DANIA POINTE - PHASE II (3)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261,609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235,059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261,609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254,203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EMBASSY LAKES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24,669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24,312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FLAGLER PARK</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26,163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80,737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26,725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86,624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113,349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30,326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83,023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FT LAUDERDALE #1, FL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16,713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18,544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20,318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11,768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1974(C)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FT. LAUDERDALE/CYPRESS CREEK</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14,259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28,042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14,259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32,177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46,436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33,703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GRAND OAKS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7,409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19,654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21,181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27,027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GROVE GATE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1968(C)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IVES DAIRY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11,483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15,575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16,296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1985(A)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KENDALE LAKES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18,491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28,496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15,362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30,840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46,202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35,846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LARGO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23,571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63,604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23,571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63,688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87,259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85,342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MAPLEWOOD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10,158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MARATHON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8,069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9,496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MERCHANTS WALK</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20,943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23,524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11,594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MILLENIA PLAZA PHASE II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20,703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25,710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33,408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10,303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23,105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MILLER ROAD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1986(A)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MILLER WEST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17,699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15,272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MISSION BELL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11,843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8,727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25,626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8,468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17,158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NASA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1968(C)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OAK TREE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1968(C)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OAKWOOD BUSINESS CTR-BLDG 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18,663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22,241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29,034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20,656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OAKWOOD PLAZA NORTH</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35,301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141,731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35,301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141,015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176,316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23,678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152,638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OAKWOOD PLAZA SOUTH</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40,592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40,437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51,564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44,012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PALMS AT TOWN &amp; COUNTRY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30,137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94,674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30,137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94,676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124,813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122,618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PALMS AT TOWN &amp; COUNTRY LIFESTYLE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26,597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92,088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26,597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92,134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118,731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116,500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PARK HILL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19,264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20,478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31,242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25,539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PHILLIPS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53,536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53,587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53,587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52,473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PLANTATION CROSSING</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11,742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POMPANO POINTE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14,984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23,091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RENAISSANCE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36,541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14,476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50,998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60,121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24,146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35,975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RIVERPLACE SHOPPING CTR.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31,011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33,481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40,681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28,608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2010(A)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RIVERSIDE LANDINGS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14,440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18,406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SEA RANCH CENTRE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21,259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24,605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24,093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SHOPPES AT DEERFIELD</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19,069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69,485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19,069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69,505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88,574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86,731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SHOPPES AT DEERFIELD II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7,176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SHOPS AT SANTA BARBARA PHASE 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SHOPS AT SANTA BARBARA PHASE 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SHOPS AT SANTA BARBARA PHASE 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SODO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68,139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73,730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73,872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24,057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49,815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SOUTH MIAMI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SUNSET 19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12,460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55,354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12,460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55,354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67,814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66,376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TJ MAXX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38,660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38,732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49,073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48,155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TRI-CITY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11,329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23,671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35,000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37,832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30,039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TUTTLEBEE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UNIVERSITY TOWN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13,041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13,724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19,239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14,656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VILLAGE COMMONS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7,074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VILLAGE COMMONS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16,476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VILLAGE GREEN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11,405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11,405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24,480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17,753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VIZCAYA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20,965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20,965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26,738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26,223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WELLINGTON GREEN COMMONS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19,528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32,521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19,528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32,521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51,323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16,066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WELLINGTON GREEN PAD SITES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WINN DIXIE-MIAMI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9,410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12,348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WINTER PARK CORNERS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42,530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42,541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47,732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47,003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62"/>
        <w:gridCol w:w="70"/>
        <w:gridCol w:w="203"/>
        <w:gridCol w:w="319"/>
        <w:gridCol w:w="70"/>
        <w:gridCol w:w="70"/>
        <w:gridCol w:w="70"/>
        <w:gridCol w:w="385"/>
        <w:gridCol w:w="70"/>
        <w:gridCol w:w="70"/>
        <w:gridCol w:w="70"/>
        <w:gridCol w:w="402"/>
        <w:gridCol w:w="70"/>
        <w:gridCol w:w="70"/>
        <w:gridCol w:w="70"/>
        <w:gridCol w:w="485"/>
        <w:gridCol w:w="70"/>
        <w:gridCol w:w="70"/>
        <w:gridCol w:w="70"/>
        <w:gridCol w:w="385"/>
        <w:gridCol w:w="70"/>
        <w:gridCol w:w="70"/>
        <w:gridCol w:w="70"/>
        <w:gridCol w:w="402"/>
        <w:gridCol w:w="70"/>
        <w:gridCol w:w="70"/>
        <w:gridCol w:w="70"/>
        <w:gridCol w:w="385"/>
        <w:gridCol w:w="70"/>
        <w:gridCol w:w="70"/>
        <w:gridCol w:w="70"/>
        <w:gridCol w:w="402"/>
        <w:gridCol w:w="70"/>
        <w:gridCol w:w="70"/>
        <w:gridCol w:w="71"/>
        <w:gridCol w:w="486"/>
        <w:gridCol w:w="71"/>
        <w:gridCol w:w="71"/>
        <w:gridCol w:w="71"/>
        <w:gridCol w:w="486"/>
        <w:gridCol w:w="71"/>
        <w:gridCol w:w="569"/>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BRAELINN VILLAGE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20,739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23,754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27,485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22,087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BROWNSVILLE COMMONS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CAMP CREEK MARKETPLACE II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38,596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38,596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43,037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41,832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CHATHAM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13,403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37,079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50,482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35,462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EMBRY VILLAGE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18,147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33,010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18,161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37,418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55,579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24,425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31,154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GRAYSON COMMONS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15,958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15,384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LAKESIDE MARKETPLACE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28,579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28,728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30,966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30,264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LAWRENCEVILLE MARKET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29,691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30,593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39,653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30,853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MARKET AT HAYNES BRIDGE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21,549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23,196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28,086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18,956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PERIMETER EXPO PROPERTY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14,770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44,295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16,142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45,412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61,554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52,867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PERIMETER VILLAGE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67,522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67,522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72,940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71,409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27,757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RIVERWALK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18,863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19,011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22,523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19,087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ROSWELL CORNERS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47,054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47,054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51,590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50,625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ROSWELL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45,338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45,338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51,608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50,619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SAVANNAH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15,823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8,711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THOMPSON BRIDGE COMMONS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GA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CLIVE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IA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HAWTHORN HILLS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IL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33,034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36,292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43,076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31,395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PLAZA DEL PRADO</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IL</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28,410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30,333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40,537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34,433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SKOKIE POINTE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IL</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9,713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GREENWOOD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IN</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21,242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22,883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17,952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1970(C)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LINWOOD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IN</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9,575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12,986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FESTIVAL ON JEFFERSON COURT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KY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26,790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27,015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32,642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31,815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ADAMS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BROADWAY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6,828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FALMOUTH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13,066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14,885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17,246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14,007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FELLSWAY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17,517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FESTIVAL OF HYANNIS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40,683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57,539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46,772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GLENDALE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LINDEN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MAIN ST.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MEMORIAL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16,411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27,554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16,411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44,973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39,211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MILL ST.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10,869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MORRISSEY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9,435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8,993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NORTH AVE.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NORTH QUINCY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17,954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24,012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19,955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PARADISE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14,010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18,193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14,461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VINNIN SQUARE IN-LINE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VINNIN SQUARE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16,324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16,680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22,225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17,482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WASHINGTON ST.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9,872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12,958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13,574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26,532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22,634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WASHINGTON ST.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19,464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WAVERLY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72"/>
        <w:gridCol w:w="61"/>
        <w:gridCol w:w="218"/>
        <w:gridCol w:w="310"/>
        <w:gridCol w:w="61"/>
        <w:gridCol w:w="61"/>
        <w:gridCol w:w="61"/>
        <w:gridCol w:w="385"/>
        <w:gridCol w:w="61"/>
        <w:gridCol w:w="61"/>
        <w:gridCol w:w="61"/>
        <w:gridCol w:w="455"/>
        <w:gridCol w:w="61"/>
        <w:gridCol w:w="61"/>
        <w:gridCol w:w="61"/>
        <w:gridCol w:w="476"/>
        <w:gridCol w:w="61"/>
        <w:gridCol w:w="62"/>
        <w:gridCol w:w="62"/>
        <w:gridCol w:w="385"/>
        <w:gridCol w:w="62"/>
        <w:gridCol w:w="62"/>
        <w:gridCol w:w="62"/>
        <w:gridCol w:w="455"/>
        <w:gridCol w:w="62"/>
        <w:gridCol w:w="62"/>
        <w:gridCol w:w="62"/>
        <w:gridCol w:w="455"/>
        <w:gridCol w:w="62"/>
        <w:gridCol w:w="62"/>
        <w:gridCol w:w="62"/>
        <w:gridCol w:w="394"/>
        <w:gridCol w:w="62"/>
        <w:gridCol w:w="62"/>
        <w:gridCol w:w="62"/>
        <w:gridCol w:w="477"/>
        <w:gridCol w:w="62"/>
        <w:gridCol w:w="62"/>
        <w:gridCol w:w="62"/>
        <w:gridCol w:w="477"/>
        <w:gridCol w:w="62"/>
        <w:gridCol w:w="560"/>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CENTRE COURT-GIANT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CENTRE COURT-OLD COURT/COURTYD</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CENTRE COURT-RETAIL/BANK</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COLUMBIA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34,345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39,677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32,966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COLUMBIA CROSSING II SHOP.CTR.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19,868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24,429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27,567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22,698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COLUMBIA CROSSING OUTPARCELS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9,980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27,549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37,529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32,462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DORSEY'S SEARCH VILLAGE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27,996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28,659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34,981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29,715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ENCHANTED FOREST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34,345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55,241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47,417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FULLERTON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14,238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14,238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17,323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31,561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28,464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GAITHERSBURG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GREENBRIER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30,305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31,209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40,100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33,548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HARPER'S CHOICE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18,374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20,073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24,360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HICKORY RIDGE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26,948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28,049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35,233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30,059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HICKORY RIDGE (SUNOCO)</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INGLESIDE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17,889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18,399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28,816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24,324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KENTLANDS MARKET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84,615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18,335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102,950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123,117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108,862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KINGS CONTRIVANCE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31,760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33,111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42,419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34,582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LAUREL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LAUREL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1972(C)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MILL STATION DEVELOPMENT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62,742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16,076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67,987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84,063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81,337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MILL STATION THEATER/RSTRNTS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23,379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14,738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20,781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19,353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PIKE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61,389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61,398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61,398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60,417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PUTTY HILL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11,112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16,099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RADCLIFFE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21,188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21,060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33,103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27,997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RIVERHILL VILLAGE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23,282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23,793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40,618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34,472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SHAWAN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20,222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20,040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13,178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11,328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SHOPPES AT EASTON</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16,402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14,599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20,229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SHOPS AT DISTRICT HEIGHTS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21,971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21,463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28,761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25,084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SNOWDEN SQUARE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TIMONIUM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14,863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14,987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TIMONIUM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37,157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44,468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19,119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25,349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TOWSON 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101,765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43,271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107,849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151,120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28,733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122,387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VILLAGES AT URBANA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18,555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23,384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19,819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WILDE LAKE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26,645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31,406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33,983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21,929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WILKENS BELTWAY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22,126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34,168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29,145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YORK ROAD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MD</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37,206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37,622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41,899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34,560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54"/>
        <w:gridCol w:w="70"/>
        <w:gridCol w:w="245"/>
        <w:gridCol w:w="319"/>
        <w:gridCol w:w="70"/>
        <w:gridCol w:w="70"/>
        <w:gridCol w:w="70"/>
        <w:gridCol w:w="385"/>
        <w:gridCol w:w="70"/>
        <w:gridCol w:w="70"/>
        <w:gridCol w:w="70"/>
        <w:gridCol w:w="402"/>
        <w:gridCol w:w="70"/>
        <w:gridCol w:w="70"/>
        <w:gridCol w:w="70"/>
        <w:gridCol w:w="485"/>
        <w:gridCol w:w="70"/>
        <w:gridCol w:w="70"/>
        <w:gridCol w:w="70"/>
        <w:gridCol w:w="385"/>
        <w:gridCol w:w="70"/>
        <w:gridCol w:w="70"/>
        <w:gridCol w:w="70"/>
        <w:gridCol w:w="402"/>
        <w:gridCol w:w="70"/>
        <w:gridCol w:w="70"/>
        <w:gridCol w:w="70"/>
        <w:gridCol w:w="455"/>
        <w:gridCol w:w="70"/>
        <w:gridCol w:w="70"/>
        <w:gridCol w:w="70"/>
        <w:gridCol w:w="402"/>
        <w:gridCol w:w="70"/>
        <w:gridCol w:w="70"/>
        <w:gridCol w:w="70"/>
        <w:gridCol w:w="485"/>
        <w:gridCol w:w="70"/>
        <w:gridCol w:w="70"/>
        <w:gridCol w:w="71"/>
        <w:gridCol w:w="486"/>
        <w:gridCol w:w="71"/>
        <w:gridCol w:w="569"/>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CENTURY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MI</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1968(C)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THE FOUNTAINS AT ARBOR LAKES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MN</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66,699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14,655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29,485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80,454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109,939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35,630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74,309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CENTER POINT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MO</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BRENNAN STATION</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20,557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22,214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7,151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BRENNAN STATION OUTPARCEL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CAPITAL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15,687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15,286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CLOVERDALE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8,400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1969(C)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CROSSROADS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2000(A)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CROSSROADS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86,456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86,737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100,143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19,910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80,233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DAVIDSON COMMONS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12,860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16,285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12,704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FALLS POINTE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27,415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27,415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31,464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30,919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HIGH HOUSE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14,640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HOPE VALLEY COMMONS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JETTON VILLAGE SHOPPES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12,645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14,789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11,358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LEESVILLE TOWNE CENTRE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37,053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36,945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42,638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41,972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MOORESVILLE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30,604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31,492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43,118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13,845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NORTHWOODS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11,815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PARK PLACE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16,163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21,048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26,518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PLEASANT VALLEY PROMENADE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20,886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22,926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43,812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49,021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24,173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QUAIL CORNERS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26,676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35,819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29,830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14,023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SIX FORKS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78,390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78,390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76,533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STONEHENGE MARKET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37,900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37,900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41,748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41,124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TYVOLA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13,647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13,647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1986(A)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WOODLAWN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WOODLAWN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10,001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ROCKINGHAM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NH</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24,026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34,182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37,331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16,298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21,033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WEBSTER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NH</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41,708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47,888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59,571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49,300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WEBSTER SQUARE - DSW</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NH</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WEBSTER SQUARE NORTH</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NH</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CENTRAL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15,824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CLARK SHOPRITE 70 CENTRAL AVE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13,960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16,186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COMMERCE CENTER EAST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7,235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COMMERCE CENTER WEST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COMMONS AT HOLMDEL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16,538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38,760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16,538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47,401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63,939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20,078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EAST WINDSOR VILLAGE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23,778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24,472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33,807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GARDEN STATE PAVILIONS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21,623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27,752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39,956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29,362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HILLVIEW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16,008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32,607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16,008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34,477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50,485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43,544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HOLMDEL TOWNE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43,301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11,442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54,743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65,568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27,535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38,033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MAPLE SHADE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MARLTON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NORTH BRUNSWICK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29,278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42,098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45,303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23,881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21,422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PISCATAWAY TOWN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15,411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17,047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20,899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PLAZA AT HILLSDALE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16,251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PLAZA AT SHORT HILLS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11,588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31,743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28,634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RIDGEWOOD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 RITE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6,364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11,472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1985(C)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UNION CRESCENT III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28,966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31,175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39,872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20,691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19,181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WESTMONT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13,926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16,331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16,933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WILLOWBROOK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15,320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40,997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15,320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51,701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67,021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56,051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NORTH TOWNE PLAZA - ALBUQUERQUE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Style w:val="a6"/>
                <w:rFonts w:eastAsia="Times New Roman"/>
                <w:sz w:val="14"/>
                <w:szCs w:val="14"/>
              </w:rPr>
              <w:t> NM</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36,989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CHARLESTON COMMONS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29,704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29,704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24,352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54,056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52,738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COLLEGE PARK S.C.-N LAS VEGAS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18,413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18,413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20,513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19,892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D'ANDREA MARKETPLACE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11,556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29,435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11,556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30,034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41,590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11,333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30,257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DEL MONTE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DEL MONTE PLAZA ANCHOR PARCEL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17,600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17,749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21,536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FRANCISCO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10,122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11,552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GALENA JUNCTION</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17,503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18,479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27,410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22,619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MCQUEEN CROSSINGS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20,779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21,837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26,854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19,905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RANCHO TOWNE &amp; COUNTRY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21,149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20,728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REDFIELD PROMENADE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32,035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32,942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37,357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27,093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SPARKS MERCANTILE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NV</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17,069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17,488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23,710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19,001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94"/>
        <w:gridCol w:w="65"/>
        <w:gridCol w:w="172"/>
        <w:gridCol w:w="314"/>
        <w:gridCol w:w="65"/>
        <w:gridCol w:w="65"/>
        <w:gridCol w:w="65"/>
        <w:gridCol w:w="385"/>
        <w:gridCol w:w="65"/>
        <w:gridCol w:w="65"/>
        <w:gridCol w:w="65"/>
        <w:gridCol w:w="455"/>
        <w:gridCol w:w="65"/>
        <w:gridCol w:w="65"/>
        <w:gridCol w:w="65"/>
        <w:gridCol w:w="480"/>
        <w:gridCol w:w="65"/>
        <w:gridCol w:w="65"/>
        <w:gridCol w:w="65"/>
        <w:gridCol w:w="385"/>
        <w:gridCol w:w="65"/>
        <w:gridCol w:w="65"/>
        <w:gridCol w:w="65"/>
        <w:gridCol w:w="455"/>
        <w:gridCol w:w="65"/>
        <w:gridCol w:w="65"/>
        <w:gridCol w:w="65"/>
        <w:gridCol w:w="455"/>
        <w:gridCol w:w="65"/>
        <w:gridCol w:w="65"/>
        <w:gridCol w:w="65"/>
        <w:gridCol w:w="397"/>
        <w:gridCol w:w="65"/>
        <w:gridCol w:w="65"/>
        <w:gridCol w:w="65"/>
        <w:gridCol w:w="480"/>
        <w:gridCol w:w="66"/>
        <w:gridCol w:w="66"/>
        <w:gridCol w:w="66"/>
        <w:gridCol w:w="481"/>
        <w:gridCol w:w="66"/>
        <w:gridCol w:w="564"/>
      </w:tblGrid>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501 NORTH BROADWAY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AIRPORT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22,711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107,012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22,711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113,462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136,173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BELLMORE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BIRCHWOOD PLAZA COMMACK</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BRIDGEHAMPTON COMMONS-W&amp;E SIDE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40,364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43,425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45,283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25,183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1972(C)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CHAMPION FOOD SUPERMARKET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ELMONT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ELMSFORD CENTER 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ELMSFORD CENTER 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15,599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16,548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20,793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16,009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FAMILY DOLLAR UNION TURNPIKE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FOREST AVENUE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10,441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13,525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18,084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FRANKLIN SQUARE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GREENRIDGE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11,812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19,106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22,254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11,725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HAMPTON BAYS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9,418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8,421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1989(A)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HICKSVILLE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8,266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9,643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INDEPENDENCE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34,814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16,132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30,806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46,938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37,958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JERICHO COMMONS SOUTH</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33,071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36,658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49,026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KEY FOOD - 21ST STREET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KEY FOOD - ATLANTIC AVE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KEY FOOD - CENTRAL AVE.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6,899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r>
              <w:rPr>
                <w:rFonts w:eastAsia="Times New Roman"/>
                <w:sz w:val="14"/>
                <w:szCs w:val="14"/>
              </w:rPr>
              <w:t>395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KINGS HIGHWAY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11,821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KISSENA BOULEVARD SHOPPING CTR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11,610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16,151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LITTLE NECK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13,161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19,312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22,589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9,599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12,990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MANETTO HILL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15,940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1969(C)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MANHASSET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19,166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53,644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57,116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30,942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26,174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MARKET AT BAY SHORE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12,360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30,708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12,360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37,428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49,788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33,224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MASPETH QUEENS-DUANE READE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MILLERIDGE INN</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MINEOLA CROSSINGS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12,048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9,207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NORTH MASSAPEQUA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OCEAN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RALPH AVENUE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11,340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15,377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19,791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13,282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RICHMOND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21,538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30,566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32,846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16,976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15,870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1989(A)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ROMAINE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SHOPRITE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SMITHTOWN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11,453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SYOSSET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1990(C)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THE BOULEVARD</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28,724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38,232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233,215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28,724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271,447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300,171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20,132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280,039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TURNPIKE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9,357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VETERANS MEMORIAL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23,243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20,820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44,051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50,031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18,877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31,154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WHITE PLAINS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2004(A)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151"/>
        <w:gridCol w:w="71"/>
        <w:gridCol w:w="187"/>
        <w:gridCol w:w="320"/>
        <w:gridCol w:w="71"/>
        <w:gridCol w:w="71"/>
        <w:gridCol w:w="71"/>
        <w:gridCol w:w="385"/>
        <w:gridCol w:w="71"/>
        <w:gridCol w:w="71"/>
        <w:gridCol w:w="71"/>
        <w:gridCol w:w="455"/>
        <w:gridCol w:w="71"/>
        <w:gridCol w:w="71"/>
        <w:gridCol w:w="71"/>
        <w:gridCol w:w="487"/>
        <w:gridCol w:w="72"/>
        <w:gridCol w:w="72"/>
        <w:gridCol w:w="72"/>
        <w:gridCol w:w="385"/>
        <w:gridCol w:w="72"/>
        <w:gridCol w:w="72"/>
        <w:gridCol w:w="72"/>
        <w:gridCol w:w="455"/>
        <w:gridCol w:w="72"/>
        <w:gridCol w:w="72"/>
        <w:gridCol w:w="72"/>
        <w:gridCol w:w="455"/>
        <w:gridCol w:w="72"/>
        <w:gridCol w:w="72"/>
        <w:gridCol w:w="72"/>
        <w:gridCol w:w="404"/>
        <w:gridCol w:w="72"/>
        <w:gridCol w:w="72"/>
        <w:gridCol w:w="72"/>
        <w:gridCol w:w="487"/>
        <w:gridCol w:w="72"/>
        <w:gridCol w:w="72"/>
        <w:gridCol w:w="72"/>
        <w:gridCol w:w="487"/>
        <w:gridCol w:w="72"/>
        <w:gridCol w:w="570"/>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JANTZEN BEACH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OR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57,575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102,844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57,588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103,325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160,913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19,131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141,782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OREGON TRAIL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OR</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12,623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13,264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19,066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12,914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CENTER SQUARE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CRANBERRY TOWNSHIP-PARCEL 1&amp;2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30,770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36,869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42,939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36,403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CROSSROADS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13,983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16,951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17,927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11,272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1986(A)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DEVON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25,847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25,460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30,316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22,451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FRANKFORD AVENUE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HARRISBURG EAST SHOPPING CTR.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18,768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9,583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HOLIDAY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7,727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22,895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17,825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HORSHAM POINT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18,284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22,097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18,663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LINCOLN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90,479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75,216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155,162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165,695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155,396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2017(C)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NORRITON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1984(A)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POCONO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18,004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20,377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21,427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19,211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1973(C)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SHOPPES AT WYNNEWOOD</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7,479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7,479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10,632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SHREWSBURY SQUARE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16,998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22,955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19,116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SPRINGFIELD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13,543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18,525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19,445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12,111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1983(A)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SUBURBAN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70,680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166,351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82,114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71,280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247,865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319,145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66,410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252,735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TOWNSHIP LINE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WAYNE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15,605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16,348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22,484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16,354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WEXFORD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9,775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6,299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20,844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27,143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20,662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2010(A)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WHITEHALL MALL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WHITELAND TOWN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WHOLE FOODS AT WYNNEWOOD</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11,785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13,055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26,827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25,456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2014(C)</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156"/>
        <w:gridCol w:w="76"/>
        <w:gridCol w:w="172"/>
        <w:gridCol w:w="325"/>
        <w:gridCol w:w="76"/>
        <w:gridCol w:w="76"/>
        <w:gridCol w:w="76"/>
        <w:gridCol w:w="385"/>
        <w:gridCol w:w="76"/>
        <w:gridCol w:w="76"/>
        <w:gridCol w:w="76"/>
        <w:gridCol w:w="408"/>
        <w:gridCol w:w="76"/>
        <w:gridCol w:w="76"/>
        <w:gridCol w:w="76"/>
        <w:gridCol w:w="491"/>
        <w:gridCol w:w="76"/>
        <w:gridCol w:w="77"/>
        <w:gridCol w:w="77"/>
        <w:gridCol w:w="385"/>
        <w:gridCol w:w="77"/>
        <w:gridCol w:w="77"/>
        <w:gridCol w:w="77"/>
        <w:gridCol w:w="409"/>
        <w:gridCol w:w="77"/>
        <w:gridCol w:w="77"/>
        <w:gridCol w:w="77"/>
        <w:gridCol w:w="385"/>
        <w:gridCol w:w="77"/>
        <w:gridCol w:w="77"/>
        <w:gridCol w:w="77"/>
        <w:gridCol w:w="409"/>
        <w:gridCol w:w="77"/>
        <w:gridCol w:w="77"/>
        <w:gridCol w:w="77"/>
        <w:gridCol w:w="492"/>
        <w:gridCol w:w="77"/>
        <w:gridCol w:w="77"/>
        <w:gridCol w:w="77"/>
        <w:gridCol w:w="492"/>
        <w:gridCol w:w="77"/>
        <w:gridCol w:w="575"/>
      </w:tblGrid>
      <w:tr w:rsidR="00000000">
        <w:trPr>
          <w:tblCellSpacing w:w="0" w:type="dxa"/>
        </w:trPr>
        <w:tc>
          <w:tcPr>
            <w:tcW w:w="700" w:type="pct"/>
            <w:vAlign w:val="bottom"/>
            <w:hideMark/>
          </w:tcPr>
          <w:p w:rsidR="00000000" w:rsidRDefault="001D2166">
            <w:pPr>
              <w:pStyle w:val="a3"/>
              <w:spacing w:before="0" w:beforeAutospacing="0" w:after="0" w:afterAutospacing="0"/>
              <w:ind w:left="180"/>
              <w:rPr>
                <w:sz w:val="14"/>
                <w:szCs w:val="14"/>
              </w:rPr>
            </w:pPr>
            <w:r>
              <w:rPr>
                <w:sz w:val="14"/>
                <w:szCs w:val="14"/>
              </w:rPr>
              <w:t>LOS COLOBOS - BUILDERS SQUARE</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pStyle w:val="a3"/>
              <w:spacing w:before="0" w:beforeAutospacing="0" w:after="0" w:afterAutospacing="0"/>
              <w:rPr>
                <w:sz w:val="14"/>
                <w:szCs w:val="14"/>
              </w:rPr>
            </w:pPr>
            <w:r>
              <w:rPr>
                <w:sz w:val="14"/>
                <w:szCs w:val="14"/>
              </w:rPr>
              <w:t>PR</w:t>
            </w:r>
          </w:p>
        </w:tc>
        <w:tc>
          <w:tcPr>
            <w:tcW w:w="20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00" w:type="pct"/>
            <w:vAlign w:val="bottom"/>
            <w:hideMark/>
          </w:tcPr>
          <w:p w:rsidR="00000000" w:rsidRDefault="001D2166">
            <w:pPr>
              <w:jc w:val="right"/>
              <w:rPr>
                <w:rFonts w:eastAsia="Times New Roman"/>
                <w:sz w:val="14"/>
                <w:szCs w:val="14"/>
              </w:rPr>
            </w:pPr>
            <w:r>
              <w:rPr>
                <w:rFonts w:eastAsia="Times New Roman"/>
                <w:sz w:val="14"/>
                <w:szCs w:val="14"/>
              </w:rPr>
              <w:t>4,405</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50" w:type="pct"/>
            <w:vAlign w:val="bottom"/>
            <w:hideMark/>
          </w:tcPr>
          <w:p w:rsidR="00000000" w:rsidRDefault="001D2166">
            <w:pPr>
              <w:jc w:val="right"/>
              <w:rPr>
                <w:rFonts w:eastAsia="Times New Roman"/>
                <w:sz w:val="14"/>
                <w:szCs w:val="14"/>
              </w:rPr>
            </w:pPr>
            <w:r>
              <w:rPr>
                <w:rFonts w:eastAsia="Times New Roman"/>
                <w:sz w:val="14"/>
                <w:szCs w:val="14"/>
              </w:rPr>
              <w:t>9,628</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300" w:type="pct"/>
            <w:vAlign w:val="bottom"/>
            <w:hideMark/>
          </w:tcPr>
          <w:p w:rsidR="00000000" w:rsidRDefault="001D2166">
            <w:pPr>
              <w:jc w:val="right"/>
              <w:rPr>
                <w:rFonts w:eastAsia="Times New Roman"/>
                <w:sz w:val="14"/>
                <w:szCs w:val="14"/>
              </w:rPr>
            </w:pPr>
            <w:r>
              <w:rPr>
                <w:rFonts w:eastAsia="Times New Roman"/>
                <w:sz w:val="14"/>
                <w:szCs w:val="14"/>
              </w:rPr>
              <w:t>(538</w:t>
            </w:r>
          </w:p>
        </w:tc>
        <w:tc>
          <w:tcPr>
            <w:tcW w:w="50" w:type="pct"/>
            <w:vAlign w:val="bottom"/>
            <w:hideMark/>
          </w:tcPr>
          <w:p w:rsidR="00000000" w:rsidRDefault="001D2166">
            <w:pPr>
              <w:rPr>
                <w:rFonts w:eastAsia="Times New Roman"/>
                <w:sz w:val="14"/>
                <w:szCs w:val="14"/>
              </w:rPr>
            </w:pPr>
            <w:r>
              <w:rPr>
                <w:rFonts w:eastAsia="Times New Roman"/>
                <w:sz w:val="14"/>
                <w:szCs w:val="14"/>
              </w:rPr>
              <w:t>)</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00" w:type="pct"/>
            <w:vAlign w:val="bottom"/>
            <w:hideMark/>
          </w:tcPr>
          <w:p w:rsidR="00000000" w:rsidRDefault="001D2166">
            <w:pPr>
              <w:jc w:val="right"/>
              <w:rPr>
                <w:rFonts w:eastAsia="Times New Roman"/>
                <w:sz w:val="14"/>
                <w:szCs w:val="14"/>
              </w:rPr>
            </w:pPr>
            <w:r>
              <w:rPr>
                <w:rFonts w:eastAsia="Times New Roman"/>
                <w:sz w:val="14"/>
                <w:szCs w:val="14"/>
              </w:rPr>
              <w:t>4,461</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50" w:type="pct"/>
            <w:vAlign w:val="bottom"/>
            <w:hideMark/>
          </w:tcPr>
          <w:p w:rsidR="00000000" w:rsidRDefault="001D2166">
            <w:pPr>
              <w:jc w:val="right"/>
              <w:rPr>
                <w:rFonts w:eastAsia="Times New Roman"/>
                <w:sz w:val="14"/>
                <w:szCs w:val="14"/>
              </w:rPr>
            </w:pPr>
            <w:r>
              <w:rPr>
                <w:rFonts w:eastAsia="Times New Roman"/>
                <w:sz w:val="14"/>
                <w:szCs w:val="14"/>
              </w:rPr>
              <w:t>9,034</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00" w:type="pct"/>
            <w:vAlign w:val="bottom"/>
            <w:hideMark/>
          </w:tcPr>
          <w:p w:rsidR="00000000" w:rsidRDefault="001D2166">
            <w:pPr>
              <w:jc w:val="right"/>
              <w:rPr>
                <w:rFonts w:eastAsia="Times New Roman"/>
                <w:sz w:val="14"/>
                <w:szCs w:val="14"/>
              </w:rPr>
            </w:pPr>
            <w:r>
              <w:rPr>
                <w:rFonts w:eastAsia="Times New Roman"/>
                <w:sz w:val="14"/>
                <w:szCs w:val="14"/>
              </w:rPr>
              <w:t>13,495</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50" w:type="pct"/>
            <w:vAlign w:val="bottom"/>
            <w:hideMark/>
          </w:tcPr>
          <w:p w:rsidR="00000000" w:rsidRDefault="001D2166">
            <w:pPr>
              <w:jc w:val="right"/>
              <w:rPr>
                <w:rFonts w:eastAsia="Times New Roman"/>
                <w:sz w:val="14"/>
                <w:szCs w:val="14"/>
              </w:rPr>
            </w:pPr>
            <w:r>
              <w:rPr>
                <w:rFonts w:eastAsia="Times New Roman"/>
                <w:sz w:val="14"/>
                <w:szCs w:val="14"/>
              </w:rPr>
              <w:t>8,375</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300" w:type="pct"/>
            <w:vAlign w:val="bottom"/>
            <w:hideMark/>
          </w:tcPr>
          <w:p w:rsidR="00000000" w:rsidRDefault="001D2166">
            <w:pPr>
              <w:jc w:val="right"/>
              <w:rPr>
                <w:rFonts w:eastAsia="Times New Roman"/>
                <w:sz w:val="14"/>
                <w:szCs w:val="14"/>
              </w:rPr>
            </w:pPr>
            <w:r>
              <w:rPr>
                <w:rFonts w:eastAsia="Times New Roman"/>
                <w:sz w:val="14"/>
                <w:szCs w:val="14"/>
              </w:rPr>
              <w:t>5,120</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300" w:type="pct"/>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350" w:type="pct"/>
            <w:vAlign w:val="bottom"/>
            <w:hideMark/>
          </w:tcPr>
          <w:p w:rsidR="00000000" w:rsidRDefault="001D2166">
            <w:pPr>
              <w:pStyle w:val="a3"/>
              <w:spacing w:before="0" w:beforeAutospacing="0" w:after="0" w:afterAutospacing="0"/>
              <w:jc w:val="center"/>
              <w:rPr>
                <w:sz w:val="14"/>
                <w:szCs w:val="14"/>
              </w:rPr>
            </w:pPr>
            <w:r>
              <w:rPr>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LOS COLOBOS - KMART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10,120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13,588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8,406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LOS COLOBOS 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12,891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13,613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25,878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39,491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13,443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LOS COLOBOS II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30,681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15,142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31,458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46,600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16,337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30,263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MANATI VILLA MARIA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PLAZA CENTRO - COSTCO</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10,059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13,925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PLAZA CENTRO - MALL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19,873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58,719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19,408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61,727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81,135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28,023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53,112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PLAZA CENTRO - RETAIL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22,808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7,631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15,177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PLAZA CENTRO - SAM'S CLUB</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20,225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19,178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25,698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17,974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PONCE TOWNE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14,433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28,449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14,903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33,217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48,120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20,674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27,446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REXVILLE TOWN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24,873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48,688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25,678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55,530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81,208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34,411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46,797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TRUJILLO ALTO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24,446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12,289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29,120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41,409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24,900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WESTERN PLAZA - MAYAGUEZ ONE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11,242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12,663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23,905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13,657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WESTERN PLAZA - MAYAGUEZ TWO</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PR</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19,911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22,973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39,846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17,238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22,608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FOREST PARK</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SC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9,545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9,375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ST. ANDREWS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SC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21,812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24,944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25,674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12,735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1978(C)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WESTWOOD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SC</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15,114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22,117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23,844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17,322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WOODRUFF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SC</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1,357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19,968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14,730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2010(A)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HIGHLAND SQUARE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TN</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MENDENHALL COMMONS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TN</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14,826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16,098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15,432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OLD TOWNE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TN</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4,134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4,602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1978(C)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THE COMMONS AT DEXTER LAKE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TN</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14,649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14,649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16,203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15,477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THE COMMONS AT DEXTER LAKE II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TN</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9,441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9,210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46"/>
        <w:gridCol w:w="69"/>
        <w:gridCol w:w="164"/>
        <w:gridCol w:w="318"/>
        <w:gridCol w:w="69"/>
        <w:gridCol w:w="69"/>
        <w:gridCol w:w="69"/>
        <w:gridCol w:w="385"/>
        <w:gridCol w:w="69"/>
        <w:gridCol w:w="69"/>
        <w:gridCol w:w="69"/>
        <w:gridCol w:w="455"/>
        <w:gridCol w:w="69"/>
        <w:gridCol w:w="69"/>
        <w:gridCol w:w="69"/>
        <w:gridCol w:w="484"/>
        <w:gridCol w:w="69"/>
        <w:gridCol w:w="70"/>
        <w:gridCol w:w="70"/>
        <w:gridCol w:w="385"/>
        <w:gridCol w:w="70"/>
        <w:gridCol w:w="70"/>
        <w:gridCol w:w="70"/>
        <w:gridCol w:w="455"/>
        <w:gridCol w:w="70"/>
        <w:gridCol w:w="70"/>
        <w:gridCol w:w="70"/>
        <w:gridCol w:w="455"/>
        <w:gridCol w:w="70"/>
        <w:gridCol w:w="70"/>
        <w:gridCol w:w="70"/>
        <w:gridCol w:w="402"/>
        <w:gridCol w:w="70"/>
        <w:gridCol w:w="70"/>
        <w:gridCol w:w="70"/>
        <w:gridCol w:w="485"/>
        <w:gridCol w:w="70"/>
        <w:gridCol w:w="70"/>
        <w:gridCol w:w="70"/>
        <w:gridCol w:w="485"/>
        <w:gridCol w:w="70"/>
        <w:gridCol w:w="568"/>
      </w:tblGrid>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10-FEDERAL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15,986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15,986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19,263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18,771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1934 WEST GRAY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1939 WEST GRAY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43RD STREET CHASE BANK BLDG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1,703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ACCENT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3,336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ALABAMA SHEPHERD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4,590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25,960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25,214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ATASCOCITA COMMONS SHOP.CTR.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16,323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54,587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15,641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55,096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70,737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12,427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58,310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BAYBROOK GATEWAY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9,441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44,160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9,441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44,160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53,601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52,200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BELLAIRE BLVD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BLALOCK MARKET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17,283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17,298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17,298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16,753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CENTER AT BAYBROOK</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27,727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6,928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39,703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46,631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20,940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25,691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1998(A)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CENTER OF THE HILLS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11,706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15,689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18,613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7,671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CITADEL BUILDING</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12,856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16,902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16,746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CONROE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18,869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50,757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10,842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56,909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67,751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11,469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56,282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COPPERFIELD VILLAGE SHOP.CTR.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34,864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35,656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43,484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35,668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COPPERWOOD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13,848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84,184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13,848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85,491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99,339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81,228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CYPRESS TOWNE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2003(C)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CYPRESS TOWNE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36,836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41,600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50,244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42,714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CYPRESS TOWNE CENTER (PHASE II)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6,858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DRISCOLL AT RIVER OAKS-RESI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145,366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145,366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146,610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145,253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FIESTA TARGET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13,933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FIESTA TRAILS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15,185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32,897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15,185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33,078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48,263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47,242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GALVESTON PLACE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28,288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28,665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30,326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29,720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GATEWAY STATION</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28,145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4,061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32,205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33,580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7,596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25,984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GATEWAY STATION PHASE II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12,020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954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12,971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17,114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GRAND PARKWAY MARKET PLACE II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13,436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39,389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12,298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40,527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52,825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48,795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GRAND PARKWAY MARKETPLACE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25,364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68,228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21,937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71,655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93,592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86,256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2014(C)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HARRISBURG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23,175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23,175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25,221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24,665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9,228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HEB - DAIRY ASHFORD &amp; MEMORIAL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6,400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HEIGHTS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10,140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10,140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15,563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15,182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I45/TELEPHONE RD.</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29,822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29,005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11,136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INDEPENDENCE PLAZA - LAREDO</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53,564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4,836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53,588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58,424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57,423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11,285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INDEPENDENCE PLAZA II - LAREDO</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21,418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21,418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23,900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23,228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KROGER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LAKE PRAIRIE TOWN CROSSING</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7,897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29,609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30,723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37,506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28,938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LAS TIENDAS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27,792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7,944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36,470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8,835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27,635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2005(C)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MONTGOMERY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63,065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63,282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74,021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14,928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59,093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24,977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MUELLER OUTPARCEL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3,381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MUELLER REGIONAL RETAIL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85,805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85,943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93,295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90,980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NORTH CREEK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5,044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34,739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39,783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38,687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OAK FOREST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25,275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13,395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25,293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38,688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38,199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PLANTATION CENTRE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34,494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34,554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36,879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PRESTON LEBANON CROSSING</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13,552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28,098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12,164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29,486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41,650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10,198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31,452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2006(C)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RANDALLS CENTER/KINGS CROSSING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3,717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25,080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RICHMOND SQUARE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15,432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15,179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22,747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22,538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RIVER OAKS S.C. EAST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13,882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5,766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13,885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19,651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19,312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RIVER OAKS S.C. WEST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138,022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14,185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138,727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152,912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150,219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ROCK PRAIRIE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8,004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8,046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8,046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7,910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SHOPPES AT MEMORIAL VILLAGES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41,493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41,598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41,598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40,740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SHOPS AT HILSHIRE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11,206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19,092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11,206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19,104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30,310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29,814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SHOPS AT KIRBY DRIVE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5,031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5,904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SHOPS AT THREE CORNERS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59,795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7,094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59,469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66,563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65,333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SOUTHGATE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5,315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25,366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24,975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STEVENS RANCH</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6,412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24,412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THE CENTRE AT COPPERFIELD</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22,525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6,723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23,094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29,817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24,134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THE CENTRE AT POST OAK</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12,642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100,658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12,642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100,667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113,309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2,276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111,033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THE SHOPPES @ WILDERNESS OAKS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4,359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12,771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THOUSAND OAKS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26,176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26,176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30,560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582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29,978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11,267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TOMBALL CROSSINGS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8,517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28,484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29,952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37,917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6,729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31,188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TOMBALL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31,793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4,280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31,793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36,073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35,122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TRENTON CROSSING - NORTH MCALLEN</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29,686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6,279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29,728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36,007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34,964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VILLAGE PLAZA AT BUNKER HILL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233,086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233,219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254,539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250,599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71,711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WESTCHASE S.C.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35,653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7,547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35,653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43,200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42,310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14,455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WESTHILL VILLAGE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26,479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26,479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38,427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37,695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WOODBRIDGE SHOPPING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6,814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7,314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9,883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7,499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5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15"/>
        <w:gridCol w:w="73"/>
        <w:gridCol w:w="73"/>
        <w:gridCol w:w="322"/>
        <w:gridCol w:w="73"/>
        <w:gridCol w:w="73"/>
        <w:gridCol w:w="73"/>
        <w:gridCol w:w="385"/>
        <w:gridCol w:w="73"/>
        <w:gridCol w:w="73"/>
        <w:gridCol w:w="73"/>
        <w:gridCol w:w="455"/>
        <w:gridCol w:w="73"/>
        <w:gridCol w:w="73"/>
        <w:gridCol w:w="73"/>
        <w:gridCol w:w="488"/>
        <w:gridCol w:w="73"/>
        <w:gridCol w:w="73"/>
        <w:gridCol w:w="73"/>
        <w:gridCol w:w="385"/>
        <w:gridCol w:w="73"/>
        <w:gridCol w:w="73"/>
        <w:gridCol w:w="73"/>
        <w:gridCol w:w="455"/>
        <w:gridCol w:w="73"/>
        <w:gridCol w:w="73"/>
        <w:gridCol w:w="73"/>
        <w:gridCol w:w="455"/>
        <w:gridCol w:w="73"/>
        <w:gridCol w:w="73"/>
        <w:gridCol w:w="73"/>
        <w:gridCol w:w="405"/>
        <w:gridCol w:w="73"/>
        <w:gridCol w:w="73"/>
        <w:gridCol w:w="73"/>
        <w:gridCol w:w="488"/>
        <w:gridCol w:w="73"/>
        <w:gridCol w:w="73"/>
        <w:gridCol w:w="74"/>
        <w:gridCol w:w="406"/>
        <w:gridCol w:w="74"/>
        <w:gridCol w:w="655"/>
      </w:tblGrid>
      <w:tr w:rsidR="00000000">
        <w:trPr>
          <w:tblCellSpacing w:w="0" w:type="dxa"/>
        </w:trPr>
        <w:tc>
          <w:tcPr>
            <w:tcW w:w="700" w:type="pct"/>
            <w:vAlign w:val="bottom"/>
            <w:hideMark/>
          </w:tcPr>
          <w:p w:rsidR="00000000" w:rsidRDefault="001D2166">
            <w:pPr>
              <w:pStyle w:val="a3"/>
              <w:spacing w:before="0" w:beforeAutospacing="0" w:after="0" w:afterAutospacing="0"/>
              <w:ind w:left="180"/>
              <w:rPr>
                <w:sz w:val="14"/>
                <w:szCs w:val="14"/>
              </w:rPr>
            </w:pPr>
            <w:r>
              <w:rPr>
                <w:sz w:val="14"/>
                <w:szCs w:val="14"/>
              </w:rPr>
              <w:t>BURKE TOWN PLAZA</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vAlign w:val="bottom"/>
            <w:hideMark/>
          </w:tcPr>
          <w:p w:rsidR="00000000" w:rsidRDefault="001D2166">
            <w:pPr>
              <w:pStyle w:val="a3"/>
              <w:spacing w:before="0" w:beforeAutospacing="0" w:after="0" w:afterAutospacing="0"/>
              <w:rPr>
                <w:sz w:val="14"/>
                <w:szCs w:val="14"/>
              </w:rPr>
            </w:pPr>
            <w:r>
              <w:rPr>
                <w:sz w:val="14"/>
                <w:szCs w:val="14"/>
              </w:rPr>
              <w:t>VA</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00" w:type="pct"/>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50" w:type="pct"/>
            <w:vAlign w:val="bottom"/>
            <w:hideMark/>
          </w:tcPr>
          <w:p w:rsidR="00000000" w:rsidRDefault="001D2166">
            <w:pPr>
              <w:jc w:val="right"/>
              <w:rPr>
                <w:rFonts w:eastAsia="Times New Roman"/>
                <w:sz w:val="14"/>
                <w:szCs w:val="14"/>
              </w:rPr>
            </w:pPr>
            <w:r>
              <w:rPr>
                <w:rFonts w:eastAsia="Times New Roman"/>
                <w:sz w:val="14"/>
                <w:szCs w:val="14"/>
              </w:rPr>
              <w:t>43,240</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300" w:type="pct"/>
            <w:vAlign w:val="bottom"/>
            <w:hideMark/>
          </w:tcPr>
          <w:p w:rsidR="00000000" w:rsidRDefault="001D2166">
            <w:pPr>
              <w:jc w:val="right"/>
              <w:rPr>
                <w:rFonts w:eastAsia="Times New Roman"/>
                <w:sz w:val="14"/>
                <w:szCs w:val="14"/>
              </w:rPr>
            </w:pPr>
            <w:r>
              <w:rPr>
                <w:rFonts w:eastAsia="Times New Roman"/>
                <w:sz w:val="14"/>
                <w:szCs w:val="14"/>
              </w:rPr>
              <w:t>(5,676</w:t>
            </w:r>
          </w:p>
        </w:tc>
        <w:tc>
          <w:tcPr>
            <w:tcW w:w="50" w:type="pct"/>
            <w:vAlign w:val="bottom"/>
            <w:hideMark/>
          </w:tcPr>
          <w:p w:rsidR="00000000" w:rsidRDefault="001D2166">
            <w:pPr>
              <w:rPr>
                <w:rFonts w:eastAsia="Times New Roman"/>
                <w:sz w:val="14"/>
                <w:szCs w:val="14"/>
              </w:rPr>
            </w:pPr>
            <w:r>
              <w:rPr>
                <w:rFonts w:eastAsia="Times New Roman"/>
                <w:sz w:val="14"/>
                <w:szCs w:val="14"/>
              </w:rPr>
              <w:t>)</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00" w:type="pct"/>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50" w:type="pct"/>
            <w:vAlign w:val="bottom"/>
            <w:hideMark/>
          </w:tcPr>
          <w:p w:rsidR="00000000" w:rsidRDefault="001D2166">
            <w:pPr>
              <w:jc w:val="right"/>
              <w:rPr>
                <w:rFonts w:eastAsia="Times New Roman"/>
                <w:sz w:val="14"/>
                <w:szCs w:val="14"/>
              </w:rPr>
            </w:pPr>
            <w:r>
              <w:rPr>
                <w:rFonts w:eastAsia="Times New Roman"/>
                <w:sz w:val="14"/>
                <w:szCs w:val="14"/>
              </w:rPr>
              <w:t>37,564</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00" w:type="pct"/>
            <w:vAlign w:val="bottom"/>
            <w:hideMark/>
          </w:tcPr>
          <w:p w:rsidR="00000000" w:rsidRDefault="001D2166">
            <w:pPr>
              <w:jc w:val="right"/>
              <w:rPr>
                <w:rFonts w:eastAsia="Times New Roman"/>
                <w:sz w:val="14"/>
                <w:szCs w:val="14"/>
              </w:rPr>
            </w:pPr>
            <w:r>
              <w:rPr>
                <w:rFonts w:eastAsia="Times New Roman"/>
                <w:sz w:val="14"/>
                <w:szCs w:val="14"/>
              </w:rPr>
              <w:t>37,564</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50" w:type="pct"/>
            <w:vAlign w:val="bottom"/>
            <w:hideMark/>
          </w:tcPr>
          <w:p w:rsidR="00000000" w:rsidRDefault="001D2166">
            <w:pPr>
              <w:jc w:val="right"/>
              <w:rPr>
                <w:rFonts w:eastAsia="Times New Roman"/>
                <w:sz w:val="14"/>
                <w:szCs w:val="14"/>
              </w:rPr>
            </w:pPr>
            <w:r>
              <w:rPr>
                <w:rFonts w:eastAsia="Times New Roman"/>
                <w:sz w:val="14"/>
                <w:szCs w:val="14"/>
              </w:rPr>
              <w:t>8,303</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300" w:type="pct"/>
            <w:vAlign w:val="bottom"/>
            <w:hideMark/>
          </w:tcPr>
          <w:p w:rsidR="00000000" w:rsidRDefault="001D2166">
            <w:pPr>
              <w:jc w:val="right"/>
              <w:rPr>
                <w:rFonts w:eastAsia="Times New Roman"/>
                <w:sz w:val="14"/>
                <w:szCs w:val="14"/>
              </w:rPr>
            </w:pPr>
            <w:r>
              <w:rPr>
                <w:rFonts w:eastAsia="Times New Roman"/>
                <w:sz w:val="14"/>
                <w:szCs w:val="14"/>
              </w:rPr>
              <w:t>29,261</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250" w:type="pct"/>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400" w:type="pct"/>
            <w:vAlign w:val="bottom"/>
            <w:hideMark/>
          </w:tcPr>
          <w:p w:rsidR="00000000" w:rsidRDefault="001D2166">
            <w:pPr>
              <w:pStyle w:val="a3"/>
              <w:spacing w:before="0" w:beforeAutospacing="0" w:after="0" w:afterAutospacing="0"/>
              <w:jc w:val="center"/>
              <w:rPr>
                <w:sz w:val="14"/>
                <w:szCs w:val="14"/>
              </w:rPr>
            </w:pPr>
            <w:r>
              <w:rPr>
                <w:sz w:val="14"/>
                <w:szCs w:val="14"/>
              </w:rPr>
              <w:t>2014(A)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CENTRO ARLINGTON</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35,103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35,103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39,040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38,876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CENTRO ARLINGTON-RESI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155,639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15,012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155,668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170,680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170,160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DOCSTONE COMMONS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3,839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11,468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3,904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11,968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15,872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1,996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DOCSTONE O/P - STAPLES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4,318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(828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4,915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DULLES TOWN CROSSING</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53,285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104,176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53,285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104,497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157,782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25,869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131,913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GORDON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HILLTOP VILLAGE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23,409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93,673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23,409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93,707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117,116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115,742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OLD TOWN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4,500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41,570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r>
              <w:rPr>
                <w:rFonts w:eastAsia="Times New Roman"/>
                <w:sz w:val="14"/>
                <w:szCs w:val="14"/>
              </w:rPr>
              <w:t>14,866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3,053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28,151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31,204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23,333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POTOMAC RUN PLAZA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27,370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48,451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27,370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52,038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79,408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17,953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61,455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2008(A)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STAFFORD MARKETPLACE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26,893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86,450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26,893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90,387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117,280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18,064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99,216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WEST ALEX - RETAIL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55,434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55,434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61,477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60,867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WEST ALEX-OFFICE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10,458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10,458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11,832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WEST ALEX-RESI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15,892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65,282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15,892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65,284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81,176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80,081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AUBURN NORTH</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18,158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11,131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7,786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29,289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37,075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9,779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27,296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COVINGTON ESPLANADE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47,941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6,009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47,905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53,914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53,263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FRANKLIN PARK COMMONS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11,989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7,996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5,419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19,985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25,404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21,349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FRONTIER VILLAGE SHOPPING CTR.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44,861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47,512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58,263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9,972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48,291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GATEWAY SHOPPING CENTER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11,270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9,340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6,938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20,610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27,548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24,526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OLYMPIA WEST OUTPARCEL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900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1,260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SILVERDALE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33,109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3,756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33,507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37,263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8,758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28,505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THE MARKETPLACE AT FACTORIA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60,502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92,696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11,888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60,502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104,584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165,086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26,424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138,662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51,397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2013(A)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THE WHITTAKER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WA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23,508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15,799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23,508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39,307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38,875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69"/>
        <w:gridCol w:w="35"/>
        <w:gridCol w:w="89"/>
        <w:gridCol w:w="355"/>
        <w:gridCol w:w="35"/>
        <w:gridCol w:w="35"/>
        <w:gridCol w:w="70"/>
        <w:gridCol w:w="560"/>
        <w:gridCol w:w="35"/>
        <w:gridCol w:w="35"/>
        <w:gridCol w:w="70"/>
        <w:gridCol w:w="630"/>
        <w:gridCol w:w="35"/>
        <w:gridCol w:w="35"/>
        <w:gridCol w:w="70"/>
        <w:gridCol w:w="560"/>
        <w:gridCol w:w="47"/>
        <w:gridCol w:w="35"/>
        <w:gridCol w:w="70"/>
        <w:gridCol w:w="560"/>
        <w:gridCol w:w="35"/>
        <w:gridCol w:w="35"/>
        <w:gridCol w:w="70"/>
        <w:gridCol w:w="630"/>
        <w:gridCol w:w="35"/>
        <w:gridCol w:w="35"/>
        <w:gridCol w:w="70"/>
        <w:gridCol w:w="630"/>
        <w:gridCol w:w="35"/>
        <w:gridCol w:w="35"/>
        <w:gridCol w:w="70"/>
        <w:gridCol w:w="560"/>
        <w:gridCol w:w="35"/>
        <w:gridCol w:w="35"/>
        <w:gridCol w:w="70"/>
        <w:gridCol w:w="630"/>
        <w:gridCol w:w="35"/>
        <w:gridCol w:w="35"/>
        <w:gridCol w:w="70"/>
        <w:gridCol w:w="455"/>
        <w:gridCol w:w="35"/>
        <w:gridCol w:w="467"/>
      </w:tblGrid>
      <w:tr w:rsidR="00000000">
        <w:trPr>
          <w:tblCellSpacing w:w="0" w:type="dxa"/>
        </w:trPr>
        <w:tc>
          <w:tcPr>
            <w:tcW w:w="700" w:type="pct"/>
            <w:vAlign w:val="bottom"/>
            <w:hideMark/>
          </w:tcPr>
          <w:p w:rsidR="00000000" w:rsidRDefault="001D2166">
            <w:pPr>
              <w:pStyle w:val="a3"/>
              <w:spacing w:before="0" w:beforeAutospacing="0" w:after="0" w:afterAutospacing="0"/>
              <w:rPr>
                <w:sz w:val="14"/>
                <w:szCs w:val="14"/>
              </w:rPr>
            </w:pPr>
            <w:r>
              <w:rPr>
                <w:i/>
                <w:iCs/>
                <w:sz w:val="14"/>
                <w:szCs w:val="14"/>
              </w:rPr>
              <w:t>OTHER PROPERTY INTERESTS</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0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0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30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0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0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30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250" w:type="pct"/>
            <w:vAlign w:val="bottom"/>
            <w:hideMark/>
          </w:tcPr>
          <w:p w:rsidR="00000000" w:rsidRDefault="001D2166">
            <w:pPr>
              <w:rPr>
                <w:rFonts w:eastAsia="Times New Roman"/>
                <w:sz w:val="14"/>
                <w:szCs w:val="14"/>
              </w:rPr>
            </w:pPr>
            <w:r>
              <w:rPr>
                <w:rFonts w:eastAsia="Times New Roman"/>
                <w:i/>
                <w:iCs/>
                <w:sz w:val="14"/>
                <w:szCs w:val="14"/>
              </w:rPr>
              <w:t> </w:t>
            </w:r>
          </w:p>
        </w:tc>
        <w:tc>
          <w:tcPr>
            <w:tcW w:w="50" w:type="pct"/>
            <w:vAlign w:val="bottom"/>
            <w:hideMark/>
          </w:tcPr>
          <w:p w:rsidR="00000000" w:rsidRDefault="001D2166">
            <w:pPr>
              <w:rPr>
                <w:rFonts w:eastAsia="Times New Roman"/>
                <w:sz w:val="14"/>
                <w:szCs w:val="14"/>
              </w:rPr>
            </w:pPr>
            <w:r>
              <w:rPr>
                <w:rFonts w:eastAsia="Times New Roman"/>
                <w:i/>
                <w:iCs/>
                <w:sz w:val="14"/>
                <w:szCs w:val="14"/>
              </w:rPr>
              <w:t> </w:t>
            </w:r>
          </w:p>
        </w:tc>
        <w:tc>
          <w:tcPr>
            <w:tcW w:w="400" w:type="pct"/>
            <w:vAlign w:val="bottom"/>
            <w:hideMark/>
          </w:tcPr>
          <w:p w:rsidR="00000000" w:rsidRDefault="001D2166">
            <w:pPr>
              <w:rPr>
                <w:rFonts w:eastAsia="Times New Roman"/>
                <w:sz w:val="14"/>
                <w:szCs w:val="14"/>
              </w:rPr>
            </w:pPr>
            <w:r>
              <w:rPr>
                <w:rFonts w:eastAsia="Times New Roman"/>
                <w:sz w:val="14"/>
                <w:szCs w:val="14"/>
              </w:rPr>
              <w:t> </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ASANTE RETAIL CENTER</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AZ</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8,703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3,406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2004(C)</w:t>
            </w:r>
          </w:p>
        </w:tc>
      </w:tr>
      <w:tr w:rsidR="001D2166">
        <w:trPr>
          <w:tblCellSpacing w:w="0" w:type="dxa"/>
        </w:trPr>
        <w:tc>
          <w:tcPr>
            <w:tcW w:w="700" w:type="pct"/>
            <w:shd w:val="clear" w:color="auto" w:fill="FFFFFF"/>
            <w:vAlign w:val="center"/>
            <w:hideMark/>
          </w:tcPr>
          <w:p w:rsidR="00000000" w:rsidRDefault="001D2166">
            <w:pPr>
              <w:ind w:firstLine="180"/>
              <w:rPr>
                <w:rFonts w:eastAsia="Times New Roman"/>
                <w:sz w:val="14"/>
                <w:szCs w:val="14"/>
              </w:rPr>
            </w:pPr>
            <w:r>
              <w:rPr>
                <w:rFonts w:eastAsia="Times New Roman"/>
                <w:sz w:val="14"/>
                <w:szCs w:val="14"/>
              </w:rPr>
              <w:t>GLADDEN FARMS</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center"/>
            <w:hideMark/>
          </w:tcPr>
          <w:p w:rsidR="00000000" w:rsidRDefault="001D2166">
            <w:pPr>
              <w:rPr>
                <w:rFonts w:eastAsia="Times New Roman"/>
                <w:sz w:val="14"/>
                <w:szCs w:val="14"/>
              </w:rPr>
            </w:pPr>
            <w:r>
              <w:rPr>
                <w:rStyle w:val="a6"/>
                <w:rFonts w:eastAsia="Times New Roman"/>
                <w:sz w:val="14"/>
                <w:szCs w:val="14"/>
              </w:rPr>
              <w:t>AZ</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4,010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4,010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4,010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4,010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CCEEFF"/>
            <w:vAlign w:val="center"/>
            <w:hideMark/>
          </w:tcPr>
          <w:p w:rsidR="00000000" w:rsidRDefault="001D2166">
            <w:pPr>
              <w:ind w:firstLine="180"/>
              <w:rPr>
                <w:rFonts w:eastAsia="Times New Roman"/>
                <w:sz w:val="14"/>
                <w:szCs w:val="14"/>
              </w:rPr>
            </w:pPr>
            <w:r>
              <w:rPr>
                <w:rFonts w:eastAsia="Times New Roman"/>
                <w:sz w:val="14"/>
                <w:szCs w:val="14"/>
              </w:rPr>
              <w:t>EPIC VILLAGE</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center"/>
            <w:hideMark/>
          </w:tcPr>
          <w:p w:rsidR="00000000" w:rsidRDefault="001D2166">
            <w:pPr>
              <w:rPr>
                <w:rFonts w:eastAsia="Times New Roman"/>
                <w:sz w:val="14"/>
                <w:szCs w:val="14"/>
              </w:rPr>
            </w:pPr>
            <w:r>
              <w:rPr>
                <w:rStyle w:val="a6"/>
                <w:rFonts w:eastAsia="Times New Roman"/>
                <w:sz w:val="14"/>
                <w:szCs w:val="14"/>
              </w:rPr>
              <w:t>FL</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860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860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860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860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FFFFFF"/>
            <w:vAlign w:val="center"/>
            <w:hideMark/>
          </w:tcPr>
          <w:p w:rsidR="00000000" w:rsidRDefault="001D2166">
            <w:pPr>
              <w:ind w:firstLine="180"/>
              <w:rPr>
                <w:rFonts w:eastAsia="Times New Roman"/>
                <w:sz w:val="14"/>
                <w:szCs w:val="14"/>
              </w:rPr>
            </w:pPr>
            <w:r>
              <w:rPr>
                <w:rFonts w:eastAsia="Times New Roman"/>
                <w:sz w:val="14"/>
                <w:szCs w:val="14"/>
              </w:rPr>
              <w:t>HOMESTEAD-WACHTEL LAND LEASE</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center"/>
            <w:hideMark/>
          </w:tcPr>
          <w:p w:rsidR="00000000" w:rsidRDefault="001D2166">
            <w:pPr>
              <w:rPr>
                <w:rFonts w:eastAsia="Times New Roman"/>
                <w:sz w:val="14"/>
                <w:szCs w:val="14"/>
              </w:rPr>
            </w:pPr>
            <w:r>
              <w:rPr>
                <w:rStyle w:val="a6"/>
                <w:rFonts w:eastAsia="Times New Roman"/>
                <w:sz w:val="14"/>
                <w:szCs w:val="14"/>
              </w:rPr>
              <w:t>FL</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center"/>
            <w:hideMark/>
          </w:tcPr>
          <w:p w:rsidR="00000000" w:rsidRDefault="001D2166">
            <w:pPr>
              <w:jc w:val="center"/>
              <w:rPr>
                <w:rFonts w:eastAsia="Times New Roman"/>
                <w:sz w:val="14"/>
                <w:szCs w:val="14"/>
              </w:rPr>
            </w:pPr>
            <w:r>
              <w:rPr>
                <w:rStyle w:val="a6"/>
                <w:rFonts w:eastAsia="Times New Roman"/>
                <w:sz w:val="14"/>
                <w:szCs w:val="14"/>
              </w:rPr>
              <w:t>2013(A)</w:t>
            </w:r>
          </w:p>
        </w:tc>
      </w:tr>
      <w:tr w:rsidR="001D2166">
        <w:trPr>
          <w:tblCellSpacing w:w="0" w:type="dxa"/>
        </w:trPr>
        <w:tc>
          <w:tcPr>
            <w:tcW w:w="700" w:type="pct"/>
            <w:shd w:val="clear" w:color="auto" w:fill="CCEEFF"/>
            <w:vAlign w:val="center"/>
            <w:hideMark/>
          </w:tcPr>
          <w:p w:rsidR="00000000" w:rsidRDefault="001D2166">
            <w:pPr>
              <w:ind w:firstLine="180"/>
              <w:rPr>
                <w:rFonts w:eastAsia="Times New Roman"/>
                <w:sz w:val="14"/>
                <w:szCs w:val="14"/>
              </w:rPr>
            </w:pPr>
            <w:r>
              <w:rPr>
                <w:rFonts w:eastAsia="Times New Roman"/>
                <w:sz w:val="14"/>
                <w:szCs w:val="14"/>
              </w:rPr>
              <w:t>PALM COAST LANDING OUTPARCELS</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center"/>
            <w:hideMark/>
          </w:tcPr>
          <w:p w:rsidR="00000000" w:rsidRDefault="001D2166">
            <w:pPr>
              <w:rPr>
                <w:rFonts w:eastAsia="Times New Roman"/>
                <w:sz w:val="14"/>
                <w:szCs w:val="14"/>
              </w:rPr>
            </w:pPr>
            <w:r>
              <w:rPr>
                <w:rStyle w:val="a6"/>
                <w:rFonts w:eastAsia="Times New Roman"/>
                <w:sz w:val="14"/>
                <w:szCs w:val="14"/>
              </w:rPr>
              <w:t>FL</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1,460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1,460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1,460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1,460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LAKE WALES S.C.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FL</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2009(A)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TREASURE VALLEY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ID</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6,501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981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461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2005(C)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LINWOOD-INDIANAPOLIS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IN</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1991(A)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FLINT - VACANT LAND</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MI</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CHARLOTTE SPORTS &amp; FITNESS CTR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2,358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2,859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2,010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1986(A)</w:t>
            </w:r>
          </w:p>
        </w:tc>
      </w:tr>
      <w:tr w:rsidR="001D2166">
        <w:trPr>
          <w:tblCellSpacing w:w="0" w:type="dxa"/>
        </w:trPr>
        <w:tc>
          <w:tcPr>
            <w:tcW w:w="700" w:type="pct"/>
            <w:shd w:val="clear" w:color="auto" w:fill="CCEEFF"/>
            <w:vAlign w:val="center"/>
            <w:hideMark/>
          </w:tcPr>
          <w:p w:rsidR="00000000" w:rsidRDefault="001D2166">
            <w:pPr>
              <w:ind w:firstLine="180"/>
              <w:rPr>
                <w:rFonts w:eastAsia="Times New Roman"/>
                <w:sz w:val="14"/>
                <w:szCs w:val="14"/>
              </w:rPr>
            </w:pPr>
            <w:r>
              <w:rPr>
                <w:rFonts w:eastAsia="Times New Roman"/>
                <w:sz w:val="14"/>
                <w:szCs w:val="14"/>
              </w:rPr>
              <w:t>SURF CITY CROSSING</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center"/>
            <w:hideMark/>
          </w:tcPr>
          <w:p w:rsidR="00000000" w:rsidRDefault="001D2166">
            <w:pPr>
              <w:rPr>
                <w:rFonts w:eastAsia="Times New Roman"/>
                <w:sz w:val="14"/>
                <w:szCs w:val="14"/>
              </w:rPr>
            </w:pPr>
            <w:r>
              <w:rPr>
                <w:rStyle w:val="a6"/>
                <w:rFonts w:eastAsia="Times New Roman"/>
                <w:sz w:val="14"/>
                <w:szCs w:val="14"/>
              </w:rPr>
              <w:t>NC</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5,260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5,260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5,260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5,260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FFFFFF"/>
            <w:vAlign w:val="center"/>
            <w:hideMark/>
          </w:tcPr>
          <w:p w:rsidR="00000000" w:rsidRDefault="001D2166">
            <w:pPr>
              <w:ind w:firstLine="180"/>
              <w:rPr>
                <w:rFonts w:eastAsia="Times New Roman"/>
                <w:sz w:val="14"/>
                <w:szCs w:val="14"/>
              </w:rPr>
            </w:pPr>
            <w:r>
              <w:rPr>
                <w:rFonts w:eastAsia="Times New Roman"/>
                <w:sz w:val="14"/>
                <w:szCs w:val="14"/>
              </w:rPr>
              <w:t>THE SHOPPES AT CAVENESS FARMS</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center"/>
            <w:hideMark/>
          </w:tcPr>
          <w:p w:rsidR="00000000" w:rsidRDefault="001D2166">
            <w:pPr>
              <w:rPr>
                <w:rFonts w:eastAsia="Times New Roman"/>
                <w:sz w:val="14"/>
                <w:szCs w:val="14"/>
              </w:rPr>
            </w:pPr>
            <w:r>
              <w:rPr>
                <w:rStyle w:val="a6"/>
                <w:rFonts w:eastAsia="Times New Roman"/>
                <w:sz w:val="14"/>
                <w:szCs w:val="14"/>
              </w:rPr>
              <w:t>NC</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5,470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5,470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5,470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5,470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WAKE FOREST CROSSING II - LAND ONLY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WAKEFIELD COMMONS III</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(5,397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787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1,109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278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831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2001(C)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WAKEFIELD CROSSINGS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3,414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(3,277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2001(C)</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HILLSBOROUGH PROMENADE</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NJ</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11,887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(6,632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5,006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5,255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5,158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2001(C)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JERICHO ATRIUM</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10,624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20,065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4,739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10,624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24,804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35,428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6,636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28,792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2016(A)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KEY BANK BUILDING</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40,487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(8,014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669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33,304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33,973</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21,646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12,327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2006(A)</w:t>
            </w:r>
          </w:p>
        </w:tc>
      </w:tr>
      <w:tr w:rsidR="001D2166">
        <w:trPr>
          <w:tblCellSpacing w:w="0" w:type="dxa"/>
        </w:trPr>
        <w:tc>
          <w:tcPr>
            <w:tcW w:w="700" w:type="pct"/>
            <w:shd w:val="clear" w:color="auto" w:fill="CCEEFF"/>
            <w:vAlign w:val="center"/>
            <w:hideMark/>
          </w:tcPr>
          <w:p w:rsidR="00000000" w:rsidRDefault="001D2166">
            <w:pPr>
              <w:ind w:firstLine="180"/>
              <w:rPr>
                <w:rFonts w:eastAsia="Times New Roman"/>
                <w:sz w:val="14"/>
                <w:szCs w:val="14"/>
              </w:rPr>
            </w:pPr>
            <w:r>
              <w:rPr>
                <w:rFonts w:eastAsia="Times New Roman"/>
                <w:sz w:val="14"/>
                <w:szCs w:val="14"/>
              </w:rPr>
              <w:t>MANHASSET CENTER (RESIDENTIAL)</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center"/>
            <w:hideMark/>
          </w:tcPr>
          <w:p w:rsidR="00000000" w:rsidRDefault="001D2166">
            <w:pPr>
              <w:rPr>
                <w:rFonts w:eastAsia="Times New Roman"/>
                <w:sz w:val="14"/>
                <w:szCs w:val="14"/>
              </w:rPr>
            </w:pPr>
            <w:r>
              <w:rPr>
                <w:rStyle w:val="a6"/>
                <w:rFonts w:eastAsia="Times New Roman"/>
                <w:sz w:val="14"/>
                <w:szCs w:val="14"/>
              </w:rPr>
              <w:t>NY</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950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950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950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950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center"/>
            <w:hideMark/>
          </w:tcPr>
          <w:p w:rsidR="00000000" w:rsidRDefault="001D2166">
            <w:pPr>
              <w:jc w:val="center"/>
              <w:rPr>
                <w:rFonts w:eastAsia="Times New Roman"/>
                <w:sz w:val="14"/>
                <w:szCs w:val="14"/>
              </w:rPr>
            </w:pPr>
            <w:r>
              <w:rPr>
                <w:rStyle w:val="a6"/>
                <w:rFonts w:eastAsia="Times New Roman"/>
                <w:sz w:val="14"/>
                <w:szCs w:val="14"/>
              </w:rPr>
              <w:t>2012 (A)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MERRY LANE (PARKING LOT)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1,398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2,886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2007(A)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NORTHPORT LAND PARCEL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NY</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82</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96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2012(A)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MCMINNVILLE PLAZA</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OR</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4,062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325</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4,387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2006(C)</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COULTER AVE. PARCEL</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PA</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578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1,348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16,244</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16,795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1,375</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18,170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83</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18,087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2015(A)</w:t>
            </w:r>
          </w:p>
        </w:tc>
      </w:tr>
      <w:tr w:rsidR="001D2166">
        <w:trPr>
          <w:tblCellSpacing w:w="0" w:type="dxa"/>
        </w:trPr>
        <w:tc>
          <w:tcPr>
            <w:tcW w:w="700" w:type="pct"/>
            <w:shd w:val="clear" w:color="auto" w:fill="FFFFFF"/>
            <w:vAlign w:val="center"/>
            <w:hideMark/>
          </w:tcPr>
          <w:p w:rsidR="00000000" w:rsidRDefault="001D2166">
            <w:pPr>
              <w:ind w:firstLine="180"/>
              <w:rPr>
                <w:rFonts w:eastAsia="Times New Roman"/>
                <w:sz w:val="14"/>
                <w:szCs w:val="14"/>
              </w:rPr>
            </w:pPr>
            <w:r>
              <w:rPr>
                <w:rFonts w:eastAsia="Times New Roman"/>
                <w:sz w:val="14"/>
                <w:szCs w:val="14"/>
              </w:rPr>
              <w:t>1935 WEST GRAY</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center"/>
            <w:hideMark/>
          </w:tcPr>
          <w:p w:rsidR="00000000" w:rsidRDefault="001D2166">
            <w:pPr>
              <w:rPr>
                <w:rFonts w:eastAsia="Times New Roman"/>
                <w:sz w:val="14"/>
                <w:szCs w:val="14"/>
              </w:rPr>
            </w:pPr>
            <w:r>
              <w:rPr>
                <w:rStyle w:val="a6"/>
                <w:rFonts w:eastAsia="Times New Roman"/>
                <w:sz w:val="14"/>
                <w:szCs w:val="14"/>
              </w:rPr>
              <w:t>TX</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780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780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780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780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2503 MCCUE, LLC</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2,287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168</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2,119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FFFFFF"/>
            <w:vAlign w:val="center"/>
            <w:hideMark/>
          </w:tcPr>
          <w:p w:rsidR="00000000" w:rsidRDefault="001D2166">
            <w:pPr>
              <w:ind w:firstLine="180"/>
              <w:rPr>
                <w:rFonts w:eastAsia="Times New Roman"/>
                <w:sz w:val="14"/>
                <w:szCs w:val="14"/>
              </w:rPr>
            </w:pPr>
            <w:r>
              <w:rPr>
                <w:rFonts w:eastAsia="Times New Roman"/>
                <w:sz w:val="14"/>
                <w:szCs w:val="14"/>
              </w:rPr>
              <w:t>CULLEN BLVD. AND EAST OREM DR.</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center"/>
            <w:hideMark/>
          </w:tcPr>
          <w:p w:rsidR="00000000" w:rsidRDefault="001D2166">
            <w:pPr>
              <w:rPr>
                <w:rFonts w:eastAsia="Times New Roman"/>
                <w:sz w:val="14"/>
                <w:szCs w:val="14"/>
              </w:rPr>
            </w:pPr>
            <w:r>
              <w:rPr>
                <w:rStyle w:val="a6"/>
                <w:rFonts w:eastAsia="Times New Roman"/>
                <w:sz w:val="14"/>
                <w:szCs w:val="14"/>
              </w:rPr>
              <w:t>TX</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1,590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1,590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1,590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1,590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CCEEFF"/>
            <w:vAlign w:val="center"/>
            <w:hideMark/>
          </w:tcPr>
          <w:p w:rsidR="00000000" w:rsidRDefault="001D2166">
            <w:pPr>
              <w:ind w:firstLine="180"/>
              <w:rPr>
                <w:rFonts w:eastAsia="Times New Roman"/>
                <w:sz w:val="14"/>
                <w:szCs w:val="14"/>
              </w:rPr>
            </w:pPr>
            <w:r>
              <w:rPr>
                <w:rFonts w:eastAsia="Times New Roman"/>
                <w:sz w:val="14"/>
                <w:szCs w:val="14"/>
              </w:rPr>
              <w:t>NORTH TOWNE PLAZA - BROWNSVILLE</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center"/>
            <w:hideMark/>
          </w:tcPr>
          <w:p w:rsidR="00000000" w:rsidRDefault="001D2166">
            <w:pPr>
              <w:rPr>
                <w:rFonts w:eastAsia="Times New Roman"/>
                <w:sz w:val="14"/>
                <w:szCs w:val="14"/>
              </w:rPr>
            </w:pPr>
            <w:r>
              <w:rPr>
                <w:rStyle w:val="a6"/>
                <w:rFonts w:eastAsia="Times New Roman"/>
                <w:sz w:val="14"/>
                <w:szCs w:val="14"/>
              </w:rPr>
              <w:t>TX</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1,517</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1,517</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1,517</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1,517</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FFFFFF"/>
            <w:vAlign w:val="center"/>
            <w:hideMark/>
          </w:tcPr>
          <w:p w:rsidR="00000000" w:rsidRDefault="001D2166">
            <w:pPr>
              <w:ind w:firstLine="180"/>
              <w:rPr>
                <w:rFonts w:eastAsia="Times New Roman"/>
                <w:sz w:val="14"/>
                <w:szCs w:val="14"/>
              </w:rPr>
            </w:pPr>
            <w:r>
              <w:rPr>
                <w:rFonts w:eastAsia="Times New Roman"/>
                <w:sz w:val="14"/>
                <w:szCs w:val="14"/>
              </w:rPr>
              <w:t>NW FREEWAY AT GESSNER</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center"/>
            <w:hideMark/>
          </w:tcPr>
          <w:p w:rsidR="00000000" w:rsidRDefault="001D2166">
            <w:pPr>
              <w:rPr>
                <w:rFonts w:eastAsia="Times New Roman"/>
                <w:sz w:val="14"/>
                <w:szCs w:val="14"/>
              </w:rPr>
            </w:pPr>
            <w:r>
              <w:rPr>
                <w:rStyle w:val="a6"/>
                <w:rFonts w:eastAsia="Times New Roman"/>
                <w:sz w:val="14"/>
                <w:szCs w:val="14"/>
              </w:rPr>
              <w:t>TX</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220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220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220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220</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CCEEFF"/>
            <w:vAlign w:val="center"/>
            <w:hideMark/>
          </w:tcPr>
          <w:p w:rsidR="00000000" w:rsidRDefault="001D2166">
            <w:pPr>
              <w:ind w:firstLine="180"/>
              <w:rPr>
                <w:rFonts w:eastAsia="Times New Roman"/>
                <w:sz w:val="14"/>
                <w:szCs w:val="14"/>
              </w:rPr>
            </w:pPr>
            <w:r>
              <w:rPr>
                <w:rFonts w:eastAsia="Times New Roman"/>
                <w:sz w:val="14"/>
                <w:szCs w:val="14"/>
              </w:rPr>
              <w:t>RICHMOND SQUARE - PAD</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center"/>
            <w:hideMark/>
          </w:tcPr>
          <w:p w:rsidR="00000000" w:rsidRDefault="001D2166">
            <w:pPr>
              <w:rPr>
                <w:rFonts w:eastAsia="Times New Roman"/>
                <w:sz w:val="14"/>
                <w:szCs w:val="14"/>
              </w:rPr>
            </w:pPr>
            <w:r>
              <w:rPr>
                <w:rStyle w:val="a6"/>
                <w:rFonts w:eastAsia="Times New Roman"/>
                <w:sz w:val="14"/>
                <w:szCs w:val="14"/>
              </w:rPr>
              <w:t>TX</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570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570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570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570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TEXAS CITY LAND</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1,000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center"/>
            <w:hideMark/>
          </w:tcPr>
          <w:p w:rsidR="00000000" w:rsidRDefault="001D2166">
            <w:pPr>
              <w:ind w:firstLine="180"/>
              <w:rPr>
                <w:rFonts w:eastAsia="Times New Roman"/>
                <w:sz w:val="14"/>
                <w:szCs w:val="14"/>
              </w:rPr>
            </w:pPr>
            <w:r>
              <w:rPr>
                <w:rFonts w:eastAsia="Times New Roman"/>
                <w:sz w:val="14"/>
                <w:szCs w:val="14"/>
              </w:rPr>
              <w:t>WESTOVER SQUARE</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center"/>
            <w:hideMark/>
          </w:tcPr>
          <w:p w:rsidR="00000000" w:rsidRDefault="001D2166">
            <w:pPr>
              <w:rPr>
                <w:rFonts w:eastAsia="Times New Roman"/>
                <w:sz w:val="14"/>
                <w:szCs w:val="14"/>
              </w:rPr>
            </w:pPr>
            <w:r>
              <w:rPr>
                <w:rStyle w:val="a6"/>
                <w:rFonts w:eastAsia="Times New Roman"/>
                <w:sz w:val="14"/>
                <w:szCs w:val="14"/>
              </w:rPr>
              <w:t>TX</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1,520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1,520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1,520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1,520</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center"/>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center"/>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center"/>
            <w:hideMark/>
          </w:tcPr>
          <w:p w:rsidR="00000000" w:rsidRDefault="001D2166">
            <w:pPr>
              <w:jc w:val="center"/>
              <w:rPr>
                <w:rFonts w:eastAsia="Times New Roman"/>
                <w:sz w:val="14"/>
                <w:szCs w:val="14"/>
              </w:rPr>
            </w:pPr>
            <w:r>
              <w:rPr>
                <w:rStyle w:val="a6"/>
                <w:rFonts w:eastAsia="Times New Roman"/>
                <w:sz w:val="14"/>
                <w:szCs w:val="14"/>
              </w:rPr>
              <w:t>2021(A)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WESTWOOD CENTER - LAND ONLY</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TX</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910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pStyle w:val="a3"/>
              <w:spacing w:before="0" w:beforeAutospacing="0" w:after="0" w:afterAutospacing="0"/>
              <w:jc w:val="center"/>
              <w:rPr>
                <w:sz w:val="14"/>
                <w:szCs w:val="14"/>
              </w:rPr>
            </w:pPr>
            <w:r>
              <w:rPr>
                <w:rStyle w:val="a6"/>
                <w:sz w:val="14"/>
                <w:szCs w:val="14"/>
              </w:rPr>
              <w:t>2021(A)</w:t>
            </w:r>
          </w:p>
        </w:tc>
      </w:tr>
      <w:tr w:rsidR="001D2166">
        <w:trPr>
          <w:tblCellSpacing w:w="0" w:type="dxa"/>
        </w:trPr>
        <w:tc>
          <w:tcPr>
            <w:tcW w:w="700" w:type="pct"/>
            <w:shd w:val="clear" w:color="auto" w:fill="CCEEFF"/>
            <w:vAlign w:val="bottom"/>
            <w:hideMark/>
          </w:tcPr>
          <w:p w:rsidR="00000000" w:rsidRDefault="001D2166">
            <w:pPr>
              <w:pStyle w:val="a3"/>
              <w:spacing w:before="0" w:beforeAutospacing="0" w:after="0" w:afterAutospacing="0"/>
              <w:ind w:left="180"/>
              <w:rPr>
                <w:sz w:val="14"/>
                <w:szCs w:val="14"/>
              </w:rPr>
            </w:pPr>
            <w:r>
              <w:rPr>
                <w:sz w:val="14"/>
                <w:szCs w:val="14"/>
              </w:rPr>
              <w:t>BLUE RIDGE</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CCEEFF"/>
            <w:vAlign w:val="bottom"/>
            <w:hideMark/>
          </w:tcPr>
          <w:p w:rsidR="00000000" w:rsidRDefault="001D2166">
            <w:pPr>
              <w:pStyle w:val="a3"/>
              <w:spacing w:before="0" w:beforeAutospacing="0" w:after="0" w:afterAutospacing="0"/>
              <w:rPr>
                <w:sz w:val="14"/>
                <w:szCs w:val="14"/>
              </w:rPr>
            </w:pPr>
            <w:r>
              <w:rPr>
                <w:rStyle w:val="a6"/>
                <w:sz w:val="14"/>
                <w:szCs w:val="14"/>
              </w:rPr>
              <w:t>Various</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12,347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71,530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(52,751</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3,537</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27,589</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31,126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20,036</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11,090</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CCEE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CCEEFF"/>
            <w:vAlign w:val="bottom"/>
            <w:hideMark/>
          </w:tcPr>
          <w:p w:rsidR="00000000" w:rsidRDefault="001D2166">
            <w:pPr>
              <w:pStyle w:val="a3"/>
              <w:spacing w:before="0" w:beforeAutospacing="0" w:after="0" w:afterAutospacing="0"/>
              <w:jc w:val="center"/>
              <w:rPr>
                <w:sz w:val="14"/>
                <w:szCs w:val="14"/>
              </w:rPr>
            </w:pPr>
            <w:r>
              <w:rPr>
                <w:rStyle w:val="a6"/>
                <w:sz w:val="14"/>
                <w:szCs w:val="14"/>
              </w:rPr>
              <w:t>2005(A)</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ind w:left="180"/>
              <w:rPr>
                <w:sz w:val="14"/>
                <w:szCs w:val="14"/>
              </w:rPr>
            </w:pPr>
            <w:r>
              <w:rPr>
                <w:sz w:val="14"/>
                <w:szCs w:val="14"/>
              </w:rPr>
              <w:t>BALANCE OF PORTFOLIO (4)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gridSpan w:val="2"/>
            <w:shd w:val="clear" w:color="auto" w:fill="FFFFFF"/>
            <w:vAlign w:val="bottom"/>
            <w:hideMark/>
          </w:tcPr>
          <w:p w:rsidR="00000000" w:rsidRDefault="001D2166">
            <w:pPr>
              <w:pStyle w:val="a3"/>
              <w:spacing w:before="0" w:beforeAutospacing="0" w:after="0" w:afterAutospacing="0"/>
              <w:rPr>
                <w:sz w:val="14"/>
                <w:szCs w:val="14"/>
              </w:rPr>
            </w:pPr>
            <w:r>
              <w:rPr>
                <w:rStyle w:val="a6"/>
                <w:sz w:val="14"/>
                <w:szCs w:val="14"/>
              </w:rPr>
              <w:t>Various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1,907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65,127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(31,994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35,040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35,040</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3,848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31,192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rPr>
                <w:rFonts w:eastAsia="Times New Roman"/>
                <w:sz w:val="14"/>
                <w:szCs w:val="14"/>
              </w:rPr>
            </w:pPr>
            <w:r>
              <w:rPr>
                <w:rStyle w:val="a6"/>
                <w:rFonts w:eastAsia="Times New Roman"/>
                <w:sz w:val="14"/>
                <w:szCs w:val="14"/>
              </w:rPr>
              <w:t> </w:t>
            </w:r>
          </w:p>
        </w:tc>
      </w:tr>
      <w:tr w:rsidR="001D2166">
        <w:trPr>
          <w:tblCellSpacing w:w="0" w:type="dxa"/>
        </w:trPr>
        <w:tc>
          <w:tcPr>
            <w:tcW w:w="7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tcMar>
              <w:top w:w="0" w:type="dxa"/>
              <w:left w:w="0" w:type="dxa"/>
              <w:bottom w:w="15" w:type="dxa"/>
              <w:right w:w="0" w:type="dxa"/>
            </w:tcMar>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0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30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2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c>
          <w:tcPr>
            <w:tcW w:w="400" w:type="pct"/>
            <w:tcBorders>
              <w:bottom w:val="single" w:sz="6" w:space="0" w:color="000000"/>
            </w:tcBorders>
            <w:shd w:val="clear" w:color="auto" w:fill="CCEEFF"/>
            <w:vAlign w:val="bottom"/>
            <w:hideMark/>
          </w:tcPr>
          <w:p w:rsidR="00000000" w:rsidRDefault="001D2166">
            <w:pPr>
              <w:rPr>
                <w:rFonts w:eastAsia="Times New Roman"/>
                <w:sz w:val="14"/>
                <w:szCs w:val="14"/>
              </w:rPr>
            </w:pPr>
            <w:r>
              <w:rPr>
                <w:rFonts w:eastAsia="Times New Roman"/>
                <w:sz w:val="14"/>
                <w:szCs w:val="14"/>
              </w:rPr>
              <w:t> </w:t>
            </w:r>
          </w:p>
        </w:tc>
      </w:tr>
      <w:tr w:rsidR="001D2166">
        <w:trPr>
          <w:tblCellSpacing w:w="0" w:type="dxa"/>
        </w:trPr>
        <w:tc>
          <w:tcPr>
            <w:tcW w:w="700" w:type="pct"/>
            <w:shd w:val="clear" w:color="auto" w:fill="FFFFFF"/>
            <w:vAlign w:val="bottom"/>
            <w:hideMark/>
          </w:tcPr>
          <w:p w:rsidR="00000000" w:rsidRDefault="001D2166">
            <w:pPr>
              <w:pStyle w:val="a3"/>
              <w:spacing w:before="0" w:beforeAutospacing="0" w:after="0" w:afterAutospacing="0"/>
              <w:rPr>
                <w:sz w:val="14"/>
                <w:szCs w:val="14"/>
              </w:rPr>
            </w:pPr>
            <w:r>
              <w:rPr>
                <w:sz w:val="14"/>
                <w:szCs w:val="14"/>
              </w:rPr>
              <w:t>TOTALS</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Style w:val="a6"/>
                <w:rFonts w:eastAsia="Times New Roman"/>
                <w:sz w:val="14"/>
                <w:szCs w:val="14"/>
              </w:rPr>
              <w:t> </w:t>
            </w:r>
          </w:p>
        </w:tc>
        <w:tc>
          <w:tcPr>
            <w:tcW w:w="20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4,054,026</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11,581,408</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2,416,837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3,984,447</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14,067,824</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18,052,271</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3,010,699</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30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15,041,572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w:t>
            </w:r>
          </w:p>
        </w:tc>
        <w:tc>
          <w:tcPr>
            <w:tcW w:w="250" w:type="pct"/>
            <w:shd w:val="clear" w:color="auto" w:fill="FFFFFF"/>
            <w:vAlign w:val="bottom"/>
            <w:hideMark/>
          </w:tcPr>
          <w:p w:rsidR="00000000" w:rsidRDefault="001D2166">
            <w:pPr>
              <w:jc w:val="right"/>
              <w:rPr>
                <w:rFonts w:eastAsia="Times New Roman"/>
                <w:sz w:val="14"/>
                <w:szCs w:val="14"/>
              </w:rPr>
            </w:pPr>
            <w:r>
              <w:rPr>
                <w:rFonts w:eastAsia="Times New Roman"/>
                <w:sz w:val="14"/>
                <w:szCs w:val="14"/>
              </w:rPr>
              <w:t>448,652</w:t>
            </w:r>
          </w:p>
        </w:tc>
        <w:tc>
          <w:tcPr>
            <w:tcW w:w="50" w:type="pct"/>
            <w:shd w:val="clear" w:color="auto" w:fill="FFFFFF"/>
            <w:vAlign w:val="bottom"/>
            <w:hideMark/>
          </w:tcPr>
          <w:p w:rsidR="00000000" w:rsidRDefault="001D2166">
            <w:pPr>
              <w:rPr>
                <w:rFonts w:eastAsia="Times New Roman"/>
                <w:sz w:val="14"/>
                <w:szCs w:val="14"/>
              </w:rPr>
            </w:pPr>
            <w:r>
              <w:rPr>
                <w:rFonts w:eastAsia="Times New Roman"/>
                <w:sz w:val="14"/>
                <w:szCs w:val="14"/>
              </w:rPr>
              <w:t> </w:t>
            </w:r>
          </w:p>
        </w:tc>
        <w:tc>
          <w:tcPr>
            <w:tcW w:w="400" w:type="pct"/>
            <w:shd w:val="clear" w:color="auto" w:fill="FFFFFF"/>
            <w:vAlign w:val="bottom"/>
            <w:hideMark/>
          </w:tcPr>
          <w:p w:rsidR="00000000" w:rsidRDefault="001D2166">
            <w:pPr>
              <w:rPr>
                <w:rFonts w:eastAsia="Times New Roman"/>
                <w:sz w:val="14"/>
                <w:szCs w:val="14"/>
              </w:rPr>
            </w:pPr>
            <w:r>
              <w:rPr>
                <w:rStyle w:val="a6"/>
                <w:rFonts w:eastAsia="Times New Roman"/>
                <w:sz w:val="14"/>
                <w:szCs w:val="14"/>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21"/>
        <w:gridCol w:w="5785"/>
      </w:tblGrid>
      <w:tr w:rsidR="00000000">
        <w:trPr>
          <w:tblCellSpacing w:w="0" w:type="dxa"/>
        </w:trPr>
        <w:tc>
          <w:tcPr>
            <w:tcW w:w="54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1D2166">
            <w:pPr>
              <w:pStyle w:val="a3"/>
              <w:spacing w:before="0" w:beforeAutospacing="0" w:after="0" w:afterAutospacing="0"/>
              <w:rPr>
                <w:sz w:val="20"/>
                <w:szCs w:val="20"/>
              </w:rPr>
            </w:pPr>
            <w:r>
              <w:rPr>
                <w:sz w:val="20"/>
                <w:szCs w:val="20"/>
              </w:rPr>
              <w:t>The negative balance for costs capitalized subsequent to acquisition could include parcels/out-parcels sold, assets held-for-sale, provision for losses and/or demolition of part of a property for redevelopment.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901"/>
        <w:gridCol w:w="5405"/>
      </w:tblGrid>
      <w:tr w:rsidR="00000000">
        <w:trPr>
          <w:tblCellSpacing w:w="0" w:type="dxa"/>
        </w:trPr>
        <w:tc>
          <w:tcPr>
            <w:tcW w:w="54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1D2166">
            <w:pPr>
              <w:pStyle w:val="a3"/>
              <w:spacing w:before="0" w:beforeAutospacing="0" w:after="0" w:afterAutospacing="0"/>
              <w:rPr>
                <w:sz w:val="20"/>
                <w:szCs w:val="20"/>
              </w:rPr>
            </w:pPr>
            <w:r>
              <w:rPr>
                <w:sz w:val="20"/>
                <w:szCs w:val="20"/>
              </w:rPr>
              <w:t>Includes fair market value of debt adjustments, net and deferred financing costs, net.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762"/>
        <w:gridCol w:w="5544"/>
      </w:tblGrid>
      <w:tr w:rsidR="00000000">
        <w:trPr>
          <w:tblCellSpacing w:w="0" w:type="dxa"/>
        </w:trPr>
        <w:tc>
          <w:tcPr>
            <w:tcW w:w="54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6" w:type="dxa"/>
            <w:hideMark/>
          </w:tcPr>
          <w:p w:rsidR="00000000" w:rsidRDefault="001D2166">
            <w:pPr>
              <w:pStyle w:val="a3"/>
              <w:spacing w:before="0" w:beforeAutospacing="0" w:after="0" w:afterAutospacing="0"/>
              <w:rPr>
                <w:sz w:val="20"/>
                <w:szCs w:val="20"/>
              </w:rPr>
            </w:pPr>
            <w:r>
              <w:rPr>
                <w:sz w:val="20"/>
                <w:szCs w:val="20"/>
              </w:rPr>
              <w:t>Shopping center includes land held for development.</w:t>
            </w:r>
          </w:p>
        </w:tc>
      </w:tr>
    </w:tbl>
    <w:p w:rsidR="00000000" w:rsidRDefault="001D2166">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662"/>
        <w:gridCol w:w="5644"/>
      </w:tblGrid>
      <w:tr w:rsidR="00000000">
        <w:trPr>
          <w:tblCellSpacing w:w="0" w:type="dxa"/>
        </w:trPr>
        <w:tc>
          <w:tcPr>
            <w:tcW w:w="540" w:type="dxa"/>
            <w:hideMark/>
          </w:tcPr>
          <w:p w:rsidR="00000000" w:rsidRDefault="001D2166">
            <w:pPr>
              <w:pStyle w:val="a3"/>
              <w:spacing w:before="0" w:beforeAutospacing="0" w:after="0" w:afterAutospacing="0"/>
              <w:rPr>
                <w:sz w:val="20"/>
                <w:szCs w:val="20"/>
              </w:rPr>
            </w:pPr>
            <w:r>
              <w:rPr>
                <w:sz w:val="20"/>
                <w:szCs w:val="20"/>
              </w:rPr>
              <w:t>(</w:t>
            </w:r>
            <w:r>
              <w:rPr>
                <w:rStyle w:val="a6"/>
                <w:sz w:val="20"/>
                <w:szCs w:val="20"/>
              </w:rPr>
              <w:t>4</w:t>
            </w:r>
            <w:r>
              <w:rPr>
                <w:sz w:val="20"/>
                <w:szCs w:val="20"/>
              </w:rPr>
              <w:t>)</w:t>
            </w:r>
          </w:p>
        </w:tc>
        <w:tc>
          <w:tcPr>
            <w:tcW w:w="6" w:type="dxa"/>
            <w:hideMark/>
          </w:tcPr>
          <w:p w:rsidR="00000000" w:rsidRDefault="001D2166">
            <w:pPr>
              <w:pStyle w:val="a3"/>
              <w:spacing w:before="0" w:beforeAutospacing="0" w:after="0" w:afterAutospacing="0"/>
              <w:rPr>
                <w:sz w:val="20"/>
                <w:szCs w:val="20"/>
              </w:rPr>
            </w:pPr>
            <w:r>
              <w:rPr>
                <w:sz w:val="20"/>
                <w:szCs w:val="20"/>
              </w:rPr>
              <w:t>Includes fixtures, leasehold improvements and other costs capitalized.</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90665901"/>
        <w:rPr>
          <w:rFonts w:eastAsia="Times New Roman"/>
          <w:sz w:val="20"/>
          <w:szCs w:val="20"/>
        </w:rPr>
      </w:pPr>
      <w:r>
        <w:rPr>
          <w:rStyle w:val="a6"/>
          <w:rFonts w:eastAsia="Times New Roman"/>
          <w:sz w:val="20"/>
          <w:szCs w:val="20"/>
        </w:rPr>
        <w:t>98</w:t>
      </w:r>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pict>
          <v:rect id="_x0000_i1130" style="width:415.3pt;height:1.5pt" o:hralign="center" o:hrstd="t" o:hrnoshade="t" o:hr="t" fillcolor="black" stroked="f"/>
        </w:pict>
      </w:r>
    </w:p>
    <w:p w:rsidR="00000000" w:rsidRDefault="001D2166">
      <w:pPr>
        <w:divId w:val="13587028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center"/>
        <w:rPr>
          <w:sz w:val="20"/>
          <w:szCs w:val="20"/>
        </w:rPr>
      </w:pPr>
      <w:r>
        <w:rPr>
          <w:b/>
          <w:bCs/>
          <w:sz w:val="20"/>
          <w:szCs w:val="20"/>
        </w:rPr>
        <w:t>KIMCO REALTY CORPORATION AND SUBSIDIARIES</w:t>
      </w:r>
    </w:p>
    <w:p w:rsidR="00000000" w:rsidRDefault="001D2166">
      <w:pPr>
        <w:pStyle w:val="a3"/>
        <w:spacing w:before="0" w:beforeAutospacing="0" w:after="0" w:afterAutospacing="0"/>
        <w:jc w:val="center"/>
        <w:rPr>
          <w:sz w:val="20"/>
          <w:szCs w:val="20"/>
        </w:rPr>
      </w:pPr>
      <w:r>
        <w:rPr>
          <w:b/>
          <w:bCs/>
          <w:sz w:val="20"/>
          <w:szCs w:val="20"/>
        </w:rPr>
        <w:t>SCHEDULE III - REAL ESTATE AND ACCUMULATED DEPRECIATION</w:t>
      </w:r>
    </w:p>
    <w:p w:rsidR="00000000" w:rsidRDefault="001D2166">
      <w:pPr>
        <w:pStyle w:val="a3"/>
        <w:spacing w:before="0" w:beforeAutospacing="0" w:after="0" w:afterAutospacing="0"/>
        <w:jc w:val="center"/>
        <w:rPr>
          <w:sz w:val="20"/>
          <w:szCs w:val="20"/>
        </w:rPr>
      </w:pPr>
      <w:r>
        <w:rPr>
          <w:rStyle w:val="a6"/>
          <w:b/>
          <w:bCs/>
          <w:sz w:val="20"/>
          <w:szCs w:val="20"/>
        </w:rPr>
        <w:t>December 31, 2021</w:t>
      </w:r>
    </w:p>
    <w:p w:rsidR="00000000" w:rsidRDefault="001D2166">
      <w:pPr>
        <w:pStyle w:val="a3"/>
        <w:spacing w:before="0" w:beforeAutospacing="0" w:after="0" w:afterAutospacing="0"/>
        <w:jc w:val="center"/>
        <w:rPr>
          <w:sz w:val="20"/>
          <w:szCs w:val="20"/>
        </w:rPr>
      </w:pPr>
      <w:r>
        <w:rPr>
          <w:b/>
          <w:bCs/>
          <w:sz w:val="20"/>
          <w:szCs w:val="20"/>
        </w:rPr>
        <w:t>(in thousands)</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Depreciation and amortization are provided on the straight-line method over the estimated useful lives of the assets as follows: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88"/>
        <w:gridCol w:w="4118"/>
      </w:tblGrid>
      <w:tr w:rsidR="00000000">
        <w:trPr>
          <w:tblCellSpacing w:w="0" w:type="dxa"/>
        </w:trPr>
        <w:tc>
          <w:tcPr>
            <w:tcW w:w="9705" w:type="dxa"/>
            <w:shd w:val="clear" w:color="auto" w:fill="CCEEFF"/>
            <w:vAlign w:val="bottom"/>
            <w:hideMark/>
          </w:tcPr>
          <w:p w:rsidR="00000000" w:rsidRDefault="001D2166">
            <w:pPr>
              <w:pStyle w:val="a3"/>
              <w:spacing w:before="0" w:beforeAutospacing="0" w:after="0" w:afterAutospacing="0"/>
              <w:rPr>
                <w:sz w:val="20"/>
                <w:szCs w:val="20"/>
              </w:rPr>
            </w:pPr>
            <w:r>
              <w:rPr>
                <w:sz w:val="20"/>
                <w:szCs w:val="20"/>
              </w:rPr>
              <w:t>Buildings and building improvements (in years)</w:t>
            </w:r>
          </w:p>
        </w:tc>
        <w:tc>
          <w:tcPr>
            <w:tcW w:w="10875" w:type="dxa"/>
            <w:shd w:val="clear" w:color="auto" w:fill="CCEEFF"/>
            <w:hideMark/>
          </w:tcPr>
          <w:p w:rsidR="00000000" w:rsidRDefault="001D2166">
            <w:pPr>
              <w:pStyle w:val="a3"/>
              <w:spacing w:before="0" w:beforeAutospacing="0" w:after="0" w:afterAutospacing="0"/>
              <w:rPr>
                <w:sz w:val="20"/>
                <w:szCs w:val="20"/>
              </w:rPr>
            </w:pPr>
            <w:r>
              <w:rPr>
                <w:sz w:val="20"/>
                <w:szCs w:val="20"/>
              </w:rPr>
              <w:t>5 to 50</w:t>
            </w:r>
          </w:p>
        </w:tc>
      </w:tr>
      <w:tr w:rsidR="00000000">
        <w:trPr>
          <w:tblCellSpacing w:w="0" w:type="dxa"/>
        </w:trPr>
        <w:tc>
          <w:tcPr>
            <w:tcW w:w="9525" w:type="dxa"/>
            <w:shd w:val="clear" w:color="auto" w:fill="FFFFFF"/>
            <w:tcMar>
              <w:top w:w="0" w:type="dxa"/>
              <w:left w:w="360" w:type="dxa"/>
              <w:bottom w:w="0" w:type="dxa"/>
              <w:right w:w="0" w:type="dxa"/>
            </w:tcMar>
            <w:vAlign w:val="bottom"/>
            <w:hideMark/>
          </w:tcPr>
          <w:p w:rsidR="00000000" w:rsidRDefault="001D2166">
            <w:pPr>
              <w:ind w:hanging="360"/>
              <w:rPr>
                <w:rFonts w:eastAsia="Times New Roman"/>
                <w:sz w:val="20"/>
                <w:szCs w:val="20"/>
              </w:rPr>
            </w:pPr>
            <w:r>
              <w:rPr>
                <w:rFonts w:eastAsia="Times New Roman"/>
                <w:sz w:val="20"/>
                <w:szCs w:val="20"/>
              </w:rPr>
              <w:t xml:space="preserve">Fixtures, building and leasehold improvements (including certain </w:t>
            </w:r>
            <w:r>
              <w:rPr>
                <w:rFonts w:eastAsia="Times New Roman"/>
                <w:sz w:val="20"/>
                <w:szCs w:val="20"/>
              </w:rPr>
              <w:t>identified intangible assets)</w:t>
            </w:r>
          </w:p>
        </w:tc>
        <w:tc>
          <w:tcPr>
            <w:tcW w:w="10875" w:type="dxa"/>
            <w:shd w:val="clear" w:color="auto" w:fill="FFFFFF"/>
            <w:hideMark/>
          </w:tcPr>
          <w:p w:rsidR="00000000" w:rsidRDefault="001D2166">
            <w:pPr>
              <w:rPr>
                <w:rFonts w:eastAsia="Times New Roman"/>
                <w:sz w:val="20"/>
                <w:szCs w:val="20"/>
              </w:rPr>
            </w:pPr>
            <w:r>
              <w:rPr>
                <w:rFonts w:eastAsia="Times New Roman"/>
                <w:sz w:val="20"/>
                <w:szCs w:val="20"/>
              </w:rPr>
              <w:t>Terms of leases or useful lives, whichever is shorter</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xml:space="preserve">The aggregate cost for Federal income tax purposes was approximately $16.4 billion at </w:t>
      </w:r>
      <w:r>
        <w:rPr>
          <w:rStyle w:val="a6"/>
          <w:sz w:val="20"/>
          <w:szCs w:val="20"/>
        </w:rPr>
        <w:t>December 31, 2021.</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xml:space="preserve">The changes in total real estate assets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are as follows: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Borders>
              <w:top w:val="single" w:sz="6" w:space="0" w:color="000000"/>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Borders>
              <w:top w:val="single" w:sz="6" w:space="0" w:color="000000"/>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12,068,827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11,929,276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11,877,190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Acquisitions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5,765,363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10,449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43,971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Improvements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153,698</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210,390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404,211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1D2166">
            <w:pPr>
              <w:ind w:firstLine="180"/>
              <w:rPr>
                <w:rFonts w:eastAsia="Times New Roman"/>
                <w:sz w:val="20"/>
                <w:szCs w:val="20"/>
              </w:rPr>
            </w:pPr>
            <w:r>
              <w:rPr>
                <w:rFonts w:eastAsia="Times New Roman"/>
                <w:sz w:val="20"/>
                <w:szCs w:val="20"/>
              </w:rPr>
              <w:t>Transfers from unconsolidated joint ventures</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Fonts w:eastAsia="Times New Roman"/>
                <w:sz w:val="20"/>
                <w:szCs w:val="20"/>
              </w:rPr>
              <w:t>785,334</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Fonts w:eastAsia="Times New Roman"/>
                <w:sz w:val="20"/>
                <w:szCs w:val="20"/>
              </w:rPr>
              <w:t>-</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Fonts w:eastAsia="Times New Roman"/>
                <w:sz w:val="20"/>
                <w:szCs w:val="20"/>
              </w:rPr>
              <w:t>-</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Deductions during period:</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Sales and assets held-for-sale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(205,057</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(30,764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(307,608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Transfers to operating lease right-of-use assets,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(8,526</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Transfers to unconsolidated joint ventures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(433,829</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Adjustment for fully depreciated assets</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(82,065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(45,042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(43,081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Adjustment of property carrying values</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(5,482</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(36,881</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Balance, end of period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18,052,271</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12,068,827</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11,929,276</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xml:space="preserve">The changes in accumulated depreciation for the years ended </w:t>
      </w:r>
      <w:r>
        <w:rPr>
          <w:rStyle w:val="a6"/>
          <w:sz w:val="20"/>
          <w:szCs w:val="20"/>
        </w:rPr>
        <w:t>December 31, 2021, 2020</w:t>
      </w:r>
      <w:r>
        <w:rPr>
          <w:sz w:val="20"/>
          <w:szCs w:val="20"/>
        </w:rPr>
        <w:t xml:space="preserve"> and </w:t>
      </w:r>
      <w:r>
        <w:rPr>
          <w:rStyle w:val="a6"/>
          <w:sz w:val="20"/>
          <w:szCs w:val="20"/>
        </w:rPr>
        <w:t>2019</w:t>
      </w:r>
      <w:r>
        <w:rPr>
          <w:sz w:val="20"/>
          <w:szCs w:val="20"/>
        </w:rPr>
        <w:t xml:space="preserve"> are as follows: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1D2166">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2021</w:t>
            </w:r>
          </w:p>
        </w:tc>
        <w:tc>
          <w:tcPr>
            <w:tcW w:w="0" w:type="auto"/>
            <w:tcBorders>
              <w:top w:val="single" w:sz="6" w:space="0" w:color="000000"/>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2020</w:t>
            </w:r>
          </w:p>
        </w:tc>
        <w:tc>
          <w:tcPr>
            <w:tcW w:w="0" w:type="auto"/>
            <w:tcBorders>
              <w:top w:val="single" w:sz="6" w:space="0" w:color="000000"/>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top w:val="single" w:sz="6" w:space="0" w:color="000000"/>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top w:val="single" w:sz="6" w:space="0" w:color="000000"/>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2019</w:t>
            </w:r>
          </w:p>
        </w:tc>
        <w:tc>
          <w:tcPr>
            <w:tcW w:w="0" w:type="auto"/>
            <w:tcBorders>
              <w:top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1D2166">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2,717,114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2,500,053</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2,385,288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Depreciation for year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378,416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265,144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260,534</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Deductions during period:</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Sales and assets held-for-sale</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(2,766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(3,041</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(88,080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Transfers to operating lease right-of-use assets, net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(1,342</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Adjustment for fully depreciated assets/other</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(82,065</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(45,042</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1D2166">
            <w:pPr>
              <w:jc w:val="right"/>
              <w:rPr>
                <w:rFonts w:eastAsia="Times New Roman"/>
                <w:sz w:val="20"/>
                <w:szCs w:val="20"/>
              </w:rPr>
            </w:pPr>
            <w:r>
              <w:rPr>
                <w:rFonts w:eastAsia="Times New Roman"/>
                <w:sz w:val="20"/>
                <w:szCs w:val="20"/>
              </w:rPr>
              <w:t>(56,347</w:t>
            </w:r>
          </w:p>
        </w:tc>
        <w:tc>
          <w:tcPr>
            <w:tcW w:w="50" w:type="pct"/>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sz w:val="20"/>
                <w:szCs w:val="20"/>
              </w:rPr>
              <w:t>Balance, end of period</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3,010,699</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2,717,114</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sz w:val="20"/>
                <w:szCs w:val="20"/>
              </w:rPr>
              <w:t>2,500,053</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Reclassifications:</w:t>
      </w:r>
    </w:p>
    <w:p w:rsidR="00000000" w:rsidRDefault="001D2166">
      <w:pPr>
        <w:pStyle w:val="a3"/>
        <w:spacing w:before="0" w:beforeAutospacing="0" w:after="0" w:afterAutospacing="0"/>
        <w:rPr>
          <w:sz w:val="20"/>
          <w:szCs w:val="20"/>
        </w:rPr>
      </w:pPr>
      <w:r>
        <w:rPr>
          <w:sz w:val="20"/>
          <w:szCs w:val="20"/>
        </w:rPr>
        <w:t>Certain amounts in the prior period have been reclassified in order to conform with the current period's presentation.</w:t>
      </w:r>
    </w:p>
    <w:p w:rsidR="00000000" w:rsidRDefault="001D2166">
      <w:pPr>
        <w:pStyle w:val="a3"/>
        <w:spacing w:before="0" w:beforeAutospacing="0" w:after="0" w:afterAutospacing="0"/>
        <w:rPr>
          <w:sz w:val="20"/>
          <w:szCs w:val="20"/>
        </w:rPr>
      </w:pPr>
      <w:r>
        <w:rPr>
          <w:sz w:val="20"/>
          <w:szCs w:val="20"/>
        </w:rPr>
        <w:t> </w:t>
      </w:r>
    </w:p>
    <w:p w:rsidR="00000000" w:rsidRDefault="001D2166">
      <w:pPr>
        <w:jc w:val="center"/>
        <w:divId w:val="371461866"/>
        <w:rPr>
          <w:rFonts w:eastAsia="Times New Roman"/>
          <w:sz w:val="20"/>
          <w:szCs w:val="20"/>
        </w:rPr>
      </w:pPr>
      <w:r>
        <w:rPr>
          <w:rFonts w:eastAsia="Times New Roman"/>
          <w:sz w:val="20"/>
          <w:szCs w:val="20"/>
        </w:rPr>
        <w:t xml:space="preserve">99 </w:t>
      </w:r>
    </w:p>
    <w:p w:rsidR="00000000" w:rsidRDefault="001D2166">
      <w:pPr>
        <w:divId w:val="119958189"/>
        <w:rPr>
          <w:rFonts w:eastAsia="Times New Roman"/>
          <w:sz w:val="20"/>
          <w:szCs w:val="20"/>
        </w:rPr>
      </w:pPr>
      <w:r>
        <w:rPr>
          <w:rFonts w:eastAsia="Times New Roman"/>
          <w:sz w:val="20"/>
          <w:szCs w:val="20"/>
        </w:rPr>
        <w:pict>
          <v:rect id="_x0000_i1131" style="width:415.3pt;height:1.5pt" o:hralign="center" o:hrstd="t" o:hrnoshade="t" o:hr="t" fillcolor="black" stroked="f"/>
        </w:pict>
      </w:r>
    </w:p>
    <w:p w:rsidR="00000000" w:rsidRDefault="001D2166">
      <w:pPr>
        <w:divId w:val="5517700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1D2166">
      <w:pPr>
        <w:pStyle w:val="a3"/>
        <w:spacing w:before="0" w:beforeAutospacing="0" w:after="0" w:afterAutospacing="0"/>
        <w:rPr>
          <w:sz w:val="20"/>
          <w:szCs w:val="20"/>
        </w:rPr>
      </w:pPr>
      <w:r>
        <w:rPr>
          <w:sz w:val="20"/>
          <w:szCs w:val="20"/>
        </w:rPr>
        <w:t> </w:t>
      </w:r>
    </w:p>
    <w:p w:rsidR="00000000" w:rsidRDefault="001D2166">
      <w:pPr>
        <w:divId w:val="98453174"/>
        <w:rPr>
          <w:rFonts w:eastAsia="Times New Roman"/>
          <w:sz w:val="20"/>
          <w:szCs w:val="20"/>
        </w:rPr>
      </w:pPr>
      <w:r>
        <w:rPr>
          <w:rFonts w:eastAsia="Times New Roman"/>
          <w:sz w:val="20"/>
          <w:szCs w:val="20"/>
        </w:rPr>
        <w:t xml:space="preserve">  </w:t>
      </w:r>
    </w:p>
    <w:p w:rsidR="00000000" w:rsidRDefault="001D2166">
      <w:pPr>
        <w:pStyle w:val="a3"/>
        <w:spacing w:before="0" w:beforeAutospacing="0" w:after="0" w:afterAutospacing="0"/>
        <w:jc w:val="center"/>
        <w:rPr>
          <w:sz w:val="20"/>
          <w:szCs w:val="20"/>
        </w:rPr>
      </w:pPr>
      <w:r>
        <w:rPr>
          <w:b/>
          <w:bCs/>
          <w:sz w:val="20"/>
          <w:szCs w:val="20"/>
        </w:rPr>
        <w:t>KIMCO REALTY CORPORATION AND SUBSIDIARIES</w:t>
      </w:r>
    </w:p>
    <w:p w:rsidR="00000000" w:rsidRDefault="001D2166">
      <w:pPr>
        <w:pStyle w:val="a3"/>
        <w:spacing w:before="0" w:beforeAutospacing="0" w:after="0" w:afterAutospacing="0"/>
        <w:jc w:val="center"/>
        <w:rPr>
          <w:sz w:val="20"/>
          <w:szCs w:val="20"/>
        </w:rPr>
      </w:pPr>
      <w:r>
        <w:rPr>
          <w:b/>
          <w:bCs/>
          <w:sz w:val="20"/>
          <w:szCs w:val="20"/>
        </w:rPr>
        <w:t>SCHEDULE IV - MORTGAGE LOANS ON REAL ESTATE</w:t>
      </w:r>
    </w:p>
    <w:p w:rsidR="00000000" w:rsidRDefault="001D2166">
      <w:pPr>
        <w:pStyle w:val="a3"/>
        <w:spacing w:before="0" w:beforeAutospacing="0" w:after="0" w:afterAutospacing="0"/>
        <w:jc w:val="center"/>
        <w:rPr>
          <w:sz w:val="20"/>
          <w:szCs w:val="20"/>
        </w:rPr>
      </w:pPr>
      <w:r>
        <w:rPr>
          <w:b/>
          <w:bCs/>
          <w:sz w:val="20"/>
          <w:szCs w:val="20"/>
        </w:rPr>
        <w:t xml:space="preserve">As of </w:t>
      </w:r>
      <w:r>
        <w:rPr>
          <w:rStyle w:val="a6"/>
          <w:b/>
          <w:bCs/>
          <w:sz w:val="20"/>
          <w:szCs w:val="20"/>
        </w:rPr>
        <w:t>December 31, 2021</w:t>
      </w:r>
    </w:p>
    <w:p w:rsidR="00000000" w:rsidRDefault="001D2166">
      <w:pPr>
        <w:pStyle w:val="a3"/>
        <w:spacing w:before="0" w:beforeAutospacing="0" w:after="0" w:afterAutospacing="0"/>
        <w:jc w:val="center"/>
        <w:rPr>
          <w:sz w:val="20"/>
          <w:szCs w:val="20"/>
        </w:rPr>
      </w:pPr>
      <w:r>
        <w:rPr>
          <w:b/>
          <w:bCs/>
          <w:sz w:val="20"/>
          <w:szCs w:val="20"/>
        </w:rPr>
        <w:t>(in thousands)</w:t>
      </w:r>
    </w:p>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0"/>
        <w:gridCol w:w="50"/>
        <w:gridCol w:w="67"/>
        <w:gridCol w:w="602"/>
        <w:gridCol w:w="167"/>
        <w:gridCol w:w="778"/>
        <w:gridCol w:w="756"/>
        <w:gridCol w:w="50"/>
        <w:gridCol w:w="101"/>
        <w:gridCol w:w="637"/>
        <w:gridCol w:w="50"/>
        <w:gridCol w:w="50"/>
        <w:gridCol w:w="101"/>
        <w:gridCol w:w="819"/>
        <w:gridCol w:w="50"/>
        <w:gridCol w:w="50"/>
        <w:gridCol w:w="101"/>
        <w:gridCol w:w="819"/>
        <w:gridCol w:w="67"/>
        <w:gridCol w:w="50"/>
        <w:gridCol w:w="101"/>
        <w:gridCol w:w="850"/>
        <w:gridCol w:w="50"/>
      </w:tblGrid>
      <w:tr w:rsidR="00000000">
        <w:trPr>
          <w:tblCellSpacing w:w="0" w:type="dxa"/>
        </w:trPr>
        <w:tc>
          <w:tcPr>
            <w:tcW w:w="1225" w:type="pct"/>
            <w:tcBorders>
              <w:bottom w:val="single" w:sz="6" w:space="0" w:color="000000"/>
            </w:tcBorders>
            <w:vAlign w:val="bottom"/>
            <w:hideMark/>
          </w:tcPr>
          <w:p w:rsidR="00000000" w:rsidRDefault="001D2166">
            <w:pPr>
              <w:pStyle w:val="a3"/>
              <w:spacing w:before="0" w:beforeAutospacing="0" w:after="0" w:afterAutospacing="0"/>
              <w:rPr>
                <w:sz w:val="20"/>
                <w:szCs w:val="20"/>
              </w:rPr>
            </w:pPr>
            <w:r>
              <w:rPr>
                <w:b/>
                <w:bCs/>
                <w:sz w:val="20"/>
                <w:szCs w:val="20"/>
              </w:rPr>
              <w:t>Description</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440"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Final Maturity Date</w:t>
            </w:r>
          </w:p>
        </w:tc>
        <w:tc>
          <w:tcPr>
            <w:tcW w:w="335" w:type="pct"/>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Periodic Payment Terms (a)</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Prior Liens</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Original Face Amount of Mortgages</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Carrying Amount of Mortgages (b)</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1D2166">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1D2166">
            <w:pPr>
              <w:pStyle w:val="a3"/>
              <w:spacing w:before="0" w:beforeAutospacing="0" w:after="0" w:afterAutospacing="0"/>
              <w:jc w:val="center"/>
              <w:rPr>
                <w:sz w:val="20"/>
                <w:szCs w:val="20"/>
              </w:rPr>
            </w:pPr>
            <w:r>
              <w:rPr>
                <w:b/>
                <w:bCs/>
                <w:sz w:val="20"/>
                <w:szCs w:val="20"/>
              </w:rPr>
              <w:t>Principal Amount of Loans Subject to Delinquent Principal or Interest</w:t>
            </w:r>
          </w:p>
        </w:tc>
        <w:tc>
          <w:tcPr>
            <w:tcW w:w="0" w:type="auto"/>
            <w:tcBorders>
              <w:bottom w:val="single" w:sz="6" w:space="0" w:color="000000"/>
            </w:tcBorders>
            <w:tcMar>
              <w:top w:w="0" w:type="dxa"/>
              <w:left w:w="0" w:type="dxa"/>
              <w:bottom w:w="1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b/>
                <w:bCs/>
                <w:sz w:val="20"/>
                <w:szCs w:val="20"/>
                <w:u w:val="single"/>
              </w:rPr>
              <w:t>Mortgage Loans: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b/>
                <w:bCs/>
                <w:i/>
                <w:iCs/>
                <w:sz w:val="20"/>
                <w:szCs w:val="20"/>
              </w:rPr>
              <w:t>Retail</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360"/>
              <w:rPr>
                <w:sz w:val="20"/>
                <w:szCs w:val="20"/>
              </w:rPr>
            </w:pPr>
            <w:r>
              <w:rPr>
                <w:sz w:val="20"/>
                <w:szCs w:val="20"/>
              </w:rPr>
              <w:t>Mesa, AZ</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Aug-21</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I</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360"/>
              <w:rPr>
                <w:sz w:val="20"/>
                <w:szCs w:val="20"/>
              </w:rPr>
            </w:pPr>
            <w:r>
              <w:rPr>
                <w:sz w:val="20"/>
                <w:szCs w:val="20"/>
              </w:rPr>
              <w:t>Pompano, FL</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Dec-22</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I</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25,000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360"/>
              <w:rPr>
                <w:sz w:val="20"/>
                <w:szCs w:val="20"/>
              </w:rPr>
            </w:pPr>
            <w:r>
              <w:rPr>
                <w:sz w:val="20"/>
                <w:szCs w:val="20"/>
              </w:rPr>
              <w:t>Jacksonville, FL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Nov-26</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I</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360"/>
              <w:rPr>
                <w:sz w:val="20"/>
                <w:szCs w:val="20"/>
              </w:rPr>
            </w:pPr>
            <w:r>
              <w:rPr>
                <w:sz w:val="20"/>
                <w:szCs w:val="20"/>
              </w:rPr>
              <w:t>San Antonio, TX</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12.50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Sep-27</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I</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21,500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21,500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360"/>
              <w:rPr>
                <w:sz w:val="20"/>
                <w:szCs w:val="20"/>
              </w:rPr>
            </w:pPr>
            <w:r>
              <w:rPr>
                <w:sz w:val="20"/>
                <w:szCs w:val="20"/>
              </w:rPr>
              <w:t>Las Vegas, NV</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12.00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May-33</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I</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3,075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360"/>
              <w:rPr>
                <w:sz w:val="20"/>
                <w:szCs w:val="20"/>
              </w:rPr>
            </w:pPr>
            <w:r>
              <w:rPr>
                <w:sz w:val="20"/>
                <w:szCs w:val="20"/>
              </w:rPr>
              <w:t>Las Vegas, NV</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Oct-53</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I</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3,410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3,410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b/>
                <w:bCs/>
                <w:i/>
                <w:iCs/>
                <w:sz w:val="20"/>
                <w:szCs w:val="20"/>
              </w:rPr>
              <w:t>Nonretail</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i/>
                <w:iCs/>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360"/>
              <w:rPr>
                <w:sz w:val="20"/>
                <w:szCs w:val="20"/>
              </w:rPr>
            </w:pPr>
            <w:r>
              <w:rPr>
                <w:sz w:val="20"/>
                <w:szCs w:val="20"/>
              </w:rPr>
              <w:t>Commack, NY</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7.41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Oct-26</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P&amp;I</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1,354</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211</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360"/>
              <w:rPr>
                <w:sz w:val="20"/>
                <w:szCs w:val="20"/>
              </w:rPr>
            </w:pPr>
            <w:r>
              <w:rPr>
                <w:sz w:val="20"/>
                <w:szCs w:val="20"/>
              </w:rPr>
              <w:t>Melbourne, FL</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6.88</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Dec-30</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P&amp;I</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226</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rPr>
                <w:sz w:val="20"/>
                <w:szCs w:val="20"/>
              </w:rPr>
            </w:pPr>
            <w:r>
              <w:rPr>
                <w:b/>
                <w:bCs/>
                <w:sz w:val="20"/>
                <w:szCs w:val="20"/>
                <w:u w:val="single"/>
              </w:rPr>
              <w:t>Other Financing Loans:</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b/>
                <w:bCs/>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b/>
                <w:bCs/>
                <w:i/>
                <w:iCs/>
                <w:sz w:val="20"/>
                <w:szCs w:val="20"/>
              </w:rPr>
              <w:t>Nonretail</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i/>
                <w:iCs/>
                <w:sz w:val="20"/>
                <w:szCs w:val="20"/>
              </w:rPr>
              <w:t> </w:t>
            </w:r>
          </w:p>
        </w:tc>
      </w:tr>
      <w:tr w:rsidR="00000000">
        <w:trPr>
          <w:tblCellSpacing w:w="0" w:type="dxa"/>
        </w:trPr>
        <w:tc>
          <w:tcPr>
            <w:tcW w:w="0" w:type="auto"/>
            <w:shd w:val="clear" w:color="auto" w:fill="CCEEFF"/>
            <w:vAlign w:val="bottom"/>
            <w:hideMark/>
          </w:tcPr>
          <w:p w:rsidR="00000000" w:rsidRDefault="001D2166">
            <w:pPr>
              <w:pStyle w:val="a3"/>
              <w:spacing w:before="0" w:beforeAutospacing="0" w:after="0" w:afterAutospacing="0"/>
              <w:ind w:firstLine="180"/>
              <w:rPr>
                <w:sz w:val="20"/>
                <w:szCs w:val="20"/>
              </w:rPr>
            </w:pPr>
            <w:r>
              <w:rPr>
                <w:sz w:val="20"/>
                <w:szCs w:val="20"/>
              </w:rPr>
              <w:t>   Borrower A</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Apr-22</w:t>
            </w:r>
          </w:p>
        </w:tc>
        <w:tc>
          <w:tcPr>
            <w:tcW w:w="0" w:type="auto"/>
            <w:shd w:val="clear" w:color="auto" w:fill="CCEEFF"/>
            <w:vAlign w:val="bottom"/>
            <w:hideMark/>
          </w:tcPr>
          <w:p w:rsidR="00000000" w:rsidRDefault="001D2166">
            <w:pPr>
              <w:pStyle w:val="a3"/>
              <w:spacing w:before="0" w:beforeAutospacing="0" w:after="0" w:afterAutospacing="0"/>
              <w:jc w:val="center"/>
              <w:rPr>
                <w:sz w:val="20"/>
                <w:szCs w:val="20"/>
              </w:rPr>
            </w:pPr>
            <w:r>
              <w:rPr>
                <w:rStyle w:val="a6"/>
                <w:sz w:val="20"/>
                <w:szCs w:val="20"/>
              </w:rPr>
              <w:t>P&amp;I</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175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1D2166">
            <w:pPr>
              <w:jc w:val="right"/>
              <w:rPr>
                <w:rFonts w:eastAsia="Times New Roman"/>
                <w:sz w:val="20"/>
                <w:szCs w:val="20"/>
              </w:rPr>
            </w:pPr>
            <w:r>
              <w:rPr>
                <w:rFonts w:eastAsia="Times New Roman"/>
                <w:sz w:val="20"/>
                <w:szCs w:val="20"/>
              </w:rPr>
              <w:t>105</w:t>
            </w:r>
          </w:p>
        </w:tc>
        <w:tc>
          <w:tcPr>
            <w:tcW w:w="50" w:type="pct"/>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ind w:firstLine="180"/>
              <w:rPr>
                <w:sz w:val="20"/>
                <w:szCs w:val="20"/>
              </w:rPr>
            </w:pPr>
            <w:r>
              <w:rPr>
                <w:sz w:val="20"/>
                <w:szCs w:val="20"/>
              </w:rPr>
              <w:t>   Borrower B</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7.00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Mar-31</w:t>
            </w:r>
          </w:p>
        </w:tc>
        <w:tc>
          <w:tcPr>
            <w:tcW w:w="0" w:type="auto"/>
            <w:shd w:val="clear" w:color="auto" w:fill="FFFFFF"/>
            <w:vAlign w:val="bottom"/>
            <w:hideMark/>
          </w:tcPr>
          <w:p w:rsidR="00000000" w:rsidRDefault="001D2166">
            <w:pPr>
              <w:pStyle w:val="a3"/>
              <w:spacing w:before="0" w:beforeAutospacing="0" w:after="0" w:afterAutospacing="0"/>
              <w:jc w:val="center"/>
              <w:rPr>
                <w:sz w:val="20"/>
                <w:szCs w:val="20"/>
              </w:rPr>
            </w:pPr>
            <w:r>
              <w:rPr>
                <w:rStyle w:val="a6"/>
                <w:sz w:val="20"/>
                <w:szCs w:val="20"/>
              </w:rPr>
              <w:t>P&amp;I</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397</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375</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1D2166">
            <w:pPr>
              <w:ind w:firstLine="180"/>
              <w:rPr>
                <w:rFonts w:eastAsia="Times New Roman"/>
                <w:sz w:val="20"/>
                <w:szCs w:val="20"/>
              </w:rPr>
            </w:pPr>
            <w:r>
              <w:rPr>
                <w:rFonts w:eastAsia="Times New Roman"/>
                <w:sz w:val="20"/>
                <w:szCs w:val="20"/>
              </w:rPr>
              <w:t>   Borrower C</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Fonts w:eastAsia="Times New Roman"/>
                <w:sz w:val="20"/>
                <w:szCs w:val="20"/>
              </w:rPr>
              <w:t>8.00</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w:t>
            </w:r>
          </w:p>
        </w:tc>
        <w:tc>
          <w:tcPr>
            <w:tcW w:w="0" w:type="auto"/>
            <w:shd w:val="clear" w:color="auto" w:fill="CCEEFF"/>
            <w:vAlign w:val="center"/>
            <w:hideMark/>
          </w:tcPr>
          <w:p w:rsidR="00000000" w:rsidRDefault="001D2166">
            <w:pPr>
              <w:jc w:val="center"/>
              <w:rPr>
                <w:rFonts w:eastAsia="Times New Roman"/>
                <w:sz w:val="20"/>
                <w:szCs w:val="20"/>
              </w:rPr>
            </w:pPr>
            <w:r>
              <w:rPr>
                <w:rStyle w:val="a6"/>
                <w:rFonts w:eastAsia="Times New Roman"/>
                <w:sz w:val="20"/>
                <w:szCs w:val="20"/>
              </w:rPr>
              <w:t>Jun-22</w:t>
            </w:r>
          </w:p>
        </w:tc>
        <w:tc>
          <w:tcPr>
            <w:tcW w:w="0" w:type="auto"/>
            <w:shd w:val="clear" w:color="auto" w:fill="CCEEFF"/>
            <w:vAlign w:val="center"/>
            <w:hideMark/>
          </w:tcPr>
          <w:p w:rsidR="00000000" w:rsidRDefault="001D2166">
            <w:pPr>
              <w:jc w:val="center"/>
              <w:rPr>
                <w:rFonts w:eastAsia="Times New Roman"/>
                <w:sz w:val="20"/>
                <w:szCs w:val="20"/>
              </w:rPr>
            </w:pPr>
            <w:r>
              <w:rPr>
                <w:rStyle w:val="a6"/>
                <w:rFonts w:eastAsia="Times New Roman"/>
                <w:sz w:val="20"/>
                <w:szCs w:val="20"/>
              </w:rPr>
              <w:t>I</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Fonts w:eastAsia="Times New Roman"/>
                <w:sz w:val="20"/>
                <w:szCs w:val="20"/>
              </w:rPr>
              <w:t>5,000</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CCEEFF"/>
            <w:vAlign w:val="center"/>
            <w:hideMark/>
          </w:tcPr>
          <w:p w:rsidR="00000000" w:rsidRDefault="001D2166">
            <w:pPr>
              <w:jc w:val="right"/>
              <w:rPr>
                <w:rFonts w:eastAsia="Times New Roman"/>
                <w:sz w:val="20"/>
                <w:szCs w:val="20"/>
              </w:rPr>
            </w:pPr>
            <w:r>
              <w:rPr>
                <w:rFonts w:eastAsia="Times New Roman"/>
                <w:sz w:val="20"/>
                <w:szCs w:val="20"/>
              </w:rPr>
              <w:t>5,000</w:t>
            </w:r>
          </w:p>
        </w:tc>
        <w:tc>
          <w:tcPr>
            <w:tcW w:w="50" w:type="pct"/>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1D2166">
            <w:pPr>
              <w:jc w:val="right"/>
              <w:rPr>
                <w:rFonts w:eastAsia="Times New Roman"/>
                <w:sz w:val="20"/>
                <w:szCs w:val="20"/>
              </w:rPr>
            </w:pPr>
            <w:r>
              <w:rPr>
                <w:rStyle w:val="a6"/>
                <w:rFonts w:eastAsia="Times New Roman"/>
                <w:sz w:val="20"/>
                <w:szCs w:val="20"/>
              </w:rPr>
              <w:t>-</w:t>
            </w:r>
          </w:p>
        </w:tc>
        <w:tc>
          <w:tcPr>
            <w:tcW w:w="0" w:type="auto"/>
            <w:shd w:val="clear" w:color="auto" w:fill="CCEEFF"/>
            <w:vAlign w:val="center"/>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pStyle w:val="a3"/>
              <w:spacing w:before="0" w:beforeAutospacing="0" w:after="0" w:afterAutospacing="0"/>
              <w:rPr>
                <w:sz w:val="20"/>
                <w:szCs w:val="20"/>
              </w:rPr>
            </w:pPr>
            <w:r>
              <w:rPr>
                <w:b/>
                <w:bCs/>
                <w:sz w:val="20"/>
                <w:szCs w:val="20"/>
                <w:u w:val="single"/>
              </w:rPr>
              <w:t>Allowance for Credit losses:</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1D2166">
            <w:pPr>
              <w:jc w:val="right"/>
              <w:rPr>
                <w:rFonts w:eastAsia="Times New Roman"/>
                <w:sz w:val="20"/>
                <w:szCs w:val="20"/>
              </w:rPr>
            </w:pPr>
            <w:r>
              <w:rPr>
                <w:rFonts w:eastAsia="Times New Roman"/>
                <w:sz w:val="20"/>
                <w:szCs w:val="20"/>
              </w:rPr>
              <w:t>(1,300</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D2166">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1D2166">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Style w:val="a6"/>
                <w:rFonts w:eastAsia="Times New Roman"/>
                <w:b/>
                <w:bCs/>
                <w:sz w:val="20"/>
                <w:szCs w:val="20"/>
              </w:rPr>
              <w:t>-</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75,911</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73,102</w:t>
            </w:r>
          </w:p>
        </w:tc>
        <w:tc>
          <w:tcPr>
            <w:tcW w:w="50" w:type="pct"/>
            <w:tcBorders>
              <w:bottom w:val="double" w:sz="6" w:space="0" w:color="000000"/>
            </w:tcBorders>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1D2166">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1D2166">
            <w:pPr>
              <w:jc w:val="right"/>
              <w:rPr>
                <w:rFonts w:eastAsia="Times New Roman"/>
                <w:sz w:val="20"/>
                <w:szCs w:val="20"/>
              </w:rPr>
            </w:pPr>
            <w:r>
              <w:rPr>
                <w:rFonts w:eastAsia="Times New Roman"/>
                <w:b/>
                <w:bCs/>
                <w:sz w:val="20"/>
                <w:szCs w:val="20"/>
              </w:rPr>
              <w:t>500</w:t>
            </w:r>
          </w:p>
        </w:tc>
        <w:tc>
          <w:tcPr>
            <w:tcW w:w="50" w:type="pct"/>
            <w:shd w:val="clear" w:color="auto" w:fill="FFFFFF"/>
            <w:tcMar>
              <w:top w:w="0" w:type="dxa"/>
              <w:left w:w="0" w:type="dxa"/>
              <w:bottom w:w="45" w:type="dxa"/>
              <w:right w:w="0" w:type="dxa"/>
            </w:tcMar>
            <w:vAlign w:val="bottom"/>
            <w:hideMark/>
          </w:tcPr>
          <w:p w:rsidR="00000000" w:rsidRDefault="001D2166">
            <w:pPr>
              <w:rPr>
                <w:rFonts w:eastAsia="Times New Roman"/>
                <w:sz w:val="20"/>
                <w:szCs w:val="20"/>
              </w:rPr>
            </w:pPr>
            <w:r>
              <w:rPr>
                <w:rFonts w:eastAsia="Times New Roman"/>
                <w:sz w:val="20"/>
                <w:szCs w:val="20"/>
              </w:rPr>
              <w:t> </w:t>
            </w:r>
          </w:p>
        </w:tc>
      </w:tr>
    </w:tbl>
    <w:p w:rsidR="00000000" w:rsidRDefault="001D2166">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1195" w:type="pct"/>
            <w:vAlign w:val="bottom"/>
            <w:hideMark/>
          </w:tcPr>
          <w:p w:rsidR="00000000" w:rsidRDefault="001D2166">
            <w:pPr>
              <w:pStyle w:val="a3"/>
              <w:spacing w:before="0" w:beforeAutospacing="0" w:after="0" w:afterAutospacing="0"/>
              <w:rPr>
                <w:sz w:val="20"/>
                <w:szCs w:val="20"/>
              </w:rPr>
            </w:pPr>
            <w:r>
              <w:rPr>
                <w:sz w:val="20"/>
                <w:szCs w:val="20"/>
              </w:rPr>
              <w:t>(a)  I = Interest only; P&amp;I = Principal &amp; Interest.</w:t>
            </w:r>
          </w:p>
        </w:tc>
      </w:tr>
      <w:tr w:rsidR="00000000">
        <w:trPr>
          <w:tblCellSpacing w:w="0" w:type="dxa"/>
        </w:trPr>
        <w:tc>
          <w:tcPr>
            <w:tcW w:w="1195" w:type="pct"/>
            <w:vAlign w:val="bottom"/>
            <w:hideMark/>
          </w:tcPr>
          <w:p w:rsidR="00000000" w:rsidRDefault="001D2166">
            <w:pPr>
              <w:pStyle w:val="a3"/>
              <w:spacing w:before="0" w:beforeAutospacing="0" w:after="0" w:afterAutospacing="0"/>
              <w:rPr>
                <w:sz w:val="20"/>
                <w:szCs w:val="20"/>
              </w:rPr>
            </w:pPr>
            <w:r>
              <w:rPr>
                <w:sz w:val="20"/>
                <w:szCs w:val="20"/>
              </w:rPr>
              <w:t xml:space="preserve">(b)  The aggregate cost for Federal income tax purposes was approximately $73.1 million as of </w:t>
            </w:r>
            <w:r>
              <w:rPr>
                <w:rStyle w:val="a6"/>
                <w:sz w:val="20"/>
                <w:szCs w:val="20"/>
              </w:rPr>
              <w:t>December 31, 2021.</w:t>
            </w:r>
          </w:p>
        </w:tc>
      </w:tr>
    </w:tbl>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ind w:left="180" w:hanging="180"/>
        <w:rPr>
          <w:sz w:val="20"/>
          <w:szCs w:val="20"/>
        </w:rPr>
      </w:pPr>
      <w:r>
        <w:rPr>
          <w:sz w:val="20"/>
          <w:szCs w:val="20"/>
        </w:rPr>
        <w:t xml:space="preserve">For a reconciliation of mortgage and other financing receivables from </w:t>
      </w:r>
      <w:r>
        <w:rPr>
          <w:rStyle w:val="a6"/>
          <w:sz w:val="20"/>
          <w:szCs w:val="20"/>
        </w:rPr>
        <w:t xml:space="preserve">January 1, 2019 </w:t>
      </w:r>
      <w:r>
        <w:rPr>
          <w:sz w:val="20"/>
          <w:szCs w:val="20"/>
        </w:rPr>
        <w:t xml:space="preserve">to </w:t>
      </w:r>
      <w:r>
        <w:rPr>
          <w:rStyle w:val="a6"/>
          <w:sz w:val="20"/>
          <w:szCs w:val="20"/>
        </w:rPr>
        <w:t xml:space="preserve">December 31, 2021, </w:t>
      </w:r>
      <w:r>
        <w:rPr>
          <w:sz w:val="20"/>
          <w:szCs w:val="20"/>
        </w:rPr>
        <w:t xml:space="preserve">see Footnote </w:t>
      </w:r>
      <w:r>
        <w:rPr>
          <w:rStyle w:val="a6"/>
          <w:sz w:val="20"/>
          <w:szCs w:val="20"/>
        </w:rPr>
        <w:t>13</w:t>
      </w:r>
      <w:r>
        <w:rPr>
          <w:sz w:val="20"/>
          <w:szCs w:val="20"/>
        </w:rPr>
        <w:t> of the </w:t>
      </w:r>
      <w:r>
        <w:rPr>
          <w:sz w:val="20"/>
          <w:szCs w:val="20"/>
        </w:rPr>
        <w:t xml:space="preserve">Notes to the Consolidated Financial Statements included in this Form </w:t>
      </w:r>
      <w:r>
        <w:rPr>
          <w:rStyle w:val="a6"/>
          <w:sz w:val="20"/>
          <w:szCs w:val="20"/>
        </w:rPr>
        <w:t>10</w:t>
      </w:r>
      <w:r>
        <w:rPr>
          <w:sz w:val="20"/>
          <w:szCs w:val="20"/>
        </w:rPr>
        <w:t>-K.</w:t>
      </w:r>
    </w:p>
    <w:p w:rsidR="00000000" w:rsidRDefault="001D2166">
      <w:pPr>
        <w:pStyle w:val="a3"/>
        <w:spacing w:before="0" w:beforeAutospacing="0" w:after="0" w:afterAutospacing="0"/>
        <w:rPr>
          <w:sz w:val="20"/>
          <w:szCs w:val="20"/>
        </w:rPr>
      </w:pPr>
      <w:r>
        <w:rPr>
          <w:sz w:val="20"/>
          <w:szCs w:val="20"/>
        </w:rPr>
        <w:t> </w:t>
      </w:r>
    </w:p>
    <w:p w:rsidR="00000000" w:rsidRDefault="001D2166">
      <w:pPr>
        <w:pStyle w:val="a3"/>
        <w:spacing w:before="0" w:beforeAutospacing="0" w:after="0" w:afterAutospacing="0"/>
        <w:rPr>
          <w:sz w:val="20"/>
          <w:szCs w:val="20"/>
        </w:rPr>
      </w:pPr>
      <w:r>
        <w:rPr>
          <w:sz w:val="20"/>
          <w:szCs w:val="20"/>
        </w:rPr>
        <w:t xml:space="preserve">The Company feels it is </w:t>
      </w:r>
      <w:r>
        <w:rPr>
          <w:rStyle w:val="a6"/>
          <w:sz w:val="20"/>
          <w:szCs w:val="20"/>
        </w:rPr>
        <w:t>not</w:t>
      </w:r>
      <w:r>
        <w:rPr>
          <w:sz w:val="20"/>
          <w:szCs w:val="20"/>
        </w:rPr>
        <w:t xml:space="preserve"> </w:t>
      </w:r>
      <w:r>
        <w:rPr>
          <w:sz w:val="20"/>
          <w:szCs w:val="20"/>
        </w:rPr>
        <w:t xml:space="preserve">practicable to estimate the fair value of each receivable as quoted market prices are </w:t>
      </w:r>
      <w:r>
        <w:rPr>
          <w:rStyle w:val="a6"/>
          <w:sz w:val="20"/>
          <w:szCs w:val="20"/>
        </w:rPr>
        <w:t>not</w:t>
      </w:r>
      <w:r>
        <w:rPr>
          <w:sz w:val="20"/>
          <w:szCs w:val="20"/>
        </w:rPr>
        <w:t xml:space="preserve"> available.  </w:t>
      </w:r>
    </w:p>
    <w:p w:rsidR="00000000" w:rsidRDefault="001D2166">
      <w:pPr>
        <w:pStyle w:val="a3"/>
        <w:spacing w:before="0" w:beforeAutospacing="0" w:after="0" w:afterAutospacing="0"/>
        <w:rPr>
          <w:sz w:val="20"/>
          <w:szCs w:val="20"/>
        </w:rPr>
      </w:pPr>
      <w:r>
        <w:rPr>
          <w:sz w:val="20"/>
          <w:szCs w:val="20"/>
        </w:rPr>
        <w:t>The cost of obtaining an independent valuation on these assets is deemed excessive considering the materiality of the total receivables.</w:t>
      </w:r>
    </w:p>
    <w:p w:rsidR="00000000" w:rsidRDefault="001D2166">
      <w:pPr>
        <w:pStyle w:val="a3"/>
        <w:spacing w:before="0" w:beforeAutospacing="0" w:after="0" w:afterAutospacing="0"/>
        <w:rPr>
          <w:sz w:val="20"/>
          <w:szCs w:val="20"/>
        </w:rPr>
      </w:pPr>
      <w:r>
        <w:rPr>
          <w:sz w:val="20"/>
          <w:szCs w:val="20"/>
        </w:rPr>
        <w:t> </w:t>
      </w:r>
    </w:p>
    <w:p w:rsidR="001D2166" w:rsidRDefault="001D2166">
      <w:pPr>
        <w:jc w:val="center"/>
        <w:divId w:val="92937781"/>
        <w:rPr>
          <w:rFonts w:eastAsia="Times New Roman"/>
          <w:sz w:val="20"/>
          <w:szCs w:val="20"/>
        </w:rPr>
      </w:pPr>
      <w:r>
        <w:rPr>
          <w:rFonts w:eastAsia="Times New Roman"/>
          <w:sz w:val="20"/>
          <w:szCs w:val="20"/>
        </w:rPr>
        <w:t xml:space="preserve">100 </w:t>
      </w:r>
    </w:p>
    <w:sectPr w:rsidR="001D216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D2166"/>
    <w:rsid w:val="001D2166"/>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1"/>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1"/>
  <w:attachedSchema w:val="http://www.xbrl.org/2003/linkbase"/>
  <w:attachedSchema w:val="http://www.xbrl.org/2003/iso4217"/>
  <w:attachedSchema w:val="http://xbrl.org/2005/xbrldt"/>
  <w:attachedSchema w:val="http://www.RDGFilings.com"/>
  <w:attachedSchema w:val="http://xbrl.sec.gov/dei/2021q4"/>
  <w:attachedSchema w:val="http://www.kimcorealty.com/20211231"/>
  <w:attachedSchema w:val="http://xbrl.sec.gov/currency/2021"/>
  <w:attachedSchema w:val="http://xbrl.sec.gov/sic/2021"/>
  <w:attachedSchema w:val="http://xbrl.sec.gov/exch/2021"/>
  <w:attachedSchema w:val="http://xbrl.sec.gov/rr/2018-01-31"/>
  <w:attachedSchema w:val="http://xbrl.sec.gov/country/2021"/>
  <w:attachedSchema w:val="http://fasb.org/us-gaap/2021-01-31"/>
  <w:attachedSchema w:val="http://fasb.org/srt/2021-01-31"/>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983">
      <w:marLeft w:val="0"/>
      <w:marRight w:val="0"/>
      <w:marTop w:val="0"/>
      <w:marBottom w:val="0"/>
      <w:divBdr>
        <w:top w:val="none" w:sz="0" w:space="0" w:color="auto"/>
        <w:left w:val="none" w:sz="0" w:space="0" w:color="auto"/>
        <w:bottom w:val="none" w:sz="0" w:space="0" w:color="auto"/>
        <w:right w:val="none" w:sz="0" w:space="0" w:color="auto"/>
      </w:divBdr>
      <w:divsChild>
        <w:div w:id="674457275">
          <w:marLeft w:val="0"/>
          <w:marRight w:val="0"/>
          <w:marTop w:val="0"/>
          <w:marBottom w:val="0"/>
          <w:divBdr>
            <w:top w:val="none" w:sz="0" w:space="0" w:color="auto"/>
            <w:left w:val="none" w:sz="0" w:space="0" w:color="auto"/>
            <w:bottom w:val="none" w:sz="0" w:space="0" w:color="auto"/>
            <w:right w:val="none" w:sz="0" w:space="0" w:color="auto"/>
          </w:divBdr>
        </w:div>
        <w:div w:id="1092625569">
          <w:marLeft w:val="0"/>
          <w:marRight w:val="0"/>
          <w:marTop w:val="0"/>
          <w:marBottom w:val="0"/>
          <w:divBdr>
            <w:top w:val="none" w:sz="0" w:space="0" w:color="auto"/>
            <w:left w:val="none" w:sz="0" w:space="0" w:color="auto"/>
            <w:bottom w:val="none" w:sz="0" w:space="0" w:color="auto"/>
            <w:right w:val="none" w:sz="0" w:space="0" w:color="auto"/>
          </w:divBdr>
        </w:div>
        <w:div w:id="461650673">
          <w:marLeft w:val="0"/>
          <w:marRight w:val="0"/>
          <w:marTop w:val="0"/>
          <w:marBottom w:val="0"/>
          <w:divBdr>
            <w:top w:val="none" w:sz="0" w:space="0" w:color="auto"/>
            <w:left w:val="none" w:sz="0" w:space="0" w:color="auto"/>
            <w:bottom w:val="none" w:sz="0" w:space="0" w:color="auto"/>
            <w:right w:val="none" w:sz="0" w:space="0" w:color="auto"/>
          </w:divBdr>
          <w:divsChild>
            <w:div w:id="1082146801">
              <w:marLeft w:val="0"/>
              <w:marRight w:val="0"/>
              <w:marTop w:val="0"/>
              <w:marBottom w:val="0"/>
              <w:divBdr>
                <w:top w:val="none" w:sz="0" w:space="0" w:color="auto"/>
                <w:left w:val="none" w:sz="0" w:space="0" w:color="auto"/>
                <w:bottom w:val="none" w:sz="0" w:space="0" w:color="auto"/>
                <w:right w:val="none" w:sz="0" w:space="0" w:color="auto"/>
              </w:divBdr>
            </w:div>
          </w:divsChild>
        </w:div>
        <w:div w:id="1047340288">
          <w:marLeft w:val="0"/>
          <w:marRight w:val="0"/>
          <w:marTop w:val="0"/>
          <w:marBottom w:val="0"/>
          <w:divBdr>
            <w:top w:val="none" w:sz="0" w:space="0" w:color="auto"/>
            <w:left w:val="none" w:sz="0" w:space="0" w:color="auto"/>
            <w:bottom w:val="none" w:sz="0" w:space="0" w:color="auto"/>
            <w:right w:val="none" w:sz="0" w:space="0" w:color="auto"/>
          </w:divBdr>
        </w:div>
      </w:divsChild>
    </w:div>
    <w:div w:id="19405808">
      <w:marLeft w:val="0"/>
      <w:marRight w:val="0"/>
      <w:marTop w:val="0"/>
      <w:marBottom w:val="0"/>
      <w:divBdr>
        <w:top w:val="none" w:sz="0" w:space="0" w:color="auto"/>
        <w:left w:val="none" w:sz="0" w:space="0" w:color="auto"/>
        <w:bottom w:val="none" w:sz="0" w:space="0" w:color="auto"/>
        <w:right w:val="none" w:sz="0" w:space="0" w:color="auto"/>
      </w:divBdr>
    </w:div>
    <w:div w:id="24600240">
      <w:marLeft w:val="0"/>
      <w:marRight w:val="0"/>
      <w:marTop w:val="0"/>
      <w:marBottom w:val="0"/>
      <w:divBdr>
        <w:top w:val="none" w:sz="0" w:space="0" w:color="auto"/>
        <w:left w:val="none" w:sz="0" w:space="0" w:color="auto"/>
        <w:bottom w:val="none" w:sz="0" w:space="0" w:color="auto"/>
        <w:right w:val="none" w:sz="0" w:space="0" w:color="auto"/>
      </w:divBdr>
      <w:divsChild>
        <w:div w:id="470170902">
          <w:marLeft w:val="0"/>
          <w:marRight w:val="0"/>
          <w:marTop w:val="0"/>
          <w:marBottom w:val="0"/>
          <w:divBdr>
            <w:top w:val="none" w:sz="0" w:space="0" w:color="auto"/>
            <w:left w:val="none" w:sz="0" w:space="0" w:color="auto"/>
            <w:bottom w:val="none" w:sz="0" w:space="0" w:color="auto"/>
            <w:right w:val="none" w:sz="0" w:space="0" w:color="auto"/>
          </w:divBdr>
        </w:div>
      </w:divsChild>
    </w:div>
    <w:div w:id="58948103">
      <w:marLeft w:val="0"/>
      <w:marRight w:val="0"/>
      <w:marTop w:val="0"/>
      <w:marBottom w:val="0"/>
      <w:divBdr>
        <w:top w:val="none" w:sz="0" w:space="0" w:color="auto"/>
        <w:left w:val="none" w:sz="0" w:space="0" w:color="auto"/>
        <w:bottom w:val="none" w:sz="0" w:space="0" w:color="auto"/>
        <w:right w:val="none" w:sz="0" w:space="0" w:color="auto"/>
      </w:divBdr>
      <w:divsChild>
        <w:div w:id="1929996655">
          <w:marLeft w:val="0"/>
          <w:marRight w:val="0"/>
          <w:marTop w:val="0"/>
          <w:marBottom w:val="0"/>
          <w:divBdr>
            <w:top w:val="none" w:sz="0" w:space="0" w:color="auto"/>
            <w:left w:val="none" w:sz="0" w:space="0" w:color="auto"/>
            <w:bottom w:val="none" w:sz="0" w:space="0" w:color="auto"/>
            <w:right w:val="none" w:sz="0" w:space="0" w:color="auto"/>
          </w:divBdr>
        </w:div>
        <w:div w:id="1851679631">
          <w:marLeft w:val="0"/>
          <w:marRight w:val="0"/>
          <w:marTop w:val="0"/>
          <w:marBottom w:val="0"/>
          <w:divBdr>
            <w:top w:val="none" w:sz="0" w:space="0" w:color="auto"/>
            <w:left w:val="none" w:sz="0" w:space="0" w:color="auto"/>
            <w:bottom w:val="none" w:sz="0" w:space="0" w:color="auto"/>
            <w:right w:val="none" w:sz="0" w:space="0" w:color="auto"/>
          </w:divBdr>
        </w:div>
      </w:divsChild>
    </w:div>
    <w:div w:id="69695986">
      <w:marLeft w:val="0"/>
      <w:marRight w:val="0"/>
      <w:marTop w:val="0"/>
      <w:marBottom w:val="0"/>
      <w:divBdr>
        <w:top w:val="none" w:sz="0" w:space="0" w:color="auto"/>
        <w:left w:val="none" w:sz="0" w:space="0" w:color="auto"/>
        <w:bottom w:val="none" w:sz="0" w:space="0" w:color="auto"/>
        <w:right w:val="none" w:sz="0" w:space="0" w:color="auto"/>
      </w:divBdr>
      <w:divsChild>
        <w:div w:id="469323708">
          <w:marLeft w:val="0"/>
          <w:marRight w:val="0"/>
          <w:marTop w:val="0"/>
          <w:marBottom w:val="0"/>
          <w:divBdr>
            <w:top w:val="none" w:sz="0" w:space="0" w:color="auto"/>
            <w:left w:val="none" w:sz="0" w:space="0" w:color="auto"/>
            <w:bottom w:val="none" w:sz="0" w:space="0" w:color="auto"/>
            <w:right w:val="none" w:sz="0" w:space="0" w:color="auto"/>
          </w:divBdr>
        </w:div>
      </w:divsChild>
    </w:div>
    <w:div w:id="76289247">
      <w:marLeft w:val="0"/>
      <w:marRight w:val="0"/>
      <w:marTop w:val="0"/>
      <w:marBottom w:val="0"/>
      <w:divBdr>
        <w:top w:val="none" w:sz="0" w:space="0" w:color="auto"/>
        <w:left w:val="none" w:sz="0" w:space="0" w:color="auto"/>
        <w:bottom w:val="none" w:sz="0" w:space="0" w:color="auto"/>
        <w:right w:val="none" w:sz="0" w:space="0" w:color="auto"/>
      </w:divBdr>
    </w:div>
    <w:div w:id="85616618">
      <w:marLeft w:val="0"/>
      <w:marRight w:val="0"/>
      <w:marTop w:val="0"/>
      <w:marBottom w:val="0"/>
      <w:divBdr>
        <w:top w:val="none" w:sz="0" w:space="0" w:color="auto"/>
        <w:left w:val="none" w:sz="0" w:space="0" w:color="auto"/>
        <w:bottom w:val="none" w:sz="0" w:space="0" w:color="auto"/>
        <w:right w:val="none" w:sz="0" w:space="0" w:color="auto"/>
      </w:divBdr>
      <w:divsChild>
        <w:div w:id="1029180459">
          <w:marLeft w:val="0"/>
          <w:marRight w:val="0"/>
          <w:marTop w:val="0"/>
          <w:marBottom w:val="0"/>
          <w:divBdr>
            <w:top w:val="none" w:sz="0" w:space="0" w:color="auto"/>
            <w:left w:val="none" w:sz="0" w:space="0" w:color="auto"/>
            <w:bottom w:val="none" w:sz="0" w:space="0" w:color="auto"/>
            <w:right w:val="none" w:sz="0" w:space="0" w:color="auto"/>
          </w:divBdr>
        </w:div>
        <w:div w:id="1367834263">
          <w:marLeft w:val="0"/>
          <w:marRight w:val="0"/>
          <w:marTop w:val="0"/>
          <w:marBottom w:val="0"/>
          <w:divBdr>
            <w:top w:val="none" w:sz="0" w:space="0" w:color="auto"/>
            <w:left w:val="none" w:sz="0" w:space="0" w:color="auto"/>
            <w:bottom w:val="none" w:sz="0" w:space="0" w:color="auto"/>
            <w:right w:val="none" w:sz="0" w:space="0" w:color="auto"/>
          </w:divBdr>
        </w:div>
      </w:divsChild>
    </w:div>
    <w:div w:id="90132187">
      <w:marLeft w:val="0"/>
      <w:marRight w:val="0"/>
      <w:marTop w:val="0"/>
      <w:marBottom w:val="0"/>
      <w:divBdr>
        <w:top w:val="none" w:sz="0" w:space="0" w:color="auto"/>
        <w:left w:val="none" w:sz="0" w:space="0" w:color="auto"/>
        <w:bottom w:val="none" w:sz="0" w:space="0" w:color="auto"/>
        <w:right w:val="none" w:sz="0" w:space="0" w:color="auto"/>
      </w:divBdr>
    </w:div>
    <w:div w:id="90665901">
      <w:marLeft w:val="0"/>
      <w:marRight w:val="0"/>
      <w:marTop w:val="0"/>
      <w:marBottom w:val="0"/>
      <w:divBdr>
        <w:top w:val="none" w:sz="0" w:space="0" w:color="auto"/>
        <w:left w:val="none" w:sz="0" w:space="0" w:color="auto"/>
        <w:bottom w:val="none" w:sz="0" w:space="0" w:color="auto"/>
        <w:right w:val="none" w:sz="0" w:space="0" w:color="auto"/>
      </w:divBdr>
    </w:div>
    <w:div w:id="98453174">
      <w:marLeft w:val="0"/>
      <w:marRight w:val="0"/>
      <w:marTop w:val="0"/>
      <w:marBottom w:val="0"/>
      <w:divBdr>
        <w:top w:val="none" w:sz="0" w:space="0" w:color="auto"/>
        <w:left w:val="none" w:sz="0" w:space="0" w:color="auto"/>
        <w:bottom w:val="none" w:sz="0" w:space="0" w:color="auto"/>
        <w:right w:val="none" w:sz="0" w:space="0" w:color="auto"/>
      </w:divBdr>
    </w:div>
    <w:div w:id="116029493">
      <w:marLeft w:val="0"/>
      <w:marRight w:val="0"/>
      <w:marTop w:val="0"/>
      <w:marBottom w:val="0"/>
      <w:divBdr>
        <w:top w:val="none" w:sz="0" w:space="0" w:color="auto"/>
        <w:left w:val="none" w:sz="0" w:space="0" w:color="auto"/>
        <w:bottom w:val="none" w:sz="0" w:space="0" w:color="auto"/>
        <w:right w:val="none" w:sz="0" w:space="0" w:color="auto"/>
      </w:divBdr>
    </w:div>
    <w:div w:id="119958189">
      <w:marLeft w:val="0"/>
      <w:marRight w:val="0"/>
      <w:marTop w:val="0"/>
      <w:marBottom w:val="0"/>
      <w:divBdr>
        <w:top w:val="none" w:sz="0" w:space="0" w:color="auto"/>
        <w:left w:val="none" w:sz="0" w:space="0" w:color="auto"/>
        <w:bottom w:val="none" w:sz="0" w:space="0" w:color="auto"/>
        <w:right w:val="none" w:sz="0" w:space="0" w:color="auto"/>
      </w:divBdr>
      <w:divsChild>
        <w:div w:id="371461866">
          <w:marLeft w:val="0"/>
          <w:marRight w:val="0"/>
          <w:marTop w:val="0"/>
          <w:marBottom w:val="0"/>
          <w:divBdr>
            <w:top w:val="none" w:sz="0" w:space="0" w:color="auto"/>
            <w:left w:val="none" w:sz="0" w:space="0" w:color="auto"/>
            <w:bottom w:val="none" w:sz="0" w:space="0" w:color="auto"/>
            <w:right w:val="none" w:sz="0" w:space="0" w:color="auto"/>
          </w:divBdr>
        </w:div>
        <w:div w:id="551770015">
          <w:marLeft w:val="0"/>
          <w:marRight w:val="0"/>
          <w:marTop w:val="0"/>
          <w:marBottom w:val="0"/>
          <w:divBdr>
            <w:top w:val="none" w:sz="0" w:space="0" w:color="auto"/>
            <w:left w:val="none" w:sz="0" w:space="0" w:color="auto"/>
            <w:bottom w:val="none" w:sz="0" w:space="0" w:color="auto"/>
            <w:right w:val="none" w:sz="0" w:space="0" w:color="auto"/>
          </w:divBdr>
        </w:div>
      </w:divsChild>
    </w:div>
    <w:div w:id="126318025">
      <w:marLeft w:val="0"/>
      <w:marRight w:val="0"/>
      <w:marTop w:val="0"/>
      <w:marBottom w:val="0"/>
      <w:divBdr>
        <w:top w:val="none" w:sz="0" w:space="0" w:color="auto"/>
        <w:left w:val="none" w:sz="0" w:space="0" w:color="auto"/>
        <w:bottom w:val="none" w:sz="0" w:space="0" w:color="auto"/>
        <w:right w:val="none" w:sz="0" w:space="0" w:color="auto"/>
      </w:divBdr>
    </w:div>
    <w:div w:id="158232162">
      <w:marLeft w:val="0"/>
      <w:marRight w:val="0"/>
      <w:marTop w:val="0"/>
      <w:marBottom w:val="0"/>
      <w:divBdr>
        <w:top w:val="none" w:sz="0" w:space="0" w:color="auto"/>
        <w:left w:val="none" w:sz="0" w:space="0" w:color="auto"/>
        <w:bottom w:val="none" w:sz="0" w:space="0" w:color="auto"/>
        <w:right w:val="none" w:sz="0" w:space="0" w:color="auto"/>
      </w:divBdr>
      <w:divsChild>
        <w:div w:id="71005664">
          <w:marLeft w:val="0"/>
          <w:marRight w:val="0"/>
          <w:marTop w:val="0"/>
          <w:marBottom w:val="0"/>
          <w:divBdr>
            <w:top w:val="none" w:sz="0" w:space="0" w:color="auto"/>
            <w:left w:val="none" w:sz="0" w:space="0" w:color="auto"/>
            <w:bottom w:val="none" w:sz="0" w:space="0" w:color="auto"/>
            <w:right w:val="none" w:sz="0" w:space="0" w:color="auto"/>
          </w:divBdr>
        </w:div>
        <w:div w:id="715204217">
          <w:marLeft w:val="0"/>
          <w:marRight w:val="0"/>
          <w:marTop w:val="0"/>
          <w:marBottom w:val="0"/>
          <w:divBdr>
            <w:top w:val="none" w:sz="0" w:space="0" w:color="auto"/>
            <w:left w:val="none" w:sz="0" w:space="0" w:color="auto"/>
            <w:bottom w:val="none" w:sz="0" w:space="0" w:color="auto"/>
            <w:right w:val="none" w:sz="0" w:space="0" w:color="auto"/>
          </w:divBdr>
        </w:div>
      </w:divsChild>
    </w:div>
    <w:div w:id="163709727">
      <w:marLeft w:val="0"/>
      <w:marRight w:val="0"/>
      <w:marTop w:val="0"/>
      <w:marBottom w:val="0"/>
      <w:divBdr>
        <w:top w:val="none" w:sz="0" w:space="0" w:color="auto"/>
        <w:left w:val="none" w:sz="0" w:space="0" w:color="auto"/>
        <w:bottom w:val="none" w:sz="0" w:space="0" w:color="auto"/>
        <w:right w:val="none" w:sz="0" w:space="0" w:color="auto"/>
      </w:divBdr>
    </w:div>
    <w:div w:id="171453399">
      <w:marLeft w:val="0"/>
      <w:marRight w:val="0"/>
      <w:marTop w:val="0"/>
      <w:marBottom w:val="0"/>
      <w:divBdr>
        <w:top w:val="none" w:sz="0" w:space="0" w:color="auto"/>
        <w:left w:val="none" w:sz="0" w:space="0" w:color="auto"/>
        <w:bottom w:val="none" w:sz="0" w:space="0" w:color="auto"/>
        <w:right w:val="none" w:sz="0" w:space="0" w:color="auto"/>
      </w:divBdr>
      <w:divsChild>
        <w:div w:id="550384561">
          <w:marLeft w:val="0"/>
          <w:marRight w:val="0"/>
          <w:marTop w:val="0"/>
          <w:marBottom w:val="0"/>
          <w:divBdr>
            <w:top w:val="none" w:sz="0" w:space="0" w:color="auto"/>
            <w:left w:val="none" w:sz="0" w:space="0" w:color="auto"/>
            <w:bottom w:val="none" w:sz="0" w:space="0" w:color="auto"/>
            <w:right w:val="none" w:sz="0" w:space="0" w:color="auto"/>
          </w:divBdr>
        </w:div>
        <w:div w:id="749235970">
          <w:marLeft w:val="0"/>
          <w:marRight w:val="0"/>
          <w:marTop w:val="0"/>
          <w:marBottom w:val="0"/>
          <w:divBdr>
            <w:top w:val="none" w:sz="0" w:space="0" w:color="auto"/>
            <w:left w:val="none" w:sz="0" w:space="0" w:color="auto"/>
            <w:bottom w:val="none" w:sz="0" w:space="0" w:color="auto"/>
            <w:right w:val="none" w:sz="0" w:space="0" w:color="auto"/>
          </w:divBdr>
        </w:div>
        <w:div w:id="156310233">
          <w:marLeft w:val="0"/>
          <w:marRight w:val="0"/>
          <w:marTop w:val="0"/>
          <w:marBottom w:val="0"/>
          <w:divBdr>
            <w:top w:val="none" w:sz="0" w:space="0" w:color="auto"/>
            <w:left w:val="none" w:sz="0" w:space="0" w:color="auto"/>
            <w:bottom w:val="none" w:sz="0" w:space="0" w:color="auto"/>
            <w:right w:val="none" w:sz="0" w:space="0" w:color="auto"/>
          </w:divBdr>
          <w:divsChild>
            <w:div w:id="1233663407">
              <w:marLeft w:val="0"/>
              <w:marRight w:val="0"/>
              <w:marTop w:val="0"/>
              <w:marBottom w:val="0"/>
              <w:divBdr>
                <w:top w:val="none" w:sz="0" w:space="0" w:color="auto"/>
                <w:left w:val="none" w:sz="0" w:space="0" w:color="auto"/>
                <w:bottom w:val="none" w:sz="0" w:space="0" w:color="auto"/>
                <w:right w:val="none" w:sz="0" w:space="0" w:color="auto"/>
              </w:divBdr>
            </w:div>
          </w:divsChild>
        </w:div>
        <w:div w:id="169829750">
          <w:marLeft w:val="0"/>
          <w:marRight w:val="0"/>
          <w:marTop w:val="0"/>
          <w:marBottom w:val="0"/>
          <w:divBdr>
            <w:top w:val="none" w:sz="0" w:space="0" w:color="auto"/>
            <w:left w:val="none" w:sz="0" w:space="0" w:color="auto"/>
            <w:bottom w:val="none" w:sz="0" w:space="0" w:color="auto"/>
            <w:right w:val="none" w:sz="0" w:space="0" w:color="auto"/>
          </w:divBdr>
        </w:div>
      </w:divsChild>
    </w:div>
    <w:div w:id="174157705">
      <w:marLeft w:val="0"/>
      <w:marRight w:val="0"/>
      <w:marTop w:val="0"/>
      <w:marBottom w:val="0"/>
      <w:divBdr>
        <w:top w:val="none" w:sz="0" w:space="0" w:color="auto"/>
        <w:left w:val="none" w:sz="0" w:space="0" w:color="auto"/>
        <w:bottom w:val="none" w:sz="0" w:space="0" w:color="auto"/>
        <w:right w:val="none" w:sz="0" w:space="0" w:color="auto"/>
      </w:divBdr>
    </w:div>
    <w:div w:id="182671576">
      <w:marLeft w:val="0"/>
      <w:marRight w:val="0"/>
      <w:marTop w:val="0"/>
      <w:marBottom w:val="0"/>
      <w:divBdr>
        <w:top w:val="none" w:sz="0" w:space="0" w:color="auto"/>
        <w:left w:val="none" w:sz="0" w:space="0" w:color="auto"/>
        <w:bottom w:val="none" w:sz="0" w:space="0" w:color="auto"/>
        <w:right w:val="none" w:sz="0" w:space="0" w:color="auto"/>
      </w:divBdr>
    </w:div>
    <w:div w:id="209809860">
      <w:marLeft w:val="0"/>
      <w:marRight w:val="0"/>
      <w:marTop w:val="0"/>
      <w:marBottom w:val="0"/>
      <w:divBdr>
        <w:top w:val="none" w:sz="0" w:space="0" w:color="auto"/>
        <w:left w:val="none" w:sz="0" w:space="0" w:color="auto"/>
        <w:bottom w:val="none" w:sz="0" w:space="0" w:color="auto"/>
        <w:right w:val="none" w:sz="0" w:space="0" w:color="auto"/>
      </w:divBdr>
      <w:divsChild>
        <w:div w:id="558789706">
          <w:marLeft w:val="0"/>
          <w:marRight w:val="0"/>
          <w:marTop w:val="0"/>
          <w:marBottom w:val="0"/>
          <w:divBdr>
            <w:top w:val="none" w:sz="0" w:space="0" w:color="auto"/>
            <w:left w:val="none" w:sz="0" w:space="0" w:color="auto"/>
            <w:bottom w:val="none" w:sz="0" w:space="0" w:color="auto"/>
            <w:right w:val="none" w:sz="0" w:space="0" w:color="auto"/>
          </w:divBdr>
        </w:div>
        <w:div w:id="1532916064">
          <w:marLeft w:val="0"/>
          <w:marRight w:val="0"/>
          <w:marTop w:val="0"/>
          <w:marBottom w:val="0"/>
          <w:divBdr>
            <w:top w:val="none" w:sz="0" w:space="0" w:color="auto"/>
            <w:left w:val="none" w:sz="0" w:space="0" w:color="auto"/>
            <w:bottom w:val="none" w:sz="0" w:space="0" w:color="auto"/>
            <w:right w:val="none" w:sz="0" w:space="0" w:color="auto"/>
          </w:divBdr>
        </w:div>
      </w:divsChild>
    </w:div>
    <w:div w:id="226573549">
      <w:marLeft w:val="0"/>
      <w:marRight w:val="0"/>
      <w:marTop w:val="0"/>
      <w:marBottom w:val="0"/>
      <w:divBdr>
        <w:top w:val="none" w:sz="0" w:space="0" w:color="auto"/>
        <w:left w:val="none" w:sz="0" w:space="0" w:color="auto"/>
        <w:bottom w:val="none" w:sz="0" w:space="0" w:color="auto"/>
        <w:right w:val="none" w:sz="0" w:space="0" w:color="auto"/>
      </w:divBdr>
      <w:divsChild>
        <w:div w:id="953483595">
          <w:marLeft w:val="0"/>
          <w:marRight w:val="0"/>
          <w:marTop w:val="0"/>
          <w:marBottom w:val="0"/>
          <w:divBdr>
            <w:top w:val="none" w:sz="0" w:space="0" w:color="auto"/>
            <w:left w:val="none" w:sz="0" w:space="0" w:color="auto"/>
            <w:bottom w:val="none" w:sz="0" w:space="0" w:color="auto"/>
            <w:right w:val="none" w:sz="0" w:space="0" w:color="auto"/>
          </w:divBdr>
        </w:div>
        <w:div w:id="731467664">
          <w:marLeft w:val="0"/>
          <w:marRight w:val="0"/>
          <w:marTop w:val="0"/>
          <w:marBottom w:val="0"/>
          <w:divBdr>
            <w:top w:val="none" w:sz="0" w:space="0" w:color="auto"/>
            <w:left w:val="none" w:sz="0" w:space="0" w:color="auto"/>
            <w:bottom w:val="none" w:sz="0" w:space="0" w:color="auto"/>
            <w:right w:val="none" w:sz="0" w:space="0" w:color="auto"/>
          </w:divBdr>
        </w:div>
        <w:div w:id="1516994036">
          <w:marLeft w:val="0"/>
          <w:marRight w:val="0"/>
          <w:marTop w:val="0"/>
          <w:marBottom w:val="0"/>
          <w:divBdr>
            <w:top w:val="none" w:sz="0" w:space="0" w:color="auto"/>
            <w:left w:val="none" w:sz="0" w:space="0" w:color="auto"/>
            <w:bottom w:val="none" w:sz="0" w:space="0" w:color="auto"/>
            <w:right w:val="none" w:sz="0" w:space="0" w:color="auto"/>
          </w:divBdr>
          <w:divsChild>
            <w:div w:id="2028410073">
              <w:marLeft w:val="0"/>
              <w:marRight w:val="0"/>
              <w:marTop w:val="0"/>
              <w:marBottom w:val="0"/>
              <w:divBdr>
                <w:top w:val="none" w:sz="0" w:space="0" w:color="auto"/>
                <w:left w:val="none" w:sz="0" w:space="0" w:color="auto"/>
                <w:bottom w:val="none" w:sz="0" w:space="0" w:color="auto"/>
                <w:right w:val="none" w:sz="0" w:space="0" w:color="auto"/>
              </w:divBdr>
            </w:div>
          </w:divsChild>
        </w:div>
        <w:div w:id="603540172">
          <w:marLeft w:val="0"/>
          <w:marRight w:val="0"/>
          <w:marTop w:val="0"/>
          <w:marBottom w:val="0"/>
          <w:divBdr>
            <w:top w:val="none" w:sz="0" w:space="0" w:color="auto"/>
            <w:left w:val="none" w:sz="0" w:space="0" w:color="auto"/>
            <w:bottom w:val="none" w:sz="0" w:space="0" w:color="auto"/>
            <w:right w:val="none" w:sz="0" w:space="0" w:color="auto"/>
          </w:divBdr>
        </w:div>
      </w:divsChild>
    </w:div>
    <w:div w:id="230384250">
      <w:marLeft w:val="0"/>
      <w:marRight w:val="0"/>
      <w:marTop w:val="0"/>
      <w:marBottom w:val="0"/>
      <w:divBdr>
        <w:top w:val="none" w:sz="0" w:space="0" w:color="auto"/>
        <w:left w:val="none" w:sz="0" w:space="0" w:color="auto"/>
        <w:bottom w:val="none" w:sz="0" w:space="0" w:color="auto"/>
        <w:right w:val="none" w:sz="0" w:space="0" w:color="auto"/>
      </w:divBdr>
    </w:div>
    <w:div w:id="230582857">
      <w:marLeft w:val="0"/>
      <w:marRight w:val="0"/>
      <w:marTop w:val="0"/>
      <w:marBottom w:val="0"/>
      <w:divBdr>
        <w:top w:val="none" w:sz="0" w:space="0" w:color="auto"/>
        <w:left w:val="none" w:sz="0" w:space="0" w:color="auto"/>
        <w:bottom w:val="none" w:sz="0" w:space="0" w:color="auto"/>
        <w:right w:val="none" w:sz="0" w:space="0" w:color="auto"/>
      </w:divBdr>
    </w:div>
    <w:div w:id="237445556">
      <w:marLeft w:val="0"/>
      <w:marRight w:val="0"/>
      <w:marTop w:val="0"/>
      <w:marBottom w:val="0"/>
      <w:divBdr>
        <w:top w:val="none" w:sz="0" w:space="0" w:color="auto"/>
        <w:left w:val="none" w:sz="0" w:space="0" w:color="auto"/>
        <w:bottom w:val="none" w:sz="0" w:space="0" w:color="auto"/>
        <w:right w:val="none" w:sz="0" w:space="0" w:color="auto"/>
      </w:divBdr>
    </w:div>
    <w:div w:id="238097688">
      <w:marLeft w:val="0"/>
      <w:marRight w:val="0"/>
      <w:marTop w:val="0"/>
      <w:marBottom w:val="0"/>
      <w:divBdr>
        <w:top w:val="none" w:sz="0" w:space="0" w:color="auto"/>
        <w:left w:val="none" w:sz="0" w:space="0" w:color="auto"/>
        <w:bottom w:val="none" w:sz="0" w:space="0" w:color="auto"/>
        <w:right w:val="none" w:sz="0" w:space="0" w:color="auto"/>
      </w:divBdr>
      <w:divsChild>
        <w:div w:id="1914073995">
          <w:marLeft w:val="0"/>
          <w:marRight w:val="0"/>
          <w:marTop w:val="0"/>
          <w:marBottom w:val="0"/>
          <w:divBdr>
            <w:top w:val="none" w:sz="0" w:space="0" w:color="auto"/>
            <w:left w:val="none" w:sz="0" w:space="0" w:color="auto"/>
            <w:bottom w:val="none" w:sz="0" w:space="0" w:color="auto"/>
            <w:right w:val="none" w:sz="0" w:space="0" w:color="auto"/>
          </w:divBdr>
        </w:div>
        <w:div w:id="1187402344">
          <w:marLeft w:val="0"/>
          <w:marRight w:val="0"/>
          <w:marTop w:val="0"/>
          <w:marBottom w:val="0"/>
          <w:divBdr>
            <w:top w:val="none" w:sz="0" w:space="0" w:color="auto"/>
            <w:left w:val="none" w:sz="0" w:space="0" w:color="auto"/>
            <w:bottom w:val="none" w:sz="0" w:space="0" w:color="auto"/>
            <w:right w:val="none" w:sz="0" w:space="0" w:color="auto"/>
          </w:divBdr>
        </w:div>
      </w:divsChild>
    </w:div>
    <w:div w:id="248856234">
      <w:marLeft w:val="0"/>
      <w:marRight w:val="0"/>
      <w:marTop w:val="0"/>
      <w:marBottom w:val="0"/>
      <w:divBdr>
        <w:top w:val="none" w:sz="0" w:space="0" w:color="auto"/>
        <w:left w:val="none" w:sz="0" w:space="0" w:color="auto"/>
        <w:bottom w:val="none" w:sz="0" w:space="0" w:color="auto"/>
        <w:right w:val="none" w:sz="0" w:space="0" w:color="auto"/>
      </w:divBdr>
      <w:divsChild>
        <w:div w:id="692608779">
          <w:marLeft w:val="0"/>
          <w:marRight w:val="0"/>
          <w:marTop w:val="0"/>
          <w:marBottom w:val="0"/>
          <w:divBdr>
            <w:top w:val="none" w:sz="0" w:space="0" w:color="auto"/>
            <w:left w:val="none" w:sz="0" w:space="0" w:color="auto"/>
            <w:bottom w:val="none" w:sz="0" w:space="0" w:color="auto"/>
            <w:right w:val="none" w:sz="0" w:space="0" w:color="auto"/>
          </w:divBdr>
        </w:div>
        <w:div w:id="977222911">
          <w:marLeft w:val="0"/>
          <w:marRight w:val="0"/>
          <w:marTop w:val="0"/>
          <w:marBottom w:val="0"/>
          <w:divBdr>
            <w:top w:val="none" w:sz="0" w:space="0" w:color="auto"/>
            <w:left w:val="none" w:sz="0" w:space="0" w:color="auto"/>
            <w:bottom w:val="none" w:sz="0" w:space="0" w:color="auto"/>
            <w:right w:val="none" w:sz="0" w:space="0" w:color="auto"/>
          </w:divBdr>
        </w:div>
      </w:divsChild>
    </w:div>
    <w:div w:id="264382322">
      <w:marLeft w:val="0"/>
      <w:marRight w:val="0"/>
      <w:marTop w:val="0"/>
      <w:marBottom w:val="0"/>
      <w:divBdr>
        <w:top w:val="none" w:sz="0" w:space="0" w:color="auto"/>
        <w:left w:val="none" w:sz="0" w:space="0" w:color="auto"/>
        <w:bottom w:val="none" w:sz="0" w:space="0" w:color="auto"/>
        <w:right w:val="none" w:sz="0" w:space="0" w:color="auto"/>
      </w:divBdr>
    </w:div>
    <w:div w:id="272399007">
      <w:marLeft w:val="0"/>
      <w:marRight w:val="0"/>
      <w:marTop w:val="0"/>
      <w:marBottom w:val="0"/>
      <w:divBdr>
        <w:top w:val="none" w:sz="0" w:space="0" w:color="auto"/>
        <w:left w:val="none" w:sz="0" w:space="0" w:color="auto"/>
        <w:bottom w:val="none" w:sz="0" w:space="0" w:color="auto"/>
        <w:right w:val="none" w:sz="0" w:space="0" w:color="auto"/>
      </w:divBdr>
      <w:divsChild>
        <w:div w:id="1126461769">
          <w:marLeft w:val="0"/>
          <w:marRight w:val="0"/>
          <w:marTop w:val="0"/>
          <w:marBottom w:val="0"/>
          <w:divBdr>
            <w:top w:val="none" w:sz="0" w:space="0" w:color="auto"/>
            <w:left w:val="none" w:sz="0" w:space="0" w:color="auto"/>
            <w:bottom w:val="none" w:sz="0" w:space="0" w:color="auto"/>
            <w:right w:val="none" w:sz="0" w:space="0" w:color="auto"/>
          </w:divBdr>
        </w:div>
        <w:div w:id="839613540">
          <w:marLeft w:val="0"/>
          <w:marRight w:val="0"/>
          <w:marTop w:val="0"/>
          <w:marBottom w:val="0"/>
          <w:divBdr>
            <w:top w:val="none" w:sz="0" w:space="0" w:color="auto"/>
            <w:left w:val="none" w:sz="0" w:space="0" w:color="auto"/>
            <w:bottom w:val="none" w:sz="0" w:space="0" w:color="auto"/>
            <w:right w:val="none" w:sz="0" w:space="0" w:color="auto"/>
          </w:divBdr>
        </w:div>
        <w:div w:id="1539590790">
          <w:marLeft w:val="0"/>
          <w:marRight w:val="0"/>
          <w:marTop w:val="0"/>
          <w:marBottom w:val="0"/>
          <w:divBdr>
            <w:top w:val="none" w:sz="0" w:space="0" w:color="auto"/>
            <w:left w:val="none" w:sz="0" w:space="0" w:color="auto"/>
            <w:bottom w:val="none" w:sz="0" w:space="0" w:color="auto"/>
            <w:right w:val="none" w:sz="0" w:space="0" w:color="auto"/>
          </w:divBdr>
          <w:divsChild>
            <w:div w:id="910164961">
              <w:marLeft w:val="0"/>
              <w:marRight w:val="0"/>
              <w:marTop w:val="0"/>
              <w:marBottom w:val="0"/>
              <w:divBdr>
                <w:top w:val="none" w:sz="0" w:space="0" w:color="auto"/>
                <w:left w:val="none" w:sz="0" w:space="0" w:color="auto"/>
                <w:bottom w:val="none" w:sz="0" w:space="0" w:color="auto"/>
                <w:right w:val="none" w:sz="0" w:space="0" w:color="auto"/>
              </w:divBdr>
            </w:div>
          </w:divsChild>
        </w:div>
        <w:div w:id="377558011">
          <w:marLeft w:val="0"/>
          <w:marRight w:val="0"/>
          <w:marTop w:val="0"/>
          <w:marBottom w:val="0"/>
          <w:divBdr>
            <w:top w:val="none" w:sz="0" w:space="0" w:color="auto"/>
            <w:left w:val="none" w:sz="0" w:space="0" w:color="auto"/>
            <w:bottom w:val="none" w:sz="0" w:space="0" w:color="auto"/>
            <w:right w:val="none" w:sz="0" w:space="0" w:color="auto"/>
          </w:divBdr>
        </w:div>
      </w:divsChild>
    </w:div>
    <w:div w:id="279649194">
      <w:marLeft w:val="0"/>
      <w:marRight w:val="0"/>
      <w:marTop w:val="0"/>
      <w:marBottom w:val="0"/>
      <w:divBdr>
        <w:top w:val="none" w:sz="0" w:space="0" w:color="auto"/>
        <w:left w:val="none" w:sz="0" w:space="0" w:color="auto"/>
        <w:bottom w:val="none" w:sz="0" w:space="0" w:color="auto"/>
        <w:right w:val="none" w:sz="0" w:space="0" w:color="auto"/>
      </w:divBdr>
    </w:div>
    <w:div w:id="285091130">
      <w:marLeft w:val="0"/>
      <w:marRight w:val="0"/>
      <w:marTop w:val="0"/>
      <w:marBottom w:val="0"/>
      <w:divBdr>
        <w:top w:val="none" w:sz="0" w:space="0" w:color="auto"/>
        <w:left w:val="none" w:sz="0" w:space="0" w:color="auto"/>
        <w:bottom w:val="none" w:sz="0" w:space="0" w:color="auto"/>
        <w:right w:val="none" w:sz="0" w:space="0" w:color="auto"/>
      </w:divBdr>
      <w:divsChild>
        <w:div w:id="748380067">
          <w:marLeft w:val="0"/>
          <w:marRight w:val="0"/>
          <w:marTop w:val="0"/>
          <w:marBottom w:val="0"/>
          <w:divBdr>
            <w:top w:val="none" w:sz="0" w:space="0" w:color="auto"/>
            <w:left w:val="none" w:sz="0" w:space="0" w:color="auto"/>
            <w:bottom w:val="none" w:sz="0" w:space="0" w:color="auto"/>
            <w:right w:val="none" w:sz="0" w:space="0" w:color="auto"/>
          </w:divBdr>
        </w:div>
      </w:divsChild>
    </w:div>
    <w:div w:id="292565783">
      <w:marLeft w:val="0"/>
      <w:marRight w:val="0"/>
      <w:marTop w:val="0"/>
      <w:marBottom w:val="0"/>
      <w:divBdr>
        <w:top w:val="none" w:sz="0" w:space="0" w:color="auto"/>
        <w:left w:val="none" w:sz="0" w:space="0" w:color="auto"/>
        <w:bottom w:val="none" w:sz="0" w:space="0" w:color="auto"/>
        <w:right w:val="none" w:sz="0" w:space="0" w:color="auto"/>
      </w:divBdr>
      <w:divsChild>
        <w:div w:id="727192559">
          <w:marLeft w:val="0"/>
          <w:marRight w:val="0"/>
          <w:marTop w:val="0"/>
          <w:marBottom w:val="0"/>
          <w:divBdr>
            <w:top w:val="none" w:sz="0" w:space="0" w:color="auto"/>
            <w:left w:val="none" w:sz="0" w:space="0" w:color="auto"/>
            <w:bottom w:val="none" w:sz="0" w:space="0" w:color="auto"/>
            <w:right w:val="none" w:sz="0" w:space="0" w:color="auto"/>
          </w:divBdr>
        </w:div>
        <w:div w:id="1207764619">
          <w:marLeft w:val="0"/>
          <w:marRight w:val="0"/>
          <w:marTop w:val="0"/>
          <w:marBottom w:val="0"/>
          <w:divBdr>
            <w:top w:val="none" w:sz="0" w:space="0" w:color="auto"/>
            <w:left w:val="none" w:sz="0" w:space="0" w:color="auto"/>
            <w:bottom w:val="none" w:sz="0" w:space="0" w:color="auto"/>
            <w:right w:val="none" w:sz="0" w:space="0" w:color="auto"/>
          </w:divBdr>
        </w:div>
        <w:div w:id="1431008727">
          <w:marLeft w:val="0"/>
          <w:marRight w:val="0"/>
          <w:marTop w:val="0"/>
          <w:marBottom w:val="0"/>
          <w:divBdr>
            <w:top w:val="none" w:sz="0" w:space="0" w:color="auto"/>
            <w:left w:val="none" w:sz="0" w:space="0" w:color="auto"/>
            <w:bottom w:val="none" w:sz="0" w:space="0" w:color="auto"/>
            <w:right w:val="none" w:sz="0" w:space="0" w:color="auto"/>
          </w:divBdr>
          <w:divsChild>
            <w:div w:id="97484444">
              <w:marLeft w:val="0"/>
              <w:marRight w:val="0"/>
              <w:marTop w:val="0"/>
              <w:marBottom w:val="0"/>
              <w:divBdr>
                <w:top w:val="none" w:sz="0" w:space="0" w:color="auto"/>
                <w:left w:val="none" w:sz="0" w:space="0" w:color="auto"/>
                <w:bottom w:val="none" w:sz="0" w:space="0" w:color="auto"/>
                <w:right w:val="none" w:sz="0" w:space="0" w:color="auto"/>
              </w:divBdr>
            </w:div>
          </w:divsChild>
        </w:div>
        <w:div w:id="1429540468">
          <w:marLeft w:val="0"/>
          <w:marRight w:val="0"/>
          <w:marTop w:val="0"/>
          <w:marBottom w:val="0"/>
          <w:divBdr>
            <w:top w:val="none" w:sz="0" w:space="0" w:color="auto"/>
            <w:left w:val="none" w:sz="0" w:space="0" w:color="auto"/>
            <w:bottom w:val="none" w:sz="0" w:space="0" w:color="auto"/>
            <w:right w:val="none" w:sz="0" w:space="0" w:color="auto"/>
          </w:divBdr>
        </w:div>
      </w:divsChild>
    </w:div>
    <w:div w:id="297805531">
      <w:marLeft w:val="0"/>
      <w:marRight w:val="0"/>
      <w:marTop w:val="0"/>
      <w:marBottom w:val="0"/>
      <w:divBdr>
        <w:top w:val="none" w:sz="0" w:space="0" w:color="auto"/>
        <w:left w:val="none" w:sz="0" w:space="0" w:color="auto"/>
        <w:bottom w:val="none" w:sz="0" w:space="0" w:color="auto"/>
        <w:right w:val="none" w:sz="0" w:space="0" w:color="auto"/>
      </w:divBdr>
    </w:div>
    <w:div w:id="305740505">
      <w:marLeft w:val="0"/>
      <w:marRight w:val="0"/>
      <w:marTop w:val="0"/>
      <w:marBottom w:val="0"/>
      <w:divBdr>
        <w:top w:val="none" w:sz="0" w:space="0" w:color="auto"/>
        <w:left w:val="none" w:sz="0" w:space="0" w:color="auto"/>
        <w:bottom w:val="none" w:sz="0" w:space="0" w:color="auto"/>
        <w:right w:val="none" w:sz="0" w:space="0" w:color="auto"/>
      </w:divBdr>
    </w:div>
    <w:div w:id="328868787">
      <w:marLeft w:val="0"/>
      <w:marRight w:val="0"/>
      <w:marTop w:val="0"/>
      <w:marBottom w:val="0"/>
      <w:divBdr>
        <w:top w:val="none" w:sz="0" w:space="0" w:color="auto"/>
        <w:left w:val="none" w:sz="0" w:space="0" w:color="auto"/>
        <w:bottom w:val="none" w:sz="0" w:space="0" w:color="auto"/>
        <w:right w:val="none" w:sz="0" w:space="0" w:color="auto"/>
      </w:divBdr>
    </w:div>
    <w:div w:id="330720098">
      <w:marLeft w:val="0"/>
      <w:marRight w:val="0"/>
      <w:marTop w:val="0"/>
      <w:marBottom w:val="0"/>
      <w:divBdr>
        <w:top w:val="none" w:sz="0" w:space="0" w:color="auto"/>
        <w:left w:val="none" w:sz="0" w:space="0" w:color="auto"/>
        <w:bottom w:val="none" w:sz="0" w:space="0" w:color="auto"/>
        <w:right w:val="none" w:sz="0" w:space="0" w:color="auto"/>
      </w:divBdr>
    </w:div>
    <w:div w:id="351298913">
      <w:marLeft w:val="0"/>
      <w:marRight w:val="0"/>
      <w:marTop w:val="0"/>
      <w:marBottom w:val="0"/>
      <w:divBdr>
        <w:top w:val="none" w:sz="0" w:space="0" w:color="auto"/>
        <w:left w:val="none" w:sz="0" w:space="0" w:color="auto"/>
        <w:bottom w:val="none" w:sz="0" w:space="0" w:color="auto"/>
        <w:right w:val="none" w:sz="0" w:space="0" w:color="auto"/>
      </w:divBdr>
    </w:div>
    <w:div w:id="365837775">
      <w:marLeft w:val="0"/>
      <w:marRight w:val="0"/>
      <w:marTop w:val="0"/>
      <w:marBottom w:val="0"/>
      <w:divBdr>
        <w:top w:val="none" w:sz="0" w:space="0" w:color="auto"/>
        <w:left w:val="none" w:sz="0" w:space="0" w:color="auto"/>
        <w:bottom w:val="none" w:sz="0" w:space="0" w:color="auto"/>
        <w:right w:val="none" w:sz="0" w:space="0" w:color="auto"/>
      </w:divBdr>
      <w:divsChild>
        <w:div w:id="784927833">
          <w:marLeft w:val="0"/>
          <w:marRight w:val="0"/>
          <w:marTop w:val="0"/>
          <w:marBottom w:val="0"/>
          <w:divBdr>
            <w:top w:val="none" w:sz="0" w:space="0" w:color="auto"/>
            <w:left w:val="none" w:sz="0" w:space="0" w:color="auto"/>
            <w:bottom w:val="none" w:sz="0" w:space="0" w:color="auto"/>
            <w:right w:val="none" w:sz="0" w:space="0" w:color="auto"/>
          </w:divBdr>
        </w:div>
        <w:div w:id="1192108628">
          <w:marLeft w:val="0"/>
          <w:marRight w:val="0"/>
          <w:marTop w:val="0"/>
          <w:marBottom w:val="0"/>
          <w:divBdr>
            <w:top w:val="none" w:sz="0" w:space="0" w:color="auto"/>
            <w:left w:val="none" w:sz="0" w:space="0" w:color="auto"/>
            <w:bottom w:val="none" w:sz="0" w:space="0" w:color="auto"/>
            <w:right w:val="none" w:sz="0" w:space="0" w:color="auto"/>
          </w:divBdr>
        </w:div>
      </w:divsChild>
    </w:div>
    <w:div w:id="374544999">
      <w:marLeft w:val="0"/>
      <w:marRight w:val="0"/>
      <w:marTop w:val="0"/>
      <w:marBottom w:val="0"/>
      <w:divBdr>
        <w:top w:val="none" w:sz="0" w:space="0" w:color="auto"/>
        <w:left w:val="none" w:sz="0" w:space="0" w:color="auto"/>
        <w:bottom w:val="none" w:sz="0" w:space="0" w:color="auto"/>
        <w:right w:val="none" w:sz="0" w:space="0" w:color="auto"/>
      </w:divBdr>
    </w:div>
    <w:div w:id="388648157">
      <w:marLeft w:val="0"/>
      <w:marRight w:val="0"/>
      <w:marTop w:val="0"/>
      <w:marBottom w:val="0"/>
      <w:divBdr>
        <w:top w:val="none" w:sz="0" w:space="0" w:color="auto"/>
        <w:left w:val="none" w:sz="0" w:space="0" w:color="auto"/>
        <w:bottom w:val="none" w:sz="0" w:space="0" w:color="auto"/>
        <w:right w:val="none" w:sz="0" w:space="0" w:color="auto"/>
      </w:divBdr>
    </w:div>
    <w:div w:id="390271086">
      <w:marLeft w:val="0"/>
      <w:marRight w:val="0"/>
      <w:marTop w:val="0"/>
      <w:marBottom w:val="0"/>
      <w:divBdr>
        <w:top w:val="none" w:sz="0" w:space="0" w:color="auto"/>
        <w:left w:val="none" w:sz="0" w:space="0" w:color="auto"/>
        <w:bottom w:val="none" w:sz="0" w:space="0" w:color="auto"/>
        <w:right w:val="none" w:sz="0" w:space="0" w:color="auto"/>
      </w:divBdr>
    </w:div>
    <w:div w:id="397633548">
      <w:marLeft w:val="0"/>
      <w:marRight w:val="0"/>
      <w:marTop w:val="0"/>
      <w:marBottom w:val="0"/>
      <w:divBdr>
        <w:top w:val="none" w:sz="0" w:space="0" w:color="auto"/>
        <w:left w:val="none" w:sz="0" w:space="0" w:color="auto"/>
        <w:bottom w:val="none" w:sz="0" w:space="0" w:color="auto"/>
        <w:right w:val="none" w:sz="0" w:space="0" w:color="auto"/>
      </w:divBdr>
      <w:divsChild>
        <w:div w:id="991174390">
          <w:marLeft w:val="0"/>
          <w:marRight w:val="0"/>
          <w:marTop w:val="0"/>
          <w:marBottom w:val="0"/>
          <w:divBdr>
            <w:top w:val="none" w:sz="0" w:space="0" w:color="auto"/>
            <w:left w:val="none" w:sz="0" w:space="0" w:color="auto"/>
            <w:bottom w:val="none" w:sz="0" w:space="0" w:color="auto"/>
            <w:right w:val="none" w:sz="0" w:space="0" w:color="auto"/>
          </w:divBdr>
          <w:divsChild>
            <w:div w:id="650981437">
              <w:marLeft w:val="0"/>
              <w:marRight w:val="0"/>
              <w:marTop w:val="0"/>
              <w:marBottom w:val="0"/>
              <w:divBdr>
                <w:top w:val="none" w:sz="0" w:space="0" w:color="auto"/>
                <w:left w:val="none" w:sz="0" w:space="0" w:color="auto"/>
                <w:bottom w:val="none" w:sz="0" w:space="0" w:color="auto"/>
                <w:right w:val="none" w:sz="0" w:space="0" w:color="auto"/>
              </w:divBdr>
              <w:divsChild>
                <w:div w:id="1349138797">
                  <w:marLeft w:val="0"/>
                  <w:marRight w:val="0"/>
                  <w:marTop w:val="0"/>
                  <w:marBottom w:val="0"/>
                  <w:divBdr>
                    <w:top w:val="none" w:sz="0" w:space="0" w:color="auto"/>
                    <w:left w:val="none" w:sz="0" w:space="0" w:color="auto"/>
                    <w:bottom w:val="none" w:sz="0" w:space="0" w:color="auto"/>
                    <w:right w:val="none" w:sz="0" w:space="0" w:color="auto"/>
                  </w:divBdr>
                </w:div>
              </w:divsChild>
            </w:div>
            <w:div w:id="893200188">
              <w:marLeft w:val="0"/>
              <w:marRight w:val="0"/>
              <w:marTop w:val="0"/>
              <w:marBottom w:val="0"/>
              <w:divBdr>
                <w:top w:val="none" w:sz="0" w:space="0" w:color="auto"/>
                <w:left w:val="none" w:sz="0" w:space="0" w:color="auto"/>
                <w:bottom w:val="none" w:sz="0" w:space="0" w:color="auto"/>
                <w:right w:val="none" w:sz="0" w:space="0" w:color="auto"/>
              </w:divBdr>
            </w:div>
          </w:divsChild>
        </w:div>
        <w:div w:id="2087652877">
          <w:marLeft w:val="0"/>
          <w:marRight w:val="0"/>
          <w:marTop w:val="0"/>
          <w:marBottom w:val="0"/>
          <w:divBdr>
            <w:top w:val="none" w:sz="0" w:space="0" w:color="auto"/>
            <w:left w:val="none" w:sz="0" w:space="0" w:color="auto"/>
            <w:bottom w:val="none" w:sz="0" w:space="0" w:color="auto"/>
            <w:right w:val="none" w:sz="0" w:space="0" w:color="auto"/>
          </w:divBdr>
          <w:divsChild>
            <w:div w:id="259217571">
              <w:marLeft w:val="0"/>
              <w:marRight w:val="0"/>
              <w:marTop w:val="0"/>
              <w:marBottom w:val="0"/>
              <w:divBdr>
                <w:top w:val="none" w:sz="0" w:space="0" w:color="auto"/>
                <w:left w:val="none" w:sz="0" w:space="0" w:color="auto"/>
                <w:bottom w:val="none" w:sz="0" w:space="0" w:color="auto"/>
                <w:right w:val="none" w:sz="0" w:space="0" w:color="auto"/>
              </w:divBdr>
              <w:divsChild>
                <w:div w:id="1180894108">
                  <w:marLeft w:val="0"/>
                  <w:marRight w:val="0"/>
                  <w:marTop w:val="0"/>
                  <w:marBottom w:val="0"/>
                  <w:divBdr>
                    <w:top w:val="none" w:sz="0" w:space="0" w:color="auto"/>
                    <w:left w:val="none" w:sz="0" w:space="0" w:color="auto"/>
                    <w:bottom w:val="none" w:sz="0" w:space="0" w:color="auto"/>
                    <w:right w:val="none" w:sz="0" w:space="0" w:color="auto"/>
                  </w:divBdr>
                </w:div>
              </w:divsChild>
            </w:div>
            <w:div w:id="1962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4047">
      <w:marLeft w:val="0"/>
      <w:marRight w:val="0"/>
      <w:marTop w:val="0"/>
      <w:marBottom w:val="0"/>
      <w:divBdr>
        <w:top w:val="none" w:sz="0" w:space="0" w:color="auto"/>
        <w:left w:val="none" w:sz="0" w:space="0" w:color="auto"/>
        <w:bottom w:val="none" w:sz="0" w:space="0" w:color="auto"/>
        <w:right w:val="none" w:sz="0" w:space="0" w:color="auto"/>
      </w:divBdr>
    </w:div>
    <w:div w:id="439572143">
      <w:marLeft w:val="0"/>
      <w:marRight w:val="0"/>
      <w:marTop w:val="0"/>
      <w:marBottom w:val="0"/>
      <w:divBdr>
        <w:top w:val="none" w:sz="0" w:space="0" w:color="auto"/>
        <w:left w:val="none" w:sz="0" w:space="0" w:color="auto"/>
        <w:bottom w:val="none" w:sz="0" w:space="0" w:color="auto"/>
        <w:right w:val="none" w:sz="0" w:space="0" w:color="auto"/>
      </w:divBdr>
      <w:divsChild>
        <w:div w:id="1473324589">
          <w:marLeft w:val="0"/>
          <w:marRight w:val="0"/>
          <w:marTop w:val="0"/>
          <w:marBottom w:val="0"/>
          <w:divBdr>
            <w:top w:val="none" w:sz="0" w:space="0" w:color="auto"/>
            <w:left w:val="none" w:sz="0" w:space="0" w:color="auto"/>
            <w:bottom w:val="none" w:sz="0" w:space="0" w:color="auto"/>
            <w:right w:val="none" w:sz="0" w:space="0" w:color="auto"/>
          </w:divBdr>
        </w:div>
        <w:div w:id="453444856">
          <w:marLeft w:val="0"/>
          <w:marRight w:val="0"/>
          <w:marTop w:val="0"/>
          <w:marBottom w:val="0"/>
          <w:divBdr>
            <w:top w:val="none" w:sz="0" w:space="0" w:color="auto"/>
            <w:left w:val="none" w:sz="0" w:space="0" w:color="auto"/>
            <w:bottom w:val="none" w:sz="0" w:space="0" w:color="auto"/>
            <w:right w:val="none" w:sz="0" w:space="0" w:color="auto"/>
          </w:divBdr>
        </w:div>
      </w:divsChild>
    </w:div>
    <w:div w:id="452789633">
      <w:marLeft w:val="0"/>
      <w:marRight w:val="0"/>
      <w:marTop w:val="0"/>
      <w:marBottom w:val="0"/>
      <w:divBdr>
        <w:top w:val="none" w:sz="0" w:space="0" w:color="auto"/>
        <w:left w:val="none" w:sz="0" w:space="0" w:color="auto"/>
        <w:bottom w:val="none" w:sz="0" w:space="0" w:color="auto"/>
        <w:right w:val="none" w:sz="0" w:space="0" w:color="auto"/>
      </w:divBdr>
      <w:divsChild>
        <w:div w:id="2126802302">
          <w:marLeft w:val="0"/>
          <w:marRight w:val="0"/>
          <w:marTop w:val="0"/>
          <w:marBottom w:val="0"/>
          <w:divBdr>
            <w:top w:val="none" w:sz="0" w:space="0" w:color="auto"/>
            <w:left w:val="none" w:sz="0" w:space="0" w:color="auto"/>
            <w:bottom w:val="none" w:sz="0" w:space="0" w:color="auto"/>
            <w:right w:val="none" w:sz="0" w:space="0" w:color="auto"/>
          </w:divBdr>
        </w:div>
      </w:divsChild>
    </w:div>
    <w:div w:id="455560992">
      <w:marLeft w:val="0"/>
      <w:marRight w:val="0"/>
      <w:marTop w:val="0"/>
      <w:marBottom w:val="0"/>
      <w:divBdr>
        <w:top w:val="none" w:sz="0" w:space="0" w:color="auto"/>
        <w:left w:val="none" w:sz="0" w:space="0" w:color="auto"/>
        <w:bottom w:val="none" w:sz="0" w:space="0" w:color="auto"/>
        <w:right w:val="none" w:sz="0" w:space="0" w:color="auto"/>
      </w:divBdr>
      <w:divsChild>
        <w:div w:id="796532372">
          <w:marLeft w:val="0"/>
          <w:marRight w:val="0"/>
          <w:marTop w:val="0"/>
          <w:marBottom w:val="0"/>
          <w:divBdr>
            <w:top w:val="none" w:sz="0" w:space="0" w:color="auto"/>
            <w:left w:val="none" w:sz="0" w:space="0" w:color="auto"/>
            <w:bottom w:val="none" w:sz="0" w:space="0" w:color="auto"/>
            <w:right w:val="none" w:sz="0" w:space="0" w:color="auto"/>
          </w:divBdr>
        </w:div>
        <w:div w:id="816343785">
          <w:marLeft w:val="0"/>
          <w:marRight w:val="0"/>
          <w:marTop w:val="0"/>
          <w:marBottom w:val="0"/>
          <w:divBdr>
            <w:top w:val="none" w:sz="0" w:space="0" w:color="auto"/>
            <w:left w:val="none" w:sz="0" w:space="0" w:color="auto"/>
            <w:bottom w:val="none" w:sz="0" w:space="0" w:color="auto"/>
            <w:right w:val="none" w:sz="0" w:space="0" w:color="auto"/>
          </w:divBdr>
        </w:div>
      </w:divsChild>
    </w:div>
    <w:div w:id="460921957">
      <w:marLeft w:val="0"/>
      <w:marRight w:val="0"/>
      <w:marTop w:val="0"/>
      <w:marBottom w:val="0"/>
      <w:divBdr>
        <w:top w:val="none" w:sz="0" w:space="0" w:color="auto"/>
        <w:left w:val="none" w:sz="0" w:space="0" w:color="auto"/>
        <w:bottom w:val="none" w:sz="0" w:space="0" w:color="auto"/>
        <w:right w:val="none" w:sz="0" w:space="0" w:color="auto"/>
      </w:divBdr>
    </w:div>
    <w:div w:id="467169096">
      <w:marLeft w:val="0"/>
      <w:marRight w:val="0"/>
      <w:marTop w:val="0"/>
      <w:marBottom w:val="0"/>
      <w:divBdr>
        <w:top w:val="none" w:sz="0" w:space="0" w:color="auto"/>
        <w:left w:val="none" w:sz="0" w:space="0" w:color="auto"/>
        <w:bottom w:val="none" w:sz="0" w:space="0" w:color="auto"/>
        <w:right w:val="none" w:sz="0" w:space="0" w:color="auto"/>
      </w:divBdr>
    </w:div>
    <w:div w:id="473956821">
      <w:marLeft w:val="0"/>
      <w:marRight w:val="0"/>
      <w:marTop w:val="0"/>
      <w:marBottom w:val="0"/>
      <w:divBdr>
        <w:top w:val="none" w:sz="0" w:space="0" w:color="auto"/>
        <w:left w:val="none" w:sz="0" w:space="0" w:color="auto"/>
        <w:bottom w:val="none" w:sz="0" w:space="0" w:color="auto"/>
        <w:right w:val="none" w:sz="0" w:space="0" w:color="auto"/>
      </w:divBdr>
      <w:divsChild>
        <w:div w:id="2125070545">
          <w:marLeft w:val="0"/>
          <w:marRight w:val="0"/>
          <w:marTop w:val="0"/>
          <w:marBottom w:val="0"/>
          <w:divBdr>
            <w:top w:val="none" w:sz="0" w:space="0" w:color="auto"/>
            <w:left w:val="none" w:sz="0" w:space="0" w:color="auto"/>
            <w:bottom w:val="none" w:sz="0" w:space="0" w:color="auto"/>
            <w:right w:val="none" w:sz="0" w:space="0" w:color="auto"/>
          </w:divBdr>
        </w:div>
        <w:div w:id="1811167660">
          <w:marLeft w:val="0"/>
          <w:marRight w:val="0"/>
          <w:marTop w:val="0"/>
          <w:marBottom w:val="0"/>
          <w:divBdr>
            <w:top w:val="none" w:sz="0" w:space="0" w:color="auto"/>
            <w:left w:val="none" w:sz="0" w:space="0" w:color="auto"/>
            <w:bottom w:val="none" w:sz="0" w:space="0" w:color="auto"/>
            <w:right w:val="none" w:sz="0" w:space="0" w:color="auto"/>
          </w:divBdr>
        </w:div>
        <w:div w:id="1315449739">
          <w:marLeft w:val="0"/>
          <w:marRight w:val="0"/>
          <w:marTop w:val="0"/>
          <w:marBottom w:val="0"/>
          <w:divBdr>
            <w:top w:val="none" w:sz="0" w:space="0" w:color="auto"/>
            <w:left w:val="none" w:sz="0" w:space="0" w:color="auto"/>
            <w:bottom w:val="none" w:sz="0" w:space="0" w:color="auto"/>
            <w:right w:val="none" w:sz="0" w:space="0" w:color="auto"/>
          </w:divBdr>
          <w:divsChild>
            <w:div w:id="191455057">
              <w:marLeft w:val="0"/>
              <w:marRight w:val="0"/>
              <w:marTop w:val="0"/>
              <w:marBottom w:val="0"/>
              <w:divBdr>
                <w:top w:val="none" w:sz="0" w:space="0" w:color="auto"/>
                <w:left w:val="none" w:sz="0" w:space="0" w:color="auto"/>
                <w:bottom w:val="none" w:sz="0" w:space="0" w:color="auto"/>
                <w:right w:val="none" w:sz="0" w:space="0" w:color="auto"/>
              </w:divBdr>
            </w:div>
          </w:divsChild>
        </w:div>
        <w:div w:id="351340535">
          <w:marLeft w:val="0"/>
          <w:marRight w:val="0"/>
          <w:marTop w:val="0"/>
          <w:marBottom w:val="0"/>
          <w:divBdr>
            <w:top w:val="none" w:sz="0" w:space="0" w:color="auto"/>
            <w:left w:val="none" w:sz="0" w:space="0" w:color="auto"/>
            <w:bottom w:val="none" w:sz="0" w:space="0" w:color="auto"/>
            <w:right w:val="none" w:sz="0" w:space="0" w:color="auto"/>
          </w:divBdr>
        </w:div>
      </w:divsChild>
    </w:div>
    <w:div w:id="475102722">
      <w:marLeft w:val="0"/>
      <w:marRight w:val="0"/>
      <w:marTop w:val="0"/>
      <w:marBottom w:val="0"/>
      <w:divBdr>
        <w:top w:val="none" w:sz="0" w:space="0" w:color="auto"/>
        <w:left w:val="none" w:sz="0" w:space="0" w:color="auto"/>
        <w:bottom w:val="none" w:sz="0" w:space="0" w:color="auto"/>
        <w:right w:val="none" w:sz="0" w:space="0" w:color="auto"/>
      </w:divBdr>
      <w:divsChild>
        <w:div w:id="955867999">
          <w:marLeft w:val="0"/>
          <w:marRight w:val="0"/>
          <w:marTop w:val="0"/>
          <w:marBottom w:val="0"/>
          <w:divBdr>
            <w:top w:val="none" w:sz="0" w:space="0" w:color="auto"/>
            <w:left w:val="none" w:sz="0" w:space="0" w:color="auto"/>
            <w:bottom w:val="none" w:sz="0" w:space="0" w:color="auto"/>
            <w:right w:val="none" w:sz="0" w:space="0" w:color="auto"/>
          </w:divBdr>
        </w:div>
        <w:div w:id="1417048213">
          <w:marLeft w:val="0"/>
          <w:marRight w:val="0"/>
          <w:marTop w:val="0"/>
          <w:marBottom w:val="0"/>
          <w:divBdr>
            <w:top w:val="none" w:sz="0" w:space="0" w:color="auto"/>
            <w:left w:val="none" w:sz="0" w:space="0" w:color="auto"/>
            <w:bottom w:val="none" w:sz="0" w:space="0" w:color="auto"/>
            <w:right w:val="none" w:sz="0" w:space="0" w:color="auto"/>
          </w:divBdr>
        </w:div>
      </w:divsChild>
    </w:div>
    <w:div w:id="477847932">
      <w:marLeft w:val="0"/>
      <w:marRight w:val="0"/>
      <w:marTop w:val="0"/>
      <w:marBottom w:val="0"/>
      <w:divBdr>
        <w:top w:val="none" w:sz="0" w:space="0" w:color="auto"/>
        <w:left w:val="none" w:sz="0" w:space="0" w:color="auto"/>
        <w:bottom w:val="none" w:sz="0" w:space="0" w:color="auto"/>
        <w:right w:val="none" w:sz="0" w:space="0" w:color="auto"/>
      </w:divBdr>
      <w:divsChild>
        <w:div w:id="1317957501">
          <w:marLeft w:val="0"/>
          <w:marRight w:val="0"/>
          <w:marTop w:val="0"/>
          <w:marBottom w:val="0"/>
          <w:divBdr>
            <w:top w:val="none" w:sz="0" w:space="0" w:color="auto"/>
            <w:left w:val="none" w:sz="0" w:space="0" w:color="auto"/>
            <w:bottom w:val="none" w:sz="0" w:space="0" w:color="auto"/>
            <w:right w:val="none" w:sz="0" w:space="0" w:color="auto"/>
          </w:divBdr>
        </w:div>
        <w:div w:id="734857427">
          <w:marLeft w:val="0"/>
          <w:marRight w:val="0"/>
          <w:marTop w:val="0"/>
          <w:marBottom w:val="0"/>
          <w:divBdr>
            <w:top w:val="none" w:sz="0" w:space="0" w:color="auto"/>
            <w:left w:val="none" w:sz="0" w:space="0" w:color="auto"/>
            <w:bottom w:val="none" w:sz="0" w:space="0" w:color="auto"/>
            <w:right w:val="none" w:sz="0" w:space="0" w:color="auto"/>
          </w:divBdr>
        </w:div>
      </w:divsChild>
    </w:div>
    <w:div w:id="482550484">
      <w:marLeft w:val="0"/>
      <w:marRight w:val="0"/>
      <w:marTop w:val="0"/>
      <w:marBottom w:val="0"/>
      <w:divBdr>
        <w:top w:val="none" w:sz="0" w:space="0" w:color="auto"/>
        <w:left w:val="none" w:sz="0" w:space="0" w:color="auto"/>
        <w:bottom w:val="none" w:sz="0" w:space="0" w:color="auto"/>
        <w:right w:val="none" w:sz="0" w:space="0" w:color="auto"/>
      </w:divBdr>
    </w:div>
    <w:div w:id="488712716">
      <w:marLeft w:val="0"/>
      <w:marRight w:val="0"/>
      <w:marTop w:val="0"/>
      <w:marBottom w:val="0"/>
      <w:divBdr>
        <w:top w:val="none" w:sz="0" w:space="0" w:color="auto"/>
        <w:left w:val="none" w:sz="0" w:space="0" w:color="auto"/>
        <w:bottom w:val="none" w:sz="0" w:space="0" w:color="auto"/>
        <w:right w:val="none" w:sz="0" w:space="0" w:color="auto"/>
      </w:divBdr>
    </w:div>
    <w:div w:id="495456324">
      <w:marLeft w:val="0"/>
      <w:marRight w:val="0"/>
      <w:marTop w:val="0"/>
      <w:marBottom w:val="0"/>
      <w:divBdr>
        <w:top w:val="none" w:sz="0" w:space="0" w:color="auto"/>
        <w:left w:val="none" w:sz="0" w:space="0" w:color="auto"/>
        <w:bottom w:val="none" w:sz="0" w:space="0" w:color="auto"/>
        <w:right w:val="none" w:sz="0" w:space="0" w:color="auto"/>
      </w:divBdr>
    </w:div>
    <w:div w:id="504129264">
      <w:marLeft w:val="0"/>
      <w:marRight w:val="0"/>
      <w:marTop w:val="0"/>
      <w:marBottom w:val="0"/>
      <w:divBdr>
        <w:top w:val="none" w:sz="0" w:space="0" w:color="auto"/>
        <w:left w:val="none" w:sz="0" w:space="0" w:color="auto"/>
        <w:bottom w:val="none" w:sz="0" w:space="0" w:color="auto"/>
        <w:right w:val="none" w:sz="0" w:space="0" w:color="auto"/>
      </w:divBdr>
    </w:div>
    <w:div w:id="511267310">
      <w:marLeft w:val="0"/>
      <w:marRight w:val="0"/>
      <w:marTop w:val="0"/>
      <w:marBottom w:val="0"/>
      <w:divBdr>
        <w:top w:val="none" w:sz="0" w:space="0" w:color="auto"/>
        <w:left w:val="none" w:sz="0" w:space="0" w:color="auto"/>
        <w:bottom w:val="none" w:sz="0" w:space="0" w:color="auto"/>
        <w:right w:val="none" w:sz="0" w:space="0" w:color="auto"/>
      </w:divBdr>
    </w:div>
    <w:div w:id="530384759">
      <w:marLeft w:val="0"/>
      <w:marRight w:val="0"/>
      <w:marTop w:val="0"/>
      <w:marBottom w:val="0"/>
      <w:divBdr>
        <w:top w:val="none" w:sz="0" w:space="0" w:color="auto"/>
        <w:left w:val="none" w:sz="0" w:space="0" w:color="auto"/>
        <w:bottom w:val="none" w:sz="0" w:space="0" w:color="auto"/>
        <w:right w:val="none" w:sz="0" w:space="0" w:color="auto"/>
      </w:divBdr>
      <w:divsChild>
        <w:div w:id="1158761988">
          <w:marLeft w:val="0"/>
          <w:marRight w:val="0"/>
          <w:marTop w:val="0"/>
          <w:marBottom w:val="0"/>
          <w:divBdr>
            <w:top w:val="none" w:sz="0" w:space="0" w:color="auto"/>
            <w:left w:val="none" w:sz="0" w:space="0" w:color="auto"/>
            <w:bottom w:val="none" w:sz="0" w:space="0" w:color="auto"/>
            <w:right w:val="none" w:sz="0" w:space="0" w:color="auto"/>
          </w:divBdr>
        </w:div>
        <w:div w:id="2073234740">
          <w:marLeft w:val="0"/>
          <w:marRight w:val="0"/>
          <w:marTop w:val="0"/>
          <w:marBottom w:val="0"/>
          <w:divBdr>
            <w:top w:val="none" w:sz="0" w:space="0" w:color="auto"/>
            <w:left w:val="none" w:sz="0" w:space="0" w:color="auto"/>
            <w:bottom w:val="none" w:sz="0" w:space="0" w:color="auto"/>
            <w:right w:val="none" w:sz="0" w:space="0" w:color="auto"/>
          </w:divBdr>
        </w:div>
        <w:div w:id="1750342399">
          <w:marLeft w:val="0"/>
          <w:marRight w:val="0"/>
          <w:marTop w:val="0"/>
          <w:marBottom w:val="0"/>
          <w:divBdr>
            <w:top w:val="none" w:sz="0" w:space="0" w:color="auto"/>
            <w:left w:val="none" w:sz="0" w:space="0" w:color="auto"/>
            <w:bottom w:val="none" w:sz="0" w:space="0" w:color="auto"/>
            <w:right w:val="none" w:sz="0" w:space="0" w:color="auto"/>
          </w:divBdr>
          <w:divsChild>
            <w:div w:id="312375194">
              <w:marLeft w:val="0"/>
              <w:marRight w:val="0"/>
              <w:marTop w:val="0"/>
              <w:marBottom w:val="0"/>
              <w:divBdr>
                <w:top w:val="none" w:sz="0" w:space="0" w:color="auto"/>
                <w:left w:val="none" w:sz="0" w:space="0" w:color="auto"/>
                <w:bottom w:val="none" w:sz="0" w:space="0" w:color="auto"/>
                <w:right w:val="none" w:sz="0" w:space="0" w:color="auto"/>
              </w:divBdr>
            </w:div>
          </w:divsChild>
        </w:div>
        <w:div w:id="723211581">
          <w:marLeft w:val="0"/>
          <w:marRight w:val="0"/>
          <w:marTop w:val="0"/>
          <w:marBottom w:val="0"/>
          <w:divBdr>
            <w:top w:val="none" w:sz="0" w:space="0" w:color="auto"/>
            <w:left w:val="none" w:sz="0" w:space="0" w:color="auto"/>
            <w:bottom w:val="none" w:sz="0" w:space="0" w:color="auto"/>
            <w:right w:val="none" w:sz="0" w:space="0" w:color="auto"/>
          </w:divBdr>
        </w:div>
      </w:divsChild>
    </w:div>
    <w:div w:id="532808861">
      <w:marLeft w:val="0"/>
      <w:marRight w:val="0"/>
      <w:marTop w:val="0"/>
      <w:marBottom w:val="0"/>
      <w:divBdr>
        <w:top w:val="none" w:sz="0" w:space="0" w:color="auto"/>
        <w:left w:val="none" w:sz="0" w:space="0" w:color="auto"/>
        <w:bottom w:val="none" w:sz="0" w:space="0" w:color="auto"/>
        <w:right w:val="none" w:sz="0" w:space="0" w:color="auto"/>
      </w:divBdr>
    </w:div>
    <w:div w:id="562301229">
      <w:marLeft w:val="0"/>
      <w:marRight w:val="0"/>
      <w:marTop w:val="0"/>
      <w:marBottom w:val="0"/>
      <w:divBdr>
        <w:top w:val="none" w:sz="0" w:space="0" w:color="auto"/>
        <w:left w:val="none" w:sz="0" w:space="0" w:color="auto"/>
        <w:bottom w:val="none" w:sz="0" w:space="0" w:color="auto"/>
        <w:right w:val="none" w:sz="0" w:space="0" w:color="auto"/>
      </w:divBdr>
      <w:divsChild>
        <w:div w:id="1302690284">
          <w:marLeft w:val="0"/>
          <w:marRight w:val="0"/>
          <w:marTop w:val="0"/>
          <w:marBottom w:val="0"/>
          <w:divBdr>
            <w:top w:val="none" w:sz="0" w:space="0" w:color="auto"/>
            <w:left w:val="none" w:sz="0" w:space="0" w:color="auto"/>
            <w:bottom w:val="none" w:sz="0" w:space="0" w:color="auto"/>
            <w:right w:val="none" w:sz="0" w:space="0" w:color="auto"/>
          </w:divBdr>
        </w:div>
        <w:div w:id="13844344">
          <w:marLeft w:val="0"/>
          <w:marRight w:val="0"/>
          <w:marTop w:val="0"/>
          <w:marBottom w:val="0"/>
          <w:divBdr>
            <w:top w:val="none" w:sz="0" w:space="0" w:color="auto"/>
            <w:left w:val="none" w:sz="0" w:space="0" w:color="auto"/>
            <w:bottom w:val="none" w:sz="0" w:space="0" w:color="auto"/>
            <w:right w:val="none" w:sz="0" w:space="0" w:color="auto"/>
          </w:divBdr>
        </w:div>
        <w:div w:id="1630282069">
          <w:marLeft w:val="0"/>
          <w:marRight w:val="0"/>
          <w:marTop w:val="0"/>
          <w:marBottom w:val="0"/>
          <w:divBdr>
            <w:top w:val="none" w:sz="0" w:space="0" w:color="auto"/>
            <w:left w:val="none" w:sz="0" w:space="0" w:color="auto"/>
            <w:bottom w:val="none" w:sz="0" w:space="0" w:color="auto"/>
            <w:right w:val="none" w:sz="0" w:space="0" w:color="auto"/>
          </w:divBdr>
          <w:divsChild>
            <w:div w:id="39668390">
              <w:marLeft w:val="0"/>
              <w:marRight w:val="0"/>
              <w:marTop w:val="0"/>
              <w:marBottom w:val="0"/>
              <w:divBdr>
                <w:top w:val="none" w:sz="0" w:space="0" w:color="auto"/>
                <w:left w:val="none" w:sz="0" w:space="0" w:color="auto"/>
                <w:bottom w:val="none" w:sz="0" w:space="0" w:color="auto"/>
                <w:right w:val="none" w:sz="0" w:space="0" w:color="auto"/>
              </w:divBdr>
            </w:div>
          </w:divsChild>
        </w:div>
        <w:div w:id="1062828959">
          <w:marLeft w:val="0"/>
          <w:marRight w:val="0"/>
          <w:marTop w:val="0"/>
          <w:marBottom w:val="0"/>
          <w:divBdr>
            <w:top w:val="none" w:sz="0" w:space="0" w:color="auto"/>
            <w:left w:val="none" w:sz="0" w:space="0" w:color="auto"/>
            <w:bottom w:val="none" w:sz="0" w:space="0" w:color="auto"/>
            <w:right w:val="none" w:sz="0" w:space="0" w:color="auto"/>
          </w:divBdr>
        </w:div>
      </w:divsChild>
    </w:div>
    <w:div w:id="565606389">
      <w:marLeft w:val="0"/>
      <w:marRight w:val="0"/>
      <w:marTop w:val="0"/>
      <w:marBottom w:val="0"/>
      <w:divBdr>
        <w:top w:val="none" w:sz="0" w:space="0" w:color="auto"/>
        <w:left w:val="none" w:sz="0" w:space="0" w:color="auto"/>
        <w:bottom w:val="none" w:sz="0" w:space="0" w:color="auto"/>
        <w:right w:val="none" w:sz="0" w:space="0" w:color="auto"/>
      </w:divBdr>
    </w:div>
    <w:div w:id="566574797">
      <w:marLeft w:val="0"/>
      <w:marRight w:val="0"/>
      <w:marTop w:val="0"/>
      <w:marBottom w:val="0"/>
      <w:divBdr>
        <w:top w:val="none" w:sz="0" w:space="0" w:color="auto"/>
        <w:left w:val="none" w:sz="0" w:space="0" w:color="auto"/>
        <w:bottom w:val="none" w:sz="0" w:space="0" w:color="auto"/>
        <w:right w:val="none" w:sz="0" w:space="0" w:color="auto"/>
      </w:divBdr>
      <w:divsChild>
        <w:div w:id="1109862080">
          <w:marLeft w:val="0"/>
          <w:marRight w:val="0"/>
          <w:marTop w:val="0"/>
          <w:marBottom w:val="0"/>
          <w:divBdr>
            <w:top w:val="none" w:sz="0" w:space="0" w:color="auto"/>
            <w:left w:val="none" w:sz="0" w:space="0" w:color="auto"/>
            <w:bottom w:val="none" w:sz="0" w:space="0" w:color="auto"/>
            <w:right w:val="none" w:sz="0" w:space="0" w:color="auto"/>
          </w:divBdr>
        </w:div>
      </w:divsChild>
    </w:div>
    <w:div w:id="570777167">
      <w:marLeft w:val="0"/>
      <w:marRight w:val="0"/>
      <w:marTop w:val="0"/>
      <w:marBottom w:val="0"/>
      <w:divBdr>
        <w:top w:val="none" w:sz="0" w:space="0" w:color="auto"/>
        <w:left w:val="none" w:sz="0" w:space="0" w:color="auto"/>
        <w:bottom w:val="none" w:sz="0" w:space="0" w:color="auto"/>
        <w:right w:val="none" w:sz="0" w:space="0" w:color="auto"/>
      </w:divBdr>
    </w:div>
    <w:div w:id="574976117">
      <w:marLeft w:val="0"/>
      <w:marRight w:val="0"/>
      <w:marTop w:val="0"/>
      <w:marBottom w:val="0"/>
      <w:divBdr>
        <w:top w:val="none" w:sz="0" w:space="0" w:color="auto"/>
        <w:left w:val="none" w:sz="0" w:space="0" w:color="auto"/>
        <w:bottom w:val="none" w:sz="0" w:space="0" w:color="auto"/>
        <w:right w:val="none" w:sz="0" w:space="0" w:color="auto"/>
      </w:divBdr>
      <w:divsChild>
        <w:div w:id="1190610210">
          <w:marLeft w:val="0"/>
          <w:marRight w:val="0"/>
          <w:marTop w:val="0"/>
          <w:marBottom w:val="0"/>
          <w:divBdr>
            <w:top w:val="none" w:sz="0" w:space="0" w:color="auto"/>
            <w:left w:val="none" w:sz="0" w:space="0" w:color="auto"/>
            <w:bottom w:val="none" w:sz="0" w:space="0" w:color="auto"/>
            <w:right w:val="none" w:sz="0" w:space="0" w:color="auto"/>
          </w:divBdr>
        </w:div>
        <w:div w:id="1271861742">
          <w:marLeft w:val="0"/>
          <w:marRight w:val="0"/>
          <w:marTop w:val="0"/>
          <w:marBottom w:val="0"/>
          <w:divBdr>
            <w:top w:val="none" w:sz="0" w:space="0" w:color="auto"/>
            <w:left w:val="none" w:sz="0" w:space="0" w:color="auto"/>
            <w:bottom w:val="none" w:sz="0" w:space="0" w:color="auto"/>
            <w:right w:val="none" w:sz="0" w:space="0" w:color="auto"/>
          </w:divBdr>
        </w:div>
        <w:div w:id="696153964">
          <w:marLeft w:val="0"/>
          <w:marRight w:val="0"/>
          <w:marTop w:val="0"/>
          <w:marBottom w:val="0"/>
          <w:divBdr>
            <w:top w:val="none" w:sz="0" w:space="0" w:color="auto"/>
            <w:left w:val="none" w:sz="0" w:space="0" w:color="auto"/>
            <w:bottom w:val="none" w:sz="0" w:space="0" w:color="auto"/>
            <w:right w:val="none" w:sz="0" w:space="0" w:color="auto"/>
          </w:divBdr>
          <w:divsChild>
            <w:div w:id="1741363553">
              <w:marLeft w:val="0"/>
              <w:marRight w:val="0"/>
              <w:marTop w:val="0"/>
              <w:marBottom w:val="0"/>
              <w:divBdr>
                <w:top w:val="none" w:sz="0" w:space="0" w:color="auto"/>
                <w:left w:val="none" w:sz="0" w:space="0" w:color="auto"/>
                <w:bottom w:val="none" w:sz="0" w:space="0" w:color="auto"/>
                <w:right w:val="none" w:sz="0" w:space="0" w:color="auto"/>
              </w:divBdr>
            </w:div>
          </w:divsChild>
        </w:div>
        <w:div w:id="50883609">
          <w:marLeft w:val="0"/>
          <w:marRight w:val="0"/>
          <w:marTop w:val="0"/>
          <w:marBottom w:val="0"/>
          <w:divBdr>
            <w:top w:val="none" w:sz="0" w:space="0" w:color="auto"/>
            <w:left w:val="none" w:sz="0" w:space="0" w:color="auto"/>
            <w:bottom w:val="none" w:sz="0" w:space="0" w:color="auto"/>
            <w:right w:val="none" w:sz="0" w:space="0" w:color="auto"/>
          </w:divBdr>
        </w:div>
      </w:divsChild>
    </w:div>
    <w:div w:id="577596299">
      <w:marLeft w:val="0"/>
      <w:marRight w:val="0"/>
      <w:marTop w:val="0"/>
      <w:marBottom w:val="0"/>
      <w:divBdr>
        <w:top w:val="none" w:sz="0" w:space="0" w:color="auto"/>
        <w:left w:val="none" w:sz="0" w:space="0" w:color="auto"/>
        <w:bottom w:val="none" w:sz="0" w:space="0" w:color="auto"/>
        <w:right w:val="none" w:sz="0" w:space="0" w:color="auto"/>
      </w:divBdr>
      <w:divsChild>
        <w:div w:id="1702630962">
          <w:marLeft w:val="0"/>
          <w:marRight w:val="0"/>
          <w:marTop w:val="0"/>
          <w:marBottom w:val="0"/>
          <w:divBdr>
            <w:top w:val="none" w:sz="0" w:space="0" w:color="auto"/>
            <w:left w:val="none" w:sz="0" w:space="0" w:color="auto"/>
            <w:bottom w:val="none" w:sz="0" w:space="0" w:color="auto"/>
            <w:right w:val="none" w:sz="0" w:space="0" w:color="auto"/>
          </w:divBdr>
        </w:div>
        <w:div w:id="2003779943">
          <w:marLeft w:val="0"/>
          <w:marRight w:val="0"/>
          <w:marTop w:val="0"/>
          <w:marBottom w:val="0"/>
          <w:divBdr>
            <w:top w:val="none" w:sz="0" w:space="0" w:color="auto"/>
            <w:left w:val="none" w:sz="0" w:space="0" w:color="auto"/>
            <w:bottom w:val="none" w:sz="0" w:space="0" w:color="auto"/>
            <w:right w:val="none" w:sz="0" w:space="0" w:color="auto"/>
          </w:divBdr>
          <w:divsChild>
            <w:div w:id="30808065">
              <w:marLeft w:val="0"/>
              <w:marRight w:val="0"/>
              <w:marTop w:val="0"/>
              <w:marBottom w:val="0"/>
              <w:divBdr>
                <w:top w:val="none" w:sz="0" w:space="0" w:color="auto"/>
                <w:left w:val="none" w:sz="0" w:space="0" w:color="auto"/>
                <w:bottom w:val="none" w:sz="0" w:space="0" w:color="auto"/>
                <w:right w:val="none" w:sz="0" w:space="0" w:color="auto"/>
              </w:divBdr>
            </w:div>
            <w:div w:id="1535574852">
              <w:marLeft w:val="0"/>
              <w:marRight w:val="0"/>
              <w:marTop w:val="0"/>
              <w:marBottom w:val="0"/>
              <w:divBdr>
                <w:top w:val="none" w:sz="0" w:space="0" w:color="auto"/>
                <w:left w:val="none" w:sz="0" w:space="0" w:color="auto"/>
                <w:bottom w:val="none" w:sz="0" w:space="0" w:color="auto"/>
                <w:right w:val="none" w:sz="0" w:space="0" w:color="auto"/>
              </w:divBdr>
            </w:div>
            <w:div w:id="389504055">
              <w:marLeft w:val="0"/>
              <w:marRight w:val="0"/>
              <w:marTop w:val="0"/>
              <w:marBottom w:val="0"/>
              <w:divBdr>
                <w:top w:val="none" w:sz="0" w:space="0" w:color="auto"/>
                <w:left w:val="none" w:sz="0" w:space="0" w:color="auto"/>
                <w:bottom w:val="none" w:sz="0" w:space="0" w:color="auto"/>
                <w:right w:val="none" w:sz="0" w:space="0" w:color="auto"/>
              </w:divBdr>
              <w:divsChild>
                <w:div w:id="1373921107">
                  <w:marLeft w:val="0"/>
                  <w:marRight w:val="0"/>
                  <w:marTop w:val="0"/>
                  <w:marBottom w:val="0"/>
                  <w:divBdr>
                    <w:top w:val="none" w:sz="0" w:space="0" w:color="auto"/>
                    <w:left w:val="none" w:sz="0" w:space="0" w:color="auto"/>
                    <w:bottom w:val="none" w:sz="0" w:space="0" w:color="auto"/>
                    <w:right w:val="none" w:sz="0" w:space="0" w:color="auto"/>
                  </w:divBdr>
                </w:div>
              </w:divsChild>
            </w:div>
            <w:div w:id="10350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640">
      <w:marLeft w:val="0"/>
      <w:marRight w:val="0"/>
      <w:marTop w:val="0"/>
      <w:marBottom w:val="0"/>
      <w:divBdr>
        <w:top w:val="none" w:sz="0" w:space="0" w:color="auto"/>
        <w:left w:val="none" w:sz="0" w:space="0" w:color="auto"/>
        <w:bottom w:val="none" w:sz="0" w:space="0" w:color="auto"/>
        <w:right w:val="none" w:sz="0" w:space="0" w:color="auto"/>
      </w:divBdr>
      <w:divsChild>
        <w:div w:id="1131283160">
          <w:marLeft w:val="0"/>
          <w:marRight w:val="0"/>
          <w:marTop w:val="0"/>
          <w:marBottom w:val="0"/>
          <w:divBdr>
            <w:top w:val="none" w:sz="0" w:space="0" w:color="auto"/>
            <w:left w:val="none" w:sz="0" w:space="0" w:color="auto"/>
            <w:bottom w:val="none" w:sz="0" w:space="0" w:color="auto"/>
            <w:right w:val="none" w:sz="0" w:space="0" w:color="auto"/>
          </w:divBdr>
        </w:div>
        <w:div w:id="401485504">
          <w:marLeft w:val="0"/>
          <w:marRight w:val="0"/>
          <w:marTop w:val="0"/>
          <w:marBottom w:val="0"/>
          <w:divBdr>
            <w:top w:val="none" w:sz="0" w:space="0" w:color="auto"/>
            <w:left w:val="none" w:sz="0" w:space="0" w:color="auto"/>
            <w:bottom w:val="none" w:sz="0" w:space="0" w:color="auto"/>
            <w:right w:val="none" w:sz="0" w:space="0" w:color="auto"/>
          </w:divBdr>
        </w:div>
        <w:div w:id="1900163823">
          <w:marLeft w:val="0"/>
          <w:marRight w:val="0"/>
          <w:marTop w:val="0"/>
          <w:marBottom w:val="0"/>
          <w:divBdr>
            <w:top w:val="none" w:sz="0" w:space="0" w:color="auto"/>
            <w:left w:val="none" w:sz="0" w:space="0" w:color="auto"/>
            <w:bottom w:val="none" w:sz="0" w:space="0" w:color="auto"/>
            <w:right w:val="none" w:sz="0" w:space="0" w:color="auto"/>
          </w:divBdr>
          <w:divsChild>
            <w:div w:id="94400182">
              <w:marLeft w:val="0"/>
              <w:marRight w:val="0"/>
              <w:marTop w:val="0"/>
              <w:marBottom w:val="0"/>
              <w:divBdr>
                <w:top w:val="none" w:sz="0" w:space="0" w:color="auto"/>
                <w:left w:val="none" w:sz="0" w:space="0" w:color="auto"/>
                <w:bottom w:val="none" w:sz="0" w:space="0" w:color="auto"/>
                <w:right w:val="none" w:sz="0" w:space="0" w:color="auto"/>
              </w:divBdr>
            </w:div>
          </w:divsChild>
        </w:div>
        <w:div w:id="328406295">
          <w:marLeft w:val="0"/>
          <w:marRight w:val="0"/>
          <w:marTop w:val="0"/>
          <w:marBottom w:val="0"/>
          <w:divBdr>
            <w:top w:val="none" w:sz="0" w:space="0" w:color="auto"/>
            <w:left w:val="none" w:sz="0" w:space="0" w:color="auto"/>
            <w:bottom w:val="none" w:sz="0" w:space="0" w:color="auto"/>
            <w:right w:val="none" w:sz="0" w:space="0" w:color="auto"/>
          </w:divBdr>
        </w:div>
      </w:divsChild>
    </w:div>
    <w:div w:id="601306086">
      <w:marLeft w:val="0"/>
      <w:marRight w:val="0"/>
      <w:marTop w:val="0"/>
      <w:marBottom w:val="0"/>
      <w:divBdr>
        <w:top w:val="none" w:sz="0" w:space="0" w:color="auto"/>
        <w:left w:val="none" w:sz="0" w:space="0" w:color="auto"/>
        <w:bottom w:val="none" w:sz="0" w:space="0" w:color="auto"/>
        <w:right w:val="none" w:sz="0" w:space="0" w:color="auto"/>
      </w:divBdr>
      <w:divsChild>
        <w:div w:id="2318226">
          <w:marLeft w:val="0"/>
          <w:marRight w:val="0"/>
          <w:marTop w:val="0"/>
          <w:marBottom w:val="0"/>
          <w:divBdr>
            <w:top w:val="none" w:sz="0" w:space="0" w:color="auto"/>
            <w:left w:val="none" w:sz="0" w:space="0" w:color="auto"/>
            <w:bottom w:val="none" w:sz="0" w:space="0" w:color="auto"/>
            <w:right w:val="none" w:sz="0" w:space="0" w:color="auto"/>
          </w:divBdr>
        </w:div>
        <w:div w:id="234752573">
          <w:marLeft w:val="0"/>
          <w:marRight w:val="0"/>
          <w:marTop w:val="0"/>
          <w:marBottom w:val="0"/>
          <w:divBdr>
            <w:top w:val="none" w:sz="0" w:space="0" w:color="auto"/>
            <w:left w:val="none" w:sz="0" w:space="0" w:color="auto"/>
            <w:bottom w:val="none" w:sz="0" w:space="0" w:color="auto"/>
            <w:right w:val="none" w:sz="0" w:space="0" w:color="auto"/>
          </w:divBdr>
        </w:div>
        <w:div w:id="2136362574">
          <w:marLeft w:val="0"/>
          <w:marRight w:val="0"/>
          <w:marTop w:val="0"/>
          <w:marBottom w:val="0"/>
          <w:divBdr>
            <w:top w:val="none" w:sz="0" w:space="0" w:color="auto"/>
            <w:left w:val="none" w:sz="0" w:space="0" w:color="auto"/>
            <w:bottom w:val="none" w:sz="0" w:space="0" w:color="auto"/>
            <w:right w:val="none" w:sz="0" w:space="0" w:color="auto"/>
          </w:divBdr>
          <w:divsChild>
            <w:div w:id="1174760789">
              <w:marLeft w:val="0"/>
              <w:marRight w:val="0"/>
              <w:marTop w:val="0"/>
              <w:marBottom w:val="0"/>
              <w:divBdr>
                <w:top w:val="none" w:sz="0" w:space="0" w:color="auto"/>
                <w:left w:val="none" w:sz="0" w:space="0" w:color="auto"/>
                <w:bottom w:val="none" w:sz="0" w:space="0" w:color="auto"/>
                <w:right w:val="none" w:sz="0" w:space="0" w:color="auto"/>
              </w:divBdr>
            </w:div>
          </w:divsChild>
        </w:div>
        <w:div w:id="313875700">
          <w:marLeft w:val="0"/>
          <w:marRight w:val="0"/>
          <w:marTop w:val="0"/>
          <w:marBottom w:val="0"/>
          <w:divBdr>
            <w:top w:val="none" w:sz="0" w:space="0" w:color="auto"/>
            <w:left w:val="none" w:sz="0" w:space="0" w:color="auto"/>
            <w:bottom w:val="none" w:sz="0" w:space="0" w:color="auto"/>
            <w:right w:val="none" w:sz="0" w:space="0" w:color="auto"/>
          </w:divBdr>
        </w:div>
      </w:divsChild>
    </w:div>
    <w:div w:id="606233481">
      <w:marLeft w:val="0"/>
      <w:marRight w:val="0"/>
      <w:marTop w:val="0"/>
      <w:marBottom w:val="0"/>
      <w:divBdr>
        <w:top w:val="none" w:sz="0" w:space="0" w:color="auto"/>
        <w:left w:val="none" w:sz="0" w:space="0" w:color="auto"/>
        <w:bottom w:val="none" w:sz="0" w:space="0" w:color="auto"/>
        <w:right w:val="none" w:sz="0" w:space="0" w:color="auto"/>
      </w:divBdr>
    </w:div>
    <w:div w:id="624117056">
      <w:marLeft w:val="0"/>
      <w:marRight w:val="0"/>
      <w:marTop w:val="0"/>
      <w:marBottom w:val="0"/>
      <w:divBdr>
        <w:top w:val="none" w:sz="0" w:space="0" w:color="auto"/>
        <w:left w:val="none" w:sz="0" w:space="0" w:color="auto"/>
        <w:bottom w:val="none" w:sz="0" w:space="0" w:color="auto"/>
        <w:right w:val="none" w:sz="0" w:space="0" w:color="auto"/>
      </w:divBdr>
      <w:divsChild>
        <w:div w:id="1414862717">
          <w:marLeft w:val="0"/>
          <w:marRight w:val="0"/>
          <w:marTop w:val="0"/>
          <w:marBottom w:val="0"/>
          <w:divBdr>
            <w:top w:val="none" w:sz="0" w:space="0" w:color="auto"/>
            <w:left w:val="none" w:sz="0" w:space="0" w:color="auto"/>
            <w:bottom w:val="none" w:sz="0" w:space="0" w:color="auto"/>
            <w:right w:val="none" w:sz="0" w:space="0" w:color="auto"/>
          </w:divBdr>
        </w:div>
      </w:divsChild>
    </w:div>
    <w:div w:id="630675341">
      <w:marLeft w:val="0"/>
      <w:marRight w:val="0"/>
      <w:marTop w:val="0"/>
      <w:marBottom w:val="0"/>
      <w:divBdr>
        <w:top w:val="none" w:sz="0" w:space="0" w:color="auto"/>
        <w:left w:val="none" w:sz="0" w:space="0" w:color="auto"/>
        <w:bottom w:val="none" w:sz="0" w:space="0" w:color="auto"/>
        <w:right w:val="none" w:sz="0" w:space="0" w:color="auto"/>
      </w:divBdr>
    </w:div>
    <w:div w:id="644554148">
      <w:marLeft w:val="0"/>
      <w:marRight w:val="0"/>
      <w:marTop w:val="0"/>
      <w:marBottom w:val="0"/>
      <w:divBdr>
        <w:top w:val="none" w:sz="0" w:space="0" w:color="auto"/>
        <w:left w:val="none" w:sz="0" w:space="0" w:color="auto"/>
        <w:bottom w:val="none" w:sz="0" w:space="0" w:color="auto"/>
        <w:right w:val="none" w:sz="0" w:space="0" w:color="auto"/>
      </w:divBdr>
      <w:divsChild>
        <w:div w:id="838539603">
          <w:marLeft w:val="0"/>
          <w:marRight w:val="0"/>
          <w:marTop w:val="0"/>
          <w:marBottom w:val="0"/>
          <w:divBdr>
            <w:top w:val="none" w:sz="0" w:space="0" w:color="auto"/>
            <w:left w:val="none" w:sz="0" w:space="0" w:color="auto"/>
            <w:bottom w:val="none" w:sz="0" w:space="0" w:color="auto"/>
            <w:right w:val="none" w:sz="0" w:space="0" w:color="auto"/>
          </w:divBdr>
        </w:div>
        <w:div w:id="93599547">
          <w:marLeft w:val="0"/>
          <w:marRight w:val="0"/>
          <w:marTop w:val="0"/>
          <w:marBottom w:val="0"/>
          <w:divBdr>
            <w:top w:val="none" w:sz="0" w:space="0" w:color="auto"/>
            <w:left w:val="none" w:sz="0" w:space="0" w:color="auto"/>
            <w:bottom w:val="none" w:sz="0" w:space="0" w:color="auto"/>
            <w:right w:val="none" w:sz="0" w:space="0" w:color="auto"/>
          </w:divBdr>
        </w:div>
        <w:div w:id="1659530102">
          <w:marLeft w:val="0"/>
          <w:marRight w:val="0"/>
          <w:marTop w:val="0"/>
          <w:marBottom w:val="0"/>
          <w:divBdr>
            <w:top w:val="none" w:sz="0" w:space="0" w:color="auto"/>
            <w:left w:val="none" w:sz="0" w:space="0" w:color="auto"/>
            <w:bottom w:val="none" w:sz="0" w:space="0" w:color="auto"/>
            <w:right w:val="none" w:sz="0" w:space="0" w:color="auto"/>
          </w:divBdr>
          <w:divsChild>
            <w:div w:id="1868058442">
              <w:marLeft w:val="0"/>
              <w:marRight w:val="0"/>
              <w:marTop w:val="0"/>
              <w:marBottom w:val="0"/>
              <w:divBdr>
                <w:top w:val="none" w:sz="0" w:space="0" w:color="auto"/>
                <w:left w:val="none" w:sz="0" w:space="0" w:color="auto"/>
                <w:bottom w:val="none" w:sz="0" w:space="0" w:color="auto"/>
                <w:right w:val="none" w:sz="0" w:space="0" w:color="auto"/>
              </w:divBdr>
            </w:div>
          </w:divsChild>
        </w:div>
        <w:div w:id="699161494">
          <w:marLeft w:val="0"/>
          <w:marRight w:val="0"/>
          <w:marTop w:val="0"/>
          <w:marBottom w:val="0"/>
          <w:divBdr>
            <w:top w:val="none" w:sz="0" w:space="0" w:color="auto"/>
            <w:left w:val="none" w:sz="0" w:space="0" w:color="auto"/>
            <w:bottom w:val="none" w:sz="0" w:space="0" w:color="auto"/>
            <w:right w:val="none" w:sz="0" w:space="0" w:color="auto"/>
          </w:divBdr>
        </w:div>
      </w:divsChild>
    </w:div>
    <w:div w:id="645161106">
      <w:marLeft w:val="0"/>
      <w:marRight w:val="0"/>
      <w:marTop w:val="0"/>
      <w:marBottom w:val="0"/>
      <w:divBdr>
        <w:top w:val="none" w:sz="0" w:space="0" w:color="auto"/>
        <w:left w:val="none" w:sz="0" w:space="0" w:color="auto"/>
        <w:bottom w:val="none" w:sz="0" w:space="0" w:color="auto"/>
        <w:right w:val="none" w:sz="0" w:space="0" w:color="auto"/>
      </w:divBdr>
    </w:div>
    <w:div w:id="661858879">
      <w:marLeft w:val="0"/>
      <w:marRight w:val="0"/>
      <w:marTop w:val="0"/>
      <w:marBottom w:val="0"/>
      <w:divBdr>
        <w:top w:val="none" w:sz="0" w:space="0" w:color="auto"/>
        <w:left w:val="none" w:sz="0" w:space="0" w:color="auto"/>
        <w:bottom w:val="none" w:sz="0" w:space="0" w:color="auto"/>
        <w:right w:val="none" w:sz="0" w:space="0" w:color="auto"/>
      </w:divBdr>
      <w:divsChild>
        <w:div w:id="902061353">
          <w:marLeft w:val="0"/>
          <w:marRight w:val="0"/>
          <w:marTop w:val="0"/>
          <w:marBottom w:val="0"/>
          <w:divBdr>
            <w:top w:val="none" w:sz="0" w:space="0" w:color="auto"/>
            <w:left w:val="none" w:sz="0" w:space="0" w:color="auto"/>
            <w:bottom w:val="none" w:sz="0" w:space="0" w:color="auto"/>
            <w:right w:val="none" w:sz="0" w:space="0" w:color="auto"/>
          </w:divBdr>
        </w:div>
        <w:div w:id="320084472">
          <w:marLeft w:val="0"/>
          <w:marRight w:val="0"/>
          <w:marTop w:val="0"/>
          <w:marBottom w:val="0"/>
          <w:divBdr>
            <w:top w:val="none" w:sz="0" w:space="0" w:color="auto"/>
            <w:left w:val="none" w:sz="0" w:space="0" w:color="auto"/>
            <w:bottom w:val="none" w:sz="0" w:space="0" w:color="auto"/>
            <w:right w:val="none" w:sz="0" w:space="0" w:color="auto"/>
          </w:divBdr>
        </w:div>
        <w:div w:id="1384675683">
          <w:marLeft w:val="0"/>
          <w:marRight w:val="0"/>
          <w:marTop w:val="0"/>
          <w:marBottom w:val="0"/>
          <w:divBdr>
            <w:top w:val="none" w:sz="0" w:space="0" w:color="auto"/>
            <w:left w:val="none" w:sz="0" w:space="0" w:color="auto"/>
            <w:bottom w:val="none" w:sz="0" w:space="0" w:color="auto"/>
            <w:right w:val="none" w:sz="0" w:space="0" w:color="auto"/>
          </w:divBdr>
          <w:divsChild>
            <w:div w:id="1204640316">
              <w:marLeft w:val="0"/>
              <w:marRight w:val="0"/>
              <w:marTop w:val="0"/>
              <w:marBottom w:val="0"/>
              <w:divBdr>
                <w:top w:val="none" w:sz="0" w:space="0" w:color="auto"/>
                <w:left w:val="none" w:sz="0" w:space="0" w:color="auto"/>
                <w:bottom w:val="none" w:sz="0" w:space="0" w:color="auto"/>
                <w:right w:val="none" w:sz="0" w:space="0" w:color="auto"/>
              </w:divBdr>
            </w:div>
          </w:divsChild>
        </w:div>
        <w:div w:id="1736393644">
          <w:marLeft w:val="0"/>
          <w:marRight w:val="0"/>
          <w:marTop w:val="0"/>
          <w:marBottom w:val="0"/>
          <w:divBdr>
            <w:top w:val="none" w:sz="0" w:space="0" w:color="auto"/>
            <w:left w:val="none" w:sz="0" w:space="0" w:color="auto"/>
            <w:bottom w:val="none" w:sz="0" w:space="0" w:color="auto"/>
            <w:right w:val="none" w:sz="0" w:space="0" w:color="auto"/>
          </w:divBdr>
        </w:div>
      </w:divsChild>
    </w:div>
    <w:div w:id="675302252">
      <w:marLeft w:val="0"/>
      <w:marRight w:val="0"/>
      <w:marTop w:val="0"/>
      <w:marBottom w:val="0"/>
      <w:divBdr>
        <w:top w:val="none" w:sz="0" w:space="0" w:color="auto"/>
        <w:left w:val="none" w:sz="0" w:space="0" w:color="auto"/>
        <w:bottom w:val="none" w:sz="0" w:space="0" w:color="auto"/>
        <w:right w:val="none" w:sz="0" w:space="0" w:color="auto"/>
      </w:divBdr>
    </w:div>
    <w:div w:id="676808035">
      <w:marLeft w:val="0"/>
      <w:marRight w:val="0"/>
      <w:marTop w:val="0"/>
      <w:marBottom w:val="0"/>
      <w:divBdr>
        <w:top w:val="none" w:sz="0" w:space="0" w:color="auto"/>
        <w:left w:val="none" w:sz="0" w:space="0" w:color="auto"/>
        <w:bottom w:val="none" w:sz="0" w:space="0" w:color="auto"/>
        <w:right w:val="none" w:sz="0" w:space="0" w:color="auto"/>
      </w:divBdr>
      <w:divsChild>
        <w:div w:id="1778671497">
          <w:marLeft w:val="0"/>
          <w:marRight w:val="0"/>
          <w:marTop w:val="0"/>
          <w:marBottom w:val="0"/>
          <w:divBdr>
            <w:top w:val="none" w:sz="0" w:space="0" w:color="auto"/>
            <w:left w:val="none" w:sz="0" w:space="0" w:color="auto"/>
            <w:bottom w:val="none" w:sz="0" w:space="0" w:color="auto"/>
            <w:right w:val="none" w:sz="0" w:space="0" w:color="auto"/>
          </w:divBdr>
        </w:div>
      </w:divsChild>
    </w:div>
    <w:div w:id="689187875">
      <w:marLeft w:val="0"/>
      <w:marRight w:val="0"/>
      <w:marTop w:val="0"/>
      <w:marBottom w:val="0"/>
      <w:divBdr>
        <w:top w:val="none" w:sz="0" w:space="0" w:color="auto"/>
        <w:left w:val="none" w:sz="0" w:space="0" w:color="auto"/>
        <w:bottom w:val="none" w:sz="0" w:space="0" w:color="auto"/>
        <w:right w:val="none" w:sz="0" w:space="0" w:color="auto"/>
      </w:divBdr>
      <w:divsChild>
        <w:div w:id="415516652">
          <w:marLeft w:val="0"/>
          <w:marRight w:val="0"/>
          <w:marTop w:val="0"/>
          <w:marBottom w:val="0"/>
          <w:divBdr>
            <w:top w:val="none" w:sz="0" w:space="0" w:color="auto"/>
            <w:left w:val="none" w:sz="0" w:space="0" w:color="auto"/>
            <w:bottom w:val="none" w:sz="0" w:space="0" w:color="auto"/>
            <w:right w:val="none" w:sz="0" w:space="0" w:color="auto"/>
          </w:divBdr>
        </w:div>
        <w:div w:id="1284965093">
          <w:marLeft w:val="0"/>
          <w:marRight w:val="0"/>
          <w:marTop w:val="0"/>
          <w:marBottom w:val="0"/>
          <w:divBdr>
            <w:top w:val="none" w:sz="0" w:space="0" w:color="auto"/>
            <w:left w:val="none" w:sz="0" w:space="0" w:color="auto"/>
            <w:bottom w:val="none" w:sz="0" w:space="0" w:color="auto"/>
            <w:right w:val="none" w:sz="0" w:space="0" w:color="auto"/>
          </w:divBdr>
        </w:div>
        <w:div w:id="672412090">
          <w:marLeft w:val="0"/>
          <w:marRight w:val="0"/>
          <w:marTop w:val="0"/>
          <w:marBottom w:val="0"/>
          <w:divBdr>
            <w:top w:val="none" w:sz="0" w:space="0" w:color="auto"/>
            <w:left w:val="none" w:sz="0" w:space="0" w:color="auto"/>
            <w:bottom w:val="none" w:sz="0" w:space="0" w:color="auto"/>
            <w:right w:val="none" w:sz="0" w:space="0" w:color="auto"/>
          </w:divBdr>
          <w:divsChild>
            <w:div w:id="583881101">
              <w:marLeft w:val="0"/>
              <w:marRight w:val="0"/>
              <w:marTop w:val="0"/>
              <w:marBottom w:val="0"/>
              <w:divBdr>
                <w:top w:val="none" w:sz="0" w:space="0" w:color="auto"/>
                <w:left w:val="none" w:sz="0" w:space="0" w:color="auto"/>
                <w:bottom w:val="none" w:sz="0" w:space="0" w:color="auto"/>
                <w:right w:val="none" w:sz="0" w:space="0" w:color="auto"/>
              </w:divBdr>
            </w:div>
          </w:divsChild>
        </w:div>
        <w:div w:id="1088386464">
          <w:marLeft w:val="0"/>
          <w:marRight w:val="0"/>
          <w:marTop w:val="0"/>
          <w:marBottom w:val="0"/>
          <w:divBdr>
            <w:top w:val="none" w:sz="0" w:space="0" w:color="auto"/>
            <w:left w:val="none" w:sz="0" w:space="0" w:color="auto"/>
            <w:bottom w:val="none" w:sz="0" w:space="0" w:color="auto"/>
            <w:right w:val="none" w:sz="0" w:space="0" w:color="auto"/>
          </w:divBdr>
        </w:div>
      </w:divsChild>
    </w:div>
    <w:div w:id="690758847">
      <w:marLeft w:val="0"/>
      <w:marRight w:val="0"/>
      <w:marTop w:val="0"/>
      <w:marBottom w:val="0"/>
      <w:divBdr>
        <w:top w:val="none" w:sz="0" w:space="0" w:color="auto"/>
        <w:left w:val="none" w:sz="0" w:space="0" w:color="auto"/>
        <w:bottom w:val="none" w:sz="0" w:space="0" w:color="auto"/>
        <w:right w:val="none" w:sz="0" w:space="0" w:color="auto"/>
      </w:divBdr>
      <w:divsChild>
        <w:div w:id="961576790">
          <w:marLeft w:val="0"/>
          <w:marRight w:val="0"/>
          <w:marTop w:val="0"/>
          <w:marBottom w:val="0"/>
          <w:divBdr>
            <w:top w:val="none" w:sz="0" w:space="0" w:color="auto"/>
            <w:left w:val="none" w:sz="0" w:space="0" w:color="auto"/>
            <w:bottom w:val="none" w:sz="0" w:space="0" w:color="auto"/>
            <w:right w:val="none" w:sz="0" w:space="0" w:color="auto"/>
          </w:divBdr>
        </w:div>
        <w:div w:id="797795910">
          <w:marLeft w:val="0"/>
          <w:marRight w:val="0"/>
          <w:marTop w:val="0"/>
          <w:marBottom w:val="0"/>
          <w:divBdr>
            <w:top w:val="none" w:sz="0" w:space="0" w:color="auto"/>
            <w:left w:val="none" w:sz="0" w:space="0" w:color="auto"/>
            <w:bottom w:val="none" w:sz="0" w:space="0" w:color="auto"/>
            <w:right w:val="none" w:sz="0" w:space="0" w:color="auto"/>
          </w:divBdr>
        </w:div>
      </w:divsChild>
    </w:div>
    <w:div w:id="691418736">
      <w:marLeft w:val="0"/>
      <w:marRight w:val="0"/>
      <w:marTop w:val="0"/>
      <w:marBottom w:val="0"/>
      <w:divBdr>
        <w:top w:val="none" w:sz="0" w:space="0" w:color="auto"/>
        <w:left w:val="none" w:sz="0" w:space="0" w:color="auto"/>
        <w:bottom w:val="none" w:sz="0" w:space="0" w:color="auto"/>
        <w:right w:val="none" w:sz="0" w:space="0" w:color="auto"/>
      </w:divBdr>
    </w:div>
    <w:div w:id="693505678">
      <w:marLeft w:val="0"/>
      <w:marRight w:val="0"/>
      <w:marTop w:val="0"/>
      <w:marBottom w:val="0"/>
      <w:divBdr>
        <w:top w:val="none" w:sz="0" w:space="0" w:color="auto"/>
        <w:left w:val="none" w:sz="0" w:space="0" w:color="auto"/>
        <w:bottom w:val="none" w:sz="0" w:space="0" w:color="auto"/>
        <w:right w:val="none" w:sz="0" w:space="0" w:color="auto"/>
      </w:divBdr>
      <w:divsChild>
        <w:div w:id="340082183">
          <w:marLeft w:val="0"/>
          <w:marRight w:val="0"/>
          <w:marTop w:val="0"/>
          <w:marBottom w:val="0"/>
          <w:divBdr>
            <w:top w:val="none" w:sz="0" w:space="0" w:color="auto"/>
            <w:left w:val="none" w:sz="0" w:space="0" w:color="auto"/>
            <w:bottom w:val="none" w:sz="0" w:space="0" w:color="auto"/>
            <w:right w:val="none" w:sz="0" w:space="0" w:color="auto"/>
          </w:divBdr>
        </w:div>
        <w:div w:id="770131230">
          <w:marLeft w:val="0"/>
          <w:marRight w:val="0"/>
          <w:marTop w:val="0"/>
          <w:marBottom w:val="0"/>
          <w:divBdr>
            <w:top w:val="none" w:sz="0" w:space="0" w:color="auto"/>
            <w:left w:val="none" w:sz="0" w:space="0" w:color="auto"/>
            <w:bottom w:val="none" w:sz="0" w:space="0" w:color="auto"/>
            <w:right w:val="none" w:sz="0" w:space="0" w:color="auto"/>
          </w:divBdr>
        </w:div>
      </w:divsChild>
    </w:div>
    <w:div w:id="702899014">
      <w:marLeft w:val="0"/>
      <w:marRight w:val="0"/>
      <w:marTop w:val="0"/>
      <w:marBottom w:val="0"/>
      <w:divBdr>
        <w:top w:val="none" w:sz="0" w:space="0" w:color="auto"/>
        <w:left w:val="none" w:sz="0" w:space="0" w:color="auto"/>
        <w:bottom w:val="none" w:sz="0" w:space="0" w:color="auto"/>
        <w:right w:val="none" w:sz="0" w:space="0" w:color="auto"/>
      </w:divBdr>
      <w:divsChild>
        <w:div w:id="1956715240">
          <w:marLeft w:val="0"/>
          <w:marRight w:val="0"/>
          <w:marTop w:val="0"/>
          <w:marBottom w:val="0"/>
          <w:divBdr>
            <w:top w:val="none" w:sz="0" w:space="0" w:color="auto"/>
            <w:left w:val="none" w:sz="0" w:space="0" w:color="auto"/>
            <w:bottom w:val="none" w:sz="0" w:space="0" w:color="auto"/>
            <w:right w:val="none" w:sz="0" w:space="0" w:color="auto"/>
          </w:divBdr>
        </w:div>
        <w:div w:id="1104613898">
          <w:marLeft w:val="0"/>
          <w:marRight w:val="0"/>
          <w:marTop w:val="0"/>
          <w:marBottom w:val="0"/>
          <w:divBdr>
            <w:top w:val="none" w:sz="0" w:space="0" w:color="auto"/>
            <w:left w:val="none" w:sz="0" w:space="0" w:color="auto"/>
            <w:bottom w:val="none" w:sz="0" w:space="0" w:color="auto"/>
            <w:right w:val="none" w:sz="0" w:space="0" w:color="auto"/>
          </w:divBdr>
        </w:div>
      </w:divsChild>
    </w:div>
    <w:div w:id="722758418">
      <w:marLeft w:val="0"/>
      <w:marRight w:val="0"/>
      <w:marTop w:val="0"/>
      <w:marBottom w:val="0"/>
      <w:divBdr>
        <w:top w:val="none" w:sz="0" w:space="0" w:color="auto"/>
        <w:left w:val="none" w:sz="0" w:space="0" w:color="auto"/>
        <w:bottom w:val="none" w:sz="0" w:space="0" w:color="auto"/>
        <w:right w:val="none" w:sz="0" w:space="0" w:color="auto"/>
      </w:divBdr>
      <w:divsChild>
        <w:div w:id="1179346353">
          <w:marLeft w:val="0"/>
          <w:marRight w:val="0"/>
          <w:marTop w:val="0"/>
          <w:marBottom w:val="0"/>
          <w:divBdr>
            <w:top w:val="none" w:sz="0" w:space="0" w:color="auto"/>
            <w:left w:val="none" w:sz="0" w:space="0" w:color="auto"/>
            <w:bottom w:val="none" w:sz="0" w:space="0" w:color="auto"/>
            <w:right w:val="none" w:sz="0" w:space="0" w:color="auto"/>
          </w:divBdr>
        </w:div>
        <w:div w:id="1308048793">
          <w:marLeft w:val="0"/>
          <w:marRight w:val="0"/>
          <w:marTop w:val="0"/>
          <w:marBottom w:val="0"/>
          <w:divBdr>
            <w:top w:val="none" w:sz="0" w:space="0" w:color="auto"/>
            <w:left w:val="none" w:sz="0" w:space="0" w:color="auto"/>
            <w:bottom w:val="none" w:sz="0" w:space="0" w:color="auto"/>
            <w:right w:val="none" w:sz="0" w:space="0" w:color="auto"/>
          </w:divBdr>
        </w:div>
      </w:divsChild>
    </w:div>
    <w:div w:id="731385593">
      <w:marLeft w:val="0"/>
      <w:marRight w:val="0"/>
      <w:marTop w:val="0"/>
      <w:marBottom w:val="0"/>
      <w:divBdr>
        <w:top w:val="none" w:sz="0" w:space="0" w:color="auto"/>
        <w:left w:val="none" w:sz="0" w:space="0" w:color="auto"/>
        <w:bottom w:val="none" w:sz="0" w:space="0" w:color="auto"/>
        <w:right w:val="none" w:sz="0" w:space="0" w:color="auto"/>
      </w:divBdr>
    </w:div>
    <w:div w:id="761730661">
      <w:marLeft w:val="0"/>
      <w:marRight w:val="0"/>
      <w:marTop w:val="0"/>
      <w:marBottom w:val="0"/>
      <w:divBdr>
        <w:top w:val="none" w:sz="0" w:space="0" w:color="auto"/>
        <w:left w:val="none" w:sz="0" w:space="0" w:color="auto"/>
        <w:bottom w:val="none" w:sz="0" w:space="0" w:color="auto"/>
        <w:right w:val="none" w:sz="0" w:space="0" w:color="auto"/>
      </w:divBdr>
      <w:divsChild>
        <w:div w:id="2071075996">
          <w:marLeft w:val="0"/>
          <w:marRight w:val="0"/>
          <w:marTop w:val="0"/>
          <w:marBottom w:val="0"/>
          <w:divBdr>
            <w:top w:val="none" w:sz="0" w:space="0" w:color="auto"/>
            <w:left w:val="none" w:sz="0" w:space="0" w:color="auto"/>
            <w:bottom w:val="none" w:sz="0" w:space="0" w:color="auto"/>
            <w:right w:val="none" w:sz="0" w:space="0" w:color="auto"/>
          </w:divBdr>
        </w:div>
        <w:div w:id="493759577">
          <w:marLeft w:val="0"/>
          <w:marRight w:val="0"/>
          <w:marTop w:val="0"/>
          <w:marBottom w:val="0"/>
          <w:divBdr>
            <w:top w:val="none" w:sz="0" w:space="0" w:color="auto"/>
            <w:left w:val="none" w:sz="0" w:space="0" w:color="auto"/>
            <w:bottom w:val="none" w:sz="0" w:space="0" w:color="auto"/>
            <w:right w:val="none" w:sz="0" w:space="0" w:color="auto"/>
          </w:divBdr>
        </w:div>
        <w:div w:id="794517481">
          <w:marLeft w:val="0"/>
          <w:marRight w:val="0"/>
          <w:marTop w:val="0"/>
          <w:marBottom w:val="0"/>
          <w:divBdr>
            <w:top w:val="none" w:sz="0" w:space="0" w:color="auto"/>
            <w:left w:val="none" w:sz="0" w:space="0" w:color="auto"/>
            <w:bottom w:val="none" w:sz="0" w:space="0" w:color="auto"/>
            <w:right w:val="none" w:sz="0" w:space="0" w:color="auto"/>
          </w:divBdr>
          <w:divsChild>
            <w:div w:id="1709916663">
              <w:marLeft w:val="0"/>
              <w:marRight w:val="0"/>
              <w:marTop w:val="0"/>
              <w:marBottom w:val="0"/>
              <w:divBdr>
                <w:top w:val="none" w:sz="0" w:space="0" w:color="auto"/>
                <w:left w:val="none" w:sz="0" w:space="0" w:color="auto"/>
                <w:bottom w:val="none" w:sz="0" w:space="0" w:color="auto"/>
                <w:right w:val="none" w:sz="0" w:space="0" w:color="auto"/>
              </w:divBdr>
            </w:div>
          </w:divsChild>
        </w:div>
        <w:div w:id="524291908">
          <w:marLeft w:val="0"/>
          <w:marRight w:val="0"/>
          <w:marTop w:val="0"/>
          <w:marBottom w:val="0"/>
          <w:divBdr>
            <w:top w:val="none" w:sz="0" w:space="0" w:color="auto"/>
            <w:left w:val="none" w:sz="0" w:space="0" w:color="auto"/>
            <w:bottom w:val="none" w:sz="0" w:space="0" w:color="auto"/>
            <w:right w:val="none" w:sz="0" w:space="0" w:color="auto"/>
          </w:divBdr>
        </w:div>
      </w:divsChild>
    </w:div>
    <w:div w:id="769008387">
      <w:marLeft w:val="0"/>
      <w:marRight w:val="0"/>
      <w:marTop w:val="0"/>
      <w:marBottom w:val="0"/>
      <w:divBdr>
        <w:top w:val="none" w:sz="0" w:space="0" w:color="auto"/>
        <w:left w:val="none" w:sz="0" w:space="0" w:color="auto"/>
        <w:bottom w:val="none" w:sz="0" w:space="0" w:color="auto"/>
        <w:right w:val="none" w:sz="0" w:space="0" w:color="auto"/>
      </w:divBdr>
      <w:divsChild>
        <w:div w:id="730688584">
          <w:marLeft w:val="0"/>
          <w:marRight w:val="0"/>
          <w:marTop w:val="0"/>
          <w:marBottom w:val="0"/>
          <w:divBdr>
            <w:top w:val="none" w:sz="0" w:space="0" w:color="auto"/>
            <w:left w:val="none" w:sz="0" w:space="0" w:color="auto"/>
            <w:bottom w:val="none" w:sz="0" w:space="0" w:color="auto"/>
            <w:right w:val="none" w:sz="0" w:space="0" w:color="auto"/>
          </w:divBdr>
        </w:div>
        <w:div w:id="1001813018">
          <w:marLeft w:val="0"/>
          <w:marRight w:val="0"/>
          <w:marTop w:val="0"/>
          <w:marBottom w:val="0"/>
          <w:divBdr>
            <w:top w:val="none" w:sz="0" w:space="0" w:color="auto"/>
            <w:left w:val="none" w:sz="0" w:space="0" w:color="auto"/>
            <w:bottom w:val="none" w:sz="0" w:space="0" w:color="auto"/>
            <w:right w:val="none" w:sz="0" w:space="0" w:color="auto"/>
          </w:divBdr>
        </w:div>
      </w:divsChild>
    </w:div>
    <w:div w:id="780422096">
      <w:marLeft w:val="0"/>
      <w:marRight w:val="0"/>
      <w:marTop w:val="0"/>
      <w:marBottom w:val="0"/>
      <w:divBdr>
        <w:top w:val="none" w:sz="0" w:space="0" w:color="auto"/>
        <w:left w:val="none" w:sz="0" w:space="0" w:color="auto"/>
        <w:bottom w:val="none" w:sz="0" w:space="0" w:color="auto"/>
        <w:right w:val="none" w:sz="0" w:space="0" w:color="auto"/>
      </w:divBdr>
      <w:divsChild>
        <w:div w:id="784618636">
          <w:marLeft w:val="0"/>
          <w:marRight w:val="0"/>
          <w:marTop w:val="0"/>
          <w:marBottom w:val="0"/>
          <w:divBdr>
            <w:top w:val="none" w:sz="0" w:space="0" w:color="auto"/>
            <w:left w:val="none" w:sz="0" w:space="0" w:color="auto"/>
            <w:bottom w:val="none" w:sz="0" w:space="0" w:color="auto"/>
            <w:right w:val="none" w:sz="0" w:space="0" w:color="auto"/>
          </w:divBdr>
        </w:div>
        <w:div w:id="789325833">
          <w:marLeft w:val="0"/>
          <w:marRight w:val="0"/>
          <w:marTop w:val="0"/>
          <w:marBottom w:val="0"/>
          <w:divBdr>
            <w:top w:val="none" w:sz="0" w:space="0" w:color="auto"/>
            <w:left w:val="none" w:sz="0" w:space="0" w:color="auto"/>
            <w:bottom w:val="none" w:sz="0" w:space="0" w:color="auto"/>
            <w:right w:val="none" w:sz="0" w:space="0" w:color="auto"/>
          </w:divBdr>
        </w:div>
        <w:div w:id="563951846">
          <w:marLeft w:val="0"/>
          <w:marRight w:val="0"/>
          <w:marTop w:val="0"/>
          <w:marBottom w:val="0"/>
          <w:divBdr>
            <w:top w:val="none" w:sz="0" w:space="0" w:color="auto"/>
            <w:left w:val="none" w:sz="0" w:space="0" w:color="auto"/>
            <w:bottom w:val="none" w:sz="0" w:space="0" w:color="auto"/>
            <w:right w:val="none" w:sz="0" w:space="0" w:color="auto"/>
          </w:divBdr>
          <w:divsChild>
            <w:div w:id="1811898255">
              <w:marLeft w:val="0"/>
              <w:marRight w:val="0"/>
              <w:marTop w:val="0"/>
              <w:marBottom w:val="0"/>
              <w:divBdr>
                <w:top w:val="none" w:sz="0" w:space="0" w:color="auto"/>
                <w:left w:val="none" w:sz="0" w:space="0" w:color="auto"/>
                <w:bottom w:val="none" w:sz="0" w:space="0" w:color="auto"/>
                <w:right w:val="none" w:sz="0" w:space="0" w:color="auto"/>
              </w:divBdr>
            </w:div>
          </w:divsChild>
        </w:div>
        <w:div w:id="1961910834">
          <w:marLeft w:val="0"/>
          <w:marRight w:val="0"/>
          <w:marTop w:val="0"/>
          <w:marBottom w:val="0"/>
          <w:divBdr>
            <w:top w:val="none" w:sz="0" w:space="0" w:color="auto"/>
            <w:left w:val="none" w:sz="0" w:space="0" w:color="auto"/>
            <w:bottom w:val="none" w:sz="0" w:space="0" w:color="auto"/>
            <w:right w:val="none" w:sz="0" w:space="0" w:color="auto"/>
          </w:divBdr>
        </w:div>
      </w:divsChild>
    </w:div>
    <w:div w:id="800221517">
      <w:marLeft w:val="0"/>
      <w:marRight w:val="0"/>
      <w:marTop w:val="0"/>
      <w:marBottom w:val="0"/>
      <w:divBdr>
        <w:top w:val="none" w:sz="0" w:space="0" w:color="auto"/>
        <w:left w:val="none" w:sz="0" w:space="0" w:color="auto"/>
        <w:bottom w:val="none" w:sz="0" w:space="0" w:color="auto"/>
        <w:right w:val="none" w:sz="0" w:space="0" w:color="auto"/>
      </w:divBdr>
    </w:div>
    <w:div w:id="806972130">
      <w:marLeft w:val="0"/>
      <w:marRight w:val="0"/>
      <w:marTop w:val="0"/>
      <w:marBottom w:val="0"/>
      <w:divBdr>
        <w:top w:val="none" w:sz="0" w:space="0" w:color="auto"/>
        <w:left w:val="none" w:sz="0" w:space="0" w:color="auto"/>
        <w:bottom w:val="none" w:sz="0" w:space="0" w:color="auto"/>
        <w:right w:val="none" w:sz="0" w:space="0" w:color="auto"/>
      </w:divBdr>
      <w:divsChild>
        <w:div w:id="859469563">
          <w:marLeft w:val="0"/>
          <w:marRight w:val="0"/>
          <w:marTop w:val="0"/>
          <w:marBottom w:val="0"/>
          <w:divBdr>
            <w:top w:val="none" w:sz="0" w:space="0" w:color="auto"/>
            <w:left w:val="none" w:sz="0" w:space="0" w:color="auto"/>
            <w:bottom w:val="none" w:sz="0" w:space="0" w:color="auto"/>
            <w:right w:val="none" w:sz="0" w:space="0" w:color="auto"/>
          </w:divBdr>
        </w:div>
        <w:div w:id="682320681">
          <w:marLeft w:val="0"/>
          <w:marRight w:val="0"/>
          <w:marTop w:val="0"/>
          <w:marBottom w:val="0"/>
          <w:divBdr>
            <w:top w:val="none" w:sz="0" w:space="0" w:color="auto"/>
            <w:left w:val="none" w:sz="0" w:space="0" w:color="auto"/>
            <w:bottom w:val="none" w:sz="0" w:space="0" w:color="auto"/>
            <w:right w:val="none" w:sz="0" w:space="0" w:color="auto"/>
          </w:divBdr>
        </w:div>
        <w:div w:id="1446341683">
          <w:marLeft w:val="0"/>
          <w:marRight w:val="0"/>
          <w:marTop w:val="0"/>
          <w:marBottom w:val="0"/>
          <w:divBdr>
            <w:top w:val="none" w:sz="0" w:space="0" w:color="auto"/>
            <w:left w:val="none" w:sz="0" w:space="0" w:color="auto"/>
            <w:bottom w:val="none" w:sz="0" w:space="0" w:color="auto"/>
            <w:right w:val="none" w:sz="0" w:space="0" w:color="auto"/>
          </w:divBdr>
          <w:divsChild>
            <w:div w:id="1413894385">
              <w:marLeft w:val="0"/>
              <w:marRight w:val="0"/>
              <w:marTop w:val="0"/>
              <w:marBottom w:val="0"/>
              <w:divBdr>
                <w:top w:val="none" w:sz="0" w:space="0" w:color="auto"/>
                <w:left w:val="none" w:sz="0" w:space="0" w:color="auto"/>
                <w:bottom w:val="none" w:sz="0" w:space="0" w:color="auto"/>
                <w:right w:val="none" w:sz="0" w:space="0" w:color="auto"/>
              </w:divBdr>
            </w:div>
          </w:divsChild>
        </w:div>
        <w:div w:id="2119062942">
          <w:marLeft w:val="0"/>
          <w:marRight w:val="0"/>
          <w:marTop w:val="0"/>
          <w:marBottom w:val="0"/>
          <w:divBdr>
            <w:top w:val="none" w:sz="0" w:space="0" w:color="auto"/>
            <w:left w:val="none" w:sz="0" w:space="0" w:color="auto"/>
            <w:bottom w:val="none" w:sz="0" w:space="0" w:color="auto"/>
            <w:right w:val="none" w:sz="0" w:space="0" w:color="auto"/>
          </w:divBdr>
        </w:div>
      </w:divsChild>
    </w:div>
    <w:div w:id="816535503">
      <w:marLeft w:val="0"/>
      <w:marRight w:val="0"/>
      <w:marTop w:val="0"/>
      <w:marBottom w:val="0"/>
      <w:divBdr>
        <w:top w:val="none" w:sz="0" w:space="0" w:color="auto"/>
        <w:left w:val="none" w:sz="0" w:space="0" w:color="auto"/>
        <w:bottom w:val="none" w:sz="0" w:space="0" w:color="auto"/>
        <w:right w:val="none" w:sz="0" w:space="0" w:color="auto"/>
      </w:divBdr>
    </w:div>
    <w:div w:id="830222360">
      <w:marLeft w:val="0"/>
      <w:marRight w:val="0"/>
      <w:marTop w:val="0"/>
      <w:marBottom w:val="0"/>
      <w:divBdr>
        <w:top w:val="none" w:sz="0" w:space="0" w:color="auto"/>
        <w:left w:val="none" w:sz="0" w:space="0" w:color="auto"/>
        <w:bottom w:val="none" w:sz="0" w:space="0" w:color="auto"/>
        <w:right w:val="none" w:sz="0" w:space="0" w:color="auto"/>
      </w:divBdr>
    </w:div>
    <w:div w:id="831674694">
      <w:marLeft w:val="0"/>
      <w:marRight w:val="0"/>
      <w:marTop w:val="0"/>
      <w:marBottom w:val="0"/>
      <w:divBdr>
        <w:top w:val="none" w:sz="0" w:space="0" w:color="auto"/>
        <w:left w:val="none" w:sz="0" w:space="0" w:color="auto"/>
        <w:bottom w:val="none" w:sz="0" w:space="0" w:color="auto"/>
        <w:right w:val="none" w:sz="0" w:space="0" w:color="auto"/>
      </w:divBdr>
      <w:divsChild>
        <w:div w:id="1507358322">
          <w:marLeft w:val="0"/>
          <w:marRight w:val="0"/>
          <w:marTop w:val="0"/>
          <w:marBottom w:val="0"/>
          <w:divBdr>
            <w:top w:val="none" w:sz="0" w:space="0" w:color="auto"/>
            <w:left w:val="none" w:sz="0" w:space="0" w:color="auto"/>
            <w:bottom w:val="none" w:sz="0" w:space="0" w:color="auto"/>
            <w:right w:val="none" w:sz="0" w:space="0" w:color="auto"/>
          </w:divBdr>
        </w:div>
        <w:div w:id="415130659">
          <w:marLeft w:val="0"/>
          <w:marRight w:val="0"/>
          <w:marTop w:val="0"/>
          <w:marBottom w:val="0"/>
          <w:divBdr>
            <w:top w:val="none" w:sz="0" w:space="0" w:color="auto"/>
            <w:left w:val="none" w:sz="0" w:space="0" w:color="auto"/>
            <w:bottom w:val="none" w:sz="0" w:space="0" w:color="auto"/>
            <w:right w:val="none" w:sz="0" w:space="0" w:color="auto"/>
          </w:divBdr>
        </w:div>
        <w:div w:id="367805570">
          <w:marLeft w:val="0"/>
          <w:marRight w:val="0"/>
          <w:marTop w:val="0"/>
          <w:marBottom w:val="0"/>
          <w:divBdr>
            <w:top w:val="none" w:sz="0" w:space="0" w:color="auto"/>
            <w:left w:val="none" w:sz="0" w:space="0" w:color="auto"/>
            <w:bottom w:val="none" w:sz="0" w:space="0" w:color="auto"/>
            <w:right w:val="none" w:sz="0" w:space="0" w:color="auto"/>
          </w:divBdr>
          <w:divsChild>
            <w:div w:id="1048919672">
              <w:marLeft w:val="0"/>
              <w:marRight w:val="0"/>
              <w:marTop w:val="0"/>
              <w:marBottom w:val="0"/>
              <w:divBdr>
                <w:top w:val="none" w:sz="0" w:space="0" w:color="auto"/>
                <w:left w:val="none" w:sz="0" w:space="0" w:color="auto"/>
                <w:bottom w:val="none" w:sz="0" w:space="0" w:color="auto"/>
                <w:right w:val="none" w:sz="0" w:space="0" w:color="auto"/>
              </w:divBdr>
            </w:div>
          </w:divsChild>
        </w:div>
        <w:div w:id="1248466203">
          <w:marLeft w:val="0"/>
          <w:marRight w:val="0"/>
          <w:marTop w:val="0"/>
          <w:marBottom w:val="0"/>
          <w:divBdr>
            <w:top w:val="none" w:sz="0" w:space="0" w:color="auto"/>
            <w:left w:val="none" w:sz="0" w:space="0" w:color="auto"/>
            <w:bottom w:val="none" w:sz="0" w:space="0" w:color="auto"/>
            <w:right w:val="none" w:sz="0" w:space="0" w:color="auto"/>
          </w:divBdr>
        </w:div>
      </w:divsChild>
    </w:div>
    <w:div w:id="842360431">
      <w:marLeft w:val="0"/>
      <w:marRight w:val="0"/>
      <w:marTop w:val="0"/>
      <w:marBottom w:val="0"/>
      <w:divBdr>
        <w:top w:val="none" w:sz="0" w:space="0" w:color="auto"/>
        <w:left w:val="none" w:sz="0" w:space="0" w:color="auto"/>
        <w:bottom w:val="none" w:sz="0" w:space="0" w:color="auto"/>
        <w:right w:val="none" w:sz="0" w:space="0" w:color="auto"/>
      </w:divBdr>
      <w:divsChild>
        <w:div w:id="273099792">
          <w:marLeft w:val="0"/>
          <w:marRight w:val="0"/>
          <w:marTop w:val="0"/>
          <w:marBottom w:val="0"/>
          <w:divBdr>
            <w:top w:val="none" w:sz="0" w:space="0" w:color="auto"/>
            <w:left w:val="none" w:sz="0" w:space="0" w:color="auto"/>
            <w:bottom w:val="none" w:sz="0" w:space="0" w:color="auto"/>
            <w:right w:val="none" w:sz="0" w:space="0" w:color="auto"/>
          </w:divBdr>
        </w:div>
        <w:div w:id="1992708787">
          <w:marLeft w:val="0"/>
          <w:marRight w:val="0"/>
          <w:marTop w:val="0"/>
          <w:marBottom w:val="0"/>
          <w:divBdr>
            <w:top w:val="none" w:sz="0" w:space="0" w:color="auto"/>
            <w:left w:val="none" w:sz="0" w:space="0" w:color="auto"/>
            <w:bottom w:val="none" w:sz="0" w:space="0" w:color="auto"/>
            <w:right w:val="none" w:sz="0" w:space="0" w:color="auto"/>
          </w:divBdr>
        </w:div>
        <w:div w:id="1792672489">
          <w:marLeft w:val="0"/>
          <w:marRight w:val="0"/>
          <w:marTop w:val="0"/>
          <w:marBottom w:val="0"/>
          <w:divBdr>
            <w:top w:val="none" w:sz="0" w:space="0" w:color="auto"/>
            <w:left w:val="none" w:sz="0" w:space="0" w:color="auto"/>
            <w:bottom w:val="none" w:sz="0" w:space="0" w:color="auto"/>
            <w:right w:val="none" w:sz="0" w:space="0" w:color="auto"/>
          </w:divBdr>
          <w:divsChild>
            <w:div w:id="784882740">
              <w:marLeft w:val="0"/>
              <w:marRight w:val="0"/>
              <w:marTop w:val="0"/>
              <w:marBottom w:val="0"/>
              <w:divBdr>
                <w:top w:val="none" w:sz="0" w:space="0" w:color="auto"/>
                <w:left w:val="none" w:sz="0" w:space="0" w:color="auto"/>
                <w:bottom w:val="none" w:sz="0" w:space="0" w:color="auto"/>
                <w:right w:val="none" w:sz="0" w:space="0" w:color="auto"/>
              </w:divBdr>
            </w:div>
          </w:divsChild>
        </w:div>
        <w:div w:id="458184911">
          <w:marLeft w:val="0"/>
          <w:marRight w:val="0"/>
          <w:marTop w:val="0"/>
          <w:marBottom w:val="0"/>
          <w:divBdr>
            <w:top w:val="none" w:sz="0" w:space="0" w:color="auto"/>
            <w:left w:val="none" w:sz="0" w:space="0" w:color="auto"/>
            <w:bottom w:val="none" w:sz="0" w:space="0" w:color="auto"/>
            <w:right w:val="none" w:sz="0" w:space="0" w:color="auto"/>
          </w:divBdr>
        </w:div>
      </w:divsChild>
    </w:div>
    <w:div w:id="886571468">
      <w:marLeft w:val="0"/>
      <w:marRight w:val="0"/>
      <w:marTop w:val="0"/>
      <w:marBottom w:val="0"/>
      <w:divBdr>
        <w:top w:val="none" w:sz="0" w:space="0" w:color="auto"/>
        <w:left w:val="none" w:sz="0" w:space="0" w:color="auto"/>
        <w:bottom w:val="none" w:sz="0" w:space="0" w:color="auto"/>
        <w:right w:val="none" w:sz="0" w:space="0" w:color="auto"/>
      </w:divBdr>
      <w:divsChild>
        <w:div w:id="1336684644">
          <w:marLeft w:val="0"/>
          <w:marRight w:val="0"/>
          <w:marTop w:val="0"/>
          <w:marBottom w:val="0"/>
          <w:divBdr>
            <w:top w:val="none" w:sz="0" w:space="0" w:color="auto"/>
            <w:left w:val="none" w:sz="0" w:space="0" w:color="auto"/>
            <w:bottom w:val="none" w:sz="0" w:space="0" w:color="auto"/>
            <w:right w:val="none" w:sz="0" w:space="0" w:color="auto"/>
          </w:divBdr>
        </w:div>
        <w:div w:id="2146775899">
          <w:marLeft w:val="0"/>
          <w:marRight w:val="0"/>
          <w:marTop w:val="0"/>
          <w:marBottom w:val="0"/>
          <w:divBdr>
            <w:top w:val="none" w:sz="0" w:space="0" w:color="auto"/>
            <w:left w:val="none" w:sz="0" w:space="0" w:color="auto"/>
            <w:bottom w:val="none" w:sz="0" w:space="0" w:color="auto"/>
            <w:right w:val="none" w:sz="0" w:space="0" w:color="auto"/>
          </w:divBdr>
        </w:div>
      </w:divsChild>
    </w:div>
    <w:div w:id="897784496">
      <w:marLeft w:val="0"/>
      <w:marRight w:val="0"/>
      <w:marTop w:val="0"/>
      <w:marBottom w:val="0"/>
      <w:divBdr>
        <w:top w:val="none" w:sz="0" w:space="0" w:color="auto"/>
        <w:left w:val="none" w:sz="0" w:space="0" w:color="auto"/>
        <w:bottom w:val="none" w:sz="0" w:space="0" w:color="auto"/>
        <w:right w:val="none" w:sz="0" w:space="0" w:color="auto"/>
      </w:divBdr>
      <w:divsChild>
        <w:div w:id="426077632">
          <w:marLeft w:val="0"/>
          <w:marRight w:val="0"/>
          <w:marTop w:val="0"/>
          <w:marBottom w:val="0"/>
          <w:divBdr>
            <w:top w:val="none" w:sz="0" w:space="0" w:color="auto"/>
            <w:left w:val="none" w:sz="0" w:space="0" w:color="auto"/>
            <w:bottom w:val="none" w:sz="0" w:space="0" w:color="auto"/>
            <w:right w:val="none" w:sz="0" w:space="0" w:color="auto"/>
          </w:divBdr>
        </w:div>
        <w:div w:id="2100444622">
          <w:marLeft w:val="0"/>
          <w:marRight w:val="0"/>
          <w:marTop w:val="0"/>
          <w:marBottom w:val="0"/>
          <w:divBdr>
            <w:top w:val="none" w:sz="0" w:space="0" w:color="auto"/>
            <w:left w:val="none" w:sz="0" w:space="0" w:color="auto"/>
            <w:bottom w:val="none" w:sz="0" w:space="0" w:color="auto"/>
            <w:right w:val="none" w:sz="0" w:space="0" w:color="auto"/>
          </w:divBdr>
        </w:div>
        <w:div w:id="344749747">
          <w:marLeft w:val="0"/>
          <w:marRight w:val="0"/>
          <w:marTop w:val="0"/>
          <w:marBottom w:val="0"/>
          <w:divBdr>
            <w:top w:val="none" w:sz="0" w:space="0" w:color="auto"/>
            <w:left w:val="none" w:sz="0" w:space="0" w:color="auto"/>
            <w:bottom w:val="none" w:sz="0" w:space="0" w:color="auto"/>
            <w:right w:val="none" w:sz="0" w:space="0" w:color="auto"/>
          </w:divBdr>
          <w:divsChild>
            <w:div w:id="451562158">
              <w:marLeft w:val="0"/>
              <w:marRight w:val="0"/>
              <w:marTop w:val="0"/>
              <w:marBottom w:val="0"/>
              <w:divBdr>
                <w:top w:val="none" w:sz="0" w:space="0" w:color="auto"/>
                <w:left w:val="none" w:sz="0" w:space="0" w:color="auto"/>
                <w:bottom w:val="none" w:sz="0" w:space="0" w:color="auto"/>
                <w:right w:val="none" w:sz="0" w:space="0" w:color="auto"/>
              </w:divBdr>
            </w:div>
          </w:divsChild>
        </w:div>
        <w:div w:id="1534228353">
          <w:marLeft w:val="0"/>
          <w:marRight w:val="0"/>
          <w:marTop w:val="0"/>
          <w:marBottom w:val="0"/>
          <w:divBdr>
            <w:top w:val="none" w:sz="0" w:space="0" w:color="auto"/>
            <w:left w:val="none" w:sz="0" w:space="0" w:color="auto"/>
            <w:bottom w:val="none" w:sz="0" w:space="0" w:color="auto"/>
            <w:right w:val="none" w:sz="0" w:space="0" w:color="auto"/>
          </w:divBdr>
        </w:div>
      </w:divsChild>
    </w:div>
    <w:div w:id="897934363">
      <w:marLeft w:val="0"/>
      <w:marRight w:val="0"/>
      <w:marTop w:val="0"/>
      <w:marBottom w:val="0"/>
      <w:divBdr>
        <w:top w:val="none" w:sz="0" w:space="0" w:color="auto"/>
        <w:left w:val="none" w:sz="0" w:space="0" w:color="auto"/>
        <w:bottom w:val="none" w:sz="0" w:space="0" w:color="auto"/>
        <w:right w:val="none" w:sz="0" w:space="0" w:color="auto"/>
      </w:divBdr>
    </w:div>
    <w:div w:id="927731971">
      <w:marLeft w:val="0"/>
      <w:marRight w:val="0"/>
      <w:marTop w:val="0"/>
      <w:marBottom w:val="0"/>
      <w:divBdr>
        <w:top w:val="none" w:sz="0" w:space="0" w:color="auto"/>
        <w:left w:val="none" w:sz="0" w:space="0" w:color="auto"/>
        <w:bottom w:val="none" w:sz="0" w:space="0" w:color="auto"/>
        <w:right w:val="none" w:sz="0" w:space="0" w:color="auto"/>
      </w:divBdr>
    </w:div>
    <w:div w:id="973829528">
      <w:marLeft w:val="0"/>
      <w:marRight w:val="0"/>
      <w:marTop w:val="0"/>
      <w:marBottom w:val="0"/>
      <w:divBdr>
        <w:top w:val="none" w:sz="0" w:space="0" w:color="auto"/>
        <w:left w:val="none" w:sz="0" w:space="0" w:color="auto"/>
        <w:bottom w:val="none" w:sz="0" w:space="0" w:color="auto"/>
        <w:right w:val="none" w:sz="0" w:space="0" w:color="auto"/>
      </w:divBdr>
      <w:divsChild>
        <w:div w:id="1782186418">
          <w:marLeft w:val="0"/>
          <w:marRight w:val="0"/>
          <w:marTop w:val="0"/>
          <w:marBottom w:val="0"/>
          <w:divBdr>
            <w:top w:val="none" w:sz="0" w:space="0" w:color="auto"/>
            <w:left w:val="none" w:sz="0" w:space="0" w:color="auto"/>
            <w:bottom w:val="none" w:sz="0" w:space="0" w:color="auto"/>
            <w:right w:val="none" w:sz="0" w:space="0" w:color="auto"/>
          </w:divBdr>
        </w:div>
        <w:div w:id="148795381">
          <w:marLeft w:val="0"/>
          <w:marRight w:val="0"/>
          <w:marTop w:val="0"/>
          <w:marBottom w:val="0"/>
          <w:divBdr>
            <w:top w:val="none" w:sz="0" w:space="0" w:color="auto"/>
            <w:left w:val="none" w:sz="0" w:space="0" w:color="auto"/>
            <w:bottom w:val="none" w:sz="0" w:space="0" w:color="auto"/>
            <w:right w:val="none" w:sz="0" w:space="0" w:color="auto"/>
          </w:divBdr>
        </w:div>
      </w:divsChild>
    </w:div>
    <w:div w:id="999506237">
      <w:marLeft w:val="0"/>
      <w:marRight w:val="0"/>
      <w:marTop w:val="0"/>
      <w:marBottom w:val="0"/>
      <w:divBdr>
        <w:top w:val="none" w:sz="0" w:space="0" w:color="auto"/>
        <w:left w:val="none" w:sz="0" w:space="0" w:color="auto"/>
        <w:bottom w:val="none" w:sz="0" w:space="0" w:color="auto"/>
        <w:right w:val="none" w:sz="0" w:space="0" w:color="auto"/>
      </w:divBdr>
      <w:divsChild>
        <w:div w:id="1343321461">
          <w:marLeft w:val="0"/>
          <w:marRight w:val="0"/>
          <w:marTop w:val="0"/>
          <w:marBottom w:val="0"/>
          <w:divBdr>
            <w:top w:val="none" w:sz="0" w:space="0" w:color="auto"/>
            <w:left w:val="none" w:sz="0" w:space="0" w:color="auto"/>
            <w:bottom w:val="none" w:sz="0" w:space="0" w:color="auto"/>
            <w:right w:val="none" w:sz="0" w:space="0" w:color="auto"/>
          </w:divBdr>
        </w:div>
      </w:divsChild>
    </w:div>
    <w:div w:id="1009524512">
      <w:marLeft w:val="0"/>
      <w:marRight w:val="0"/>
      <w:marTop w:val="0"/>
      <w:marBottom w:val="0"/>
      <w:divBdr>
        <w:top w:val="none" w:sz="0" w:space="0" w:color="auto"/>
        <w:left w:val="none" w:sz="0" w:space="0" w:color="auto"/>
        <w:bottom w:val="none" w:sz="0" w:space="0" w:color="auto"/>
        <w:right w:val="none" w:sz="0" w:space="0" w:color="auto"/>
      </w:divBdr>
      <w:divsChild>
        <w:div w:id="215700431">
          <w:marLeft w:val="0"/>
          <w:marRight w:val="0"/>
          <w:marTop w:val="0"/>
          <w:marBottom w:val="0"/>
          <w:divBdr>
            <w:top w:val="none" w:sz="0" w:space="0" w:color="auto"/>
            <w:left w:val="none" w:sz="0" w:space="0" w:color="auto"/>
            <w:bottom w:val="none" w:sz="0" w:space="0" w:color="auto"/>
            <w:right w:val="none" w:sz="0" w:space="0" w:color="auto"/>
          </w:divBdr>
        </w:div>
        <w:div w:id="1221210932">
          <w:marLeft w:val="0"/>
          <w:marRight w:val="0"/>
          <w:marTop w:val="0"/>
          <w:marBottom w:val="0"/>
          <w:divBdr>
            <w:top w:val="none" w:sz="0" w:space="0" w:color="auto"/>
            <w:left w:val="none" w:sz="0" w:space="0" w:color="auto"/>
            <w:bottom w:val="none" w:sz="0" w:space="0" w:color="auto"/>
            <w:right w:val="none" w:sz="0" w:space="0" w:color="auto"/>
          </w:divBdr>
        </w:div>
        <w:div w:id="122893004">
          <w:marLeft w:val="0"/>
          <w:marRight w:val="0"/>
          <w:marTop w:val="0"/>
          <w:marBottom w:val="0"/>
          <w:divBdr>
            <w:top w:val="none" w:sz="0" w:space="0" w:color="auto"/>
            <w:left w:val="none" w:sz="0" w:space="0" w:color="auto"/>
            <w:bottom w:val="none" w:sz="0" w:space="0" w:color="auto"/>
            <w:right w:val="none" w:sz="0" w:space="0" w:color="auto"/>
          </w:divBdr>
          <w:divsChild>
            <w:div w:id="2002417669">
              <w:marLeft w:val="0"/>
              <w:marRight w:val="0"/>
              <w:marTop w:val="0"/>
              <w:marBottom w:val="0"/>
              <w:divBdr>
                <w:top w:val="none" w:sz="0" w:space="0" w:color="auto"/>
                <w:left w:val="none" w:sz="0" w:space="0" w:color="auto"/>
                <w:bottom w:val="none" w:sz="0" w:space="0" w:color="auto"/>
                <w:right w:val="none" w:sz="0" w:space="0" w:color="auto"/>
              </w:divBdr>
            </w:div>
          </w:divsChild>
        </w:div>
        <w:div w:id="1648394047">
          <w:marLeft w:val="0"/>
          <w:marRight w:val="0"/>
          <w:marTop w:val="0"/>
          <w:marBottom w:val="0"/>
          <w:divBdr>
            <w:top w:val="none" w:sz="0" w:space="0" w:color="auto"/>
            <w:left w:val="none" w:sz="0" w:space="0" w:color="auto"/>
            <w:bottom w:val="none" w:sz="0" w:space="0" w:color="auto"/>
            <w:right w:val="none" w:sz="0" w:space="0" w:color="auto"/>
          </w:divBdr>
        </w:div>
      </w:divsChild>
    </w:div>
    <w:div w:id="1011879893">
      <w:marLeft w:val="0"/>
      <w:marRight w:val="0"/>
      <w:marTop w:val="0"/>
      <w:marBottom w:val="0"/>
      <w:divBdr>
        <w:top w:val="none" w:sz="0" w:space="0" w:color="auto"/>
        <w:left w:val="none" w:sz="0" w:space="0" w:color="auto"/>
        <w:bottom w:val="none" w:sz="0" w:space="0" w:color="auto"/>
        <w:right w:val="none" w:sz="0" w:space="0" w:color="auto"/>
      </w:divBdr>
      <w:divsChild>
        <w:div w:id="1477526304">
          <w:marLeft w:val="0"/>
          <w:marRight w:val="0"/>
          <w:marTop w:val="0"/>
          <w:marBottom w:val="0"/>
          <w:divBdr>
            <w:top w:val="none" w:sz="0" w:space="0" w:color="auto"/>
            <w:left w:val="none" w:sz="0" w:space="0" w:color="auto"/>
            <w:bottom w:val="none" w:sz="0" w:space="0" w:color="auto"/>
            <w:right w:val="none" w:sz="0" w:space="0" w:color="auto"/>
          </w:divBdr>
        </w:div>
        <w:div w:id="1252003704">
          <w:marLeft w:val="0"/>
          <w:marRight w:val="0"/>
          <w:marTop w:val="0"/>
          <w:marBottom w:val="0"/>
          <w:divBdr>
            <w:top w:val="none" w:sz="0" w:space="0" w:color="auto"/>
            <w:left w:val="none" w:sz="0" w:space="0" w:color="auto"/>
            <w:bottom w:val="none" w:sz="0" w:space="0" w:color="auto"/>
            <w:right w:val="none" w:sz="0" w:space="0" w:color="auto"/>
          </w:divBdr>
        </w:div>
        <w:div w:id="855926577">
          <w:marLeft w:val="0"/>
          <w:marRight w:val="0"/>
          <w:marTop w:val="0"/>
          <w:marBottom w:val="0"/>
          <w:divBdr>
            <w:top w:val="none" w:sz="0" w:space="0" w:color="auto"/>
            <w:left w:val="none" w:sz="0" w:space="0" w:color="auto"/>
            <w:bottom w:val="none" w:sz="0" w:space="0" w:color="auto"/>
            <w:right w:val="none" w:sz="0" w:space="0" w:color="auto"/>
          </w:divBdr>
          <w:divsChild>
            <w:div w:id="142746287">
              <w:marLeft w:val="0"/>
              <w:marRight w:val="0"/>
              <w:marTop w:val="0"/>
              <w:marBottom w:val="0"/>
              <w:divBdr>
                <w:top w:val="none" w:sz="0" w:space="0" w:color="auto"/>
                <w:left w:val="none" w:sz="0" w:space="0" w:color="auto"/>
                <w:bottom w:val="none" w:sz="0" w:space="0" w:color="auto"/>
                <w:right w:val="none" w:sz="0" w:space="0" w:color="auto"/>
              </w:divBdr>
            </w:div>
          </w:divsChild>
        </w:div>
        <w:div w:id="1737704171">
          <w:marLeft w:val="0"/>
          <w:marRight w:val="0"/>
          <w:marTop w:val="0"/>
          <w:marBottom w:val="0"/>
          <w:divBdr>
            <w:top w:val="none" w:sz="0" w:space="0" w:color="auto"/>
            <w:left w:val="none" w:sz="0" w:space="0" w:color="auto"/>
            <w:bottom w:val="none" w:sz="0" w:space="0" w:color="auto"/>
            <w:right w:val="none" w:sz="0" w:space="0" w:color="auto"/>
          </w:divBdr>
        </w:div>
      </w:divsChild>
    </w:div>
    <w:div w:id="1012295776">
      <w:marLeft w:val="0"/>
      <w:marRight w:val="0"/>
      <w:marTop w:val="0"/>
      <w:marBottom w:val="0"/>
      <w:divBdr>
        <w:top w:val="none" w:sz="0" w:space="0" w:color="auto"/>
        <w:left w:val="none" w:sz="0" w:space="0" w:color="auto"/>
        <w:bottom w:val="none" w:sz="0" w:space="0" w:color="auto"/>
        <w:right w:val="none" w:sz="0" w:space="0" w:color="auto"/>
      </w:divBdr>
    </w:div>
    <w:div w:id="1029140225">
      <w:marLeft w:val="0"/>
      <w:marRight w:val="0"/>
      <w:marTop w:val="0"/>
      <w:marBottom w:val="0"/>
      <w:divBdr>
        <w:top w:val="none" w:sz="0" w:space="0" w:color="auto"/>
        <w:left w:val="none" w:sz="0" w:space="0" w:color="auto"/>
        <w:bottom w:val="none" w:sz="0" w:space="0" w:color="auto"/>
        <w:right w:val="none" w:sz="0" w:space="0" w:color="auto"/>
      </w:divBdr>
      <w:divsChild>
        <w:div w:id="1001201337">
          <w:marLeft w:val="0"/>
          <w:marRight w:val="0"/>
          <w:marTop w:val="0"/>
          <w:marBottom w:val="0"/>
          <w:divBdr>
            <w:top w:val="none" w:sz="0" w:space="0" w:color="auto"/>
            <w:left w:val="none" w:sz="0" w:space="0" w:color="auto"/>
            <w:bottom w:val="none" w:sz="0" w:space="0" w:color="auto"/>
            <w:right w:val="none" w:sz="0" w:space="0" w:color="auto"/>
          </w:divBdr>
        </w:div>
        <w:div w:id="1016224449">
          <w:marLeft w:val="0"/>
          <w:marRight w:val="0"/>
          <w:marTop w:val="0"/>
          <w:marBottom w:val="0"/>
          <w:divBdr>
            <w:top w:val="none" w:sz="0" w:space="0" w:color="auto"/>
            <w:left w:val="none" w:sz="0" w:space="0" w:color="auto"/>
            <w:bottom w:val="none" w:sz="0" w:space="0" w:color="auto"/>
            <w:right w:val="none" w:sz="0" w:space="0" w:color="auto"/>
          </w:divBdr>
        </w:div>
      </w:divsChild>
    </w:div>
    <w:div w:id="1063799465">
      <w:marLeft w:val="0"/>
      <w:marRight w:val="0"/>
      <w:marTop w:val="0"/>
      <w:marBottom w:val="0"/>
      <w:divBdr>
        <w:top w:val="none" w:sz="0" w:space="0" w:color="auto"/>
        <w:left w:val="none" w:sz="0" w:space="0" w:color="auto"/>
        <w:bottom w:val="none" w:sz="0" w:space="0" w:color="auto"/>
        <w:right w:val="none" w:sz="0" w:space="0" w:color="auto"/>
      </w:divBdr>
    </w:div>
    <w:div w:id="1087389180">
      <w:marLeft w:val="0"/>
      <w:marRight w:val="0"/>
      <w:marTop w:val="0"/>
      <w:marBottom w:val="0"/>
      <w:divBdr>
        <w:top w:val="none" w:sz="0" w:space="0" w:color="auto"/>
        <w:left w:val="none" w:sz="0" w:space="0" w:color="auto"/>
        <w:bottom w:val="none" w:sz="0" w:space="0" w:color="auto"/>
        <w:right w:val="none" w:sz="0" w:space="0" w:color="auto"/>
      </w:divBdr>
      <w:divsChild>
        <w:div w:id="2075003425">
          <w:marLeft w:val="0"/>
          <w:marRight w:val="0"/>
          <w:marTop w:val="0"/>
          <w:marBottom w:val="0"/>
          <w:divBdr>
            <w:top w:val="none" w:sz="0" w:space="0" w:color="auto"/>
            <w:left w:val="none" w:sz="0" w:space="0" w:color="auto"/>
            <w:bottom w:val="none" w:sz="0" w:space="0" w:color="auto"/>
            <w:right w:val="none" w:sz="0" w:space="0" w:color="auto"/>
          </w:divBdr>
        </w:div>
        <w:div w:id="574432259">
          <w:marLeft w:val="0"/>
          <w:marRight w:val="0"/>
          <w:marTop w:val="0"/>
          <w:marBottom w:val="0"/>
          <w:divBdr>
            <w:top w:val="none" w:sz="0" w:space="0" w:color="auto"/>
            <w:left w:val="none" w:sz="0" w:space="0" w:color="auto"/>
            <w:bottom w:val="none" w:sz="0" w:space="0" w:color="auto"/>
            <w:right w:val="none" w:sz="0" w:space="0" w:color="auto"/>
          </w:divBdr>
        </w:div>
        <w:div w:id="1182627923">
          <w:marLeft w:val="0"/>
          <w:marRight w:val="0"/>
          <w:marTop w:val="0"/>
          <w:marBottom w:val="0"/>
          <w:divBdr>
            <w:top w:val="none" w:sz="0" w:space="0" w:color="auto"/>
            <w:left w:val="none" w:sz="0" w:space="0" w:color="auto"/>
            <w:bottom w:val="none" w:sz="0" w:space="0" w:color="auto"/>
            <w:right w:val="none" w:sz="0" w:space="0" w:color="auto"/>
          </w:divBdr>
          <w:divsChild>
            <w:div w:id="710225104">
              <w:marLeft w:val="0"/>
              <w:marRight w:val="0"/>
              <w:marTop w:val="0"/>
              <w:marBottom w:val="0"/>
              <w:divBdr>
                <w:top w:val="none" w:sz="0" w:space="0" w:color="auto"/>
                <w:left w:val="none" w:sz="0" w:space="0" w:color="auto"/>
                <w:bottom w:val="none" w:sz="0" w:space="0" w:color="auto"/>
                <w:right w:val="none" w:sz="0" w:space="0" w:color="auto"/>
              </w:divBdr>
            </w:div>
          </w:divsChild>
        </w:div>
        <w:div w:id="971668223">
          <w:marLeft w:val="0"/>
          <w:marRight w:val="0"/>
          <w:marTop w:val="0"/>
          <w:marBottom w:val="0"/>
          <w:divBdr>
            <w:top w:val="none" w:sz="0" w:space="0" w:color="auto"/>
            <w:left w:val="none" w:sz="0" w:space="0" w:color="auto"/>
            <w:bottom w:val="none" w:sz="0" w:space="0" w:color="auto"/>
            <w:right w:val="none" w:sz="0" w:space="0" w:color="auto"/>
          </w:divBdr>
        </w:div>
      </w:divsChild>
    </w:div>
    <w:div w:id="1093168802">
      <w:marLeft w:val="0"/>
      <w:marRight w:val="0"/>
      <w:marTop w:val="0"/>
      <w:marBottom w:val="0"/>
      <w:divBdr>
        <w:top w:val="none" w:sz="0" w:space="0" w:color="auto"/>
        <w:left w:val="none" w:sz="0" w:space="0" w:color="auto"/>
        <w:bottom w:val="none" w:sz="0" w:space="0" w:color="auto"/>
        <w:right w:val="none" w:sz="0" w:space="0" w:color="auto"/>
      </w:divBdr>
    </w:div>
    <w:div w:id="1133527186">
      <w:marLeft w:val="0"/>
      <w:marRight w:val="0"/>
      <w:marTop w:val="0"/>
      <w:marBottom w:val="0"/>
      <w:divBdr>
        <w:top w:val="none" w:sz="0" w:space="0" w:color="auto"/>
        <w:left w:val="none" w:sz="0" w:space="0" w:color="auto"/>
        <w:bottom w:val="none" w:sz="0" w:space="0" w:color="auto"/>
        <w:right w:val="none" w:sz="0" w:space="0" w:color="auto"/>
      </w:divBdr>
      <w:divsChild>
        <w:div w:id="513618623">
          <w:marLeft w:val="0"/>
          <w:marRight w:val="0"/>
          <w:marTop w:val="0"/>
          <w:marBottom w:val="0"/>
          <w:divBdr>
            <w:top w:val="none" w:sz="0" w:space="0" w:color="auto"/>
            <w:left w:val="none" w:sz="0" w:space="0" w:color="auto"/>
            <w:bottom w:val="none" w:sz="0" w:space="0" w:color="auto"/>
            <w:right w:val="none" w:sz="0" w:space="0" w:color="auto"/>
          </w:divBdr>
        </w:div>
        <w:div w:id="1582595985">
          <w:marLeft w:val="0"/>
          <w:marRight w:val="0"/>
          <w:marTop w:val="0"/>
          <w:marBottom w:val="0"/>
          <w:divBdr>
            <w:top w:val="none" w:sz="0" w:space="0" w:color="auto"/>
            <w:left w:val="none" w:sz="0" w:space="0" w:color="auto"/>
            <w:bottom w:val="none" w:sz="0" w:space="0" w:color="auto"/>
            <w:right w:val="none" w:sz="0" w:space="0" w:color="auto"/>
          </w:divBdr>
        </w:div>
        <w:div w:id="869105657">
          <w:marLeft w:val="0"/>
          <w:marRight w:val="0"/>
          <w:marTop w:val="0"/>
          <w:marBottom w:val="0"/>
          <w:divBdr>
            <w:top w:val="none" w:sz="0" w:space="0" w:color="auto"/>
            <w:left w:val="none" w:sz="0" w:space="0" w:color="auto"/>
            <w:bottom w:val="none" w:sz="0" w:space="0" w:color="auto"/>
            <w:right w:val="none" w:sz="0" w:space="0" w:color="auto"/>
          </w:divBdr>
          <w:divsChild>
            <w:div w:id="292951530">
              <w:marLeft w:val="0"/>
              <w:marRight w:val="0"/>
              <w:marTop w:val="0"/>
              <w:marBottom w:val="0"/>
              <w:divBdr>
                <w:top w:val="none" w:sz="0" w:space="0" w:color="auto"/>
                <w:left w:val="none" w:sz="0" w:space="0" w:color="auto"/>
                <w:bottom w:val="none" w:sz="0" w:space="0" w:color="auto"/>
                <w:right w:val="none" w:sz="0" w:space="0" w:color="auto"/>
              </w:divBdr>
            </w:div>
          </w:divsChild>
        </w:div>
        <w:div w:id="783113351">
          <w:marLeft w:val="0"/>
          <w:marRight w:val="0"/>
          <w:marTop w:val="0"/>
          <w:marBottom w:val="0"/>
          <w:divBdr>
            <w:top w:val="none" w:sz="0" w:space="0" w:color="auto"/>
            <w:left w:val="none" w:sz="0" w:space="0" w:color="auto"/>
            <w:bottom w:val="none" w:sz="0" w:space="0" w:color="auto"/>
            <w:right w:val="none" w:sz="0" w:space="0" w:color="auto"/>
          </w:divBdr>
        </w:div>
      </w:divsChild>
    </w:div>
    <w:div w:id="1141188282">
      <w:marLeft w:val="0"/>
      <w:marRight w:val="0"/>
      <w:marTop w:val="0"/>
      <w:marBottom w:val="0"/>
      <w:divBdr>
        <w:top w:val="none" w:sz="0" w:space="0" w:color="auto"/>
        <w:left w:val="none" w:sz="0" w:space="0" w:color="auto"/>
        <w:bottom w:val="none" w:sz="0" w:space="0" w:color="auto"/>
        <w:right w:val="none" w:sz="0" w:space="0" w:color="auto"/>
      </w:divBdr>
    </w:div>
    <w:div w:id="1148478772">
      <w:marLeft w:val="0"/>
      <w:marRight w:val="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
        <w:div w:id="1541239558">
          <w:marLeft w:val="0"/>
          <w:marRight w:val="0"/>
          <w:marTop w:val="0"/>
          <w:marBottom w:val="0"/>
          <w:divBdr>
            <w:top w:val="none" w:sz="0" w:space="0" w:color="auto"/>
            <w:left w:val="none" w:sz="0" w:space="0" w:color="auto"/>
            <w:bottom w:val="none" w:sz="0" w:space="0" w:color="auto"/>
            <w:right w:val="none" w:sz="0" w:space="0" w:color="auto"/>
          </w:divBdr>
          <w:divsChild>
            <w:div w:id="944114965">
              <w:marLeft w:val="0"/>
              <w:marRight w:val="0"/>
              <w:marTop w:val="0"/>
              <w:marBottom w:val="0"/>
              <w:divBdr>
                <w:top w:val="none" w:sz="0" w:space="0" w:color="auto"/>
                <w:left w:val="none" w:sz="0" w:space="0" w:color="auto"/>
                <w:bottom w:val="none" w:sz="0" w:space="0" w:color="auto"/>
                <w:right w:val="none" w:sz="0" w:space="0" w:color="auto"/>
              </w:divBdr>
            </w:div>
            <w:div w:id="1695304296">
              <w:marLeft w:val="0"/>
              <w:marRight w:val="0"/>
              <w:marTop w:val="0"/>
              <w:marBottom w:val="0"/>
              <w:divBdr>
                <w:top w:val="none" w:sz="0" w:space="0" w:color="auto"/>
                <w:left w:val="none" w:sz="0" w:space="0" w:color="auto"/>
                <w:bottom w:val="none" w:sz="0" w:space="0" w:color="auto"/>
                <w:right w:val="none" w:sz="0" w:space="0" w:color="auto"/>
              </w:divBdr>
            </w:div>
            <w:div w:id="1247303962">
              <w:marLeft w:val="0"/>
              <w:marRight w:val="0"/>
              <w:marTop w:val="0"/>
              <w:marBottom w:val="0"/>
              <w:divBdr>
                <w:top w:val="none" w:sz="0" w:space="0" w:color="auto"/>
                <w:left w:val="none" w:sz="0" w:space="0" w:color="auto"/>
                <w:bottom w:val="none" w:sz="0" w:space="0" w:color="auto"/>
                <w:right w:val="none" w:sz="0" w:space="0" w:color="auto"/>
              </w:divBdr>
              <w:divsChild>
                <w:div w:id="441920066">
                  <w:marLeft w:val="0"/>
                  <w:marRight w:val="0"/>
                  <w:marTop w:val="0"/>
                  <w:marBottom w:val="0"/>
                  <w:divBdr>
                    <w:top w:val="none" w:sz="0" w:space="0" w:color="auto"/>
                    <w:left w:val="none" w:sz="0" w:space="0" w:color="auto"/>
                    <w:bottom w:val="none" w:sz="0" w:space="0" w:color="auto"/>
                    <w:right w:val="none" w:sz="0" w:space="0" w:color="auto"/>
                  </w:divBdr>
                </w:div>
              </w:divsChild>
            </w:div>
            <w:div w:id="1277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7079">
      <w:marLeft w:val="0"/>
      <w:marRight w:val="0"/>
      <w:marTop w:val="0"/>
      <w:marBottom w:val="0"/>
      <w:divBdr>
        <w:top w:val="none" w:sz="0" w:space="0" w:color="auto"/>
        <w:left w:val="none" w:sz="0" w:space="0" w:color="auto"/>
        <w:bottom w:val="none" w:sz="0" w:space="0" w:color="auto"/>
        <w:right w:val="none" w:sz="0" w:space="0" w:color="auto"/>
      </w:divBdr>
    </w:div>
    <w:div w:id="1178882045">
      <w:marLeft w:val="0"/>
      <w:marRight w:val="0"/>
      <w:marTop w:val="0"/>
      <w:marBottom w:val="0"/>
      <w:divBdr>
        <w:top w:val="none" w:sz="0" w:space="0" w:color="auto"/>
        <w:left w:val="none" w:sz="0" w:space="0" w:color="auto"/>
        <w:bottom w:val="none" w:sz="0" w:space="0" w:color="auto"/>
        <w:right w:val="none" w:sz="0" w:space="0" w:color="auto"/>
      </w:divBdr>
      <w:divsChild>
        <w:div w:id="799038406">
          <w:marLeft w:val="0"/>
          <w:marRight w:val="0"/>
          <w:marTop w:val="0"/>
          <w:marBottom w:val="0"/>
          <w:divBdr>
            <w:top w:val="none" w:sz="0" w:space="0" w:color="auto"/>
            <w:left w:val="none" w:sz="0" w:space="0" w:color="auto"/>
            <w:bottom w:val="none" w:sz="0" w:space="0" w:color="auto"/>
            <w:right w:val="none" w:sz="0" w:space="0" w:color="auto"/>
          </w:divBdr>
        </w:div>
        <w:div w:id="1636986759">
          <w:marLeft w:val="0"/>
          <w:marRight w:val="0"/>
          <w:marTop w:val="0"/>
          <w:marBottom w:val="0"/>
          <w:divBdr>
            <w:top w:val="none" w:sz="0" w:space="0" w:color="auto"/>
            <w:left w:val="none" w:sz="0" w:space="0" w:color="auto"/>
            <w:bottom w:val="none" w:sz="0" w:space="0" w:color="auto"/>
            <w:right w:val="none" w:sz="0" w:space="0" w:color="auto"/>
          </w:divBdr>
        </w:div>
      </w:divsChild>
    </w:div>
    <w:div w:id="1181702242">
      <w:marLeft w:val="0"/>
      <w:marRight w:val="0"/>
      <w:marTop w:val="0"/>
      <w:marBottom w:val="0"/>
      <w:divBdr>
        <w:top w:val="none" w:sz="0" w:space="0" w:color="auto"/>
        <w:left w:val="none" w:sz="0" w:space="0" w:color="auto"/>
        <w:bottom w:val="none" w:sz="0" w:space="0" w:color="auto"/>
        <w:right w:val="none" w:sz="0" w:space="0" w:color="auto"/>
      </w:divBdr>
    </w:div>
    <w:div w:id="1208489523">
      <w:marLeft w:val="0"/>
      <w:marRight w:val="0"/>
      <w:marTop w:val="0"/>
      <w:marBottom w:val="0"/>
      <w:divBdr>
        <w:top w:val="none" w:sz="0" w:space="0" w:color="auto"/>
        <w:left w:val="none" w:sz="0" w:space="0" w:color="auto"/>
        <w:bottom w:val="none" w:sz="0" w:space="0" w:color="auto"/>
        <w:right w:val="none" w:sz="0" w:space="0" w:color="auto"/>
      </w:divBdr>
      <w:divsChild>
        <w:div w:id="416370655">
          <w:marLeft w:val="0"/>
          <w:marRight w:val="0"/>
          <w:marTop w:val="0"/>
          <w:marBottom w:val="0"/>
          <w:divBdr>
            <w:top w:val="none" w:sz="0" w:space="0" w:color="auto"/>
            <w:left w:val="none" w:sz="0" w:space="0" w:color="auto"/>
            <w:bottom w:val="none" w:sz="0" w:space="0" w:color="auto"/>
            <w:right w:val="none" w:sz="0" w:space="0" w:color="auto"/>
          </w:divBdr>
        </w:div>
        <w:div w:id="760106765">
          <w:marLeft w:val="0"/>
          <w:marRight w:val="0"/>
          <w:marTop w:val="0"/>
          <w:marBottom w:val="0"/>
          <w:divBdr>
            <w:top w:val="none" w:sz="0" w:space="0" w:color="auto"/>
            <w:left w:val="none" w:sz="0" w:space="0" w:color="auto"/>
            <w:bottom w:val="none" w:sz="0" w:space="0" w:color="auto"/>
            <w:right w:val="none" w:sz="0" w:space="0" w:color="auto"/>
          </w:divBdr>
        </w:div>
      </w:divsChild>
    </w:div>
    <w:div w:id="1221286143">
      <w:marLeft w:val="0"/>
      <w:marRight w:val="0"/>
      <w:marTop w:val="0"/>
      <w:marBottom w:val="0"/>
      <w:divBdr>
        <w:top w:val="none" w:sz="0" w:space="0" w:color="auto"/>
        <w:left w:val="none" w:sz="0" w:space="0" w:color="auto"/>
        <w:bottom w:val="none" w:sz="0" w:space="0" w:color="auto"/>
        <w:right w:val="none" w:sz="0" w:space="0" w:color="auto"/>
      </w:divBdr>
      <w:divsChild>
        <w:div w:id="218176919">
          <w:marLeft w:val="0"/>
          <w:marRight w:val="0"/>
          <w:marTop w:val="0"/>
          <w:marBottom w:val="0"/>
          <w:divBdr>
            <w:top w:val="none" w:sz="0" w:space="0" w:color="auto"/>
            <w:left w:val="none" w:sz="0" w:space="0" w:color="auto"/>
            <w:bottom w:val="none" w:sz="0" w:space="0" w:color="auto"/>
            <w:right w:val="none" w:sz="0" w:space="0" w:color="auto"/>
          </w:divBdr>
        </w:div>
      </w:divsChild>
    </w:div>
    <w:div w:id="1229339326">
      <w:marLeft w:val="0"/>
      <w:marRight w:val="0"/>
      <w:marTop w:val="0"/>
      <w:marBottom w:val="0"/>
      <w:divBdr>
        <w:top w:val="none" w:sz="0" w:space="0" w:color="auto"/>
        <w:left w:val="none" w:sz="0" w:space="0" w:color="auto"/>
        <w:bottom w:val="none" w:sz="0" w:space="0" w:color="auto"/>
        <w:right w:val="none" w:sz="0" w:space="0" w:color="auto"/>
      </w:divBdr>
    </w:div>
    <w:div w:id="1230072010">
      <w:marLeft w:val="0"/>
      <w:marRight w:val="0"/>
      <w:marTop w:val="0"/>
      <w:marBottom w:val="0"/>
      <w:divBdr>
        <w:top w:val="none" w:sz="0" w:space="0" w:color="auto"/>
        <w:left w:val="none" w:sz="0" w:space="0" w:color="auto"/>
        <w:bottom w:val="none" w:sz="0" w:space="0" w:color="auto"/>
        <w:right w:val="none" w:sz="0" w:space="0" w:color="auto"/>
      </w:divBdr>
    </w:div>
    <w:div w:id="1261985326">
      <w:marLeft w:val="0"/>
      <w:marRight w:val="0"/>
      <w:marTop w:val="0"/>
      <w:marBottom w:val="0"/>
      <w:divBdr>
        <w:top w:val="none" w:sz="0" w:space="0" w:color="auto"/>
        <w:left w:val="none" w:sz="0" w:space="0" w:color="auto"/>
        <w:bottom w:val="none" w:sz="0" w:space="0" w:color="auto"/>
        <w:right w:val="none" w:sz="0" w:space="0" w:color="auto"/>
      </w:divBdr>
      <w:divsChild>
        <w:div w:id="85077059">
          <w:marLeft w:val="0"/>
          <w:marRight w:val="0"/>
          <w:marTop w:val="0"/>
          <w:marBottom w:val="0"/>
          <w:divBdr>
            <w:top w:val="none" w:sz="0" w:space="0" w:color="auto"/>
            <w:left w:val="none" w:sz="0" w:space="0" w:color="auto"/>
            <w:bottom w:val="none" w:sz="0" w:space="0" w:color="auto"/>
            <w:right w:val="none" w:sz="0" w:space="0" w:color="auto"/>
          </w:divBdr>
        </w:div>
        <w:div w:id="614679035">
          <w:marLeft w:val="0"/>
          <w:marRight w:val="0"/>
          <w:marTop w:val="0"/>
          <w:marBottom w:val="0"/>
          <w:divBdr>
            <w:top w:val="none" w:sz="0" w:space="0" w:color="auto"/>
            <w:left w:val="none" w:sz="0" w:space="0" w:color="auto"/>
            <w:bottom w:val="none" w:sz="0" w:space="0" w:color="auto"/>
            <w:right w:val="none" w:sz="0" w:space="0" w:color="auto"/>
          </w:divBdr>
        </w:div>
      </w:divsChild>
    </w:div>
    <w:div w:id="1272397287">
      <w:marLeft w:val="0"/>
      <w:marRight w:val="0"/>
      <w:marTop w:val="0"/>
      <w:marBottom w:val="0"/>
      <w:divBdr>
        <w:top w:val="none" w:sz="0" w:space="0" w:color="auto"/>
        <w:left w:val="none" w:sz="0" w:space="0" w:color="auto"/>
        <w:bottom w:val="none" w:sz="0" w:space="0" w:color="auto"/>
        <w:right w:val="none" w:sz="0" w:space="0" w:color="auto"/>
      </w:divBdr>
    </w:div>
    <w:div w:id="1291589140">
      <w:marLeft w:val="0"/>
      <w:marRight w:val="0"/>
      <w:marTop w:val="0"/>
      <w:marBottom w:val="0"/>
      <w:divBdr>
        <w:top w:val="none" w:sz="0" w:space="0" w:color="auto"/>
        <w:left w:val="none" w:sz="0" w:space="0" w:color="auto"/>
        <w:bottom w:val="none" w:sz="0" w:space="0" w:color="auto"/>
        <w:right w:val="none" w:sz="0" w:space="0" w:color="auto"/>
      </w:divBdr>
    </w:div>
    <w:div w:id="1306593579">
      <w:marLeft w:val="0"/>
      <w:marRight w:val="0"/>
      <w:marTop w:val="0"/>
      <w:marBottom w:val="0"/>
      <w:divBdr>
        <w:top w:val="none" w:sz="0" w:space="0" w:color="auto"/>
        <w:left w:val="none" w:sz="0" w:space="0" w:color="auto"/>
        <w:bottom w:val="none" w:sz="0" w:space="0" w:color="auto"/>
        <w:right w:val="none" w:sz="0" w:space="0" w:color="auto"/>
      </w:divBdr>
    </w:div>
    <w:div w:id="1307902473">
      <w:marLeft w:val="0"/>
      <w:marRight w:val="0"/>
      <w:marTop w:val="0"/>
      <w:marBottom w:val="0"/>
      <w:divBdr>
        <w:top w:val="none" w:sz="0" w:space="0" w:color="auto"/>
        <w:left w:val="none" w:sz="0" w:space="0" w:color="auto"/>
        <w:bottom w:val="none" w:sz="0" w:space="0" w:color="auto"/>
        <w:right w:val="none" w:sz="0" w:space="0" w:color="auto"/>
      </w:divBdr>
      <w:divsChild>
        <w:div w:id="1905411272">
          <w:marLeft w:val="0"/>
          <w:marRight w:val="0"/>
          <w:marTop w:val="0"/>
          <w:marBottom w:val="0"/>
          <w:divBdr>
            <w:top w:val="none" w:sz="0" w:space="0" w:color="auto"/>
            <w:left w:val="none" w:sz="0" w:space="0" w:color="auto"/>
            <w:bottom w:val="none" w:sz="0" w:space="0" w:color="auto"/>
            <w:right w:val="none" w:sz="0" w:space="0" w:color="auto"/>
          </w:divBdr>
        </w:div>
        <w:div w:id="1056969711">
          <w:marLeft w:val="0"/>
          <w:marRight w:val="0"/>
          <w:marTop w:val="0"/>
          <w:marBottom w:val="0"/>
          <w:divBdr>
            <w:top w:val="none" w:sz="0" w:space="0" w:color="auto"/>
            <w:left w:val="none" w:sz="0" w:space="0" w:color="auto"/>
            <w:bottom w:val="none" w:sz="0" w:space="0" w:color="auto"/>
            <w:right w:val="none" w:sz="0" w:space="0" w:color="auto"/>
          </w:divBdr>
        </w:div>
      </w:divsChild>
    </w:div>
    <w:div w:id="1312098986">
      <w:marLeft w:val="0"/>
      <w:marRight w:val="0"/>
      <w:marTop w:val="0"/>
      <w:marBottom w:val="0"/>
      <w:divBdr>
        <w:top w:val="none" w:sz="0" w:space="0" w:color="auto"/>
        <w:left w:val="none" w:sz="0" w:space="0" w:color="auto"/>
        <w:bottom w:val="none" w:sz="0" w:space="0" w:color="auto"/>
        <w:right w:val="none" w:sz="0" w:space="0" w:color="auto"/>
      </w:divBdr>
      <w:divsChild>
        <w:div w:id="911620694">
          <w:marLeft w:val="0"/>
          <w:marRight w:val="0"/>
          <w:marTop w:val="0"/>
          <w:marBottom w:val="0"/>
          <w:divBdr>
            <w:top w:val="none" w:sz="0" w:space="0" w:color="auto"/>
            <w:left w:val="none" w:sz="0" w:space="0" w:color="auto"/>
            <w:bottom w:val="none" w:sz="0" w:space="0" w:color="auto"/>
            <w:right w:val="none" w:sz="0" w:space="0" w:color="auto"/>
          </w:divBdr>
        </w:div>
        <w:div w:id="356546276">
          <w:marLeft w:val="0"/>
          <w:marRight w:val="0"/>
          <w:marTop w:val="0"/>
          <w:marBottom w:val="0"/>
          <w:divBdr>
            <w:top w:val="none" w:sz="0" w:space="0" w:color="auto"/>
            <w:left w:val="none" w:sz="0" w:space="0" w:color="auto"/>
            <w:bottom w:val="none" w:sz="0" w:space="0" w:color="auto"/>
            <w:right w:val="none" w:sz="0" w:space="0" w:color="auto"/>
          </w:divBdr>
        </w:div>
        <w:div w:id="240992812">
          <w:marLeft w:val="0"/>
          <w:marRight w:val="0"/>
          <w:marTop w:val="0"/>
          <w:marBottom w:val="0"/>
          <w:divBdr>
            <w:top w:val="none" w:sz="0" w:space="0" w:color="auto"/>
            <w:left w:val="none" w:sz="0" w:space="0" w:color="auto"/>
            <w:bottom w:val="none" w:sz="0" w:space="0" w:color="auto"/>
            <w:right w:val="none" w:sz="0" w:space="0" w:color="auto"/>
          </w:divBdr>
          <w:divsChild>
            <w:div w:id="987129486">
              <w:marLeft w:val="0"/>
              <w:marRight w:val="0"/>
              <w:marTop w:val="0"/>
              <w:marBottom w:val="0"/>
              <w:divBdr>
                <w:top w:val="none" w:sz="0" w:space="0" w:color="auto"/>
                <w:left w:val="none" w:sz="0" w:space="0" w:color="auto"/>
                <w:bottom w:val="none" w:sz="0" w:space="0" w:color="auto"/>
                <w:right w:val="none" w:sz="0" w:space="0" w:color="auto"/>
              </w:divBdr>
            </w:div>
          </w:divsChild>
        </w:div>
        <w:div w:id="1021778007">
          <w:marLeft w:val="0"/>
          <w:marRight w:val="0"/>
          <w:marTop w:val="0"/>
          <w:marBottom w:val="0"/>
          <w:divBdr>
            <w:top w:val="none" w:sz="0" w:space="0" w:color="auto"/>
            <w:left w:val="none" w:sz="0" w:space="0" w:color="auto"/>
            <w:bottom w:val="none" w:sz="0" w:space="0" w:color="auto"/>
            <w:right w:val="none" w:sz="0" w:space="0" w:color="auto"/>
          </w:divBdr>
        </w:div>
      </w:divsChild>
    </w:div>
    <w:div w:id="1318344602">
      <w:marLeft w:val="0"/>
      <w:marRight w:val="0"/>
      <w:marTop w:val="0"/>
      <w:marBottom w:val="0"/>
      <w:divBdr>
        <w:top w:val="none" w:sz="0" w:space="0" w:color="auto"/>
        <w:left w:val="none" w:sz="0" w:space="0" w:color="auto"/>
        <w:bottom w:val="none" w:sz="0" w:space="0" w:color="auto"/>
        <w:right w:val="none" w:sz="0" w:space="0" w:color="auto"/>
      </w:divBdr>
    </w:div>
    <w:div w:id="1343555104">
      <w:marLeft w:val="0"/>
      <w:marRight w:val="0"/>
      <w:marTop w:val="0"/>
      <w:marBottom w:val="0"/>
      <w:divBdr>
        <w:top w:val="none" w:sz="0" w:space="0" w:color="auto"/>
        <w:left w:val="none" w:sz="0" w:space="0" w:color="auto"/>
        <w:bottom w:val="none" w:sz="0" w:space="0" w:color="auto"/>
        <w:right w:val="none" w:sz="0" w:space="0" w:color="auto"/>
      </w:divBdr>
    </w:div>
    <w:div w:id="1349527578">
      <w:marLeft w:val="0"/>
      <w:marRight w:val="0"/>
      <w:marTop w:val="0"/>
      <w:marBottom w:val="0"/>
      <w:divBdr>
        <w:top w:val="none" w:sz="0" w:space="0" w:color="auto"/>
        <w:left w:val="none" w:sz="0" w:space="0" w:color="auto"/>
        <w:bottom w:val="none" w:sz="0" w:space="0" w:color="auto"/>
        <w:right w:val="none" w:sz="0" w:space="0" w:color="auto"/>
      </w:divBdr>
      <w:divsChild>
        <w:div w:id="1627813815">
          <w:marLeft w:val="0"/>
          <w:marRight w:val="0"/>
          <w:marTop w:val="0"/>
          <w:marBottom w:val="0"/>
          <w:divBdr>
            <w:top w:val="none" w:sz="0" w:space="0" w:color="auto"/>
            <w:left w:val="none" w:sz="0" w:space="0" w:color="auto"/>
            <w:bottom w:val="none" w:sz="0" w:space="0" w:color="auto"/>
            <w:right w:val="none" w:sz="0" w:space="0" w:color="auto"/>
          </w:divBdr>
        </w:div>
      </w:divsChild>
    </w:div>
    <w:div w:id="1358702882">
      <w:marLeft w:val="0"/>
      <w:marRight w:val="0"/>
      <w:marTop w:val="0"/>
      <w:marBottom w:val="0"/>
      <w:divBdr>
        <w:top w:val="none" w:sz="0" w:space="0" w:color="auto"/>
        <w:left w:val="none" w:sz="0" w:space="0" w:color="auto"/>
        <w:bottom w:val="none" w:sz="0" w:space="0" w:color="auto"/>
        <w:right w:val="none" w:sz="0" w:space="0" w:color="auto"/>
      </w:divBdr>
    </w:div>
    <w:div w:id="1359309415">
      <w:marLeft w:val="0"/>
      <w:marRight w:val="0"/>
      <w:marTop w:val="0"/>
      <w:marBottom w:val="0"/>
      <w:divBdr>
        <w:top w:val="none" w:sz="0" w:space="0" w:color="auto"/>
        <w:left w:val="none" w:sz="0" w:space="0" w:color="auto"/>
        <w:bottom w:val="none" w:sz="0" w:space="0" w:color="auto"/>
        <w:right w:val="none" w:sz="0" w:space="0" w:color="auto"/>
      </w:divBdr>
    </w:div>
    <w:div w:id="1393502732">
      <w:marLeft w:val="0"/>
      <w:marRight w:val="0"/>
      <w:marTop w:val="0"/>
      <w:marBottom w:val="0"/>
      <w:divBdr>
        <w:top w:val="none" w:sz="0" w:space="0" w:color="auto"/>
        <w:left w:val="none" w:sz="0" w:space="0" w:color="auto"/>
        <w:bottom w:val="none" w:sz="0" w:space="0" w:color="auto"/>
        <w:right w:val="none" w:sz="0" w:space="0" w:color="auto"/>
      </w:divBdr>
      <w:divsChild>
        <w:div w:id="2051371881">
          <w:marLeft w:val="0"/>
          <w:marRight w:val="0"/>
          <w:marTop w:val="0"/>
          <w:marBottom w:val="0"/>
          <w:divBdr>
            <w:top w:val="none" w:sz="0" w:space="0" w:color="auto"/>
            <w:left w:val="none" w:sz="0" w:space="0" w:color="auto"/>
            <w:bottom w:val="none" w:sz="0" w:space="0" w:color="auto"/>
            <w:right w:val="none" w:sz="0" w:space="0" w:color="auto"/>
          </w:divBdr>
        </w:div>
        <w:div w:id="724373883">
          <w:marLeft w:val="0"/>
          <w:marRight w:val="0"/>
          <w:marTop w:val="0"/>
          <w:marBottom w:val="0"/>
          <w:divBdr>
            <w:top w:val="none" w:sz="0" w:space="0" w:color="auto"/>
            <w:left w:val="none" w:sz="0" w:space="0" w:color="auto"/>
            <w:bottom w:val="none" w:sz="0" w:space="0" w:color="auto"/>
            <w:right w:val="none" w:sz="0" w:space="0" w:color="auto"/>
          </w:divBdr>
        </w:div>
        <w:div w:id="148131663">
          <w:marLeft w:val="0"/>
          <w:marRight w:val="0"/>
          <w:marTop w:val="0"/>
          <w:marBottom w:val="0"/>
          <w:divBdr>
            <w:top w:val="none" w:sz="0" w:space="0" w:color="auto"/>
            <w:left w:val="none" w:sz="0" w:space="0" w:color="auto"/>
            <w:bottom w:val="none" w:sz="0" w:space="0" w:color="auto"/>
            <w:right w:val="none" w:sz="0" w:space="0" w:color="auto"/>
          </w:divBdr>
          <w:divsChild>
            <w:div w:id="758867291">
              <w:marLeft w:val="0"/>
              <w:marRight w:val="0"/>
              <w:marTop w:val="0"/>
              <w:marBottom w:val="0"/>
              <w:divBdr>
                <w:top w:val="none" w:sz="0" w:space="0" w:color="auto"/>
                <w:left w:val="none" w:sz="0" w:space="0" w:color="auto"/>
                <w:bottom w:val="none" w:sz="0" w:space="0" w:color="auto"/>
                <w:right w:val="none" w:sz="0" w:space="0" w:color="auto"/>
              </w:divBdr>
            </w:div>
          </w:divsChild>
        </w:div>
        <w:div w:id="590117595">
          <w:marLeft w:val="0"/>
          <w:marRight w:val="0"/>
          <w:marTop w:val="0"/>
          <w:marBottom w:val="0"/>
          <w:divBdr>
            <w:top w:val="none" w:sz="0" w:space="0" w:color="auto"/>
            <w:left w:val="none" w:sz="0" w:space="0" w:color="auto"/>
            <w:bottom w:val="none" w:sz="0" w:space="0" w:color="auto"/>
            <w:right w:val="none" w:sz="0" w:space="0" w:color="auto"/>
          </w:divBdr>
        </w:div>
      </w:divsChild>
    </w:div>
    <w:div w:id="1417291340">
      <w:marLeft w:val="0"/>
      <w:marRight w:val="0"/>
      <w:marTop w:val="0"/>
      <w:marBottom w:val="0"/>
      <w:divBdr>
        <w:top w:val="none" w:sz="0" w:space="0" w:color="auto"/>
        <w:left w:val="none" w:sz="0" w:space="0" w:color="auto"/>
        <w:bottom w:val="none" w:sz="0" w:space="0" w:color="auto"/>
        <w:right w:val="none" w:sz="0" w:space="0" w:color="auto"/>
      </w:divBdr>
    </w:div>
    <w:div w:id="1418283198">
      <w:marLeft w:val="0"/>
      <w:marRight w:val="0"/>
      <w:marTop w:val="0"/>
      <w:marBottom w:val="0"/>
      <w:divBdr>
        <w:top w:val="none" w:sz="0" w:space="0" w:color="auto"/>
        <w:left w:val="none" w:sz="0" w:space="0" w:color="auto"/>
        <w:bottom w:val="none" w:sz="0" w:space="0" w:color="auto"/>
        <w:right w:val="none" w:sz="0" w:space="0" w:color="auto"/>
      </w:divBdr>
    </w:div>
    <w:div w:id="1424186145">
      <w:marLeft w:val="0"/>
      <w:marRight w:val="0"/>
      <w:marTop w:val="0"/>
      <w:marBottom w:val="0"/>
      <w:divBdr>
        <w:top w:val="none" w:sz="0" w:space="0" w:color="auto"/>
        <w:left w:val="none" w:sz="0" w:space="0" w:color="auto"/>
        <w:bottom w:val="none" w:sz="0" w:space="0" w:color="auto"/>
        <w:right w:val="none" w:sz="0" w:space="0" w:color="auto"/>
      </w:divBdr>
    </w:div>
    <w:div w:id="1432971351">
      <w:marLeft w:val="0"/>
      <w:marRight w:val="0"/>
      <w:marTop w:val="0"/>
      <w:marBottom w:val="0"/>
      <w:divBdr>
        <w:top w:val="none" w:sz="0" w:space="0" w:color="auto"/>
        <w:left w:val="none" w:sz="0" w:space="0" w:color="auto"/>
        <w:bottom w:val="none" w:sz="0" w:space="0" w:color="auto"/>
        <w:right w:val="none" w:sz="0" w:space="0" w:color="auto"/>
      </w:divBdr>
    </w:div>
    <w:div w:id="1438796948">
      <w:marLeft w:val="0"/>
      <w:marRight w:val="0"/>
      <w:marTop w:val="0"/>
      <w:marBottom w:val="0"/>
      <w:divBdr>
        <w:top w:val="none" w:sz="0" w:space="0" w:color="auto"/>
        <w:left w:val="none" w:sz="0" w:space="0" w:color="auto"/>
        <w:bottom w:val="none" w:sz="0" w:space="0" w:color="auto"/>
        <w:right w:val="none" w:sz="0" w:space="0" w:color="auto"/>
      </w:divBdr>
      <w:divsChild>
        <w:div w:id="2083597210">
          <w:marLeft w:val="0"/>
          <w:marRight w:val="0"/>
          <w:marTop w:val="0"/>
          <w:marBottom w:val="0"/>
          <w:divBdr>
            <w:top w:val="none" w:sz="0" w:space="0" w:color="auto"/>
            <w:left w:val="none" w:sz="0" w:space="0" w:color="auto"/>
            <w:bottom w:val="none" w:sz="0" w:space="0" w:color="auto"/>
            <w:right w:val="none" w:sz="0" w:space="0" w:color="auto"/>
          </w:divBdr>
        </w:div>
        <w:div w:id="1464884228">
          <w:marLeft w:val="0"/>
          <w:marRight w:val="0"/>
          <w:marTop w:val="0"/>
          <w:marBottom w:val="0"/>
          <w:divBdr>
            <w:top w:val="none" w:sz="0" w:space="0" w:color="auto"/>
            <w:left w:val="none" w:sz="0" w:space="0" w:color="auto"/>
            <w:bottom w:val="none" w:sz="0" w:space="0" w:color="auto"/>
            <w:right w:val="none" w:sz="0" w:space="0" w:color="auto"/>
          </w:divBdr>
        </w:div>
        <w:div w:id="1720126354">
          <w:marLeft w:val="0"/>
          <w:marRight w:val="0"/>
          <w:marTop w:val="0"/>
          <w:marBottom w:val="0"/>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
          </w:divsChild>
        </w:div>
        <w:div w:id="2025588395">
          <w:marLeft w:val="0"/>
          <w:marRight w:val="0"/>
          <w:marTop w:val="0"/>
          <w:marBottom w:val="0"/>
          <w:divBdr>
            <w:top w:val="none" w:sz="0" w:space="0" w:color="auto"/>
            <w:left w:val="none" w:sz="0" w:space="0" w:color="auto"/>
            <w:bottom w:val="none" w:sz="0" w:space="0" w:color="auto"/>
            <w:right w:val="none" w:sz="0" w:space="0" w:color="auto"/>
          </w:divBdr>
        </w:div>
      </w:divsChild>
    </w:div>
    <w:div w:id="1441220768">
      <w:marLeft w:val="0"/>
      <w:marRight w:val="0"/>
      <w:marTop w:val="0"/>
      <w:marBottom w:val="0"/>
      <w:divBdr>
        <w:top w:val="none" w:sz="0" w:space="0" w:color="auto"/>
        <w:left w:val="none" w:sz="0" w:space="0" w:color="auto"/>
        <w:bottom w:val="none" w:sz="0" w:space="0" w:color="auto"/>
        <w:right w:val="none" w:sz="0" w:space="0" w:color="auto"/>
      </w:divBdr>
      <w:divsChild>
        <w:div w:id="760024208">
          <w:marLeft w:val="0"/>
          <w:marRight w:val="0"/>
          <w:marTop w:val="0"/>
          <w:marBottom w:val="0"/>
          <w:divBdr>
            <w:top w:val="none" w:sz="0" w:space="0" w:color="auto"/>
            <w:left w:val="none" w:sz="0" w:space="0" w:color="auto"/>
            <w:bottom w:val="none" w:sz="0" w:space="0" w:color="auto"/>
            <w:right w:val="none" w:sz="0" w:space="0" w:color="auto"/>
          </w:divBdr>
        </w:div>
        <w:div w:id="22025023">
          <w:marLeft w:val="0"/>
          <w:marRight w:val="0"/>
          <w:marTop w:val="0"/>
          <w:marBottom w:val="0"/>
          <w:divBdr>
            <w:top w:val="none" w:sz="0" w:space="0" w:color="auto"/>
            <w:left w:val="none" w:sz="0" w:space="0" w:color="auto"/>
            <w:bottom w:val="none" w:sz="0" w:space="0" w:color="auto"/>
            <w:right w:val="none" w:sz="0" w:space="0" w:color="auto"/>
          </w:divBdr>
        </w:div>
      </w:divsChild>
    </w:div>
    <w:div w:id="1463156958">
      <w:marLeft w:val="0"/>
      <w:marRight w:val="0"/>
      <w:marTop w:val="0"/>
      <w:marBottom w:val="0"/>
      <w:divBdr>
        <w:top w:val="none" w:sz="0" w:space="0" w:color="auto"/>
        <w:left w:val="none" w:sz="0" w:space="0" w:color="auto"/>
        <w:bottom w:val="none" w:sz="0" w:space="0" w:color="auto"/>
        <w:right w:val="none" w:sz="0" w:space="0" w:color="auto"/>
      </w:divBdr>
      <w:divsChild>
        <w:div w:id="1917209071">
          <w:marLeft w:val="0"/>
          <w:marRight w:val="0"/>
          <w:marTop w:val="0"/>
          <w:marBottom w:val="0"/>
          <w:divBdr>
            <w:top w:val="none" w:sz="0" w:space="0" w:color="auto"/>
            <w:left w:val="none" w:sz="0" w:space="0" w:color="auto"/>
            <w:bottom w:val="none" w:sz="0" w:space="0" w:color="auto"/>
            <w:right w:val="none" w:sz="0" w:space="0" w:color="auto"/>
          </w:divBdr>
        </w:div>
        <w:div w:id="1655598463">
          <w:marLeft w:val="0"/>
          <w:marRight w:val="0"/>
          <w:marTop w:val="0"/>
          <w:marBottom w:val="0"/>
          <w:divBdr>
            <w:top w:val="none" w:sz="0" w:space="0" w:color="auto"/>
            <w:left w:val="none" w:sz="0" w:space="0" w:color="auto"/>
            <w:bottom w:val="none" w:sz="0" w:space="0" w:color="auto"/>
            <w:right w:val="none" w:sz="0" w:space="0" w:color="auto"/>
          </w:divBdr>
        </w:div>
      </w:divsChild>
    </w:div>
    <w:div w:id="1486125707">
      <w:marLeft w:val="0"/>
      <w:marRight w:val="0"/>
      <w:marTop w:val="0"/>
      <w:marBottom w:val="0"/>
      <w:divBdr>
        <w:top w:val="none" w:sz="0" w:space="0" w:color="auto"/>
        <w:left w:val="none" w:sz="0" w:space="0" w:color="auto"/>
        <w:bottom w:val="none" w:sz="0" w:space="0" w:color="auto"/>
        <w:right w:val="none" w:sz="0" w:space="0" w:color="auto"/>
      </w:divBdr>
    </w:div>
    <w:div w:id="1518733142">
      <w:marLeft w:val="0"/>
      <w:marRight w:val="0"/>
      <w:marTop w:val="0"/>
      <w:marBottom w:val="0"/>
      <w:divBdr>
        <w:top w:val="none" w:sz="0" w:space="0" w:color="auto"/>
        <w:left w:val="none" w:sz="0" w:space="0" w:color="auto"/>
        <w:bottom w:val="none" w:sz="0" w:space="0" w:color="auto"/>
        <w:right w:val="none" w:sz="0" w:space="0" w:color="auto"/>
      </w:divBdr>
    </w:div>
    <w:div w:id="1523669615">
      <w:marLeft w:val="0"/>
      <w:marRight w:val="0"/>
      <w:marTop w:val="0"/>
      <w:marBottom w:val="0"/>
      <w:divBdr>
        <w:top w:val="none" w:sz="0" w:space="0" w:color="auto"/>
        <w:left w:val="none" w:sz="0" w:space="0" w:color="auto"/>
        <w:bottom w:val="none" w:sz="0" w:space="0" w:color="auto"/>
        <w:right w:val="none" w:sz="0" w:space="0" w:color="auto"/>
      </w:divBdr>
      <w:divsChild>
        <w:div w:id="2075737405">
          <w:marLeft w:val="0"/>
          <w:marRight w:val="0"/>
          <w:marTop w:val="0"/>
          <w:marBottom w:val="0"/>
          <w:divBdr>
            <w:top w:val="none" w:sz="0" w:space="0" w:color="auto"/>
            <w:left w:val="none" w:sz="0" w:space="0" w:color="auto"/>
            <w:bottom w:val="none" w:sz="0" w:space="0" w:color="auto"/>
            <w:right w:val="none" w:sz="0" w:space="0" w:color="auto"/>
          </w:divBdr>
        </w:div>
        <w:div w:id="1966353700">
          <w:marLeft w:val="0"/>
          <w:marRight w:val="0"/>
          <w:marTop w:val="0"/>
          <w:marBottom w:val="0"/>
          <w:divBdr>
            <w:top w:val="none" w:sz="0" w:space="0" w:color="auto"/>
            <w:left w:val="none" w:sz="0" w:space="0" w:color="auto"/>
            <w:bottom w:val="none" w:sz="0" w:space="0" w:color="auto"/>
            <w:right w:val="none" w:sz="0" w:space="0" w:color="auto"/>
          </w:divBdr>
        </w:div>
      </w:divsChild>
    </w:div>
    <w:div w:id="1524900299">
      <w:marLeft w:val="360"/>
      <w:marRight w:val="0"/>
      <w:marTop w:val="0"/>
      <w:marBottom w:val="0"/>
      <w:divBdr>
        <w:top w:val="none" w:sz="0" w:space="0" w:color="auto"/>
        <w:left w:val="none" w:sz="0" w:space="0" w:color="auto"/>
        <w:bottom w:val="none" w:sz="0" w:space="0" w:color="auto"/>
        <w:right w:val="none" w:sz="0" w:space="0" w:color="auto"/>
      </w:divBdr>
    </w:div>
    <w:div w:id="1533299490">
      <w:marLeft w:val="0"/>
      <w:marRight w:val="0"/>
      <w:marTop w:val="0"/>
      <w:marBottom w:val="0"/>
      <w:divBdr>
        <w:top w:val="none" w:sz="0" w:space="0" w:color="auto"/>
        <w:left w:val="none" w:sz="0" w:space="0" w:color="auto"/>
        <w:bottom w:val="none" w:sz="0" w:space="0" w:color="auto"/>
        <w:right w:val="none" w:sz="0" w:space="0" w:color="auto"/>
      </w:divBdr>
    </w:div>
    <w:div w:id="1542934406">
      <w:marLeft w:val="0"/>
      <w:marRight w:val="0"/>
      <w:marTop w:val="0"/>
      <w:marBottom w:val="0"/>
      <w:divBdr>
        <w:top w:val="none" w:sz="0" w:space="0" w:color="auto"/>
        <w:left w:val="none" w:sz="0" w:space="0" w:color="auto"/>
        <w:bottom w:val="none" w:sz="0" w:space="0" w:color="auto"/>
        <w:right w:val="none" w:sz="0" w:space="0" w:color="auto"/>
      </w:divBdr>
    </w:div>
    <w:div w:id="1570574249">
      <w:marLeft w:val="0"/>
      <w:marRight w:val="0"/>
      <w:marTop w:val="0"/>
      <w:marBottom w:val="0"/>
      <w:divBdr>
        <w:top w:val="none" w:sz="0" w:space="0" w:color="auto"/>
        <w:left w:val="none" w:sz="0" w:space="0" w:color="auto"/>
        <w:bottom w:val="none" w:sz="0" w:space="0" w:color="auto"/>
        <w:right w:val="none" w:sz="0" w:space="0" w:color="auto"/>
      </w:divBdr>
    </w:div>
    <w:div w:id="1572422864">
      <w:marLeft w:val="0"/>
      <w:marRight w:val="0"/>
      <w:marTop w:val="0"/>
      <w:marBottom w:val="0"/>
      <w:divBdr>
        <w:top w:val="none" w:sz="0" w:space="0" w:color="auto"/>
        <w:left w:val="none" w:sz="0" w:space="0" w:color="auto"/>
        <w:bottom w:val="none" w:sz="0" w:space="0" w:color="auto"/>
        <w:right w:val="none" w:sz="0" w:space="0" w:color="auto"/>
      </w:divBdr>
    </w:div>
    <w:div w:id="1585727646">
      <w:marLeft w:val="0"/>
      <w:marRight w:val="0"/>
      <w:marTop w:val="0"/>
      <w:marBottom w:val="0"/>
      <w:divBdr>
        <w:top w:val="none" w:sz="0" w:space="0" w:color="auto"/>
        <w:left w:val="none" w:sz="0" w:space="0" w:color="auto"/>
        <w:bottom w:val="none" w:sz="0" w:space="0" w:color="auto"/>
        <w:right w:val="none" w:sz="0" w:space="0" w:color="auto"/>
      </w:divBdr>
      <w:divsChild>
        <w:div w:id="969241301">
          <w:marLeft w:val="0"/>
          <w:marRight w:val="0"/>
          <w:marTop w:val="0"/>
          <w:marBottom w:val="0"/>
          <w:divBdr>
            <w:top w:val="none" w:sz="0" w:space="0" w:color="auto"/>
            <w:left w:val="none" w:sz="0" w:space="0" w:color="auto"/>
            <w:bottom w:val="none" w:sz="0" w:space="0" w:color="auto"/>
            <w:right w:val="none" w:sz="0" w:space="0" w:color="auto"/>
          </w:divBdr>
        </w:div>
        <w:div w:id="1960719949">
          <w:marLeft w:val="0"/>
          <w:marRight w:val="0"/>
          <w:marTop w:val="0"/>
          <w:marBottom w:val="0"/>
          <w:divBdr>
            <w:top w:val="none" w:sz="0" w:space="0" w:color="auto"/>
            <w:left w:val="none" w:sz="0" w:space="0" w:color="auto"/>
            <w:bottom w:val="none" w:sz="0" w:space="0" w:color="auto"/>
            <w:right w:val="none" w:sz="0" w:space="0" w:color="auto"/>
          </w:divBdr>
        </w:div>
        <w:div w:id="1161000174">
          <w:marLeft w:val="0"/>
          <w:marRight w:val="0"/>
          <w:marTop w:val="0"/>
          <w:marBottom w:val="0"/>
          <w:divBdr>
            <w:top w:val="none" w:sz="0" w:space="0" w:color="auto"/>
            <w:left w:val="none" w:sz="0" w:space="0" w:color="auto"/>
            <w:bottom w:val="none" w:sz="0" w:space="0" w:color="auto"/>
            <w:right w:val="none" w:sz="0" w:space="0" w:color="auto"/>
          </w:divBdr>
          <w:divsChild>
            <w:div w:id="1353452700">
              <w:marLeft w:val="0"/>
              <w:marRight w:val="0"/>
              <w:marTop w:val="0"/>
              <w:marBottom w:val="0"/>
              <w:divBdr>
                <w:top w:val="none" w:sz="0" w:space="0" w:color="auto"/>
                <w:left w:val="none" w:sz="0" w:space="0" w:color="auto"/>
                <w:bottom w:val="none" w:sz="0" w:space="0" w:color="auto"/>
                <w:right w:val="none" w:sz="0" w:space="0" w:color="auto"/>
              </w:divBdr>
            </w:div>
          </w:divsChild>
        </w:div>
        <w:div w:id="1864858325">
          <w:marLeft w:val="0"/>
          <w:marRight w:val="0"/>
          <w:marTop w:val="0"/>
          <w:marBottom w:val="0"/>
          <w:divBdr>
            <w:top w:val="none" w:sz="0" w:space="0" w:color="auto"/>
            <w:left w:val="none" w:sz="0" w:space="0" w:color="auto"/>
            <w:bottom w:val="none" w:sz="0" w:space="0" w:color="auto"/>
            <w:right w:val="none" w:sz="0" w:space="0" w:color="auto"/>
          </w:divBdr>
        </w:div>
      </w:divsChild>
    </w:div>
    <w:div w:id="1601331811">
      <w:marLeft w:val="0"/>
      <w:marRight w:val="0"/>
      <w:marTop w:val="0"/>
      <w:marBottom w:val="0"/>
      <w:divBdr>
        <w:top w:val="none" w:sz="0" w:space="0" w:color="auto"/>
        <w:left w:val="none" w:sz="0" w:space="0" w:color="auto"/>
        <w:bottom w:val="none" w:sz="0" w:space="0" w:color="auto"/>
        <w:right w:val="none" w:sz="0" w:space="0" w:color="auto"/>
      </w:divBdr>
      <w:divsChild>
        <w:div w:id="1204371580">
          <w:marLeft w:val="0"/>
          <w:marRight w:val="0"/>
          <w:marTop w:val="0"/>
          <w:marBottom w:val="0"/>
          <w:divBdr>
            <w:top w:val="none" w:sz="0" w:space="0" w:color="auto"/>
            <w:left w:val="none" w:sz="0" w:space="0" w:color="auto"/>
            <w:bottom w:val="none" w:sz="0" w:space="0" w:color="auto"/>
            <w:right w:val="none" w:sz="0" w:space="0" w:color="auto"/>
          </w:divBdr>
        </w:div>
      </w:divsChild>
    </w:div>
    <w:div w:id="1607544191">
      <w:marLeft w:val="0"/>
      <w:marRight w:val="0"/>
      <w:marTop w:val="0"/>
      <w:marBottom w:val="0"/>
      <w:divBdr>
        <w:top w:val="none" w:sz="0" w:space="0" w:color="auto"/>
        <w:left w:val="none" w:sz="0" w:space="0" w:color="auto"/>
        <w:bottom w:val="none" w:sz="0" w:space="0" w:color="auto"/>
        <w:right w:val="none" w:sz="0" w:space="0" w:color="auto"/>
      </w:divBdr>
    </w:div>
    <w:div w:id="1610968964">
      <w:marLeft w:val="0"/>
      <w:marRight w:val="0"/>
      <w:marTop w:val="0"/>
      <w:marBottom w:val="0"/>
      <w:divBdr>
        <w:top w:val="none" w:sz="0" w:space="0" w:color="auto"/>
        <w:left w:val="none" w:sz="0" w:space="0" w:color="auto"/>
        <w:bottom w:val="none" w:sz="0" w:space="0" w:color="auto"/>
        <w:right w:val="none" w:sz="0" w:space="0" w:color="auto"/>
      </w:divBdr>
    </w:div>
    <w:div w:id="1617369506">
      <w:marLeft w:val="0"/>
      <w:marRight w:val="0"/>
      <w:marTop w:val="0"/>
      <w:marBottom w:val="0"/>
      <w:divBdr>
        <w:top w:val="none" w:sz="0" w:space="0" w:color="auto"/>
        <w:left w:val="none" w:sz="0" w:space="0" w:color="auto"/>
        <w:bottom w:val="none" w:sz="0" w:space="0" w:color="auto"/>
        <w:right w:val="none" w:sz="0" w:space="0" w:color="auto"/>
      </w:divBdr>
      <w:divsChild>
        <w:div w:id="403337345">
          <w:marLeft w:val="0"/>
          <w:marRight w:val="0"/>
          <w:marTop w:val="0"/>
          <w:marBottom w:val="0"/>
          <w:divBdr>
            <w:top w:val="none" w:sz="0" w:space="0" w:color="auto"/>
            <w:left w:val="none" w:sz="0" w:space="0" w:color="auto"/>
            <w:bottom w:val="none" w:sz="0" w:space="0" w:color="auto"/>
            <w:right w:val="none" w:sz="0" w:space="0" w:color="auto"/>
          </w:divBdr>
        </w:div>
        <w:div w:id="686565985">
          <w:marLeft w:val="0"/>
          <w:marRight w:val="0"/>
          <w:marTop w:val="0"/>
          <w:marBottom w:val="0"/>
          <w:divBdr>
            <w:top w:val="none" w:sz="0" w:space="0" w:color="auto"/>
            <w:left w:val="none" w:sz="0" w:space="0" w:color="auto"/>
            <w:bottom w:val="none" w:sz="0" w:space="0" w:color="auto"/>
            <w:right w:val="none" w:sz="0" w:space="0" w:color="auto"/>
          </w:divBdr>
        </w:div>
      </w:divsChild>
    </w:div>
    <w:div w:id="1655524902">
      <w:marLeft w:val="0"/>
      <w:marRight w:val="0"/>
      <w:marTop w:val="0"/>
      <w:marBottom w:val="0"/>
      <w:divBdr>
        <w:top w:val="none" w:sz="0" w:space="0" w:color="auto"/>
        <w:left w:val="none" w:sz="0" w:space="0" w:color="auto"/>
        <w:bottom w:val="none" w:sz="0" w:space="0" w:color="auto"/>
        <w:right w:val="none" w:sz="0" w:space="0" w:color="auto"/>
      </w:divBdr>
      <w:divsChild>
        <w:div w:id="2119055968">
          <w:marLeft w:val="0"/>
          <w:marRight w:val="0"/>
          <w:marTop w:val="0"/>
          <w:marBottom w:val="0"/>
          <w:divBdr>
            <w:top w:val="none" w:sz="0" w:space="0" w:color="auto"/>
            <w:left w:val="none" w:sz="0" w:space="0" w:color="auto"/>
            <w:bottom w:val="none" w:sz="0" w:space="0" w:color="auto"/>
            <w:right w:val="none" w:sz="0" w:space="0" w:color="auto"/>
          </w:divBdr>
        </w:div>
        <w:div w:id="137579688">
          <w:marLeft w:val="0"/>
          <w:marRight w:val="0"/>
          <w:marTop w:val="0"/>
          <w:marBottom w:val="0"/>
          <w:divBdr>
            <w:top w:val="none" w:sz="0" w:space="0" w:color="auto"/>
            <w:left w:val="none" w:sz="0" w:space="0" w:color="auto"/>
            <w:bottom w:val="none" w:sz="0" w:space="0" w:color="auto"/>
            <w:right w:val="none" w:sz="0" w:space="0" w:color="auto"/>
          </w:divBdr>
        </w:div>
      </w:divsChild>
    </w:div>
    <w:div w:id="1680040253">
      <w:marLeft w:val="0"/>
      <w:marRight w:val="0"/>
      <w:marTop w:val="0"/>
      <w:marBottom w:val="0"/>
      <w:divBdr>
        <w:top w:val="none" w:sz="0" w:space="0" w:color="auto"/>
        <w:left w:val="none" w:sz="0" w:space="0" w:color="auto"/>
        <w:bottom w:val="none" w:sz="0" w:space="0" w:color="auto"/>
        <w:right w:val="none" w:sz="0" w:space="0" w:color="auto"/>
      </w:divBdr>
      <w:divsChild>
        <w:div w:id="2062974233">
          <w:marLeft w:val="0"/>
          <w:marRight w:val="0"/>
          <w:marTop w:val="0"/>
          <w:marBottom w:val="0"/>
          <w:divBdr>
            <w:top w:val="none" w:sz="0" w:space="0" w:color="auto"/>
            <w:left w:val="none" w:sz="0" w:space="0" w:color="auto"/>
            <w:bottom w:val="none" w:sz="0" w:space="0" w:color="auto"/>
            <w:right w:val="none" w:sz="0" w:space="0" w:color="auto"/>
          </w:divBdr>
        </w:div>
        <w:div w:id="1628077131">
          <w:marLeft w:val="0"/>
          <w:marRight w:val="0"/>
          <w:marTop w:val="0"/>
          <w:marBottom w:val="0"/>
          <w:divBdr>
            <w:top w:val="none" w:sz="0" w:space="0" w:color="auto"/>
            <w:left w:val="none" w:sz="0" w:space="0" w:color="auto"/>
            <w:bottom w:val="none" w:sz="0" w:space="0" w:color="auto"/>
            <w:right w:val="none" w:sz="0" w:space="0" w:color="auto"/>
          </w:divBdr>
        </w:div>
      </w:divsChild>
    </w:div>
    <w:div w:id="1690181634">
      <w:marLeft w:val="0"/>
      <w:marRight w:val="0"/>
      <w:marTop w:val="0"/>
      <w:marBottom w:val="0"/>
      <w:divBdr>
        <w:top w:val="none" w:sz="0" w:space="0" w:color="auto"/>
        <w:left w:val="none" w:sz="0" w:space="0" w:color="auto"/>
        <w:bottom w:val="none" w:sz="0" w:space="0" w:color="auto"/>
        <w:right w:val="none" w:sz="0" w:space="0" w:color="auto"/>
      </w:divBdr>
    </w:div>
    <w:div w:id="1690569650">
      <w:marLeft w:val="0"/>
      <w:marRight w:val="0"/>
      <w:marTop w:val="0"/>
      <w:marBottom w:val="0"/>
      <w:divBdr>
        <w:top w:val="none" w:sz="0" w:space="0" w:color="auto"/>
        <w:left w:val="none" w:sz="0" w:space="0" w:color="auto"/>
        <w:bottom w:val="none" w:sz="0" w:space="0" w:color="auto"/>
        <w:right w:val="none" w:sz="0" w:space="0" w:color="auto"/>
      </w:divBdr>
    </w:div>
    <w:div w:id="1695224499">
      <w:marLeft w:val="0"/>
      <w:marRight w:val="0"/>
      <w:marTop w:val="0"/>
      <w:marBottom w:val="0"/>
      <w:divBdr>
        <w:top w:val="none" w:sz="0" w:space="0" w:color="auto"/>
        <w:left w:val="none" w:sz="0" w:space="0" w:color="auto"/>
        <w:bottom w:val="none" w:sz="0" w:space="0" w:color="auto"/>
        <w:right w:val="none" w:sz="0" w:space="0" w:color="auto"/>
      </w:divBdr>
      <w:divsChild>
        <w:div w:id="1610309527">
          <w:marLeft w:val="0"/>
          <w:marRight w:val="0"/>
          <w:marTop w:val="0"/>
          <w:marBottom w:val="0"/>
          <w:divBdr>
            <w:top w:val="none" w:sz="0" w:space="0" w:color="auto"/>
            <w:left w:val="none" w:sz="0" w:space="0" w:color="auto"/>
            <w:bottom w:val="none" w:sz="0" w:space="0" w:color="auto"/>
            <w:right w:val="none" w:sz="0" w:space="0" w:color="auto"/>
          </w:divBdr>
        </w:div>
        <w:div w:id="946471748">
          <w:marLeft w:val="0"/>
          <w:marRight w:val="0"/>
          <w:marTop w:val="0"/>
          <w:marBottom w:val="0"/>
          <w:divBdr>
            <w:top w:val="none" w:sz="0" w:space="0" w:color="auto"/>
            <w:left w:val="none" w:sz="0" w:space="0" w:color="auto"/>
            <w:bottom w:val="none" w:sz="0" w:space="0" w:color="auto"/>
            <w:right w:val="none" w:sz="0" w:space="0" w:color="auto"/>
          </w:divBdr>
        </w:div>
        <w:div w:id="1035347310">
          <w:marLeft w:val="0"/>
          <w:marRight w:val="0"/>
          <w:marTop w:val="0"/>
          <w:marBottom w:val="0"/>
          <w:divBdr>
            <w:top w:val="none" w:sz="0" w:space="0" w:color="auto"/>
            <w:left w:val="none" w:sz="0" w:space="0" w:color="auto"/>
            <w:bottom w:val="none" w:sz="0" w:space="0" w:color="auto"/>
            <w:right w:val="none" w:sz="0" w:space="0" w:color="auto"/>
          </w:divBdr>
          <w:divsChild>
            <w:div w:id="1277559082">
              <w:marLeft w:val="0"/>
              <w:marRight w:val="0"/>
              <w:marTop w:val="0"/>
              <w:marBottom w:val="0"/>
              <w:divBdr>
                <w:top w:val="none" w:sz="0" w:space="0" w:color="auto"/>
                <w:left w:val="none" w:sz="0" w:space="0" w:color="auto"/>
                <w:bottom w:val="none" w:sz="0" w:space="0" w:color="auto"/>
                <w:right w:val="none" w:sz="0" w:space="0" w:color="auto"/>
              </w:divBdr>
            </w:div>
          </w:divsChild>
        </w:div>
        <w:div w:id="206912822">
          <w:marLeft w:val="0"/>
          <w:marRight w:val="0"/>
          <w:marTop w:val="0"/>
          <w:marBottom w:val="0"/>
          <w:divBdr>
            <w:top w:val="none" w:sz="0" w:space="0" w:color="auto"/>
            <w:left w:val="none" w:sz="0" w:space="0" w:color="auto"/>
            <w:bottom w:val="none" w:sz="0" w:space="0" w:color="auto"/>
            <w:right w:val="none" w:sz="0" w:space="0" w:color="auto"/>
          </w:divBdr>
        </w:div>
      </w:divsChild>
    </w:div>
    <w:div w:id="1697392246">
      <w:marLeft w:val="0"/>
      <w:marRight w:val="0"/>
      <w:marTop w:val="0"/>
      <w:marBottom w:val="0"/>
      <w:divBdr>
        <w:top w:val="none" w:sz="0" w:space="0" w:color="auto"/>
        <w:left w:val="none" w:sz="0" w:space="0" w:color="auto"/>
        <w:bottom w:val="none" w:sz="0" w:space="0" w:color="auto"/>
        <w:right w:val="none" w:sz="0" w:space="0" w:color="auto"/>
      </w:divBdr>
    </w:div>
    <w:div w:id="1700936714">
      <w:marLeft w:val="0"/>
      <w:marRight w:val="0"/>
      <w:marTop w:val="0"/>
      <w:marBottom w:val="0"/>
      <w:divBdr>
        <w:top w:val="none" w:sz="0" w:space="0" w:color="auto"/>
        <w:left w:val="none" w:sz="0" w:space="0" w:color="auto"/>
        <w:bottom w:val="none" w:sz="0" w:space="0" w:color="auto"/>
        <w:right w:val="none" w:sz="0" w:space="0" w:color="auto"/>
      </w:divBdr>
    </w:div>
    <w:div w:id="1704867002">
      <w:marLeft w:val="0"/>
      <w:marRight w:val="0"/>
      <w:marTop w:val="0"/>
      <w:marBottom w:val="0"/>
      <w:divBdr>
        <w:top w:val="none" w:sz="0" w:space="0" w:color="auto"/>
        <w:left w:val="none" w:sz="0" w:space="0" w:color="auto"/>
        <w:bottom w:val="none" w:sz="0" w:space="0" w:color="auto"/>
        <w:right w:val="none" w:sz="0" w:space="0" w:color="auto"/>
      </w:divBdr>
    </w:div>
    <w:div w:id="1711950419">
      <w:marLeft w:val="0"/>
      <w:marRight w:val="0"/>
      <w:marTop w:val="0"/>
      <w:marBottom w:val="0"/>
      <w:divBdr>
        <w:top w:val="none" w:sz="0" w:space="0" w:color="auto"/>
        <w:left w:val="none" w:sz="0" w:space="0" w:color="auto"/>
        <w:bottom w:val="none" w:sz="0" w:space="0" w:color="auto"/>
        <w:right w:val="none" w:sz="0" w:space="0" w:color="auto"/>
      </w:divBdr>
    </w:div>
    <w:div w:id="1734549784">
      <w:marLeft w:val="0"/>
      <w:marRight w:val="0"/>
      <w:marTop w:val="0"/>
      <w:marBottom w:val="0"/>
      <w:divBdr>
        <w:top w:val="none" w:sz="0" w:space="0" w:color="auto"/>
        <w:left w:val="none" w:sz="0" w:space="0" w:color="auto"/>
        <w:bottom w:val="none" w:sz="0" w:space="0" w:color="auto"/>
        <w:right w:val="none" w:sz="0" w:space="0" w:color="auto"/>
      </w:divBdr>
      <w:divsChild>
        <w:div w:id="219246031">
          <w:marLeft w:val="0"/>
          <w:marRight w:val="0"/>
          <w:marTop w:val="0"/>
          <w:marBottom w:val="0"/>
          <w:divBdr>
            <w:top w:val="none" w:sz="0" w:space="0" w:color="auto"/>
            <w:left w:val="none" w:sz="0" w:space="0" w:color="auto"/>
            <w:bottom w:val="none" w:sz="0" w:space="0" w:color="auto"/>
            <w:right w:val="none" w:sz="0" w:space="0" w:color="auto"/>
          </w:divBdr>
        </w:div>
        <w:div w:id="976494493">
          <w:marLeft w:val="0"/>
          <w:marRight w:val="0"/>
          <w:marTop w:val="0"/>
          <w:marBottom w:val="0"/>
          <w:divBdr>
            <w:top w:val="none" w:sz="0" w:space="0" w:color="auto"/>
            <w:left w:val="none" w:sz="0" w:space="0" w:color="auto"/>
            <w:bottom w:val="none" w:sz="0" w:space="0" w:color="auto"/>
            <w:right w:val="none" w:sz="0" w:space="0" w:color="auto"/>
          </w:divBdr>
        </w:div>
      </w:divsChild>
    </w:div>
    <w:div w:id="1736974284">
      <w:marLeft w:val="0"/>
      <w:marRight w:val="0"/>
      <w:marTop w:val="0"/>
      <w:marBottom w:val="0"/>
      <w:divBdr>
        <w:top w:val="none" w:sz="0" w:space="0" w:color="auto"/>
        <w:left w:val="none" w:sz="0" w:space="0" w:color="auto"/>
        <w:bottom w:val="none" w:sz="0" w:space="0" w:color="auto"/>
        <w:right w:val="none" w:sz="0" w:space="0" w:color="auto"/>
      </w:divBdr>
      <w:divsChild>
        <w:div w:id="1004011896">
          <w:marLeft w:val="0"/>
          <w:marRight w:val="0"/>
          <w:marTop w:val="0"/>
          <w:marBottom w:val="0"/>
          <w:divBdr>
            <w:top w:val="none" w:sz="0" w:space="0" w:color="auto"/>
            <w:left w:val="none" w:sz="0" w:space="0" w:color="auto"/>
            <w:bottom w:val="none" w:sz="0" w:space="0" w:color="auto"/>
            <w:right w:val="none" w:sz="0" w:space="0" w:color="auto"/>
          </w:divBdr>
        </w:div>
        <w:div w:id="1792282673">
          <w:marLeft w:val="0"/>
          <w:marRight w:val="0"/>
          <w:marTop w:val="0"/>
          <w:marBottom w:val="0"/>
          <w:divBdr>
            <w:top w:val="none" w:sz="0" w:space="0" w:color="auto"/>
            <w:left w:val="none" w:sz="0" w:space="0" w:color="auto"/>
            <w:bottom w:val="none" w:sz="0" w:space="0" w:color="auto"/>
            <w:right w:val="none" w:sz="0" w:space="0" w:color="auto"/>
          </w:divBdr>
        </w:div>
        <w:div w:id="1743288787">
          <w:marLeft w:val="0"/>
          <w:marRight w:val="0"/>
          <w:marTop w:val="0"/>
          <w:marBottom w:val="0"/>
          <w:divBdr>
            <w:top w:val="none" w:sz="0" w:space="0" w:color="auto"/>
            <w:left w:val="none" w:sz="0" w:space="0" w:color="auto"/>
            <w:bottom w:val="none" w:sz="0" w:space="0" w:color="auto"/>
            <w:right w:val="none" w:sz="0" w:space="0" w:color="auto"/>
          </w:divBdr>
          <w:divsChild>
            <w:div w:id="709113709">
              <w:marLeft w:val="0"/>
              <w:marRight w:val="0"/>
              <w:marTop w:val="0"/>
              <w:marBottom w:val="0"/>
              <w:divBdr>
                <w:top w:val="none" w:sz="0" w:space="0" w:color="auto"/>
                <w:left w:val="none" w:sz="0" w:space="0" w:color="auto"/>
                <w:bottom w:val="none" w:sz="0" w:space="0" w:color="auto"/>
                <w:right w:val="none" w:sz="0" w:space="0" w:color="auto"/>
              </w:divBdr>
            </w:div>
          </w:divsChild>
        </w:div>
        <w:div w:id="1092167535">
          <w:marLeft w:val="0"/>
          <w:marRight w:val="0"/>
          <w:marTop w:val="0"/>
          <w:marBottom w:val="0"/>
          <w:divBdr>
            <w:top w:val="none" w:sz="0" w:space="0" w:color="auto"/>
            <w:left w:val="none" w:sz="0" w:space="0" w:color="auto"/>
            <w:bottom w:val="none" w:sz="0" w:space="0" w:color="auto"/>
            <w:right w:val="none" w:sz="0" w:space="0" w:color="auto"/>
          </w:divBdr>
        </w:div>
      </w:divsChild>
    </w:div>
    <w:div w:id="1745447164">
      <w:marLeft w:val="0"/>
      <w:marRight w:val="0"/>
      <w:marTop w:val="0"/>
      <w:marBottom w:val="0"/>
      <w:divBdr>
        <w:top w:val="none" w:sz="0" w:space="0" w:color="auto"/>
        <w:left w:val="none" w:sz="0" w:space="0" w:color="auto"/>
        <w:bottom w:val="none" w:sz="0" w:space="0" w:color="auto"/>
        <w:right w:val="none" w:sz="0" w:space="0" w:color="auto"/>
      </w:divBdr>
      <w:divsChild>
        <w:div w:id="411239207">
          <w:marLeft w:val="0"/>
          <w:marRight w:val="0"/>
          <w:marTop w:val="0"/>
          <w:marBottom w:val="0"/>
          <w:divBdr>
            <w:top w:val="none" w:sz="0" w:space="0" w:color="auto"/>
            <w:left w:val="none" w:sz="0" w:space="0" w:color="auto"/>
            <w:bottom w:val="none" w:sz="0" w:space="0" w:color="auto"/>
            <w:right w:val="none" w:sz="0" w:space="0" w:color="auto"/>
          </w:divBdr>
        </w:div>
        <w:div w:id="104202523">
          <w:marLeft w:val="0"/>
          <w:marRight w:val="0"/>
          <w:marTop w:val="0"/>
          <w:marBottom w:val="0"/>
          <w:divBdr>
            <w:top w:val="none" w:sz="0" w:space="0" w:color="auto"/>
            <w:left w:val="none" w:sz="0" w:space="0" w:color="auto"/>
            <w:bottom w:val="none" w:sz="0" w:space="0" w:color="auto"/>
            <w:right w:val="none" w:sz="0" w:space="0" w:color="auto"/>
          </w:divBdr>
        </w:div>
      </w:divsChild>
    </w:div>
    <w:div w:id="1749880600">
      <w:marLeft w:val="0"/>
      <w:marRight w:val="0"/>
      <w:marTop w:val="0"/>
      <w:marBottom w:val="0"/>
      <w:divBdr>
        <w:top w:val="none" w:sz="0" w:space="0" w:color="auto"/>
        <w:left w:val="none" w:sz="0" w:space="0" w:color="auto"/>
        <w:bottom w:val="none" w:sz="0" w:space="0" w:color="auto"/>
        <w:right w:val="none" w:sz="0" w:space="0" w:color="auto"/>
      </w:divBdr>
      <w:divsChild>
        <w:div w:id="1454057772">
          <w:marLeft w:val="0"/>
          <w:marRight w:val="0"/>
          <w:marTop w:val="0"/>
          <w:marBottom w:val="0"/>
          <w:divBdr>
            <w:top w:val="none" w:sz="0" w:space="0" w:color="auto"/>
            <w:left w:val="none" w:sz="0" w:space="0" w:color="auto"/>
            <w:bottom w:val="none" w:sz="0" w:space="0" w:color="auto"/>
            <w:right w:val="none" w:sz="0" w:space="0" w:color="auto"/>
          </w:divBdr>
        </w:div>
        <w:div w:id="220600067">
          <w:marLeft w:val="0"/>
          <w:marRight w:val="0"/>
          <w:marTop w:val="0"/>
          <w:marBottom w:val="0"/>
          <w:divBdr>
            <w:top w:val="none" w:sz="0" w:space="0" w:color="auto"/>
            <w:left w:val="none" w:sz="0" w:space="0" w:color="auto"/>
            <w:bottom w:val="none" w:sz="0" w:space="0" w:color="auto"/>
            <w:right w:val="none" w:sz="0" w:space="0" w:color="auto"/>
          </w:divBdr>
        </w:div>
        <w:div w:id="2125495654">
          <w:marLeft w:val="0"/>
          <w:marRight w:val="0"/>
          <w:marTop w:val="0"/>
          <w:marBottom w:val="0"/>
          <w:divBdr>
            <w:top w:val="none" w:sz="0" w:space="0" w:color="auto"/>
            <w:left w:val="none" w:sz="0" w:space="0" w:color="auto"/>
            <w:bottom w:val="none" w:sz="0" w:space="0" w:color="auto"/>
            <w:right w:val="none" w:sz="0" w:space="0" w:color="auto"/>
          </w:divBdr>
          <w:divsChild>
            <w:div w:id="1564372953">
              <w:marLeft w:val="0"/>
              <w:marRight w:val="0"/>
              <w:marTop w:val="0"/>
              <w:marBottom w:val="0"/>
              <w:divBdr>
                <w:top w:val="none" w:sz="0" w:space="0" w:color="auto"/>
                <w:left w:val="none" w:sz="0" w:space="0" w:color="auto"/>
                <w:bottom w:val="none" w:sz="0" w:space="0" w:color="auto"/>
                <w:right w:val="none" w:sz="0" w:space="0" w:color="auto"/>
              </w:divBdr>
            </w:div>
          </w:divsChild>
        </w:div>
        <w:div w:id="1896811780">
          <w:marLeft w:val="0"/>
          <w:marRight w:val="0"/>
          <w:marTop w:val="0"/>
          <w:marBottom w:val="0"/>
          <w:divBdr>
            <w:top w:val="none" w:sz="0" w:space="0" w:color="auto"/>
            <w:left w:val="none" w:sz="0" w:space="0" w:color="auto"/>
            <w:bottom w:val="none" w:sz="0" w:space="0" w:color="auto"/>
            <w:right w:val="none" w:sz="0" w:space="0" w:color="auto"/>
          </w:divBdr>
        </w:div>
      </w:divsChild>
    </w:div>
    <w:div w:id="1760984306">
      <w:marLeft w:val="0"/>
      <w:marRight w:val="0"/>
      <w:marTop w:val="0"/>
      <w:marBottom w:val="0"/>
      <w:divBdr>
        <w:top w:val="none" w:sz="0" w:space="0" w:color="auto"/>
        <w:left w:val="none" w:sz="0" w:space="0" w:color="auto"/>
        <w:bottom w:val="none" w:sz="0" w:space="0" w:color="auto"/>
        <w:right w:val="none" w:sz="0" w:space="0" w:color="auto"/>
      </w:divBdr>
    </w:div>
    <w:div w:id="1766412341">
      <w:marLeft w:val="0"/>
      <w:marRight w:val="0"/>
      <w:marTop w:val="0"/>
      <w:marBottom w:val="0"/>
      <w:divBdr>
        <w:top w:val="none" w:sz="0" w:space="0" w:color="auto"/>
        <w:left w:val="none" w:sz="0" w:space="0" w:color="auto"/>
        <w:bottom w:val="none" w:sz="0" w:space="0" w:color="auto"/>
        <w:right w:val="none" w:sz="0" w:space="0" w:color="auto"/>
      </w:divBdr>
    </w:div>
    <w:div w:id="1769615122">
      <w:marLeft w:val="0"/>
      <w:marRight w:val="0"/>
      <w:marTop w:val="0"/>
      <w:marBottom w:val="0"/>
      <w:divBdr>
        <w:top w:val="none" w:sz="0" w:space="0" w:color="auto"/>
        <w:left w:val="none" w:sz="0" w:space="0" w:color="auto"/>
        <w:bottom w:val="none" w:sz="0" w:space="0" w:color="auto"/>
        <w:right w:val="none" w:sz="0" w:space="0" w:color="auto"/>
      </w:divBdr>
    </w:div>
    <w:div w:id="1770546827">
      <w:marLeft w:val="0"/>
      <w:marRight w:val="0"/>
      <w:marTop w:val="0"/>
      <w:marBottom w:val="0"/>
      <w:divBdr>
        <w:top w:val="none" w:sz="0" w:space="0" w:color="auto"/>
        <w:left w:val="none" w:sz="0" w:space="0" w:color="auto"/>
        <w:bottom w:val="none" w:sz="0" w:space="0" w:color="auto"/>
        <w:right w:val="none" w:sz="0" w:space="0" w:color="auto"/>
      </w:divBdr>
      <w:divsChild>
        <w:div w:id="1580603460">
          <w:marLeft w:val="0"/>
          <w:marRight w:val="0"/>
          <w:marTop w:val="0"/>
          <w:marBottom w:val="0"/>
          <w:divBdr>
            <w:top w:val="none" w:sz="0" w:space="0" w:color="auto"/>
            <w:left w:val="none" w:sz="0" w:space="0" w:color="auto"/>
            <w:bottom w:val="none" w:sz="0" w:space="0" w:color="auto"/>
            <w:right w:val="none" w:sz="0" w:space="0" w:color="auto"/>
          </w:divBdr>
        </w:div>
        <w:div w:id="1934506648">
          <w:marLeft w:val="0"/>
          <w:marRight w:val="0"/>
          <w:marTop w:val="0"/>
          <w:marBottom w:val="0"/>
          <w:divBdr>
            <w:top w:val="none" w:sz="0" w:space="0" w:color="auto"/>
            <w:left w:val="none" w:sz="0" w:space="0" w:color="auto"/>
            <w:bottom w:val="none" w:sz="0" w:space="0" w:color="auto"/>
            <w:right w:val="none" w:sz="0" w:space="0" w:color="auto"/>
          </w:divBdr>
        </w:div>
      </w:divsChild>
    </w:div>
    <w:div w:id="1778793701">
      <w:marLeft w:val="0"/>
      <w:marRight w:val="0"/>
      <w:marTop w:val="0"/>
      <w:marBottom w:val="0"/>
      <w:divBdr>
        <w:top w:val="none" w:sz="0" w:space="0" w:color="auto"/>
        <w:left w:val="none" w:sz="0" w:space="0" w:color="auto"/>
        <w:bottom w:val="none" w:sz="0" w:space="0" w:color="auto"/>
        <w:right w:val="none" w:sz="0" w:space="0" w:color="auto"/>
      </w:divBdr>
      <w:divsChild>
        <w:div w:id="8414760">
          <w:marLeft w:val="0"/>
          <w:marRight w:val="0"/>
          <w:marTop w:val="0"/>
          <w:marBottom w:val="0"/>
          <w:divBdr>
            <w:top w:val="none" w:sz="0" w:space="0" w:color="auto"/>
            <w:left w:val="none" w:sz="0" w:space="0" w:color="auto"/>
            <w:bottom w:val="none" w:sz="0" w:space="0" w:color="auto"/>
            <w:right w:val="none" w:sz="0" w:space="0" w:color="auto"/>
          </w:divBdr>
        </w:div>
        <w:div w:id="1100566520">
          <w:marLeft w:val="0"/>
          <w:marRight w:val="0"/>
          <w:marTop w:val="0"/>
          <w:marBottom w:val="0"/>
          <w:divBdr>
            <w:top w:val="none" w:sz="0" w:space="0" w:color="auto"/>
            <w:left w:val="none" w:sz="0" w:space="0" w:color="auto"/>
            <w:bottom w:val="none" w:sz="0" w:space="0" w:color="auto"/>
            <w:right w:val="none" w:sz="0" w:space="0" w:color="auto"/>
          </w:divBdr>
        </w:div>
        <w:div w:id="418064558">
          <w:marLeft w:val="0"/>
          <w:marRight w:val="0"/>
          <w:marTop w:val="0"/>
          <w:marBottom w:val="0"/>
          <w:divBdr>
            <w:top w:val="none" w:sz="0" w:space="0" w:color="auto"/>
            <w:left w:val="none" w:sz="0" w:space="0" w:color="auto"/>
            <w:bottom w:val="none" w:sz="0" w:space="0" w:color="auto"/>
            <w:right w:val="none" w:sz="0" w:space="0" w:color="auto"/>
          </w:divBdr>
          <w:divsChild>
            <w:div w:id="1934626507">
              <w:marLeft w:val="0"/>
              <w:marRight w:val="0"/>
              <w:marTop w:val="0"/>
              <w:marBottom w:val="0"/>
              <w:divBdr>
                <w:top w:val="none" w:sz="0" w:space="0" w:color="auto"/>
                <w:left w:val="none" w:sz="0" w:space="0" w:color="auto"/>
                <w:bottom w:val="none" w:sz="0" w:space="0" w:color="auto"/>
                <w:right w:val="none" w:sz="0" w:space="0" w:color="auto"/>
              </w:divBdr>
            </w:div>
          </w:divsChild>
        </w:div>
        <w:div w:id="1016426660">
          <w:marLeft w:val="0"/>
          <w:marRight w:val="0"/>
          <w:marTop w:val="0"/>
          <w:marBottom w:val="0"/>
          <w:divBdr>
            <w:top w:val="none" w:sz="0" w:space="0" w:color="auto"/>
            <w:left w:val="none" w:sz="0" w:space="0" w:color="auto"/>
            <w:bottom w:val="none" w:sz="0" w:space="0" w:color="auto"/>
            <w:right w:val="none" w:sz="0" w:space="0" w:color="auto"/>
          </w:divBdr>
        </w:div>
      </w:divsChild>
    </w:div>
    <w:div w:id="1809392166">
      <w:marLeft w:val="0"/>
      <w:marRight w:val="0"/>
      <w:marTop w:val="0"/>
      <w:marBottom w:val="0"/>
      <w:divBdr>
        <w:top w:val="none" w:sz="0" w:space="0" w:color="auto"/>
        <w:left w:val="none" w:sz="0" w:space="0" w:color="auto"/>
        <w:bottom w:val="none" w:sz="0" w:space="0" w:color="auto"/>
        <w:right w:val="none" w:sz="0" w:space="0" w:color="auto"/>
      </w:divBdr>
      <w:divsChild>
        <w:div w:id="353239325">
          <w:marLeft w:val="0"/>
          <w:marRight w:val="0"/>
          <w:marTop w:val="0"/>
          <w:marBottom w:val="0"/>
          <w:divBdr>
            <w:top w:val="none" w:sz="0" w:space="0" w:color="auto"/>
            <w:left w:val="none" w:sz="0" w:space="0" w:color="auto"/>
            <w:bottom w:val="none" w:sz="0" w:space="0" w:color="auto"/>
            <w:right w:val="none" w:sz="0" w:space="0" w:color="auto"/>
          </w:divBdr>
        </w:div>
        <w:div w:id="796989895">
          <w:marLeft w:val="0"/>
          <w:marRight w:val="0"/>
          <w:marTop w:val="0"/>
          <w:marBottom w:val="0"/>
          <w:divBdr>
            <w:top w:val="none" w:sz="0" w:space="0" w:color="auto"/>
            <w:left w:val="none" w:sz="0" w:space="0" w:color="auto"/>
            <w:bottom w:val="none" w:sz="0" w:space="0" w:color="auto"/>
            <w:right w:val="none" w:sz="0" w:space="0" w:color="auto"/>
          </w:divBdr>
        </w:div>
      </w:divsChild>
    </w:div>
    <w:div w:id="1812400580">
      <w:marLeft w:val="0"/>
      <w:marRight w:val="0"/>
      <w:marTop w:val="0"/>
      <w:marBottom w:val="0"/>
      <w:divBdr>
        <w:top w:val="none" w:sz="0" w:space="0" w:color="auto"/>
        <w:left w:val="none" w:sz="0" w:space="0" w:color="auto"/>
        <w:bottom w:val="none" w:sz="0" w:space="0" w:color="auto"/>
        <w:right w:val="none" w:sz="0" w:space="0" w:color="auto"/>
      </w:divBdr>
      <w:divsChild>
        <w:div w:id="92937781">
          <w:marLeft w:val="0"/>
          <w:marRight w:val="0"/>
          <w:marTop w:val="0"/>
          <w:marBottom w:val="0"/>
          <w:divBdr>
            <w:top w:val="none" w:sz="0" w:space="0" w:color="auto"/>
            <w:left w:val="none" w:sz="0" w:space="0" w:color="auto"/>
            <w:bottom w:val="none" w:sz="0" w:space="0" w:color="auto"/>
            <w:right w:val="none" w:sz="0" w:space="0" w:color="auto"/>
          </w:divBdr>
        </w:div>
      </w:divsChild>
    </w:div>
    <w:div w:id="1822429806">
      <w:marLeft w:val="0"/>
      <w:marRight w:val="0"/>
      <w:marTop w:val="0"/>
      <w:marBottom w:val="0"/>
      <w:divBdr>
        <w:top w:val="none" w:sz="0" w:space="0" w:color="auto"/>
        <w:left w:val="none" w:sz="0" w:space="0" w:color="auto"/>
        <w:bottom w:val="none" w:sz="0" w:space="0" w:color="auto"/>
        <w:right w:val="none" w:sz="0" w:space="0" w:color="auto"/>
      </w:divBdr>
    </w:div>
    <w:div w:id="1825850189">
      <w:marLeft w:val="0"/>
      <w:marRight w:val="0"/>
      <w:marTop w:val="0"/>
      <w:marBottom w:val="0"/>
      <w:divBdr>
        <w:top w:val="none" w:sz="0" w:space="0" w:color="auto"/>
        <w:left w:val="none" w:sz="0" w:space="0" w:color="auto"/>
        <w:bottom w:val="none" w:sz="0" w:space="0" w:color="auto"/>
        <w:right w:val="none" w:sz="0" w:space="0" w:color="auto"/>
      </w:divBdr>
      <w:divsChild>
        <w:div w:id="659387525">
          <w:marLeft w:val="0"/>
          <w:marRight w:val="0"/>
          <w:marTop w:val="0"/>
          <w:marBottom w:val="0"/>
          <w:divBdr>
            <w:top w:val="none" w:sz="0" w:space="0" w:color="auto"/>
            <w:left w:val="none" w:sz="0" w:space="0" w:color="auto"/>
            <w:bottom w:val="none" w:sz="0" w:space="0" w:color="auto"/>
            <w:right w:val="none" w:sz="0" w:space="0" w:color="auto"/>
          </w:divBdr>
        </w:div>
        <w:div w:id="1188447659">
          <w:marLeft w:val="0"/>
          <w:marRight w:val="0"/>
          <w:marTop w:val="0"/>
          <w:marBottom w:val="0"/>
          <w:divBdr>
            <w:top w:val="none" w:sz="0" w:space="0" w:color="auto"/>
            <w:left w:val="none" w:sz="0" w:space="0" w:color="auto"/>
            <w:bottom w:val="none" w:sz="0" w:space="0" w:color="auto"/>
            <w:right w:val="none" w:sz="0" w:space="0" w:color="auto"/>
          </w:divBdr>
        </w:div>
        <w:div w:id="1433814241">
          <w:marLeft w:val="0"/>
          <w:marRight w:val="0"/>
          <w:marTop w:val="0"/>
          <w:marBottom w:val="0"/>
          <w:divBdr>
            <w:top w:val="none" w:sz="0" w:space="0" w:color="auto"/>
            <w:left w:val="none" w:sz="0" w:space="0" w:color="auto"/>
            <w:bottom w:val="none" w:sz="0" w:space="0" w:color="auto"/>
            <w:right w:val="none" w:sz="0" w:space="0" w:color="auto"/>
          </w:divBdr>
          <w:divsChild>
            <w:div w:id="1242300521">
              <w:marLeft w:val="0"/>
              <w:marRight w:val="0"/>
              <w:marTop w:val="0"/>
              <w:marBottom w:val="0"/>
              <w:divBdr>
                <w:top w:val="none" w:sz="0" w:space="0" w:color="auto"/>
                <w:left w:val="none" w:sz="0" w:space="0" w:color="auto"/>
                <w:bottom w:val="none" w:sz="0" w:space="0" w:color="auto"/>
                <w:right w:val="none" w:sz="0" w:space="0" w:color="auto"/>
              </w:divBdr>
            </w:div>
          </w:divsChild>
        </w:div>
        <w:div w:id="378866101">
          <w:marLeft w:val="0"/>
          <w:marRight w:val="0"/>
          <w:marTop w:val="0"/>
          <w:marBottom w:val="0"/>
          <w:divBdr>
            <w:top w:val="none" w:sz="0" w:space="0" w:color="auto"/>
            <w:left w:val="none" w:sz="0" w:space="0" w:color="auto"/>
            <w:bottom w:val="none" w:sz="0" w:space="0" w:color="auto"/>
            <w:right w:val="none" w:sz="0" w:space="0" w:color="auto"/>
          </w:divBdr>
        </w:div>
      </w:divsChild>
    </w:div>
    <w:div w:id="1831095725">
      <w:marLeft w:val="0"/>
      <w:marRight w:val="0"/>
      <w:marTop w:val="0"/>
      <w:marBottom w:val="0"/>
      <w:divBdr>
        <w:top w:val="none" w:sz="0" w:space="0" w:color="auto"/>
        <w:left w:val="none" w:sz="0" w:space="0" w:color="auto"/>
        <w:bottom w:val="none" w:sz="0" w:space="0" w:color="auto"/>
        <w:right w:val="none" w:sz="0" w:space="0" w:color="auto"/>
      </w:divBdr>
      <w:divsChild>
        <w:div w:id="809244913">
          <w:marLeft w:val="0"/>
          <w:marRight w:val="0"/>
          <w:marTop w:val="0"/>
          <w:marBottom w:val="0"/>
          <w:divBdr>
            <w:top w:val="none" w:sz="0" w:space="0" w:color="auto"/>
            <w:left w:val="none" w:sz="0" w:space="0" w:color="auto"/>
            <w:bottom w:val="none" w:sz="0" w:space="0" w:color="auto"/>
            <w:right w:val="none" w:sz="0" w:space="0" w:color="auto"/>
          </w:divBdr>
        </w:div>
        <w:div w:id="1375038161">
          <w:marLeft w:val="0"/>
          <w:marRight w:val="0"/>
          <w:marTop w:val="0"/>
          <w:marBottom w:val="0"/>
          <w:divBdr>
            <w:top w:val="none" w:sz="0" w:space="0" w:color="auto"/>
            <w:left w:val="none" w:sz="0" w:space="0" w:color="auto"/>
            <w:bottom w:val="none" w:sz="0" w:space="0" w:color="auto"/>
            <w:right w:val="none" w:sz="0" w:space="0" w:color="auto"/>
          </w:divBdr>
        </w:div>
      </w:divsChild>
    </w:div>
    <w:div w:id="1831823317">
      <w:marLeft w:val="0"/>
      <w:marRight w:val="0"/>
      <w:marTop w:val="0"/>
      <w:marBottom w:val="0"/>
      <w:divBdr>
        <w:top w:val="none" w:sz="0" w:space="0" w:color="auto"/>
        <w:left w:val="none" w:sz="0" w:space="0" w:color="auto"/>
        <w:bottom w:val="none" w:sz="0" w:space="0" w:color="auto"/>
        <w:right w:val="none" w:sz="0" w:space="0" w:color="auto"/>
      </w:divBdr>
    </w:div>
    <w:div w:id="1834107674">
      <w:marLeft w:val="0"/>
      <w:marRight w:val="0"/>
      <w:marTop w:val="0"/>
      <w:marBottom w:val="0"/>
      <w:divBdr>
        <w:top w:val="none" w:sz="0" w:space="0" w:color="auto"/>
        <w:left w:val="none" w:sz="0" w:space="0" w:color="auto"/>
        <w:bottom w:val="none" w:sz="0" w:space="0" w:color="auto"/>
        <w:right w:val="none" w:sz="0" w:space="0" w:color="auto"/>
      </w:divBdr>
      <w:divsChild>
        <w:div w:id="1438209398">
          <w:marLeft w:val="0"/>
          <w:marRight w:val="0"/>
          <w:marTop w:val="0"/>
          <w:marBottom w:val="0"/>
          <w:divBdr>
            <w:top w:val="none" w:sz="0" w:space="0" w:color="auto"/>
            <w:left w:val="none" w:sz="0" w:space="0" w:color="auto"/>
            <w:bottom w:val="none" w:sz="0" w:space="0" w:color="auto"/>
            <w:right w:val="none" w:sz="0" w:space="0" w:color="auto"/>
          </w:divBdr>
        </w:div>
        <w:div w:id="1128089504">
          <w:marLeft w:val="0"/>
          <w:marRight w:val="0"/>
          <w:marTop w:val="0"/>
          <w:marBottom w:val="0"/>
          <w:divBdr>
            <w:top w:val="none" w:sz="0" w:space="0" w:color="auto"/>
            <w:left w:val="none" w:sz="0" w:space="0" w:color="auto"/>
            <w:bottom w:val="none" w:sz="0" w:space="0" w:color="auto"/>
            <w:right w:val="none" w:sz="0" w:space="0" w:color="auto"/>
          </w:divBdr>
        </w:div>
      </w:divsChild>
    </w:div>
    <w:div w:id="1853908677">
      <w:marLeft w:val="0"/>
      <w:marRight w:val="0"/>
      <w:marTop w:val="0"/>
      <w:marBottom w:val="0"/>
      <w:divBdr>
        <w:top w:val="none" w:sz="0" w:space="0" w:color="auto"/>
        <w:left w:val="none" w:sz="0" w:space="0" w:color="auto"/>
        <w:bottom w:val="none" w:sz="0" w:space="0" w:color="auto"/>
        <w:right w:val="none" w:sz="0" w:space="0" w:color="auto"/>
      </w:divBdr>
    </w:div>
    <w:div w:id="1873687235">
      <w:marLeft w:val="0"/>
      <w:marRight w:val="0"/>
      <w:marTop w:val="0"/>
      <w:marBottom w:val="0"/>
      <w:divBdr>
        <w:top w:val="none" w:sz="0" w:space="0" w:color="auto"/>
        <w:left w:val="none" w:sz="0" w:space="0" w:color="auto"/>
        <w:bottom w:val="none" w:sz="0" w:space="0" w:color="auto"/>
        <w:right w:val="none" w:sz="0" w:space="0" w:color="auto"/>
      </w:divBdr>
      <w:divsChild>
        <w:div w:id="1112944040">
          <w:marLeft w:val="0"/>
          <w:marRight w:val="0"/>
          <w:marTop w:val="0"/>
          <w:marBottom w:val="0"/>
          <w:divBdr>
            <w:top w:val="none" w:sz="0" w:space="0" w:color="auto"/>
            <w:left w:val="none" w:sz="0" w:space="0" w:color="auto"/>
            <w:bottom w:val="none" w:sz="0" w:space="0" w:color="auto"/>
            <w:right w:val="none" w:sz="0" w:space="0" w:color="auto"/>
          </w:divBdr>
        </w:div>
        <w:div w:id="772822725">
          <w:marLeft w:val="0"/>
          <w:marRight w:val="0"/>
          <w:marTop w:val="0"/>
          <w:marBottom w:val="0"/>
          <w:divBdr>
            <w:top w:val="none" w:sz="0" w:space="0" w:color="auto"/>
            <w:left w:val="none" w:sz="0" w:space="0" w:color="auto"/>
            <w:bottom w:val="none" w:sz="0" w:space="0" w:color="auto"/>
            <w:right w:val="none" w:sz="0" w:space="0" w:color="auto"/>
          </w:divBdr>
        </w:div>
      </w:divsChild>
    </w:div>
    <w:div w:id="1879507658">
      <w:marLeft w:val="0"/>
      <w:marRight w:val="0"/>
      <w:marTop w:val="0"/>
      <w:marBottom w:val="0"/>
      <w:divBdr>
        <w:top w:val="none" w:sz="0" w:space="0" w:color="auto"/>
        <w:left w:val="none" w:sz="0" w:space="0" w:color="auto"/>
        <w:bottom w:val="none" w:sz="0" w:space="0" w:color="auto"/>
        <w:right w:val="none" w:sz="0" w:space="0" w:color="auto"/>
      </w:divBdr>
      <w:divsChild>
        <w:div w:id="2093356682">
          <w:marLeft w:val="0"/>
          <w:marRight w:val="0"/>
          <w:marTop w:val="0"/>
          <w:marBottom w:val="0"/>
          <w:divBdr>
            <w:top w:val="none" w:sz="0" w:space="0" w:color="auto"/>
            <w:left w:val="none" w:sz="0" w:space="0" w:color="auto"/>
            <w:bottom w:val="none" w:sz="0" w:space="0" w:color="auto"/>
            <w:right w:val="none" w:sz="0" w:space="0" w:color="auto"/>
          </w:divBdr>
        </w:div>
        <w:div w:id="984505235">
          <w:marLeft w:val="0"/>
          <w:marRight w:val="0"/>
          <w:marTop w:val="0"/>
          <w:marBottom w:val="0"/>
          <w:divBdr>
            <w:top w:val="none" w:sz="0" w:space="0" w:color="auto"/>
            <w:left w:val="none" w:sz="0" w:space="0" w:color="auto"/>
            <w:bottom w:val="none" w:sz="0" w:space="0" w:color="auto"/>
            <w:right w:val="none" w:sz="0" w:space="0" w:color="auto"/>
          </w:divBdr>
        </w:div>
        <w:div w:id="156849652">
          <w:marLeft w:val="0"/>
          <w:marRight w:val="0"/>
          <w:marTop w:val="0"/>
          <w:marBottom w:val="0"/>
          <w:divBdr>
            <w:top w:val="none" w:sz="0" w:space="0" w:color="auto"/>
            <w:left w:val="none" w:sz="0" w:space="0" w:color="auto"/>
            <w:bottom w:val="none" w:sz="0" w:space="0" w:color="auto"/>
            <w:right w:val="none" w:sz="0" w:space="0" w:color="auto"/>
          </w:divBdr>
          <w:divsChild>
            <w:div w:id="697779372">
              <w:marLeft w:val="0"/>
              <w:marRight w:val="0"/>
              <w:marTop w:val="0"/>
              <w:marBottom w:val="0"/>
              <w:divBdr>
                <w:top w:val="none" w:sz="0" w:space="0" w:color="auto"/>
                <w:left w:val="none" w:sz="0" w:space="0" w:color="auto"/>
                <w:bottom w:val="none" w:sz="0" w:space="0" w:color="auto"/>
                <w:right w:val="none" w:sz="0" w:space="0" w:color="auto"/>
              </w:divBdr>
            </w:div>
          </w:divsChild>
        </w:div>
        <w:div w:id="404642498">
          <w:marLeft w:val="0"/>
          <w:marRight w:val="0"/>
          <w:marTop w:val="0"/>
          <w:marBottom w:val="0"/>
          <w:divBdr>
            <w:top w:val="none" w:sz="0" w:space="0" w:color="auto"/>
            <w:left w:val="none" w:sz="0" w:space="0" w:color="auto"/>
            <w:bottom w:val="none" w:sz="0" w:space="0" w:color="auto"/>
            <w:right w:val="none" w:sz="0" w:space="0" w:color="auto"/>
          </w:divBdr>
        </w:div>
      </w:divsChild>
    </w:div>
    <w:div w:id="1892836933">
      <w:marLeft w:val="0"/>
      <w:marRight w:val="0"/>
      <w:marTop w:val="0"/>
      <w:marBottom w:val="0"/>
      <w:divBdr>
        <w:top w:val="none" w:sz="0" w:space="0" w:color="auto"/>
        <w:left w:val="none" w:sz="0" w:space="0" w:color="auto"/>
        <w:bottom w:val="none" w:sz="0" w:space="0" w:color="auto"/>
        <w:right w:val="none" w:sz="0" w:space="0" w:color="auto"/>
      </w:divBdr>
    </w:div>
    <w:div w:id="1897819255">
      <w:marLeft w:val="0"/>
      <w:marRight w:val="0"/>
      <w:marTop w:val="0"/>
      <w:marBottom w:val="0"/>
      <w:divBdr>
        <w:top w:val="none" w:sz="0" w:space="0" w:color="auto"/>
        <w:left w:val="none" w:sz="0" w:space="0" w:color="auto"/>
        <w:bottom w:val="none" w:sz="0" w:space="0" w:color="auto"/>
        <w:right w:val="none" w:sz="0" w:space="0" w:color="auto"/>
      </w:divBdr>
    </w:div>
    <w:div w:id="1920676738">
      <w:marLeft w:val="0"/>
      <w:marRight w:val="0"/>
      <w:marTop w:val="0"/>
      <w:marBottom w:val="0"/>
      <w:divBdr>
        <w:top w:val="none" w:sz="0" w:space="0" w:color="auto"/>
        <w:left w:val="none" w:sz="0" w:space="0" w:color="auto"/>
        <w:bottom w:val="none" w:sz="0" w:space="0" w:color="auto"/>
        <w:right w:val="none" w:sz="0" w:space="0" w:color="auto"/>
      </w:divBdr>
    </w:div>
    <w:div w:id="1953706952">
      <w:marLeft w:val="0"/>
      <w:marRight w:val="0"/>
      <w:marTop w:val="0"/>
      <w:marBottom w:val="0"/>
      <w:divBdr>
        <w:top w:val="none" w:sz="0" w:space="0" w:color="auto"/>
        <w:left w:val="none" w:sz="0" w:space="0" w:color="auto"/>
        <w:bottom w:val="none" w:sz="0" w:space="0" w:color="auto"/>
        <w:right w:val="none" w:sz="0" w:space="0" w:color="auto"/>
      </w:divBdr>
      <w:divsChild>
        <w:div w:id="1719358878">
          <w:marLeft w:val="0"/>
          <w:marRight w:val="0"/>
          <w:marTop w:val="0"/>
          <w:marBottom w:val="0"/>
          <w:divBdr>
            <w:top w:val="none" w:sz="0" w:space="0" w:color="auto"/>
            <w:left w:val="none" w:sz="0" w:space="0" w:color="auto"/>
            <w:bottom w:val="none" w:sz="0" w:space="0" w:color="auto"/>
            <w:right w:val="none" w:sz="0" w:space="0" w:color="auto"/>
          </w:divBdr>
        </w:div>
        <w:div w:id="730228912">
          <w:marLeft w:val="0"/>
          <w:marRight w:val="0"/>
          <w:marTop w:val="0"/>
          <w:marBottom w:val="0"/>
          <w:divBdr>
            <w:top w:val="none" w:sz="0" w:space="0" w:color="auto"/>
            <w:left w:val="none" w:sz="0" w:space="0" w:color="auto"/>
            <w:bottom w:val="none" w:sz="0" w:space="0" w:color="auto"/>
            <w:right w:val="none" w:sz="0" w:space="0" w:color="auto"/>
          </w:divBdr>
        </w:div>
        <w:div w:id="904028700">
          <w:marLeft w:val="0"/>
          <w:marRight w:val="0"/>
          <w:marTop w:val="0"/>
          <w:marBottom w:val="0"/>
          <w:divBdr>
            <w:top w:val="none" w:sz="0" w:space="0" w:color="auto"/>
            <w:left w:val="none" w:sz="0" w:space="0" w:color="auto"/>
            <w:bottom w:val="none" w:sz="0" w:space="0" w:color="auto"/>
            <w:right w:val="none" w:sz="0" w:space="0" w:color="auto"/>
          </w:divBdr>
          <w:divsChild>
            <w:div w:id="1407990799">
              <w:marLeft w:val="0"/>
              <w:marRight w:val="0"/>
              <w:marTop w:val="0"/>
              <w:marBottom w:val="0"/>
              <w:divBdr>
                <w:top w:val="none" w:sz="0" w:space="0" w:color="auto"/>
                <w:left w:val="none" w:sz="0" w:space="0" w:color="auto"/>
                <w:bottom w:val="none" w:sz="0" w:space="0" w:color="auto"/>
                <w:right w:val="none" w:sz="0" w:space="0" w:color="auto"/>
              </w:divBdr>
            </w:div>
          </w:divsChild>
        </w:div>
        <w:div w:id="1632398710">
          <w:marLeft w:val="0"/>
          <w:marRight w:val="0"/>
          <w:marTop w:val="0"/>
          <w:marBottom w:val="0"/>
          <w:divBdr>
            <w:top w:val="none" w:sz="0" w:space="0" w:color="auto"/>
            <w:left w:val="none" w:sz="0" w:space="0" w:color="auto"/>
            <w:bottom w:val="none" w:sz="0" w:space="0" w:color="auto"/>
            <w:right w:val="none" w:sz="0" w:space="0" w:color="auto"/>
          </w:divBdr>
        </w:div>
      </w:divsChild>
    </w:div>
    <w:div w:id="1978298697">
      <w:marLeft w:val="0"/>
      <w:marRight w:val="0"/>
      <w:marTop w:val="0"/>
      <w:marBottom w:val="0"/>
      <w:divBdr>
        <w:top w:val="none" w:sz="0" w:space="0" w:color="auto"/>
        <w:left w:val="none" w:sz="0" w:space="0" w:color="auto"/>
        <w:bottom w:val="none" w:sz="0" w:space="0" w:color="auto"/>
        <w:right w:val="none" w:sz="0" w:space="0" w:color="auto"/>
      </w:divBdr>
      <w:divsChild>
        <w:div w:id="2042437333">
          <w:marLeft w:val="0"/>
          <w:marRight w:val="0"/>
          <w:marTop w:val="0"/>
          <w:marBottom w:val="0"/>
          <w:divBdr>
            <w:top w:val="none" w:sz="0" w:space="0" w:color="auto"/>
            <w:left w:val="none" w:sz="0" w:space="0" w:color="auto"/>
            <w:bottom w:val="none" w:sz="0" w:space="0" w:color="auto"/>
            <w:right w:val="none" w:sz="0" w:space="0" w:color="auto"/>
          </w:divBdr>
        </w:div>
        <w:div w:id="1618567024">
          <w:marLeft w:val="0"/>
          <w:marRight w:val="0"/>
          <w:marTop w:val="0"/>
          <w:marBottom w:val="0"/>
          <w:divBdr>
            <w:top w:val="none" w:sz="0" w:space="0" w:color="auto"/>
            <w:left w:val="none" w:sz="0" w:space="0" w:color="auto"/>
            <w:bottom w:val="none" w:sz="0" w:space="0" w:color="auto"/>
            <w:right w:val="none" w:sz="0" w:space="0" w:color="auto"/>
          </w:divBdr>
        </w:div>
      </w:divsChild>
    </w:div>
    <w:div w:id="1984852297">
      <w:marLeft w:val="0"/>
      <w:marRight w:val="0"/>
      <w:marTop w:val="0"/>
      <w:marBottom w:val="0"/>
      <w:divBdr>
        <w:top w:val="none" w:sz="0" w:space="0" w:color="auto"/>
        <w:left w:val="none" w:sz="0" w:space="0" w:color="auto"/>
        <w:bottom w:val="none" w:sz="0" w:space="0" w:color="auto"/>
        <w:right w:val="none" w:sz="0" w:space="0" w:color="auto"/>
      </w:divBdr>
      <w:divsChild>
        <w:div w:id="2000380137">
          <w:marLeft w:val="0"/>
          <w:marRight w:val="0"/>
          <w:marTop w:val="0"/>
          <w:marBottom w:val="0"/>
          <w:divBdr>
            <w:top w:val="none" w:sz="0" w:space="0" w:color="auto"/>
            <w:left w:val="none" w:sz="0" w:space="0" w:color="auto"/>
            <w:bottom w:val="none" w:sz="0" w:space="0" w:color="auto"/>
            <w:right w:val="none" w:sz="0" w:space="0" w:color="auto"/>
          </w:divBdr>
        </w:div>
        <w:div w:id="1859270733">
          <w:marLeft w:val="0"/>
          <w:marRight w:val="0"/>
          <w:marTop w:val="0"/>
          <w:marBottom w:val="0"/>
          <w:divBdr>
            <w:top w:val="none" w:sz="0" w:space="0" w:color="auto"/>
            <w:left w:val="none" w:sz="0" w:space="0" w:color="auto"/>
            <w:bottom w:val="none" w:sz="0" w:space="0" w:color="auto"/>
            <w:right w:val="none" w:sz="0" w:space="0" w:color="auto"/>
          </w:divBdr>
        </w:div>
      </w:divsChild>
    </w:div>
    <w:div w:id="1991323282">
      <w:marLeft w:val="0"/>
      <w:marRight w:val="0"/>
      <w:marTop w:val="0"/>
      <w:marBottom w:val="0"/>
      <w:divBdr>
        <w:top w:val="none" w:sz="0" w:space="0" w:color="auto"/>
        <w:left w:val="none" w:sz="0" w:space="0" w:color="auto"/>
        <w:bottom w:val="none" w:sz="0" w:space="0" w:color="auto"/>
        <w:right w:val="none" w:sz="0" w:space="0" w:color="auto"/>
      </w:divBdr>
      <w:divsChild>
        <w:div w:id="701635046">
          <w:marLeft w:val="0"/>
          <w:marRight w:val="0"/>
          <w:marTop w:val="0"/>
          <w:marBottom w:val="0"/>
          <w:divBdr>
            <w:top w:val="none" w:sz="0" w:space="0" w:color="auto"/>
            <w:left w:val="none" w:sz="0" w:space="0" w:color="auto"/>
            <w:bottom w:val="none" w:sz="0" w:space="0" w:color="auto"/>
            <w:right w:val="none" w:sz="0" w:space="0" w:color="auto"/>
          </w:divBdr>
        </w:div>
        <w:div w:id="781805018">
          <w:marLeft w:val="0"/>
          <w:marRight w:val="0"/>
          <w:marTop w:val="0"/>
          <w:marBottom w:val="0"/>
          <w:divBdr>
            <w:top w:val="none" w:sz="0" w:space="0" w:color="auto"/>
            <w:left w:val="none" w:sz="0" w:space="0" w:color="auto"/>
            <w:bottom w:val="none" w:sz="0" w:space="0" w:color="auto"/>
            <w:right w:val="none" w:sz="0" w:space="0" w:color="auto"/>
          </w:divBdr>
        </w:div>
        <w:div w:id="904948545">
          <w:marLeft w:val="0"/>
          <w:marRight w:val="0"/>
          <w:marTop w:val="0"/>
          <w:marBottom w:val="0"/>
          <w:divBdr>
            <w:top w:val="none" w:sz="0" w:space="0" w:color="auto"/>
            <w:left w:val="none" w:sz="0" w:space="0" w:color="auto"/>
            <w:bottom w:val="none" w:sz="0" w:space="0" w:color="auto"/>
            <w:right w:val="none" w:sz="0" w:space="0" w:color="auto"/>
          </w:divBdr>
          <w:divsChild>
            <w:div w:id="298270175">
              <w:marLeft w:val="0"/>
              <w:marRight w:val="0"/>
              <w:marTop w:val="0"/>
              <w:marBottom w:val="0"/>
              <w:divBdr>
                <w:top w:val="none" w:sz="0" w:space="0" w:color="auto"/>
                <w:left w:val="none" w:sz="0" w:space="0" w:color="auto"/>
                <w:bottom w:val="none" w:sz="0" w:space="0" w:color="auto"/>
                <w:right w:val="none" w:sz="0" w:space="0" w:color="auto"/>
              </w:divBdr>
            </w:div>
          </w:divsChild>
        </w:div>
        <w:div w:id="1355766016">
          <w:marLeft w:val="0"/>
          <w:marRight w:val="0"/>
          <w:marTop w:val="0"/>
          <w:marBottom w:val="0"/>
          <w:divBdr>
            <w:top w:val="none" w:sz="0" w:space="0" w:color="auto"/>
            <w:left w:val="none" w:sz="0" w:space="0" w:color="auto"/>
            <w:bottom w:val="none" w:sz="0" w:space="0" w:color="auto"/>
            <w:right w:val="none" w:sz="0" w:space="0" w:color="auto"/>
          </w:divBdr>
        </w:div>
      </w:divsChild>
    </w:div>
    <w:div w:id="1991710863">
      <w:marLeft w:val="0"/>
      <w:marRight w:val="0"/>
      <w:marTop w:val="0"/>
      <w:marBottom w:val="0"/>
      <w:divBdr>
        <w:top w:val="none" w:sz="0" w:space="0" w:color="auto"/>
        <w:left w:val="none" w:sz="0" w:space="0" w:color="auto"/>
        <w:bottom w:val="none" w:sz="0" w:space="0" w:color="auto"/>
        <w:right w:val="none" w:sz="0" w:space="0" w:color="auto"/>
      </w:divBdr>
    </w:div>
    <w:div w:id="1991790189">
      <w:marLeft w:val="0"/>
      <w:marRight w:val="0"/>
      <w:marTop w:val="0"/>
      <w:marBottom w:val="0"/>
      <w:divBdr>
        <w:top w:val="none" w:sz="0" w:space="0" w:color="auto"/>
        <w:left w:val="none" w:sz="0" w:space="0" w:color="auto"/>
        <w:bottom w:val="none" w:sz="0" w:space="0" w:color="auto"/>
        <w:right w:val="none" w:sz="0" w:space="0" w:color="auto"/>
      </w:divBdr>
      <w:divsChild>
        <w:div w:id="676616068">
          <w:marLeft w:val="0"/>
          <w:marRight w:val="0"/>
          <w:marTop w:val="0"/>
          <w:marBottom w:val="0"/>
          <w:divBdr>
            <w:top w:val="none" w:sz="0" w:space="0" w:color="auto"/>
            <w:left w:val="none" w:sz="0" w:space="0" w:color="auto"/>
            <w:bottom w:val="none" w:sz="0" w:space="0" w:color="auto"/>
            <w:right w:val="none" w:sz="0" w:space="0" w:color="auto"/>
          </w:divBdr>
        </w:div>
      </w:divsChild>
    </w:div>
    <w:div w:id="1993169040">
      <w:marLeft w:val="360"/>
      <w:marRight w:val="0"/>
      <w:marTop w:val="0"/>
      <w:marBottom w:val="0"/>
      <w:divBdr>
        <w:top w:val="none" w:sz="0" w:space="0" w:color="auto"/>
        <w:left w:val="none" w:sz="0" w:space="0" w:color="auto"/>
        <w:bottom w:val="none" w:sz="0" w:space="0" w:color="auto"/>
        <w:right w:val="none" w:sz="0" w:space="0" w:color="auto"/>
      </w:divBdr>
    </w:div>
    <w:div w:id="1995179406">
      <w:marLeft w:val="0"/>
      <w:marRight w:val="0"/>
      <w:marTop w:val="0"/>
      <w:marBottom w:val="0"/>
      <w:divBdr>
        <w:top w:val="none" w:sz="0" w:space="0" w:color="auto"/>
        <w:left w:val="none" w:sz="0" w:space="0" w:color="auto"/>
        <w:bottom w:val="none" w:sz="0" w:space="0" w:color="auto"/>
        <w:right w:val="none" w:sz="0" w:space="0" w:color="auto"/>
      </w:divBdr>
    </w:div>
    <w:div w:id="2006323797">
      <w:marLeft w:val="0"/>
      <w:marRight w:val="0"/>
      <w:marTop w:val="0"/>
      <w:marBottom w:val="0"/>
      <w:divBdr>
        <w:top w:val="none" w:sz="0" w:space="0" w:color="auto"/>
        <w:left w:val="none" w:sz="0" w:space="0" w:color="auto"/>
        <w:bottom w:val="none" w:sz="0" w:space="0" w:color="auto"/>
        <w:right w:val="none" w:sz="0" w:space="0" w:color="auto"/>
      </w:divBdr>
      <w:divsChild>
        <w:div w:id="1541867088">
          <w:marLeft w:val="0"/>
          <w:marRight w:val="0"/>
          <w:marTop w:val="0"/>
          <w:marBottom w:val="0"/>
          <w:divBdr>
            <w:top w:val="none" w:sz="0" w:space="0" w:color="auto"/>
            <w:left w:val="none" w:sz="0" w:space="0" w:color="auto"/>
            <w:bottom w:val="none" w:sz="0" w:space="0" w:color="auto"/>
            <w:right w:val="none" w:sz="0" w:space="0" w:color="auto"/>
          </w:divBdr>
        </w:div>
        <w:div w:id="667831998">
          <w:marLeft w:val="0"/>
          <w:marRight w:val="0"/>
          <w:marTop w:val="0"/>
          <w:marBottom w:val="0"/>
          <w:divBdr>
            <w:top w:val="none" w:sz="0" w:space="0" w:color="auto"/>
            <w:left w:val="none" w:sz="0" w:space="0" w:color="auto"/>
            <w:bottom w:val="none" w:sz="0" w:space="0" w:color="auto"/>
            <w:right w:val="none" w:sz="0" w:space="0" w:color="auto"/>
          </w:divBdr>
        </w:div>
      </w:divsChild>
    </w:div>
    <w:div w:id="2010059778">
      <w:marLeft w:val="0"/>
      <w:marRight w:val="0"/>
      <w:marTop w:val="0"/>
      <w:marBottom w:val="0"/>
      <w:divBdr>
        <w:top w:val="none" w:sz="0" w:space="0" w:color="auto"/>
        <w:left w:val="none" w:sz="0" w:space="0" w:color="auto"/>
        <w:bottom w:val="none" w:sz="0" w:space="0" w:color="auto"/>
        <w:right w:val="none" w:sz="0" w:space="0" w:color="auto"/>
      </w:divBdr>
    </w:div>
    <w:div w:id="2010402656">
      <w:marLeft w:val="0"/>
      <w:marRight w:val="0"/>
      <w:marTop w:val="0"/>
      <w:marBottom w:val="0"/>
      <w:divBdr>
        <w:top w:val="none" w:sz="0" w:space="0" w:color="auto"/>
        <w:left w:val="none" w:sz="0" w:space="0" w:color="auto"/>
        <w:bottom w:val="none" w:sz="0" w:space="0" w:color="auto"/>
        <w:right w:val="none" w:sz="0" w:space="0" w:color="auto"/>
      </w:divBdr>
      <w:divsChild>
        <w:div w:id="759374879">
          <w:marLeft w:val="0"/>
          <w:marRight w:val="0"/>
          <w:marTop w:val="0"/>
          <w:marBottom w:val="0"/>
          <w:divBdr>
            <w:top w:val="none" w:sz="0" w:space="0" w:color="auto"/>
            <w:left w:val="none" w:sz="0" w:space="0" w:color="auto"/>
            <w:bottom w:val="none" w:sz="0" w:space="0" w:color="auto"/>
            <w:right w:val="none" w:sz="0" w:space="0" w:color="auto"/>
          </w:divBdr>
        </w:div>
        <w:div w:id="985863626">
          <w:marLeft w:val="0"/>
          <w:marRight w:val="0"/>
          <w:marTop w:val="0"/>
          <w:marBottom w:val="0"/>
          <w:divBdr>
            <w:top w:val="none" w:sz="0" w:space="0" w:color="auto"/>
            <w:left w:val="none" w:sz="0" w:space="0" w:color="auto"/>
            <w:bottom w:val="none" w:sz="0" w:space="0" w:color="auto"/>
            <w:right w:val="none" w:sz="0" w:space="0" w:color="auto"/>
          </w:divBdr>
        </w:div>
        <w:div w:id="1236891653">
          <w:marLeft w:val="0"/>
          <w:marRight w:val="0"/>
          <w:marTop w:val="0"/>
          <w:marBottom w:val="0"/>
          <w:divBdr>
            <w:top w:val="none" w:sz="0" w:space="0" w:color="auto"/>
            <w:left w:val="none" w:sz="0" w:space="0" w:color="auto"/>
            <w:bottom w:val="none" w:sz="0" w:space="0" w:color="auto"/>
            <w:right w:val="none" w:sz="0" w:space="0" w:color="auto"/>
          </w:divBdr>
          <w:divsChild>
            <w:div w:id="1652294324">
              <w:marLeft w:val="0"/>
              <w:marRight w:val="0"/>
              <w:marTop w:val="0"/>
              <w:marBottom w:val="0"/>
              <w:divBdr>
                <w:top w:val="none" w:sz="0" w:space="0" w:color="auto"/>
                <w:left w:val="none" w:sz="0" w:space="0" w:color="auto"/>
                <w:bottom w:val="none" w:sz="0" w:space="0" w:color="auto"/>
                <w:right w:val="none" w:sz="0" w:space="0" w:color="auto"/>
              </w:divBdr>
            </w:div>
          </w:divsChild>
        </w:div>
        <w:div w:id="250236823">
          <w:marLeft w:val="0"/>
          <w:marRight w:val="0"/>
          <w:marTop w:val="0"/>
          <w:marBottom w:val="0"/>
          <w:divBdr>
            <w:top w:val="none" w:sz="0" w:space="0" w:color="auto"/>
            <w:left w:val="none" w:sz="0" w:space="0" w:color="auto"/>
            <w:bottom w:val="none" w:sz="0" w:space="0" w:color="auto"/>
            <w:right w:val="none" w:sz="0" w:space="0" w:color="auto"/>
          </w:divBdr>
        </w:div>
      </w:divsChild>
    </w:div>
    <w:div w:id="2028948821">
      <w:marLeft w:val="0"/>
      <w:marRight w:val="0"/>
      <w:marTop w:val="0"/>
      <w:marBottom w:val="0"/>
      <w:divBdr>
        <w:top w:val="none" w:sz="0" w:space="0" w:color="auto"/>
        <w:left w:val="none" w:sz="0" w:space="0" w:color="auto"/>
        <w:bottom w:val="none" w:sz="0" w:space="0" w:color="auto"/>
        <w:right w:val="none" w:sz="0" w:space="0" w:color="auto"/>
      </w:divBdr>
    </w:div>
    <w:div w:id="2065371696">
      <w:marLeft w:val="0"/>
      <w:marRight w:val="0"/>
      <w:marTop w:val="0"/>
      <w:marBottom w:val="0"/>
      <w:divBdr>
        <w:top w:val="none" w:sz="0" w:space="0" w:color="auto"/>
        <w:left w:val="none" w:sz="0" w:space="0" w:color="auto"/>
        <w:bottom w:val="none" w:sz="0" w:space="0" w:color="auto"/>
        <w:right w:val="none" w:sz="0" w:space="0" w:color="auto"/>
      </w:divBdr>
      <w:divsChild>
        <w:div w:id="253513614">
          <w:marLeft w:val="0"/>
          <w:marRight w:val="0"/>
          <w:marTop w:val="0"/>
          <w:marBottom w:val="0"/>
          <w:divBdr>
            <w:top w:val="none" w:sz="0" w:space="0" w:color="auto"/>
            <w:left w:val="none" w:sz="0" w:space="0" w:color="auto"/>
            <w:bottom w:val="none" w:sz="0" w:space="0" w:color="auto"/>
            <w:right w:val="none" w:sz="0" w:space="0" w:color="auto"/>
          </w:divBdr>
        </w:div>
        <w:div w:id="598106219">
          <w:marLeft w:val="0"/>
          <w:marRight w:val="0"/>
          <w:marTop w:val="0"/>
          <w:marBottom w:val="0"/>
          <w:divBdr>
            <w:top w:val="none" w:sz="0" w:space="0" w:color="auto"/>
            <w:left w:val="none" w:sz="0" w:space="0" w:color="auto"/>
            <w:bottom w:val="none" w:sz="0" w:space="0" w:color="auto"/>
            <w:right w:val="none" w:sz="0" w:space="0" w:color="auto"/>
          </w:divBdr>
        </w:div>
      </w:divsChild>
    </w:div>
    <w:div w:id="2082173927">
      <w:marLeft w:val="0"/>
      <w:marRight w:val="0"/>
      <w:marTop w:val="0"/>
      <w:marBottom w:val="0"/>
      <w:divBdr>
        <w:top w:val="none" w:sz="0" w:space="0" w:color="auto"/>
        <w:left w:val="none" w:sz="0" w:space="0" w:color="auto"/>
        <w:bottom w:val="none" w:sz="0" w:space="0" w:color="auto"/>
        <w:right w:val="none" w:sz="0" w:space="0" w:color="auto"/>
      </w:divBdr>
    </w:div>
    <w:div w:id="2085760717">
      <w:marLeft w:val="0"/>
      <w:marRight w:val="0"/>
      <w:marTop w:val="0"/>
      <w:marBottom w:val="0"/>
      <w:divBdr>
        <w:top w:val="none" w:sz="0" w:space="0" w:color="auto"/>
        <w:left w:val="none" w:sz="0" w:space="0" w:color="auto"/>
        <w:bottom w:val="none" w:sz="0" w:space="0" w:color="auto"/>
        <w:right w:val="none" w:sz="0" w:space="0" w:color="auto"/>
      </w:divBdr>
    </w:div>
    <w:div w:id="2090033541">
      <w:marLeft w:val="0"/>
      <w:marRight w:val="0"/>
      <w:marTop w:val="0"/>
      <w:marBottom w:val="0"/>
      <w:divBdr>
        <w:top w:val="none" w:sz="0" w:space="0" w:color="auto"/>
        <w:left w:val="none" w:sz="0" w:space="0" w:color="auto"/>
        <w:bottom w:val="none" w:sz="0" w:space="0" w:color="auto"/>
        <w:right w:val="none" w:sz="0" w:space="0" w:color="auto"/>
      </w:divBdr>
    </w:div>
    <w:div w:id="2113163545">
      <w:marLeft w:val="0"/>
      <w:marRight w:val="0"/>
      <w:marTop w:val="0"/>
      <w:marBottom w:val="0"/>
      <w:divBdr>
        <w:top w:val="none" w:sz="0" w:space="0" w:color="auto"/>
        <w:left w:val="none" w:sz="0" w:space="0" w:color="auto"/>
        <w:bottom w:val="none" w:sz="0" w:space="0" w:color="auto"/>
        <w:right w:val="none" w:sz="0" w:space="0" w:color="auto"/>
      </w:divBdr>
      <w:divsChild>
        <w:div w:id="1697929869">
          <w:marLeft w:val="0"/>
          <w:marRight w:val="0"/>
          <w:marTop w:val="0"/>
          <w:marBottom w:val="0"/>
          <w:divBdr>
            <w:top w:val="none" w:sz="0" w:space="0" w:color="auto"/>
            <w:left w:val="none" w:sz="0" w:space="0" w:color="auto"/>
            <w:bottom w:val="none" w:sz="0" w:space="0" w:color="auto"/>
            <w:right w:val="none" w:sz="0" w:space="0" w:color="auto"/>
          </w:divBdr>
        </w:div>
        <w:div w:id="1932086918">
          <w:marLeft w:val="0"/>
          <w:marRight w:val="0"/>
          <w:marTop w:val="0"/>
          <w:marBottom w:val="0"/>
          <w:divBdr>
            <w:top w:val="none" w:sz="0" w:space="0" w:color="auto"/>
            <w:left w:val="none" w:sz="0" w:space="0" w:color="auto"/>
            <w:bottom w:val="none" w:sz="0" w:space="0" w:color="auto"/>
            <w:right w:val="none" w:sz="0" w:space="0" w:color="auto"/>
          </w:divBdr>
        </w:div>
      </w:divsChild>
    </w:div>
    <w:div w:id="2119331554">
      <w:marLeft w:val="0"/>
      <w:marRight w:val="0"/>
      <w:marTop w:val="0"/>
      <w:marBottom w:val="0"/>
      <w:divBdr>
        <w:top w:val="none" w:sz="0" w:space="0" w:color="auto"/>
        <w:left w:val="none" w:sz="0" w:space="0" w:color="auto"/>
        <w:bottom w:val="none" w:sz="0" w:space="0" w:color="auto"/>
        <w:right w:val="none" w:sz="0" w:space="0" w:color="auto"/>
      </w:divBdr>
      <w:divsChild>
        <w:div w:id="797332794">
          <w:marLeft w:val="0"/>
          <w:marRight w:val="0"/>
          <w:marTop w:val="0"/>
          <w:marBottom w:val="0"/>
          <w:divBdr>
            <w:top w:val="none" w:sz="0" w:space="0" w:color="auto"/>
            <w:left w:val="none" w:sz="0" w:space="0" w:color="auto"/>
            <w:bottom w:val="none" w:sz="0" w:space="0" w:color="auto"/>
            <w:right w:val="none" w:sz="0" w:space="0" w:color="auto"/>
          </w:divBdr>
        </w:div>
        <w:div w:id="719287107">
          <w:marLeft w:val="0"/>
          <w:marRight w:val="0"/>
          <w:marTop w:val="0"/>
          <w:marBottom w:val="0"/>
          <w:divBdr>
            <w:top w:val="none" w:sz="0" w:space="0" w:color="auto"/>
            <w:left w:val="none" w:sz="0" w:space="0" w:color="auto"/>
            <w:bottom w:val="none" w:sz="0" w:space="0" w:color="auto"/>
            <w:right w:val="none" w:sz="0" w:space="0" w:color="auto"/>
          </w:divBdr>
        </w:div>
      </w:divsChild>
    </w:div>
    <w:div w:id="2129545159">
      <w:marLeft w:val="0"/>
      <w:marRight w:val="0"/>
      <w:marTop w:val="0"/>
      <w:marBottom w:val="0"/>
      <w:divBdr>
        <w:top w:val="none" w:sz="0" w:space="0" w:color="auto"/>
        <w:left w:val="none" w:sz="0" w:space="0" w:color="auto"/>
        <w:bottom w:val="none" w:sz="0" w:space="0" w:color="auto"/>
        <w:right w:val="none" w:sz="0" w:space="0" w:color="auto"/>
      </w:divBdr>
      <w:divsChild>
        <w:div w:id="2082825819">
          <w:marLeft w:val="0"/>
          <w:marRight w:val="0"/>
          <w:marTop w:val="0"/>
          <w:marBottom w:val="0"/>
          <w:divBdr>
            <w:top w:val="none" w:sz="0" w:space="0" w:color="auto"/>
            <w:left w:val="none" w:sz="0" w:space="0" w:color="auto"/>
            <w:bottom w:val="none" w:sz="0" w:space="0" w:color="auto"/>
            <w:right w:val="none" w:sz="0" w:space="0" w:color="auto"/>
          </w:divBdr>
        </w:div>
        <w:div w:id="1156805545">
          <w:marLeft w:val="0"/>
          <w:marRight w:val="0"/>
          <w:marTop w:val="0"/>
          <w:marBottom w:val="0"/>
          <w:divBdr>
            <w:top w:val="none" w:sz="0" w:space="0" w:color="auto"/>
            <w:left w:val="none" w:sz="0" w:space="0" w:color="auto"/>
            <w:bottom w:val="none" w:sz="0" w:space="0" w:color="auto"/>
            <w:right w:val="none" w:sz="0" w:space="0" w:color="auto"/>
          </w:divBdr>
        </w:div>
        <w:div w:id="447235995">
          <w:marLeft w:val="0"/>
          <w:marRight w:val="0"/>
          <w:marTop w:val="0"/>
          <w:marBottom w:val="0"/>
          <w:divBdr>
            <w:top w:val="none" w:sz="0" w:space="0" w:color="auto"/>
            <w:left w:val="none" w:sz="0" w:space="0" w:color="auto"/>
            <w:bottom w:val="none" w:sz="0" w:space="0" w:color="auto"/>
            <w:right w:val="none" w:sz="0" w:space="0" w:color="auto"/>
          </w:divBdr>
          <w:divsChild>
            <w:div w:id="1049691033">
              <w:marLeft w:val="0"/>
              <w:marRight w:val="0"/>
              <w:marTop w:val="0"/>
              <w:marBottom w:val="0"/>
              <w:divBdr>
                <w:top w:val="none" w:sz="0" w:space="0" w:color="auto"/>
                <w:left w:val="none" w:sz="0" w:space="0" w:color="auto"/>
                <w:bottom w:val="none" w:sz="0" w:space="0" w:color="auto"/>
                <w:right w:val="none" w:sz="0" w:space="0" w:color="auto"/>
              </w:divBdr>
            </w:div>
          </w:divsChild>
        </w:div>
        <w:div w:id="734283631">
          <w:marLeft w:val="0"/>
          <w:marRight w:val="0"/>
          <w:marTop w:val="0"/>
          <w:marBottom w:val="0"/>
          <w:divBdr>
            <w:top w:val="none" w:sz="0" w:space="0" w:color="auto"/>
            <w:left w:val="none" w:sz="0" w:space="0" w:color="auto"/>
            <w:bottom w:val="none" w:sz="0" w:space="0" w:color="auto"/>
            <w:right w:val="none" w:sz="0" w:space="0" w:color="auto"/>
          </w:divBdr>
        </w:div>
      </w:divsChild>
    </w:div>
    <w:div w:id="2132547315">
      <w:marLeft w:val="0"/>
      <w:marRight w:val="0"/>
      <w:marTop w:val="0"/>
      <w:marBottom w:val="0"/>
      <w:divBdr>
        <w:top w:val="none" w:sz="0" w:space="0" w:color="auto"/>
        <w:left w:val="none" w:sz="0" w:space="0" w:color="auto"/>
        <w:bottom w:val="none" w:sz="0" w:space="0" w:color="auto"/>
        <w:right w:val="none" w:sz="0" w:space="0" w:color="auto"/>
      </w:divBdr>
    </w:div>
    <w:div w:id="2136177321">
      <w:marLeft w:val="0"/>
      <w:marRight w:val="0"/>
      <w:marTop w:val="0"/>
      <w:marBottom w:val="0"/>
      <w:divBdr>
        <w:top w:val="none" w:sz="0" w:space="0" w:color="auto"/>
        <w:left w:val="none" w:sz="0" w:space="0" w:color="auto"/>
        <w:bottom w:val="none" w:sz="0" w:space="0" w:color="auto"/>
        <w:right w:val="none" w:sz="0" w:space="0" w:color="auto"/>
      </w:divBdr>
      <w:divsChild>
        <w:div w:id="1811357597">
          <w:marLeft w:val="0"/>
          <w:marRight w:val="0"/>
          <w:marTop w:val="0"/>
          <w:marBottom w:val="0"/>
          <w:divBdr>
            <w:top w:val="none" w:sz="0" w:space="0" w:color="auto"/>
            <w:left w:val="none" w:sz="0" w:space="0" w:color="auto"/>
            <w:bottom w:val="none" w:sz="0" w:space="0" w:color="auto"/>
            <w:right w:val="none" w:sz="0" w:space="0" w:color="auto"/>
          </w:divBdr>
        </w:div>
        <w:div w:id="1242065130">
          <w:marLeft w:val="0"/>
          <w:marRight w:val="0"/>
          <w:marTop w:val="0"/>
          <w:marBottom w:val="0"/>
          <w:divBdr>
            <w:top w:val="none" w:sz="0" w:space="0" w:color="auto"/>
            <w:left w:val="none" w:sz="0" w:space="0" w:color="auto"/>
            <w:bottom w:val="none" w:sz="0" w:space="0" w:color="auto"/>
            <w:right w:val="none" w:sz="0" w:space="0" w:color="auto"/>
          </w:divBdr>
        </w:div>
      </w:divsChild>
    </w:div>
    <w:div w:id="214573454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79101/000139843212000875/ex3-2.htm" TargetMode="External"/><Relationship Id="rId18" Type="http://schemas.openxmlformats.org/officeDocument/2006/relationships/hyperlink" Target="http://www.sec.gov/Archives/edgar/data/879101/000095012307006086/y33993exv1w3.htm" TargetMode="External"/><Relationship Id="rId26" Type="http://schemas.openxmlformats.org/officeDocument/2006/relationships/hyperlink" Target="http://www.sec.gov/Archives/edgar/data/879101/000139843209000090/exh99_1.htm" TargetMode="External"/><Relationship Id="rId39" Type="http://schemas.openxmlformats.org/officeDocument/2006/relationships/hyperlink" Target="ex_339079.htm" TargetMode="External"/><Relationship Id="rId21" Type="http://schemas.openxmlformats.org/officeDocument/2006/relationships/hyperlink" Target="http://www.sec.gov/Archives/edgar/data/879101/000139843214000177/exh4_1.htm" TargetMode="External"/><Relationship Id="rId34" Type="http://schemas.openxmlformats.org/officeDocument/2006/relationships/hyperlink" Target="http://www.sec.gov/Archives/edgar/data/879101/000143774920017012/ex_194696.htm" TargetMode="External"/><Relationship Id="rId42" Type="http://schemas.openxmlformats.org/officeDocument/2006/relationships/hyperlink" Target="ex_332122.htm" TargetMode="External"/><Relationship Id="rId7" Type="http://schemas.openxmlformats.org/officeDocument/2006/relationships/hyperlink" Target="http://www.sec.gov/Archives/edgar/data/879101/000114036121012872/nt10023151x1_ex2-1.htm" TargetMode="External"/><Relationship Id="rId2" Type="http://schemas.openxmlformats.org/officeDocument/2006/relationships/settings" Target="settings.xml"/><Relationship Id="rId16" Type="http://schemas.openxmlformats.org/officeDocument/2006/relationships/hyperlink" Target="http://www.sec.gov/Archives/edgar/data/879101/000139843209000090/exh3_2.htm" TargetMode="External"/><Relationship Id="rId29" Type="http://schemas.openxmlformats.org/officeDocument/2006/relationships/hyperlink" Target="http://www.sec.gov/Archives/edgar/data/879101/000143774918003230/ex_105684.htm" TargetMode="External"/><Relationship Id="rId1" Type="http://schemas.openxmlformats.org/officeDocument/2006/relationships/styles" Target="styles.xml"/><Relationship Id="rId6" Type="http://schemas.openxmlformats.org/officeDocument/2006/relationships/image" Target="file:///E:\projects\LLMs\new_data_collection\data_new\htm\KIMCO%20REALTY%20CORP\image03.jpg" TargetMode="External"/><Relationship Id="rId11" Type="http://schemas.openxmlformats.org/officeDocument/2006/relationships/hyperlink" Target="http://www.sec.gov/Archives/edgar/data/879101/000139843212000219/exh3_2.htm" TargetMode="External"/><Relationship Id="rId24" Type="http://schemas.openxmlformats.org/officeDocument/2006/relationships/hyperlink" Target="http://www.sec.gov/Archives/edgar/data/828916/000119312512418408/d422337dex41.htm" TargetMode="External"/><Relationship Id="rId32" Type="http://schemas.openxmlformats.org/officeDocument/2006/relationships/hyperlink" Target="http://www.sec.gov/Archives/edgar/data/879101/000143774912004817/ex10-3.htm" TargetMode="External"/><Relationship Id="rId37" Type="http://schemas.openxmlformats.org/officeDocument/2006/relationships/hyperlink" Target="http://www.sec.gov/Archives/edgar/data/879101/000143774920017012/ex_195425.htm" TargetMode="External"/><Relationship Id="rId40" Type="http://schemas.openxmlformats.org/officeDocument/2006/relationships/hyperlink" Target="ex_339298.htm" TargetMode="External"/><Relationship Id="rId45" Type="http://schemas.openxmlformats.org/officeDocument/2006/relationships/fontTable" Target="fontTable.xml"/><Relationship Id="rId5" Type="http://schemas.openxmlformats.org/officeDocument/2006/relationships/image" Target="file:///E:\projects\LLMs\new_data_collection\data_new\htm\KIMCO%20REALTY%20CORP\image02.jpg" TargetMode="External"/><Relationship Id="rId15" Type="http://schemas.openxmlformats.org/officeDocument/2006/relationships/hyperlink" Target="http://www.sec.gov/Archives/edgar/data/879101/000139843217000173/exh3_03.htm" TargetMode="External"/><Relationship Id="rId23" Type="http://schemas.openxmlformats.org/officeDocument/2006/relationships/hyperlink" Target="http://www.sec.gov/Archives/edgar/data/828916/0000950129-95-000068.txt" TargetMode="External"/><Relationship Id="rId28" Type="http://schemas.openxmlformats.org/officeDocument/2006/relationships/hyperlink" Target="http://www.sec.gov/Archives/edgar/data/879101/000143774917003269/ex10-6.htm" TargetMode="External"/><Relationship Id="rId36" Type="http://schemas.openxmlformats.org/officeDocument/2006/relationships/hyperlink" Target="http://www.sec.gov/Archives/edgar/data/879101/000143774920017012/ex_194764.htm" TargetMode="External"/><Relationship Id="rId10" Type="http://schemas.openxmlformats.org/officeDocument/2006/relationships/hyperlink" Target="http://www.sec.gov/Archives/edgar/data/879101/000139843211000206/exh3_1b.htm" TargetMode="External"/><Relationship Id="rId19" Type="http://schemas.openxmlformats.org/officeDocument/2006/relationships/hyperlink" Target="http://www.sec.gov/Archives/edgar/data/879101/000139843209000364/exh4_1.htm" TargetMode="External"/><Relationship Id="rId31" Type="http://schemas.openxmlformats.org/officeDocument/2006/relationships/hyperlink" Target="http://www.sec.gov/Archives/edgar/data/879101/000143774912004817/ex10-3.htm" TargetMode="External"/><Relationship Id="rId44" Type="http://schemas.openxmlformats.org/officeDocument/2006/relationships/hyperlink" Target="ex_332354.htm" TargetMode="External"/><Relationship Id="rId4" Type="http://schemas.openxmlformats.org/officeDocument/2006/relationships/image" Target="file:///E:\projects\LLMs\new_data_collection\data_new\htm\KIMCO%20REALTY%20CORP\esgpillarsrevisedc.jpg" TargetMode="External"/><Relationship Id="rId9" Type="http://schemas.openxmlformats.org/officeDocument/2006/relationships/hyperlink" Target="http://www.sec.gov/Archives/edgar/data/879101/000143774917003269/ex3-1b.htm" TargetMode="External"/><Relationship Id="rId14" Type="http://schemas.openxmlformats.org/officeDocument/2006/relationships/hyperlink" Target="http://www.sec.gov/Archives/edgar/data/879101/000139843217000118/exh3_3.htm" TargetMode="External"/><Relationship Id="rId22" Type="http://schemas.openxmlformats.org/officeDocument/2006/relationships/hyperlink" Target="http://www.sec.gov/Archives/edgar/data/879101/000143774920003500/ex_173710.htm" TargetMode="External"/><Relationship Id="rId27" Type="http://schemas.openxmlformats.org/officeDocument/2006/relationships/hyperlink" Target="http://www.sec.gov/Archives/edgar/data/879101/000139843210000184/exh10_5.htm" TargetMode="External"/><Relationship Id="rId30" Type="http://schemas.openxmlformats.org/officeDocument/2006/relationships/hyperlink" Target="http://www.sec.gov/Archives/edgar/data/879101/000139843210000184/exh10_8.htm" TargetMode="External"/><Relationship Id="rId35" Type="http://schemas.openxmlformats.org/officeDocument/2006/relationships/hyperlink" Target="http://www.sec.gov/Archives/edgar/data/879101/000143774920017012/ex_194763.htm" TargetMode="External"/><Relationship Id="rId43" Type="http://schemas.openxmlformats.org/officeDocument/2006/relationships/hyperlink" Target="ex_332123.htm" TargetMode="External"/><Relationship Id="rId8" Type="http://schemas.openxmlformats.org/officeDocument/2006/relationships/hyperlink" Target="http://www.sec.gov/Archives/edgar/data/879101/000139843211000206/exh3_1a.htm" TargetMode="External"/><Relationship Id="rId3" Type="http://schemas.openxmlformats.org/officeDocument/2006/relationships/webSettings" Target="webSettings.xml"/><Relationship Id="rId12" Type="http://schemas.openxmlformats.org/officeDocument/2006/relationships/hyperlink" Target="http://www.sec.gov/Archives/edgar/data/879101/000139843212000537/ex3-2.htm" TargetMode="External"/><Relationship Id="rId17" Type="http://schemas.openxmlformats.org/officeDocument/2006/relationships/hyperlink" Target="http://www.sec.gov/Archives/edgar/data/879101/000112528206003262/b413601_ex4-3.txt" TargetMode="External"/><Relationship Id="rId25" Type="http://schemas.openxmlformats.org/officeDocument/2006/relationships/hyperlink" Target="http://www.sec.gov/Archives/edgar/data/879101/000139843209000090/exh10_9.htm" TargetMode="External"/><Relationship Id="rId33" Type="http://schemas.openxmlformats.org/officeDocument/2006/relationships/hyperlink" Target="http://www.sec.gov/Archives/edgar/data/879101/000120677420000839/kim3674811-def14a.htm" TargetMode="External"/><Relationship Id="rId38" Type="http://schemas.openxmlformats.org/officeDocument/2006/relationships/hyperlink" Target="http://www.sec.gov/Archives/edgar/data/879101/000143774920017012/ex_195426.htm" TargetMode="External"/><Relationship Id="rId46" Type="http://schemas.openxmlformats.org/officeDocument/2006/relationships/theme" Target="theme/theme1.xml"/><Relationship Id="rId20" Type="http://schemas.openxmlformats.org/officeDocument/2006/relationships/hyperlink" Target="http://www.sec.gov/Archives/edgar/data/879101/000139843213000412/exh4_1.htm" TargetMode="External"/><Relationship Id="rId41" Type="http://schemas.openxmlformats.org/officeDocument/2006/relationships/hyperlink" Target="ex_3321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100329</Words>
  <Characters>571879</Characters>
  <Application>Microsoft Office Word</Application>
  <DocSecurity>0</DocSecurity>
  <Lines>4765</Lines>
  <Paragraphs>1341</Paragraphs>
  <ScaleCrop>false</ScaleCrop>
  <Company/>
  <LinksUpToDate>false</LinksUpToDate>
  <CharactersWithSpaces>670867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kim20211231_10k.htm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