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3336F">
      <w:pPr>
        <w:divId w:val="684526362"/>
        <w:rPr>
          <w:rFonts w:eastAsia="Times New Roman"/>
          <w:vanish/>
          <w:sz w:val="20"/>
          <w:szCs w:val="20"/>
        </w:rPr>
      </w:pPr>
      <w:r>
        <w:rPr>
          <w:rFonts w:eastAsia="Times New Roman"/>
          <w:vanish/>
          <w:sz w:val="20"/>
          <w:szCs w:val="20"/>
        </w:rPr>
        <w:t xml:space="preserve">0000879101 KIMCO REALTY CORP false --12-31 Q3 2022 3,336,473 3,010,699 1.00 1.00 7,054,000 7,054,000 19,435 19,435 19,580 19,580 485,868 489,500 0.01 0.01 750,000,000 750,000,000 618,462,620 618,462,620 616,658,593 6,955 0 445 482 854.3 828.3 1.35 </w:t>
      </w:r>
      <w:r>
        <w:rPr>
          <w:rFonts w:eastAsia="Times New Roman"/>
          <w:vanish/>
          <w:sz w:val="20"/>
          <w:szCs w:val="20"/>
        </w:rPr>
        <w:t>1.34 3.2 1 0 The amounts represent adjustments associated with potentially uncollectible revenues and disputed amounts primarily due to the COVID-19 pandemic. Includes restricted assets of consolidated variable interest entities (“VIEs”) at September 30, 2</w:t>
      </w:r>
      <w:r>
        <w:rPr>
          <w:rFonts w:eastAsia="Times New Roman"/>
          <w:vanish/>
          <w:sz w:val="20"/>
          <w:szCs w:val="20"/>
        </w:rPr>
        <w:t>022 and December 31, 2021 of $88,949 and $227,858, respectively. See Footnote 13 of the Notes to Condensed Consolidated Financial Statements. Includes partial repayments during May and June 2022. The Company determined that its valuation of its mortgages p</w:t>
      </w:r>
      <w:r>
        <w:rPr>
          <w:rFonts w:eastAsia="Times New Roman"/>
          <w:vanish/>
          <w:sz w:val="20"/>
          <w:szCs w:val="20"/>
        </w:rPr>
        <w:t>ayable were classified within Level 3 of the fair value hierarchy. Representing 112 property interests and 22.6 million square feet of GLA, as of September 30, 2022, and 120 property interests and 24.7 million square feet of GLA, as of December 31, 2021. I</w:t>
      </w:r>
      <w:r>
        <w:rPr>
          <w:rFonts w:eastAsia="Times New Roman"/>
          <w:vanish/>
          <w:sz w:val="20"/>
          <w:szCs w:val="20"/>
        </w:rPr>
        <w:t>ncludes minimum base rents, expense reimbursements, ancillary income and straight-line rent adjustments. The pro forma earnings for the three and nine months ended September 30, 2021 were adjusted to exclude $47.0 million and $50.2 million of merger costs,</w:t>
      </w:r>
      <w:r>
        <w:rPr>
          <w:rFonts w:eastAsia="Times New Roman"/>
          <w:vanish/>
          <w:sz w:val="20"/>
          <w:szCs w:val="20"/>
        </w:rPr>
        <w:t xml:space="preserve"> respectively. Includes $19.7 million of Internal Revenue Code 26 U.S.C. §1031 proceeds held in escrow through sale of real estate interests for the nine months ended September 30, 2022. During the nine months ended September 30, 2022, the Prudential Inves</w:t>
      </w:r>
      <w:r>
        <w:rPr>
          <w:rFonts w:eastAsia="Times New Roman"/>
          <w:vanish/>
          <w:sz w:val="20"/>
          <w:szCs w:val="20"/>
        </w:rPr>
        <w:t>tment Program recognized an impairment charge on a property of $15.1 million, of which the Company’s share was $2.3 million. There was no prepayment charge associated with this early repayment. Consists of the fair value of the assets acquired which exceed</w:t>
      </w:r>
      <w:r>
        <w:rPr>
          <w:rFonts w:eastAsia="Times New Roman"/>
          <w:vanish/>
          <w:sz w:val="20"/>
          <w:szCs w:val="20"/>
        </w:rPr>
        <w:t>ed the purchase price upon closing. The transaction was a sale-leaseback with the seller which resulted in the recognition of a prepayment of rent of $17.7 million in accordance with ASC 842, Leases at closing. The prepayment of rent will amortize over the</w:t>
      </w:r>
      <w:r>
        <w:rPr>
          <w:rFonts w:eastAsia="Times New Roman"/>
          <w:vanish/>
          <w:sz w:val="20"/>
          <w:szCs w:val="20"/>
        </w:rPr>
        <w:t xml:space="preserve"> initial term of the lease through Revenues from rental properties, net on the Company's Condensed Consolidated Statements of Operations. See Footnote 12 of the Company's Condensed Consolidated Financial Statements for additional discussion regarding fair </w:t>
      </w:r>
      <w:r>
        <w:rPr>
          <w:rFonts w:eastAsia="Times New Roman"/>
          <w:vanish/>
          <w:sz w:val="20"/>
          <w:szCs w:val="20"/>
        </w:rPr>
        <w:t>value allocation of partnership interest for noncontrolling interests. Includes extension options During the nine months ended September 30, 2022, the Company purchased additional ownership interests for $55.1 million, including the General Partner's owner</w:t>
      </w:r>
      <w:r>
        <w:rPr>
          <w:rFonts w:eastAsia="Times New Roman"/>
          <w:vanish/>
          <w:sz w:val="20"/>
          <w:szCs w:val="20"/>
        </w:rPr>
        <w:t>ship interest from Milton Cooper, Executive Chairman of the Board of Directors of the Company, for $0.1 million. There was no change in control as a result of these transactions. Includes minimum base rents, expense reimbursements, percentage rent, lease t</w:t>
      </w:r>
      <w:r>
        <w:rPr>
          <w:rFonts w:eastAsia="Times New Roman"/>
          <w:vanish/>
          <w:sz w:val="20"/>
          <w:szCs w:val="20"/>
        </w:rPr>
        <w:t xml:space="preserve">ermination fee income and ancillary income. Gross leasable area ("GLA") The Company determined the estimated fair value of the Credit Facility and mortgages payable using a discounted cash flow model using a rate that reflects the average yield of similar </w:t>
      </w:r>
      <w:r>
        <w:rPr>
          <w:rFonts w:eastAsia="Times New Roman"/>
          <w:vanish/>
          <w:sz w:val="20"/>
          <w:szCs w:val="20"/>
        </w:rPr>
        <w:t xml:space="preserve">market participants. The effect of the assumed conversion of certain convertible units had an anti-dilutive effect upon the calculation of Net income available to the Company’s common shareholders per share. Accordingly, the impact of such conversions has </w:t>
      </w:r>
      <w:r>
        <w:rPr>
          <w:rFonts w:eastAsia="Times New Roman"/>
          <w:vanish/>
          <w:sz w:val="20"/>
          <w:szCs w:val="20"/>
        </w:rPr>
        <w:t>not been included in the determination of diluted earnings per share calculations. Additionally, there were 0.3 million and 0.5 million stock options that were not dilutive as of September 30, 2022 and 2021, respectively. Relates to interest expense on fin</w:t>
      </w:r>
      <w:r>
        <w:rPr>
          <w:rFonts w:eastAsia="Times New Roman"/>
          <w:vanish/>
          <w:sz w:val="20"/>
          <w:szCs w:val="20"/>
        </w:rPr>
        <w:t>ance lease liabilities, which were acquired in connection with the Merger. The Company incurred a prepayment charge of $6.5 million and $0.7 million in write-off of deferred financing costs resulting from this early repayment, which are included in Early e</w:t>
      </w:r>
      <w:r>
        <w:rPr>
          <w:rFonts w:eastAsia="Times New Roman"/>
          <w:vanish/>
          <w:sz w:val="20"/>
          <w:szCs w:val="20"/>
        </w:rPr>
        <w:t>xtinguishment of debt charges on the Company's Condensed Consolidated Statements of Income. The Company determined that the valuation of its senior unsecured notes were classified within Level 2 of the fair value hierarchy and its Credit Facility was class</w:t>
      </w:r>
      <w:r>
        <w:rPr>
          <w:rFonts w:eastAsia="Times New Roman"/>
          <w:vanish/>
          <w:sz w:val="20"/>
          <w:szCs w:val="20"/>
        </w:rPr>
        <w:t>ified within Level 3 of the fair value hierarchy. The estimated fair value amounts classified as Level 2, as of September 30, 2022 and December 31, 2021, were $5.7 billion and $7.3 billion, respectively. The estimated fair value amounts classified as Level</w:t>
      </w:r>
      <w:r>
        <w:rPr>
          <w:rFonts w:eastAsia="Times New Roman"/>
          <w:vanish/>
          <w:sz w:val="20"/>
          <w:szCs w:val="20"/>
        </w:rPr>
        <w:t xml:space="preserve"> 3, as of September 30, 2022, was $126.7 million. Includes non-recourse liabilities of consolidated VIEs at September 30, 2022 and December 31, 2021 of $100,291 and $153,924, respectively. See Footnote 13 of the Notes to Condensed Consolidated Financial St</w:t>
      </w:r>
      <w:r>
        <w:rPr>
          <w:rFonts w:eastAsia="Times New Roman"/>
          <w:vanish/>
          <w:sz w:val="20"/>
          <w:szCs w:val="20"/>
        </w:rPr>
        <w:t>atements. Before noncontrolling interests of $3.0 million and taxes of $2.2 million, after utilization of net operating loss carryforwards, for the nine months ended September 30, 2021. 00008791012022-01-012022-09-30 0000879101us-gaap:CommonStockMember2022</w:t>
      </w:r>
      <w:r>
        <w:rPr>
          <w:rFonts w:eastAsia="Times New Roman"/>
          <w:vanish/>
          <w:sz w:val="20"/>
          <w:szCs w:val="20"/>
        </w:rPr>
        <w:t>-01-012022-09-30 0000879101kim:ClassLCumulativeRedeemablePreferredStockDepositarySharesMember2022-01-012022-09-30 0000879101kim:ClassMCumulativeRedeemablePreferredStockDepositarySharesMember2022-01-012022-09-30 xbrli:shares 00008791012022-10-19 thunderdome</w:t>
      </w:r>
      <w:r>
        <w:rPr>
          <w:rFonts w:eastAsia="Times New Roman"/>
          <w:vanish/>
          <w:sz w:val="20"/>
          <w:szCs w:val="20"/>
        </w:rPr>
        <w:t>:item iso4217:USD 00008791012022-09-30 00008791012021-12-31 0000879101kim:RealEstateUnderDevelopmentMember2022-09-30 0000879101kim:RealEstateUnderDevelopmentMember2021-12-31 0000879101kim:InvestmentsInAndAdvancesToRealEstateJointVenturesMember2022-09-30 00</w:t>
      </w:r>
      <w:r>
        <w:rPr>
          <w:rFonts w:eastAsia="Times New Roman"/>
          <w:vanish/>
          <w:sz w:val="20"/>
          <w:szCs w:val="20"/>
        </w:rPr>
        <w:t>00879101kim:InvestmentsInAndAdvancesToRealEstateJointVenturesMember2021-12-31 0000879101kim:OtherRealEstateInvestmentsMember2022-09-30 0000879101kim:OtherRealEstateInvestmentsMember2021-12-31 iso4217:USDxbrli:shares 00008791012022-07-012022-09-30 000087910</w:t>
      </w:r>
      <w:r>
        <w:rPr>
          <w:rFonts w:eastAsia="Times New Roman"/>
          <w:vanish/>
          <w:sz w:val="20"/>
          <w:szCs w:val="20"/>
        </w:rPr>
        <w:t>12021-07-012021-09-30 00008791012021-01-012021-09-30 0000879101kim:JointVenturesMember2022-07-012022-09-30 0000879101kim:JointVenturesMember2021-07-012021-09-30 0000879101kim:JointVenturesMember2022-01-012022-09-30 0000879101kim:JointVenturesMember2021-01-</w:t>
      </w:r>
      <w:r>
        <w:rPr>
          <w:rFonts w:eastAsia="Times New Roman"/>
          <w:vanish/>
          <w:sz w:val="20"/>
          <w:szCs w:val="20"/>
        </w:rPr>
        <w:t>012021-09-30 0000879101kim:OtherRealEstateInvestmentsMember2022-07-012022-09-30 0000879101kim:OtherRealEstateInvestmentsMember2021-07-012021-09-30 0000879101kim:OtherRealEstateInvestmentsMember2022-01-012022-09-30 0000879101kim:OtherRealEstateInvestmentsMe</w:t>
      </w:r>
      <w:r>
        <w:rPr>
          <w:rFonts w:eastAsia="Times New Roman"/>
          <w:vanish/>
          <w:sz w:val="20"/>
          <w:szCs w:val="20"/>
        </w:rPr>
        <w:t>mber2021-01-012021-09-30 0000879101us-gaap:RetainedEarningsMember2021-06-30 0000879101us-gaap:AccumulatedOtherComprehensiveIncomeMember2021-06-30 0000879101us-gaap:PreferredStockMember2021-06-30 0000879101us-gaap:CommonStockMember2021-06-30 0000879101us-ga</w:t>
      </w:r>
      <w:r>
        <w:rPr>
          <w:rFonts w:eastAsia="Times New Roman"/>
          <w:vanish/>
          <w:sz w:val="20"/>
          <w:szCs w:val="20"/>
        </w:rPr>
        <w:t>ap:AdditionalPaidInCapitalMember2021-06-30 0000879101us-gaap:ParentMember2021-06-30 0000879101us-gaap:NoncontrollingInterestMember2021-06-30 00008791012021-06-30 0000879101us-gaap:RetainedEarningsMember2021-07-012021-09-30 0000879101us-gaap:AccumulatedOthe</w:t>
      </w:r>
      <w:r>
        <w:rPr>
          <w:rFonts w:eastAsia="Times New Roman"/>
          <w:vanish/>
          <w:sz w:val="20"/>
          <w:szCs w:val="20"/>
        </w:rPr>
        <w:t>rComprehensiveIncomeMember2021-07-012021-09-30 0000879101us-gaap:PreferredStockMember2021-07-012021-09-30 0000879101us-gaap:CommonStockMember2021-07-012021-09-30 0000879101us-gaap:AdditionalPaidInCapitalMember2021-07-012021-09-30 0000879101us-gaap:ParentMe</w:t>
      </w:r>
      <w:r>
        <w:rPr>
          <w:rFonts w:eastAsia="Times New Roman"/>
          <w:vanish/>
          <w:sz w:val="20"/>
          <w:szCs w:val="20"/>
        </w:rPr>
        <w:t>mber2021-07-012021-09-30 0000879101us-gaap:NoncontrollingInterestMember2021-07-012021-09-30 0000879101us-gaap:RetainedEarningsMember2021-09-30 0000879101us-gaap:AccumulatedOtherComprehensiveIncomeMember2021-09-30 0000879101us-gaap:PreferredStockMember2021-</w:t>
      </w:r>
      <w:r>
        <w:rPr>
          <w:rFonts w:eastAsia="Times New Roman"/>
          <w:vanish/>
          <w:sz w:val="20"/>
          <w:szCs w:val="20"/>
        </w:rPr>
        <w:t>09-30 0000879101us-gaap:CommonStockMember2021-09-30 0000879101us-gaap:AdditionalPaidInCapitalMember2021-09-30 0000879101us-gaap:ParentMember2021-09-30 0000879101us-gaap:NoncontrollingInterestMember2021-09-30 00008791012021-09-30 0000879101us-gaap:RetainedE</w:t>
      </w:r>
      <w:r>
        <w:rPr>
          <w:rFonts w:eastAsia="Times New Roman"/>
          <w:vanish/>
          <w:sz w:val="20"/>
          <w:szCs w:val="20"/>
        </w:rPr>
        <w:t>arningsMember2022-06-30 0000879101us-gaap:AccumulatedOtherComprehensiveIncomeMember2022-06-30 0000879101us-gaap:PreferredStockMember2022-06-30 0000879101us-gaap:CommonStockMember2022-06-30 0000879101us-gaap:AdditionalPaidInCapitalMember2022-06-30 000087910</w:t>
      </w:r>
      <w:r>
        <w:rPr>
          <w:rFonts w:eastAsia="Times New Roman"/>
          <w:vanish/>
          <w:sz w:val="20"/>
          <w:szCs w:val="20"/>
        </w:rPr>
        <w:t>1us-gaap:ParentMember2022-06-30 0000879101us-gaap:NoncontrollingInterestMember2022-06-30 00008791012022-06-30 0000879101us-gaap:RetainedEarningsMember2022-07-012022-09-30 0000879101us-gaap:AccumulatedOtherComprehensiveIncomeMember2022-07-012022-09-30 00008</w:t>
      </w:r>
      <w:r>
        <w:rPr>
          <w:rFonts w:eastAsia="Times New Roman"/>
          <w:vanish/>
          <w:sz w:val="20"/>
          <w:szCs w:val="20"/>
        </w:rPr>
        <w:t>79101us-gaap:PreferredStockMember2022-07-012022-09-30 0000879101us-gaap:CommonStockMember2022-07-012022-09-30 0000879101us-gaap:AdditionalPaidInCapitalMember2022-07-012022-09-30 0000879101us-gaap:ParentMember2022-07-012022-09-30 0000879101us-gaap:Noncontro</w:t>
      </w:r>
      <w:r>
        <w:rPr>
          <w:rFonts w:eastAsia="Times New Roman"/>
          <w:vanish/>
          <w:sz w:val="20"/>
          <w:szCs w:val="20"/>
        </w:rPr>
        <w:t xml:space="preserve">llingInterestMember2022-07-012022-09-30 0000879101us-gaap:RetainedEarningsMember2022-09-30 0000879101us-gaap:AccumulatedOtherComprehensiveIncomeMember2022-09-30 0000879101us-gaap:PreferredStockMember2022-09-30 0000879101us-gaap:CommonStockMember2022-09-30 </w:t>
      </w:r>
      <w:r>
        <w:rPr>
          <w:rFonts w:eastAsia="Times New Roman"/>
          <w:vanish/>
          <w:sz w:val="20"/>
          <w:szCs w:val="20"/>
        </w:rPr>
        <w:t>0000879101us-gaap:AdditionalPaidInCapitalMember2022-09-30 0000879101us-gaap:ParentMember2022-09-30 0000879101us-gaap:NoncontrollingInterestMember2022-09-30 0000879101us-gaap:RetainedEarningsMember2020-12-31 0000879101us-gaap:AccumulatedOtherComprehensiveIn</w:t>
      </w:r>
      <w:r>
        <w:rPr>
          <w:rFonts w:eastAsia="Times New Roman"/>
          <w:vanish/>
          <w:sz w:val="20"/>
          <w:szCs w:val="20"/>
        </w:rPr>
        <w:t>comeMember2020-12-31 0000879101us-gaap:PreferredStockMember2020-12-31 0000879101us-gaap:CommonStockMember2020-12-31 0000879101us-gaap:AdditionalPaidInCapitalMember2020-12-31 0000879101us-gaap:ParentMember2020-12-31 0000879101us-gaap:NoncontrollingInterestM</w:t>
      </w:r>
      <w:r>
        <w:rPr>
          <w:rFonts w:eastAsia="Times New Roman"/>
          <w:vanish/>
          <w:sz w:val="20"/>
          <w:szCs w:val="20"/>
        </w:rPr>
        <w:t>ember2020-12-31 00008791012020-12-31 0000879101us-gaap:RetainedEarningsMember2021-01-012021-09-30 0000879101us-gaap:AccumulatedOtherComprehensiveIncomeMember2021-01-012021-09-30 0000879101us-gaap:PreferredStockMember2021-01-012021-09-30 0000879101us-gaap:C</w:t>
      </w:r>
      <w:r>
        <w:rPr>
          <w:rFonts w:eastAsia="Times New Roman"/>
          <w:vanish/>
          <w:sz w:val="20"/>
          <w:szCs w:val="20"/>
        </w:rPr>
        <w:t>ommonStockMember2021-01-012021-09-30 0000879101us-gaap:AdditionalPaidInCapitalMember2021-01-012021-09-30 0000879101us-gaap:ParentMember2021-01-012021-09-30 0000879101us-gaap:NoncontrollingInterestMember2021-01-012021-09-30 0000879101us-gaap:RetainedEarning</w:t>
      </w:r>
      <w:r>
        <w:rPr>
          <w:rFonts w:eastAsia="Times New Roman"/>
          <w:vanish/>
          <w:sz w:val="20"/>
          <w:szCs w:val="20"/>
        </w:rPr>
        <w:t>sMember2021-12-31 0000879101us-gaap:AccumulatedOtherComprehensiveIncomeMember2021-12-31 0000879101us-gaap:PreferredStockMember2021-12-31 0000879101us-gaap:CommonStockMember2021-12-31 0000879101us-gaap:AdditionalPaidInCapitalMember2021-12-31 0000879101us-ga</w:t>
      </w:r>
      <w:r>
        <w:rPr>
          <w:rFonts w:eastAsia="Times New Roman"/>
          <w:vanish/>
          <w:sz w:val="20"/>
          <w:szCs w:val="20"/>
        </w:rPr>
        <w:t>ap:ParentMember2021-12-31 0000879101us-gaap:NoncontrollingInterestMember2021-12-31 0000879101us-gaap:RetainedEarningsMember2022-01-012022-09-30 0000879101us-gaap:AccumulatedOtherComprehensiveIncomeMember2022-01-012022-09-30 0000879101us-gaap:PreferredStock</w:t>
      </w:r>
      <w:r>
        <w:rPr>
          <w:rFonts w:eastAsia="Times New Roman"/>
          <w:vanish/>
          <w:sz w:val="20"/>
          <w:szCs w:val="20"/>
        </w:rPr>
        <w:t>Member2022-01-012022-09-30 0000879101us-gaap:CommonStockMember2022-01-012022-09-30 0000879101us-gaap:AdditionalPaidInCapitalMember2022-01-012022-09-30 0000879101us-gaap:ParentMember2022-01-012022-09-30 0000879101us-gaap:NoncontrollingInterestMember2022-01-</w:t>
      </w:r>
      <w:r>
        <w:rPr>
          <w:rFonts w:eastAsia="Times New Roman"/>
          <w:vanish/>
          <w:sz w:val="20"/>
          <w:szCs w:val="20"/>
        </w:rPr>
        <w:t>012022-09-30 0000879101kim:SeniorUnsecuredNotesMember2022-01-012022-09-30 0000879101kim:SeniorUnsecuredNotesMember2021-01-012021-09-30 0000879101us-gaap:RevolvingCreditFacilityMember2022-01-012022-09-30 0000879101us-gaap:RevolvingCreditFacilityMember2021-0</w:t>
      </w:r>
      <w:r>
        <w:rPr>
          <w:rFonts w:eastAsia="Times New Roman"/>
          <w:vanish/>
          <w:sz w:val="20"/>
          <w:szCs w:val="20"/>
        </w:rPr>
        <w:t>1-012021-09-30 0000879101kim:WeingartenRealtyInvestorsMember2021-04-152021-04-15 0000879101kim:WeingartenRealtyInvestorsMember2021-08-032021-08-03 xbrli:pure 0000879101kim:WeingartenRealtyInvestorsMember2021-08-03 0000879101kim:SeniorUnsecuredNotesAssumedI</w:t>
      </w:r>
      <w:r>
        <w:rPr>
          <w:rFonts w:eastAsia="Times New Roman"/>
          <w:vanish/>
          <w:sz w:val="20"/>
          <w:szCs w:val="20"/>
        </w:rPr>
        <w:t>nTheWeingartenAcquisitionMember2021-08-032021-08-03 0000879101kim:MortgageDebtAssumedInTheWeingartenAcquisitionMember2021-08-032021-08-03 0000879101kim:MortgageDebtFairValueAdjustmentMember2021-08-032021-08-03 0000879101kim:WeingartenRealtyInvestorsMember2</w:t>
      </w:r>
      <w:r>
        <w:rPr>
          <w:rFonts w:eastAsia="Times New Roman"/>
          <w:vanish/>
          <w:sz w:val="20"/>
          <w:szCs w:val="20"/>
        </w:rPr>
        <w:t>021-01-012021-09-30 0000879101kim:WeingartenRealtyInvestorsMember2021-07-012021-09-30 0000879101kim:RanchoSanMarcosVillageMember2022-01-012022-09-30 utr:acre 0000879101kim:RanchoSanMarcosVillageMember2022-09-30 0000879101kim:ColumbiaCrossingMember2022-01-0</w:t>
      </w:r>
      <w:r>
        <w:rPr>
          <w:rFonts w:eastAsia="Times New Roman"/>
          <w:vanish/>
          <w:sz w:val="20"/>
          <w:szCs w:val="20"/>
        </w:rPr>
        <w:t>12022-09-30 0000879101kim:ColumbiaCrossingMember2022-09-30 0000879101kim:OakForestMember2022-01-012022-09-30 0000879101kim:OakForestMember2022-09-30 0000879101kim:DevonVillageMember2022-01-012022-09-30 0000879101kim:DevonVillageMember2022-09-30 0000879101k</w:t>
      </w:r>
      <w:r>
        <w:rPr>
          <w:rFonts w:eastAsia="Times New Roman"/>
          <w:vanish/>
          <w:sz w:val="20"/>
          <w:szCs w:val="20"/>
        </w:rPr>
        <w:t>im:FishtownCrossingMember2022-01-012022-09-30 0000879101kim:FishtownCrossingMember2022-09-30 0000879101kim:CarmansPlazaMember2022-01-012022-09-30 0000879101kim:CarmansPlazaMember2022-09-30 0000879101kim:PikeCenterMember2022-01-012022-09-30 0000879101kim:Pi</w:t>
      </w:r>
      <w:r>
        <w:rPr>
          <w:rFonts w:eastAsia="Times New Roman"/>
          <w:vanish/>
          <w:sz w:val="20"/>
          <w:szCs w:val="20"/>
        </w:rPr>
        <w:t>keCenterMember2022-09-30 0000879101us-gaap:LandMember2022-09-30 0000879101us-gaap:BuildingMember2022-09-30 utr:Y 0000879101us-gaap:BuildingMember2022-01-012022-09-30 0000879101us-gaap:BuildingImprovementsMember2022-09-30 0000879101us-gaap:BuildingImproveme</w:t>
      </w:r>
      <w:r>
        <w:rPr>
          <w:rFonts w:eastAsia="Times New Roman"/>
          <w:vanish/>
          <w:sz w:val="20"/>
          <w:szCs w:val="20"/>
        </w:rPr>
        <w:t>ntsMember2022-01-012022-09-30 0000879101kim:TenantImprovementsMember2022-09-30 0000879101kim:TenantImprovementsMember2022-01-012022-09-30 0000879101kim:SolarPanelsMember2022-09-30 0000879101kim:SolarPanelsMember2022-01-012022-09-30 0000879101us-gaap:Leases</w:t>
      </w:r>
      <w:r>
        <w:rPr>
          <w:rFonts w:eastAsia="Times New Roman"/>
          <w:vanish/>
          <w:sz w:val="20"/>
          <w:szCs w:val="20"/>
        </w:rPr>
        <w:t>AcquiredInPlaceMember2022-09-30 0000879101us-gaap:LeasesAcquiredInPlaceMember2022-01-012022-09-30 0000879101us-gaap:AboveMarketLeasesMember2022-09-30 0000879101us-gaap:AboveMarketLeasesMember2022-01-012022-09-30 0000879101kim:BelowMarketLeasesMember2022-09</w:t>
      </w:r>
      <w:r>
        <w:rPr>
          <w:rFonts w:eastAsia="Times New Roman"/>
          <w:vanish/>
          <w:sz w:val="20"/>
          <w:szCs w:val="20"/>
        </w:rPr>
        <w:t>-30 0000879101kim:BelowMarketLeasesMember2022-01-012022-09-30 0000879101kim:DistributionCenter1Memberkim:LancasterCAMember2021-01-012021-09-30 utr:sqft 0000879101kim:DistributionCenter1Memberkim:LancasterCAMember2021-09-30 0000879101kim:DistributionCenter2</w:t>
      </w:r>
      <w:r>
        <w:rPr>
          <w:rFonts w:eastAsia="Times New Roman"/>
          <w:vanish/>
          <w:sz w:val="20"/>
          <w:szCs w:val="20"/>
        </w:rPr>
        <w:t>Memberkim:WoodlandCAMember2021-01-012021-09-30 0000879101kim:DistributionCenter2Memberkim:WoodlandCAMember2021-09-30 0000879101kim:RiteAidDistributionCenterMember2022-09-30 0000879101kim:DispositionActivityRelatingToConsolidatedOperatingPropertiesAndParcel</w:t>
      </w:r>
      <w:r>
        <w:rPr>
          <w:rFonts w:eastAsia="Times New Roman"/>
          <w:vanish/>
          <w:sz w:val="20"/>
          <w:szCs w:val="20"/>
        </w:rPr>
        <w:t>sMember2021-01-012021-01-31 0000879101kim:AcquiredMember2022-01-012022-09-30 0000879101kim:DispositionActivityRelatingToConsolidatedOperatingPropertiesAndParcelsMember2022-09-30 0000879101kim:DispositionActivityRelatingToConsolidatedOperatingPropertiesAndP</w:t>
      </w:r>
      <w:r>
        <w:rPr>
          <w:rFonts w:eastAsia="Times New Roman"/>
          <w:vanish/>
          <w:sz w:val="20"/>
          <w:szCs w:val="20"/>
        </w:rPr>
        <w:t>arcelsMember2021-09-30 0000879101kim:DispositionActivityRelatingToConsolidatedOperatingPropertiesAndParcelsMember2022-01-012022-09-30 0000879101kim:DispositionActivityRelatingToConsolidatedOperatingPropertiesAndParcelsMember2021-01-012021-09-30 0000879101k</w:t>
      </w:r>
      <w:r>
        <w:rPr>
          <w:rFonts w:eastAsia="Times New Roman"/>
          <w:vanish/>
          <w:sz w:val="20"/>
          <w:szCs w:val="20"/>
        </w:rPr>
        <w:t>im:PropertyMember2022-01-012022-09-30 0000879101kim:KimPruandKimPruIIMember2022-09-30 0000879101kim:KimPruandKimPruIIMember2021-12-31 0000879101kim:KimcoIncomeFundMember2022-09-30 0000879101kim:KimcoIncomeFundMember2021-12-31 0000879101kim:CPPMember2022-09</w:t>
      </w:r>
      <w:r>
        <w:rPr>
          <w:rFonts w:eastAsia="Times New Roman"/>
          <w:vanish/>
          <w:sz w:val="20"/>
          <w:szCs w:val="20"/>
        </w:rPr>
        <w:t>-30 0000879101kim:CPPMember2021-12-31 0000879101kim:OtherInstitutionalJointVenturesMember2022-09-30 0000879101kim:OtherInstitutionalJointVenturesMember2021-12-31 0000879101kim:OtherJointVentureProgramsMember2022-09-30 0000879101kim:OtherJointVentureProgram</w:t>
      </w:r>
      <w:r>
        <w:rPr>
          <w:rFonts w:eastAsia="Times New Roman"/>
          <w:vanish/>
          <w:sz w:val="20"/>
          <w:szCs w:val="20"/>
        </w:rPr>
        <w:t>sMember2021-12-31 0000879101kim:AllEquityMethodInvestmentsMember2022-09-30 0000879101kim:AllEquityMethodInvestmentsMember2021-12-31 0000879101kim:KimcoIncomeFundMember2022-01-012022-09-30 0000879101srt:BoardOfDirectorsChairmanMemberkim:KimcoIncomeFundMembe</w:t>
      </w:r>
      <w:r>
        <w:rPr>
          <w:rFonts w:eastAsia="Times New Roman"/>
          <w:vanish/>
          <w:sz w:val="20"/>
          <w:szCs w:val="20"/>
        </w:rPr>
        <w:t>r2022-01-012022-09-30 0000879101kim:PrudentialInvestmentProgramMember2022-07-012022-09-30 0000879101kim:PrudentialInvestmentProgramMember2021-07-012021-09-30 0000879101kim:PrudentialInvestmentProgramMember2022-01-012022-09-30 0000879101kim:PrudentialInvest</w:t>
      </w:r>
      <w:r>
        <w:rPr>
          <w:rFonts w:eastAsia="Times New Roman"/>
          <w:vanish/>
          <w:sz w:val="20"/>
          <w:szCs w:val="20"/>
        </w:rPr>
        <w:t>mentProgramMember2021-01-012021-09-30 0000879101kim:KIRMember2022-07-012022-09-30 0000879101kim:KIRMember2021-07-012021-09-30 0000879101kim:KIRMember2022-01-012022-09-30 0000879101kim:KIRMember2021-01-012021-09-30 0000879101kim:CPPMember2022-07-012022-09-3</w:t>
      </w:r>
      <w:r>
        <w:rPr>
          <w:rFonts w:eastAsia="Times New Roman"/>
          <w:vanish/>
          <w:sz w:val="20"/>
          <w:szCs w:val="20"/>
        </w:rPr>
        <w:t>0 0000879101kim:CPPMember2021-07-012021-09-30 0000879101kim:CPPMember2022-01-012022-09-30 0000879101kim:CPPMember2021-01-012021-09-30 0000879101kim:OtherInstitutionalJointVenturesMember2022-07-012022-09-30 0000879101kim:OtherInstitutionalJointVenturesMembe</w:t>
      </w:r>
      <w:r>
        <w:rPr>
          <w:rFonts w:eastAsia="Times New Roman"/>
          <w:vanish/>
          <w:sz w:val="20"/>
          <w:szCs w:val="20"/>
        </w:rPr>
        <w:t>r2021-07-012021-09-30 0000879101kim:OtherInstitutionalJointVenturesMember2022-01-012022-09-30 0000879101kim:OtherInstitutionalJointVenturesMember2021-01-012021-09-30 0000879101kim:OtherJointVentureProgramsMember2022-07-012022-09-30 0000879101kim:OtherJoint</w:t>
      </w:r>
      <w:r>
        <w:rPr>
          <w:rFonts w:eastAsia="Times New Roman"/>
          <w:vanish/>
          <w:sz w:val="20"/>
          <w:szCs w:val="20"/>
        </w:rPr>
        <w:t>VentureProgramsMember2021-07-012021-09-30 0000879101kim:OtherJointVentureProgramsMember2022-01-012022-09-30 0000879101kim:OtherJointVentureProgramsMember2021-01-012021-09-30 0000879101kim:PrudentialInvestmentProgramMember2022-01-012022-09-30 0000879101kim:</w:t>
      </w:r>
      <w:r>
        <w:rPr>
          <w:rFonts w:eastAsia="Times New Roman"/>
          <w:vanish/>
          <w:sz w:val="20"/>
          <w:szCs w:val="20"/>
        </w:rPr>
        <w:t>OperatingPropertiesMemberkim:RealEstateJointVenturesMember2022-01-012022-09-30 0000879101kim:OperatingPropertiesMemberkim:RealEstateJointVenturesMember2022-09-30 0000879101kim:OperatingPropertiesMemberkim:RealEstateJointVenturesMember2021-01-012021-09-30 0</w:t>
      </w:r>
      <w:r>
        <w:rPr>
          <w:rFonts w:eastAsia="Times New Roman"/>
          <w:vanish/>
          <w:sz w:val="20"/>
          <w:szCs w:val="20"/>
        </w:rPr>
        <w:t>000879101kim:OperatingPropertiesMemberkim:RealEstateJointVenturesMember2021-09-30 0000879101kim:PrudentialInvestmentProgramMember2022-09-30 utr:M 0000879101kim:PrudentialInvestmentProgramMember2021-12-31 0000879101kim:PrudentialInvestmentProgramMember2021-</w:t>
      </w:r>
      <w:r>
        <w:rPr>
          <w:rFonts w:eastAsia="Times New Roman"/>
          <w:vanish/>
          <w:sz w:val="20"/>
          <w:szCs w:val="20"/>
        </w:rPr>
        <w:t>01-012021-12-31 0000879101kim:KIRMember2022-09-30 0000879101kim:KIRMember2021-12-31 0000879101kim:KIRMember2021-01-012021-12-31 0000879101kim:CPPMember2021-01-012021-12-31 0000879101kim:OtherInstitutionalJointVenturesMember2021-01-012021-12-31 0000879101ki</w:t>
      </w:r>
      <w:r>
        <w:rPr>
          <w:rFonts w:eastAsia="Times New Roman"/>
          <w:vanish/>
          <w:sz w:val="20"/>
          <w:szCs w:val="20"/>
        </w:rPr>
        <w:t>m:OtherJointVentureProgramsMember2021-01-012021-12-31 0000879101kim:PreferredEquityInvestmentsMember2022-09-30 0000879101kim:PreferredEquityInvestmentsMember2022-01-012022-09-30 0000879101kim:PreferredEquityInvestmentsMember2021-01-012021-09-30 0000879101k</w:t>
      </w:r>
      <w:r>
        <w:rPr>
          <w:rFonts w:eastAsia="Times New Roman"/>
          <w:vanish/>
          <w:sz w:val="20"/>
          <w:szCs w:val="20"/>
        </w:rPr>
        <w:t>im:AlbertsonsCompaniesIncMember2022-09-30 00008791012022-04-012022-09-30 00008791012021-04-012021-09-30 0000879101kim:Covid19Member2022-04-012022-09-30 0000879101kim:Covid19Member2021-04-012021-09-30 0000879101kim:Covid19Member2022-01-012022-09-30 00008791</w:t>
      </w:r>
      <w:r>
        <w:rPr>
          <w:rFonts w:eastAsia="Times New Roman"/>
          <w:vanish/>
          <w:sz w:val="20"/>
          <w:szCs w:val="20"/>
        </w:rPr>
        <w:t>01kim:Covid19Member2021-01-012021-09-30 0000879101srt:MinimumMember2022-09-30 0000879101srt:MaximumMember2022-09-30 0000879101kim:FinancingReceivableMaturingInJune25Member2022-09-30 0000879101kim:FinancingReceivableMaturingInJune29Member2022-09-30 00008791</w:t>
      </w:r>
      <w:r>
        <w:rPr>
          <w:rFonts w:eastAsia="Times New Roman"/>
          <w:vanish/>
          <w:sz w:val="20"/>
          <w:szCs w:val="20"/>
        </w:rPr>
        <w:t>01kim:FinancingReceivableMaturingInMay29Member2022-09-30 0000879101kim:FinancingReceivableMaturingInJuly22Member2022-09-30 0000879101kim:MortgageReceivableScheduledToMatureInNovember2021Member2022-01-012022-09-30 0000879101kim:MortgageReceivableScheduledTo</w:t>
      </w:r>
      <w:r>
        <w:rPr>
          <w:rFonts w:eastAsia="Times New Roman"/>
          <w:vanish/>
          <w:sz w:val="20"/>
          <w:szCs w:val="20"/>
        </w:rPr>
        <w:t>MatureInNovember2021Membersrt:MinimumMember2022-01-012022-09-30 0000879101kim:MortgageReceivableScheduledToMatureInNovember2021Membersrt:MaximumMember2022-01-012022-09-30 0000879101us-gaap:RevolvingCreditFacilityMember2022-09-30 0000879101us-gaap:Revolving</w:t>
      </w:r>
      <w:r>
        <w:rPr>
          <w:rFonts w:eastAsia="Times New Roman"/>
          <w:vanish/>
          <w:sz w:val="20"/>
          <w:szCs w:val="20"/>
        </w:rPr>
        <w:t>CreditFacilityMemberus-gaap:LondonInterbankOfferedRateLIBORMember2022-07-012022-07-31 0000879101us-gaap:LetterOfCreditMember2022-09-30 0000879101kim:August2022SeniorUnsecuredNoteMember2022-09-30 0000879101kim:February2022SeniorUnsecuredNotesMember2022-09-3</w:t>
      </w:r>
      <w:r>
        <w:rPr>
          <w:rFonts w:eastAsia="Times New Roman"/>
          <w:vanish/>
          <w:sz w:val="20"/>
          <w:szCs w:val="20"/>
        </w:rPr>
        <w:t>0 0000879101kim:SeniorUnsecuredNotes1Member2022-01-012022-09-30 0000879101kim:SeniorUnsecuredNotes1Member2022-09-30 0000879101kim:SeniorUnsecuredNotes2Member2022-01-012022-09-30 0000879101kim:SeniorUnsecuredNotes2Member2022-09-30 0000879101kim:SeniorUnsecu</w:t>
      </w:r>
      <w:r>
        <w:rPr>
          <w:rFonts w:eastAsia="Times New Roman"/>
          <w:vanish/>
          <w:sz w:val="20"/>
          <w:szCs w:val="20"/>
        </w:rPr>
        <w:t>redNotes3Member2022-01-012022-09-30 0000879101kim:SeniorUnsecuredNotes3Member2022-09-30 0000879101kim:SeniorUnsecuredNotes4Member2022-01-012022-09-30 0000879101kim:SeniorUnsecuredNotes4Member2022-09-30 0000879101kim:MortgageRelatingToAnOperatingPropertyMem</w:t>
      </w:r>
      <w:r>
        <w:rPr>
          <w:rFonts w:eastAsia="Times New Roman"/>
          <w:vanish/>
          <w:sz w:val="20"/>
          <w:szCs w:val="20"/>
        </w:rPr>
        <w:t>ber2022-01-012022-09-30 0000879101kim:ConsolidatedJointVentureMember2022-09-30 0000879101kim:PropertiesHeldInConsolidatedJointVentureMember2022-01-012022-09-30 0000879101us-gaap:DiscontinuedOperationsDisposedOfBySaleMemberkim:DisposalOfFiveOperatingPropert</w:t>
      </w:r>
      <w:r>
        <w:rPr>
          <w:rFonts w:eastAsia="Times New Roman"/>
          <w:vanish/>
          <w:sz w:val="20"/>
          <w:szCs w:val="20"/>
        </w:rPr>
        <w:t>iesMemberkim:PropertiesHeldInConsolidatedJointVentureMember2022-09-30 0000879101us-gaap:DiscontinuedOperationsDisposedOfBySaleMemberkim:DisposalOfFiveOperatingPropertiesMemberkim:PropertiesHeldInConsolidatedJointVentureMember2022-01-012022-09-30 0000879101</w:t>
      </w:r>
      <w:r>
        <w:rPr>
          <w:rFonts w:eastAsia="Times New Roman"/>
          <w:vanish/>
          <w:sz w:val="20"/>
          <w:szCs w:val="20"/>
        </w:rPr>
        <w:t>kim:ConsolidatedOperatingPropertiesMember2022-09-30 0000879101kim:ConsolidatedOperatingPropertiesMember2021-12-31 0000879101us-gaap:VariableInterestEntityPrimaryBeneficiaryMemberkim:ConsolidatedOperatingPropertiesMember2022-09-30 0000879101us-gaap:Variable</w:t>
      </w:r>
      <w:r>
        <w:rPr>
          <w:rFonts w:eastAsia="Times New Roman"/>
          <w:vanish/>
          <w:sz w:val="20"/>
          <w:szCs w:val="20"/>
        </w:rPr>
        <w:t>InterestEntityPrimaryBeneficiaryMemberkim:ConsolidatedOperatingPropertiesMember2021-12-31 0000879101kim:VariableInterestEntityUnencumberedMember2022-09-30 0000879101kim:VariableInterestEntityUnencumberedMember2021-12-31 0000879101kim:VariableInterestEntity</w:t>
      </w:r>
      <w:r>
        <w:rPr>
          <w:rFonts w:eastAsia="Times New Roman"/>
          <w:vanish/>
          <w:sz w:val="20"/>
          <w:szCs w:val="20"/>
        </w:rPr>
        <w:t>EncumberedByThirdPartyNonResourceMortgageDebtMember2022-09-30 0000879101kim:VariableInterestEntityEncumberedByThirdPartyNonResourceMortgageDebtMember2021-12-31 0000879101us-gaap:VariableInterestEntityPrimaryBeneficiaryMember2022-09-30 0000879101us-gaap:Var</w:t>
      </w:r>
      <w:r>
        <w:rPr>
          <w:rFonts w:eastAsia="Times New Roman"/>
          <w:vanish/>
          <w:sz w:val="20"/>
          <w:szCs w:val="20"/>
        </w:rPr>
        <w:t>iableInterestEntityPrimaryBeneficiaryMember2021-12-31 0000879101us-gaap:VariableInterestEntityPrimaryBeneficiaryMemberus-gaap:AssetPledgedAsCollateralMember2022-09-30 0000879101us-gaap:VariableInterestEntityPrimaryBeneficiaryMemberus-gaap:AssetPledgedAsCol</w:t>
      </w:r>
      <w:r>
        <w:rPr>
          <w:rFonts w:eastAsia="Times New Roman"/>
          <w:vanish/>
          <w:sz w:val="20"/>
          <w:szCs w:val="20"/>
        </w:rPr>
        <w:t>lateralMember2021-12-31 0000879101us-gaap:VariableInterestEntityPrimaryBeneficiaryMemberus-gaap:NonrecourseMember2022-09-30 0000879101us-gaap:VariableInterestEntityPrimaryBeneficiaryMemberus-gaap:NonrecourseMember2021-12-31 0000879101us-gaap:CarryingReport</w:t>
      </w:r>
      <w:r>
        <w:rPr>
          <w:rFonts w:eastAsia="Times New Roman"/>
          <w:vanish/>
          <w:sz w:val="20"/>
          <w:szCs w:val="20"/>
        </w:rPr>
        <w:t>edAmountFairValueDisclosureMember2022-09-30 0000879101us-gaap:EstimateOfFairValueFairValueDisclosureMember2022-09-30 0000879101us-gaap:CarryingReportedAmountFairValueDisclosureMember2021-12-31 0000879101us-gaap:EstimateOfFairValueFairValueDisclosureMember2</w:t>
      </w:r>
      <w:r>
        <w:rPr>
          <w:rFonts w:eastAsia="Times New Roman"/>
          <w:vanish/>
          <w:sz w:val="20"/>
          <w:szCs w:val="20"/>
        </w:rPr>
        <w:t>021-12-31 0000879101us-gaap:CarryingReportedAmountFairValueDisclosureMemberus-gaap:MortgagesMember2022-09-30 0000879101us-gaap:EstimateOfFairValueFairValueDisclosureMemberus-gaap:MortgagesMember2022-09-30 0000879101us-gaap:CarryingReportedAmountFairValueDi</w:t>
      </w:r>
      <w:r>
        <w:rPr>
          <w:rFonts w:eastAsia="Times New Roman"/>
          <w:vanish/>
          <w:sz w:val="20"/>
          <w:szCs w:val="20"/>
        </w:rPr>
        <w:t>sclosureMemberus-gaap:MortgagesMember2021-12-31 0000879101us-gaap:EstimateOfFairValueFairValueDisclosureMemberus-gaap:MortgagesMember2021-12-31 0000879101us-gaap:FairValueInputsLevel2Memberus-gaap:EstimateOfFairValueFairValueDisclosureMember2022-09-30 0000</w:t>
      </w:r>
      <w:r>
        <w:rPr>
          <w:rFonts w:eastAsia="Times New Roman"/>
          <w:vanish/>
          <w:sz w:val="20"/>
          <w:szCs w:val="20"/>
        </w:rPr>
        <w:t>879101us-gaap:FairValueInputsLevel2Memberus-gaap:EstimateOfFairValueFairValueDisclosureMember2021-12-31 0000879101us-gaap:FairValueInputsLevel3Memberus-gaap:EstimateOfFairValueFairValueDisclosureMember2022-09-30 0000879101us-gaap:FairValueMeasurementsRecur</w:t>
      </w:r>
      <w:r>
        <w:rPr>
          <w:rFonts w:eastAsia="Times New Roman"/>
          <w:vanish/>
          <w:sz w:val="20"/>
          <w:szCs w:val="20"/>
        </w:rPr>
        <w:t>ringMember2022-09-30 0000879101us-gaap:FairValueInputsLevel1Memberus-gaap:FairValueMeasurementsRecurringMember2022-09-30 0000879101us-gaap:FairValueInputsLevel2Memberus-gaap:FairValueMeasurementsRecurringMember2022-09-30 0000879101us-gaap:FairValueMeasurem</w:t>
      </w:r>
      <w:r>
        <w:rPr>
          <w:rFonts w:eastAsia="Times New Roman"/>
          <w:vanish/>
          <w:sz w:val="20"/>
          <w:szCs w:val="20"/>
        </w:rPr>
        <w:t>entsRecurringMember2021-12-31 0000879101us-gaap:FairValueInputsLevel1Memberus-gaap:FairValueMeasurementsRecurringMember2021-12-31 0000879101us-gaap:FairValueInputsLevel3Memberus-gaap:FairValueMeasurementsRecurringMember2021-12-31 0000879101us-gaap:FairValu</w:t>
      </w:r>
      <w:r>
        <w:rPr>
          <w:rFonts w:eastAsia="Times New Roman"/>
          <w:vanish/>
          <w:sz w:val="20"/>
          <w:szCs w:val="20"/>
        </w:rPr>
        <w:t>eMeasurementsNonrecurringMember2021-12-31 0000879101us-gaap:FairValueInputsLevel1Memberus-gaap:FairValueMeasurementsNonrecurringMember2021-12-31 0000879101us-gaap:FairValueInputsLevel2Memberus-gaap:FairValueMeasurementsNonrecurringMember2021-12-31 00008791</w:t>
      </w:r>
      <w:r>
        <w:rPr>
          <w:rFonts w:eastAsia="Times New Roman"/>
          <w:vanish/>
          <w:sz w:val="20"/>
          <w:szCs w:val="20"/>
        </w:rPr>
        <w:t>01us-gaap:FairValueInputsLevel3Memberus-gaap:FairValueMeasurementsNonrecurringMember2021-12-31 0000879101kim:The2020EquityParticipationPlanMember2020-05-31 0000879101kim:The2020EquityParticipationPlanMember2022-09-30 0000879101srt:MaximumMemberkim:ShareRep</w:t>
      </w:r>
      <w:r>
        <w:rPr>
          <w:rFonts w:eastAsia="Times New Roman"/>
          <w:vanish/>
          <w:sz w:val="20"/>
          <w:szCs w:val="20"/>
        </w:rPr>
        <w:t>urchaseProgramMemberkim:ClassLCumulativeRedeemablePreferredStockDepositarySharesMember2022-09-30 0000879101srt:MaximumMemberkim:ShareRepurchaseProgramMemberkim:ClassMCumulativeRedeemablePreferredStockDepositarySharesMember2022-09-30 0000879101srt:MaximumMe</w:t>
      </w:r>
      <w:r>
        <w:rPr>
          <w:rFonts w:eastAsia="Times New Roman"/>
          <w:vanish/>
          <w:sz w:val="20"/>
          <w:szCs w:val="20"/>
        </w:rPr>
        <w:t>mberkim:ShareRepurchaseProgramMember2022-09-30 0000879101kim:ShareRepurchaseProgramMember2022-09-30 0000879101kim:SeriesLPreferredStockMember2022-09-30 0000879101kim:SeriesLPreferredStockMember2022-01-012022-09-30 0000879101kim:SeriesMPreferredStockMember2</w:t>
      </w:r>
      <w:r>
        <w:rPr>
          <w:rFonts w:eastAsia="Times New Roman"/>
          <w:vanish/>
          <w:sz w:val="20"/>
          <w:szCs w:val="20"/>
        </w:rPr>
        <w:t>022-09-30 0000879101kim:SeriesMPreferredStockMember2022-01-012022-09-30 0000879101us-gaap:RedeemablePreferredStockMember2022-09-30 0000879101kim:SeriesLPreferredStockMember2021-12-31 0000879101kim:SeriesLPreferredStockMember2021-01-012021-12-31 0000879101k</w:t>
      </w:r>
      <w:r>
        <w:rPr>
          <w:rFonts w:eastAsia="Times New Roman"/>
          <w:vanish/>
          <w:sz w:val="20"/>
          <w:szCs w:val="20"/>
        </w:rPr>
        <w:t>im:SeriesMPreferredStockMember2021-12-31 0000879101kim:SeriesMPreferredStockMember2021-01-012021-12-31 0000879101us-gaap:RedeemablePreferredStockMember2021-12-31 0000879101kim:ShareRepurchaseProgramMember2020-02-28 0000879101kim:ShareRepurchaseProgramMembe</w:t>
      </w:r>
      <w:r>
        <w:rPr>
          <w:rFonts w:eastAsia="Times New Roman"/>
          <w:vanish/>
          <w:sz w:val="20"/>
          <w:szCs w:val="20"/>
        </w:rPr>
        <w:t>r2022-01-012022-09-30 0000879101kim:ATMProgramMember2021-08-31 0000879101kim:ATMProgramMember2022-01-012022-09-30 0000879101kim:ATMProgramMember2022-09-30 0000879101kim:SeriesLPreferredStockMember2022-07-012022-09-30 0000879101kim:SeriesLPreferredStockMemb</w:t>
      </w:r>
      <w:r>
        <w:rPr>
          <w:rFonts w:eastAsia="Times New Roman"/>
          <w:vanish/>
          <w:sz w:val="20"/>
          <w:szCs w:val="20"/>
        </w:rPr>
        <w:t>er2021-07-012021-09-30 0000879101kim:SeriesLPreferredStockMember2021-01-012021-09-30 0000879101kim:SeriesMPreferredStockMember2022-07-012022-09-30 0000879101kim:SeriesMPreferredStockMember2021-07-012021-09-30 0000879101kim:SeriesMPreferredStockMember2021-0</w:t>
      </w:r>
      <w:r>
        <w:rPr>
          <w:rFonts w:eastAsia="Times New Roman"/>
          <w:vanish/>
          <w:sz w:val="20"/>
          <w:szCs w:val="20"/>
        </w:rPr>
        <w:t xml:space="preserve">1-012021-09-30 0000879101kim:WeingartenRealtyInvestorsMember2022-09-30 0000879101kim:WeingartenRealtyInvestorsMember2021-09-30 0000879101kim:WeingartenRealtyInvestorsMember2022-01-012022-09-30 0000879101kim:InvestmentWithFundingCommitmentsMember2022-09-30 </w:t>
      </w:r>
      <w:r>
        <w:rPr>
          <w:rFonts w:eastAsia="Times New Roman"/>
          <w:vanish/>
          <w:sz w:val="20"/>
          <w:szCs w:val="20"/>
        </w:rPr>
        <w:t>0000879101kim:InvestmentWithFundingCommitmentsMember2022-01-012022-09-30 0000879101kim:SeriesABondMember2022-09-30 0000879101kim:TheWeingartenRealtyNoncontributoryQualifiedCashBalanceRetirementPlanMember2022-01-012022-09-30 0000879101kim:TheWeingartenRealt</w:t>
      </w:r>
      <w:r>
        <w:rPr>
          <w:rFonts w:eastAsia="Times New Roman"/>
          <w:vanish/>
          <w:sz w:val="20"/>
          <w:szCs w:val="20"/>
        </w:rPr>
        <w:t>yNoncontributoryQualifiedCashBalanceRetirementPlanMember2022-09-30 0000879101us-gaap:AccumulatedDefinedBenefitPlansAdjustmentIncludingPortionAttributableToNoncontrollingInterestMember2021-12-31 0000879101us-gaap:AccumulatedDefinedBenefitPlansAdjustmentIncl</w:t>
      </w:r>
      <w:r>
        <w:rPr>
          <w:rFonts w:eastAsia="Times New Roman"/>
          <w:vanish/>
          <w:sz w:val="20"/>
          <w:szCs w:val="20"/>
        </w:rPr>
        <w:t>udingPortionAttributableToNoncontrollingInterestMember2022-01-012022-09-30 0000879101us-gaap:AccumulatedDefinedBenefitPlansAdjustmentIncludingPortionAttributableToNoncontrollingInterestMember2022-09-30 0000879101us-gaap:EmployeeStockOptionMember2022-01-012</w:t>
      </w:r>
      <w:r>
        <w:rPr>
          <w:rFonts w:eastAsia="Times New Roman"/>
          <w:vanish/>
          <w:sz w:val="20"/>
          <w:szCs w:val="20"/>
        </w:rPr>
        <w:t>022-09-30 0000879101us-gaap:EmployeeStockOptionMember2021-01-012021-09-30 0000879101kim:AlbertsonsCompaniesIncMember2022-09-30 0000879101kim:AlbertsonsCompaniesIncMembersrt:ScenarioForecastMember2022-11-072022-11-07 0000879101kim:AlbertsonsCompaniesIncMemb</w:t>
      </w:r>
      <w:r>
        <w:rPr>
          <w:rFonts w:eastAsia="Times New Roman"/>
          <w:vanish/>
          <w:sz w:val="20"/>
          <w:szCs w:val="20"/>
        </w:rPr>
        <w:t>ersrt:ScenarioForecastMember2022-10-012022-10-31 0000879101kim:AlbertsonsCompaniesIncMembersrt:ScenarioForecastMember2022-10-01 0000879101kim:CertainContractualLockupProvisionsThatExpireInMay2023Memberkim:AlbertsonsCompaniesIncMembersrt:ScenarioForecastMem</w:t>
      </w:r>
      <w:r>
        <w:rPr>
          <w:rFonts w:eastAsia="Times New Roman"/>
          <w:vanish/>
          <w:sz w:val="20"/>
          <w:szCs w:val="20"/>
        </w:rPr>
        <w:t xml:space="preserve">ber2022-10-01 0000879101kim:IncomeMember2022-01-012022-09-30 </w:t>
      </w:r>
    </w:p>
    <w:p w:rsidR="00000000" w:rsidRDefault="00E3336F">
      <w:pPr>
        <w:divId w:val="1794447533"/>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divId w:val="441996968"/>
        <w:rPr>
          <w:sz w:val="20"/>
          <w:szCs w:val="20"/>
        </w:rPr>
      </w:pPr>
      <w:hyperlink w:anchor="toc" w:history="1">
        <w:r>
          <w:rPr>
            <w:rStyle w:val="a4"/>
            <w:sz w:val="20"/>
            <w:szCs w:val="20"/>
          </w:rPr>
          <w:t>Table of Contents</w:t>
        </w:r>
      </w:hyperlink>
    </w:p>
    <w:p w:rsidR="00000000" w:rsidRDefault="00E3336F">
      <w:pPr>
        <w:spacing w:before="60" w:after="60"/>
        <w:divId w:val="441996968"/>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E3336F">
      <w:pPr>
        <w:spacing w:after="60"/>
        <w:divId w:val="441996968"/>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b/>
          <w:bCs/>
          <w:sz w:val="20"/>
          <w:szCs w:val="20"/>
        </w:rPr>
        <w:t>UNITED STATES</w:t>
      </w:r>
    </w:p>
    <w:p w:rsidR="00000000" w:rsidRDefault="00E3336F">
      <w:pPr>
        <w:pStyle w:val="a3"/>
        <w:spacing w:before="0" w:beforeAutospacing="0" w:after="0" w:afterAutospacing="0"/>
        <w:jc w:val="center"/>
        <w:divId w:val="441996968"/>
        <w:rPr>
          <w:sz w:val="20"/>
          <w:szCs w:val="20"/>
        </w:rPr>
      </w:pPr>
      <w:r>
        <w:rPr>
          <w:b/>
          <w:bCs/>
          <w:sz w:val="20"/>
          <w:szCs w:val="20"/>
        </w:rPr>
        <w:t>SECURITIES AND EXCHANGE COMMISSION</w:t>
      </w:r>
    </w:p>
    <w:p w:rsidR="00000000" w:rsidRDefault="00E3336F">
      <w:pPr>
        <w:pStyle w:val="a3"/>
        <w:spacing w:before="0" w:beforeAutospacing="0" w:after="0" w:afterAutospacing="0"/>
        <w:jc w:val="center"/>
        <w:divId w:val="441996968"/>
        <w:rPr>
          <w:sz w:val="20"/>
          <w:szCs w:val="20"/>
        </w:rPr>
      </w:pPr>
      <w:r>
        <w:rPr>
          <w:b/>
          <w:bCs/>
          <w:sz w:val="20"/>
          <w:szCs w:val="20"/>
        </w:rPr>
        <w:t>Washington, D.C.</w:t>
      </w:r>
      <w:r>
        <w:rPr>
          <w:sz w:val="20"/>
          <w:szCs w:val="20"/>
        </w:rPr>
        <w:t>  </w:t>
      </w:r>
      <w:r>
        <w:rPr>
          <w:b/>
          <w:bCs/>
          <w:sz w:val="20"/>
          <w:szCs w:val="20"/>
        </w:rPr>
        <w:t>20549</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b/>
          <w:bCs/>
          <w:sz w:val="20"/>
          <w:szCs w:val="20"/>
        </w:rPr>
        <w:t>FORM 10-Q</w:t>
      </w:r>
    </w:p>
    <w:p w:rsidR="00000000" w:rsidRDefault="00E3336F">
      <w:pPr>
        <w:pStyle w:val="a3"/>
        <w:spacing w:before="0" w:beforeAutospacing="0" w:after="0" w:afterAutospacing="0"/>
        <w:divId w:val="44199696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95"/>
        <w:gridCol w:w="5211"/>
      </w:tblGrid>
      <w:tr w:rsidR="00000000">
        <w:trPr>
          <w:divId w:val="441996968"/>
          <w:tblCellSpacing w:w="0" w:type="dxa"/>
        </w:trPr>
        <w:tc>
          <w:tcPr>
            <w:tcW w:w="720" w:type="dxa"/>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b/>
          <w:bCs/>
          <w:sz w:val="20"/>
          <w:szCs w:val="20"/>
        </w:rPr>
        <w:t>For the quarterly period ended September 30, 2022</w:t>
      </w:r>
    </w:p>
    <w:p w:rsidR="00000000" w:rsidRDefault="00E3336F">
      <w:pPr>
        <w:pStyle w:val="a3"/>
        <w:spacing w:before="0" w:beforeAutospacing="0" w:after="0" w:afterAutospacing="0"/>
        <w:jc w:val="center"/>
        <w:divId w:val="441996968"/>
        <w:rPr>
          <w:sz w:val="20"/>
          <w:szCs w:val="20"/>
        </w:rPr>
      </w:pPr>
      <w:r>
        <w:rPr>
          <w:sz w:val="20"/>
          <w:szCs w:val="20"/>
        </w:rPr>
        <w:t>or</w:t>
      </w:r>
    </w:p>
    <w:tbl>
      <w:tblPr>
        <w:tblW w:w="5000" w:type="pct"/>
        <w:tblCellSpacing w:w="0" w:type="dxa"/>
        <w:tblCellMar>
          <w:left w:w="0" w:type="dxa"/>
          <w:right w:w="0" w:type="dxa"/>
        </w:tblCellMar>
        <w:tblLook w:val="04A0" w:firstRow="1" w:lastRow="0" w:firstColumn="1" w:lastColumn="0" w:noHBand="0" w:noVBand="1"/>
      </w:tblPr>
      <w:tblGrid>
        <w:gridCol w:w="3115"/>
        <w:gridCol w:w="5191"/>
      </w:tblGrid>
      <w:tr w:rsidR="00000000">
        <w:trPr>
          <w:divId w:val="441996968"/>
          <w:tblCellSpacing w:w="0" w:type="dxa"/>
        </w:trPr>
        <w:tc>
          <w:tcPr>
            <w:tcW w:w="720" w:type="dxa"/>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sz w:val="20"/>
          <w:szCs w:val="20"/>
        </w:rPr>
        <w:t>Commission File Number:   </w:t>
      </w:r>
      <w:r>
        <w:rPr>
          <w:sz w:val="20"/>
          <w:szCs w:val="20"/>
          <w:u w:val="single"/>
        </w:rPr>
        <w:t>1-10899</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36"/>
          <w:szCs w:val="36"/>
        </w:rPr>
      </w:pPr>
      <w:r>
        <w:rPr>
          <w:b/>
          <w:bCs/>
          <w:sz w:val="36"/>
          <w:szCs w:val="36"/>
          <w:u w:val="single"/>
        </w:rPr>
        <w:t>KIMCO REALTY CORPORATION</w:t>
      </w:r>
    </w:p>
    <w:p w:rsidR="00000000" w:rsidRDefault="00E3336F">
      <w:pPr>
        <w:pStyle w:val="a3"/>
        <w:spacing w:before="0" w:beforeAutospacing="0" w:after="0" w:afterAutospacing="0"/>
        <w:jc w:val="center"/>
        <w:divId w:val="441996968"/>
        <w:rPr>
          <w:sz w:val="20"/>
          <w:szCs w:val="20"/>
        </w:rPr>
      </w:pPr>
      <w:r>
        <w:rPr>
          <w:sz w:val="20"/>
          <w:szCs w:val="20"/>
        </w:rPr>
        <w:t>(Exact name of registrant as specified in its charter)</w:t>
      </w:r>
    </w:p>
    <w:tbl>
      <w:tblPr>
        <w:tblW w:w="5000" w:type="pct"/>
        <w:tblCellSpacing w:w="0" w:type="dxa"/>
        <w:tblCellMar>
          <w:left w:w="0" w:type="dxa"/>
          <w:right w:w="0" w:type="dxa"/>
        </w:tblCellMar>
        <w:tblLook w:val="04A0" w:firstRow="1" w:lastRow="0" w:firstColumn="1" w:lastColumn="0" w:noHBand="0" w:noVBand="1"/>
      </w:tblPr>
      <w:tblGrid>
        <w:gridCol w:w="3904"/>
        <w:gridCol w:w="498"/>
        <w:gridCol w:w="3904"/>
      </w:tblGrid>
      <w:tr w:rsidR="00000000">
        <w:trPr>
          <w:divId w:val="441996968"/>
          <w:tblCellSpacing w:w="0" w:type="dxa"/>
        </w:trPr>
        <w:tc>
          <w:tcPr>
            <w:tcW w:w="23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Maryland</w:t>
            </w:r>
          </w:p>
        </w:tc>
        <w:tc>
          <w:tcPr>
            <w:tcW w:w="300" w:type="pct"/>
            <w:vAlign w:val="bottom"/>
            <w:hideMark/>
          </w:tcPr>
          <w:p w:rsidR="00000000" w:rsidRDefault="00E3336F">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13-2744380</w:t>
            </w:r>
          </w:p>
        </w:tc>
      </w:tr>
      <w:tr w:rsidR="00000000">
        <w:trPr>
          <w:divId w:val="441996968"/>
          <w:tblCellSpacing w:w="0" w:type="dxa"/>
        </w:trPr>
        <w:tc>
          <w:tcPr>
            <w:tcW w:w="2350" w:type="pct"/>
            <w:vAlign w:val="bottom"/>
            <w:hideMark/>
          </w:tcPr>
          <w:p w:rsidR="00000000" w:rsidRDefault="00E3336F">
            <w:pPr>
              <w:pStyle w:val="a3"/>
              <w:spacing w:before="0" w:beforeAutospacing="0" w:after="0" w:afterAutospacing="0"/>
              <w:jc w:val="center"/>
              <w:rPr>
                <w:sz w:val="20"/>
                <w:szCs w:val="20"/>
              </w:rPr>
            </w:pPr>
            <w:r>
              <w:rPr>
                <w:sz w:val="20"/>
                <w:szCs w:val="20"/>
              </w:rPr>
              <w:t>(State or other jurisdiction of incorporation or organization)</w:t>
            </w:r>
          </w:p>
        </w:tc>
        <w:tc>
          <w:tcPr>
            <w:tcW w:w="300" w:type="pct"/>
            <w:vAlign w:val="bottom"/>
            <w:hideMark/>
          </w:tcPr>
          <w:p w:rsidR="00000000" w:rsidRDefault="00E3336F">
            <w:pPr>
              <w:pStyle w:val="a3"/>
              <w:spacing w:before="0" w:beforeAutospacing="0" w:after="0" w:afterAutospacing="0"/>
              <w:rPr>
                <w:sz w:val="20"/>
                <w:szCs w:val="20"/>
              </w:rPr>
            </w:pPr>
            <w:r>
              <w:rPr>
                <w:sz w:val="20"/>
                <w:szCs w:val="20"/>
              </w:rPr>
              <w:t> </w:t>
            </w:r>
          </w:p>
        </w:tc>
        <w:tc>
          <w:tcPr>
            <w:tcW w:w="2350" w:type="pct"/>
            <w:vAlign w:val="bottom"/>
            <w:hideMark/>
          </w:tcPr>
          <w:p w:rsidR="00000000" w:rsidRDefault="00E3336F">
            <w:pPr>
              <w:pStyle w:val="a3"/>
              <w:spacing w:before="0" w:beforeAutospacing="0" w:after="0" w:afterAutospacing="0"/>
              <w:jc w:val="center"/>
              <w:rPr>
                <w:sz w:val="20"/>
                <w:szCs w:val="20"/>
              </w:rPr>
            </w:pPr>
            <w:r>
              <w:rPr>
                <w:sz w:val="20"/>
                <w:szCs w:val="20"/>
              </w:rPr>
              <w:t>(I.R.S. Employer Identification No.)</w:t>
            </w:r>
          </w:p>
        </w:tc>
      </w:tr>
    </w:tbl>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b/>
          <w:bCs/>
          <w:sz w:val="20"/>
          <w:szCs w:val="20"/>
          <w:u w:val="single"/>
        </w:rPr>
        <w:t>500 North Broadway, Suite 201, Jericho, NY 11753</w:t>
      </w:r>
    </w:p>
    <w:p w:rsidR="00000000" w:rsidRDefault="00E3336F">
      <w:pPr>
        <w:pStyle w:val="a3"/>
        <w:spacing w:before="0" w:beforeAutospacing="0" w:after="0" w:afterAutospacing="0"/>
        <w:jc w:val="center"/>
        <w:divId w:val="441996968"/>
        <w:rPr>
          <w:sz w:val="20"/>
          <w:szCs w:val="20"/>
        </w:rPr>
      </w:pPr>
      <w:r>
        <w:rPr>
          <w:sz w:val="20"/>
          <w:szCs w:val="20"/>
        </w:rPr>
        <w:t>(Address of principal executive offices) (Zip Code)</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jc w:val="center"/>
        <w:divId w:val="441996968"/>
        <w:rPr>
          <w:sz w:val="20"/>
          <w:szCs w:val="20"/>
        </w:rPr>
      </w:pPr>
      <w:r>
        <w:rPr>
          <w:b/>
          <w:bCs/>
          <w:sz w:val="20"/>
          <w:szCs w:val="20"/>
          <w:u w:val="single"/>
        </w:rPr>
        <w:t>(516) 869-9000</w:t>
      </w:r>
    </w:p>
    <w:p w:rsidR="00000000" w:rsidRDefault="00E3336F">
      <w:pPr>
        <w:pStyle w:val="a3"/>
        <w:spacing w:before="0" w:beforeAutospacing="0" w:after="0" w:afterAutospacing="0"/>
        <w:jc w:val="center"/>
        <w:divId w:val="441996968"/>
        <w:rPr>
          <w:sz w:val="20"/>
          <w:szCs w:val="20"/>
        </w:rPr>
      </w:pPr>
      <w:r>
        <w:rPr>
          <w:sz w:val="20"/>
          <w:szCs w:val="20"/>
        </w:rPr>
        <w:t>(Registrant’s telephone number, including area code)</w:t>
      </w:r>
    </w:p>
    <w:p w:rsidR="00000000" w:rsidRDefault="00E3336F">
      <w:pPr>
        <w:pStyle w:val="a3"/>
        <w:spacing w:before="0" w:beforeAutospacing="0" w:after="0" w:afterAutospacing="0"/>
        <w:jc w:val="center"/>
        <w:divId w:val="441996968"/>
        <w:rPr>
          <w:sz w:val="20"/>
          <w:szCs w:val="20"/>
        </w:rPr>
      </w:pPr>
      <w:r>
        <w:rPr>
          <w:b/>
          <w:bCs/>
          <w:sz w:val="20"/>
          <w:szCs w:val="20"/>
          <w:u w:val="single"/>
        </w:rPr>
        <w:t>N/A</w:t>
      </w:r>
    </w:p>
    <w:p w:rsidR="00000000" w:rsidRDefault="00E3336F">
      <w:pPr>
        <w:pStyle w:val="a3"/>
        <w:spacing w:before="0" w:beforeAutospacing="0" w:after="0" w:afterAutospacing="0"/>
        <w:jc w:val="center"/>
        <w:divId w:val="441996968"/>
        <w:rPr>
          <w:sz w:val="20"/>
          <w:szCs w:val="20"/>
        </w:rPr>
      </w:pPr>
      <w:r>
        <w:rPr>
          <w:sz w:val="20"/>
          <w:szCs w:val="20"/>
        </w:rPr>
        <w:t>(Former name, former address and former fiscal year, if changed since last report)</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divId w:val="441996968"/>
        <w:rPr>
          <w:sz w:val="20"/>
          <w:szCs w:val="20"/>
        </w:rPr>
      </w:pPr>
      <w:r>
        <w:rPr>
          <w:sz w:val="20"/>
          <w:szCs w:val="20"/>
        </w:rPr>
        <w:t>Securities registered pursuant to Section 12(</w:t>
      </w:r>
      <w:r>
        <w:rPr>
          <w:sz w:val="20"/>
          <w:szCs w:val="20"/>
        </w:rPr>
        <w:t>b) of the Act:</w:t>
      </w:r>
    </w:p>
    <w:tbl>
      <w:tblPr>
        <w:tblW w:w="4750" w:type="pct"/>
        <w:tblCellSpacing w:w="0" w:type="dxa"/>
        <w:tblInd w:w="360" w:type="dxa"/>
        <w:tblCellMar>
          <w:left w:w="0" w:type="dxa"/>
          <w:right w:w="0" w:type="dxa"/>
        </w:tblCellMar>
        <w:tblLook w:val="04A0" w:firstRow="1" w:lastRow="0" w:firstColumn="1" w:lastColumn="0" w:noHBand="0" w:noVBand="1"/>
      </w:tblPr>
      <w:tblGrid>
        <w:gridCol w:w="5208"/>
        <w:gridCol w:w="947"/>
        <w:gridCol w:w="1736"/>
      </w:tblGrid>
      <w:tr w:rsidR="00000000">
        <w:trPr>
          <w:divId w:val="441996968"/>
          <w:tblCellSpacing w:w="0" w:type="dxa"/>
        </w:trPr>
        <w:tc>
          <w:tcPr>
            <w:tcW w:w="3300" w:type="pct"/>
            <w:vAlign w:val="center"/>
            <w:hideMark/>
          </w:tcPr>
          <w:p w:rsidR="00000000" w:rsidRDefault="00E3336F">
            <w:pPr>
              <w:pStyle w:val="a3"/>
              <w:spacing w:before="0" w:beforeAutospacing="0" w:after="0" w:afterAutospacing="0"/>
              <w:rPr>
                <w:sz w:val="20"/>
                <w:szCs w:val="20"/>
              </w:rPr>
            </w:pPr>
            <w:r>
              <w:rPr>
                <w:sz w:val="20"/>
                <w:szCs w:val="20"/>
                <w:u w:val="single"/>
              </w:rPr>
              <w:t>Title of each class</w:t>
            </w:r>
          </w:p>
        </w:tc>
        <w:tc>
          <w:tcPr>
            <w:tcW w:w="600" w:type="pct"/>
            <w:vAlign w:val="center"/>
            <w:hideMark/>
          </w:tcPr>
          <w:p w:rsidR="00000000" w:rsidRDefault="00E3336F">
            <w:pPr>
              <w:pStyle w:val="a3"/>
              <w:spacing w:before="0" w:beforeAutospacing="0" w:after="0" w:afterAutospacing="0"/>
              <w:jc w:val="center"/>
              <w:rPr>
                <w:sz w:val="20"/>
                <w:szCs w:val="20"/>
              </w:rPr>
            </w:pPr>
            <w:r>
              <w:rPr>
                <w:sz w:val="20"/>
                <w:szCs w:val="20"/>
                <w:u w:val="single"/>
              </w:rPr>
              <w:t>Trading</w:t>
            </w:r>
          </w:p>
          <w:p w:rsidR="00000000" w:rsidRDefault="00E3336F">
            <w:pPr>
              <w:pStyle w:val="a3"/>
              <w:spacing w:before="0" w:beforeAutospacing="0" w:after="0" w:afterAutospacing="0"/>
              <w:jc w:val="center"/>
              <w:rPr>
                <w:sz w:val="20"/>
                <w:szCs w:val="20"/>
              </w:rPr>
            </w:pPr>
            <w:r>
              <w:rPr>
                <w:sz w:val="20"/>
                <w:szCs w:val="20"/>
                <w:u w:val="single"/>
              </w:rPr>
              <w:t>Symbol(s)</w:t>
            </w:r>
          </w:p>
        </w:tc>
        <w:tc>
          <w:tcPr>
            <w:tcW w:w="1100" w:type="pct"/>
            <w:vAlign w:val="center"/>
            <w:hideMark/>
          </w:tcPr>
          <w:p w:rsidR="00000000" w:rsidRDefault="00E3336F">
            <w:pPr>
              <w:pStyle w:val="a3"/>
              <w:spacing w:before="0" w:beforeAutospacing="0" w:after="0" w:afterAutospacing="0"/>
              <w:rPr>
                <w:sz w:val="20"/>
                <w:szCs w:val="20"/>
              </w:rPr>
            </w:pPr>
            <w:r>
              <w:rPr>
                <w:sz w:val="20"/>
                <w:szCs w:val="20"/>
                <w:u w:val="single"/>
              </w:rPr>
              <w:t xml:space="preserve">Name of each exchange on </w:t>
            </w:r>
          </w:p>
          <w:p w:rsidR="00000000" w:rsidRDefault="00E3336F">
            <w:pPr>
              <w:pStyle w:val="a3"/>
              <w:spacing w:before="0" w:beforeAutospacing="0" w:after="0" w:afterAutospacing="0"/>
              <w:rPr>
                <w:sz w:val="20"/>
                <w:szCs w:val="20"/>
              </w:rPr>
            </w:pPr>
            <w:r>
              <w:rPr>
                <w:sz w:val="20"/>
                <w:szCs w:val="20"/>
                <w:u w:val="single"/>
              </w:rPr>
              <w:t>which registered</w:t>
            </w:r>
          </w:p>
        </w:tc>
      </w:tr>
      <w:tr w:rsidR="00000000">
        <w:trPr>
          <w:divId w:val="441996968"/>
          <w:tblCellSpacing w:w="0" w:type="dxa"/>
        </w:trPr>
        <w:tc>
          <w:tcPr>
            <w:tcW w:w="3300" w:type="pct"/>
            <w:shd w:val="clear" w:color="auto" w:fill="CCEEFF"/>
            <w:vAlign w:val="center"/>
            <w:hideMark/>
          </w:tcPr>
          <w:p w:rsidR="00000000" w:rsidRDefault="00E3336F">
            <w:pPr>
              <w:pStyle w:val="a3"/>
              <w:spacing w:before="0" w:beforeAutospacing="0" w:after="0" w:afterAutospacing="0"/>
              <w:rPr>
                <w:sz w:val="20"/>
                <w:szCs w:val="20"/>
              </w:rPr>
            </w:pPr>
            <w:r>
              <w:rPr>
                <w:sz w:val="20"/>
                <w:szCs w:val="20"/>
              </w:rPr>
              <w:t>Common Stock, par value $.01 per share.</w:t>
            </w:r>
          </w:p>
        </w:tc>
        <w:tc>
          <w:tcPr>
            <w:tcW w:w="600" w:type="pct"/>
            <w:shd w:val="clear" w:color="auto" w:fill="CCEEFF"/>
            <w:vAlign w:val="center"/>
            <w:hideMark/>
          </w:tcPr>
          <w:p w:rsidR="00000000" w:rsidRDefault="00E3336F">
            <w:pPr>
              <w:pStyle w:val="a3"/>
              <w:spacing w:before="0" w:beforeAutospacing="0" w:after="0" w:afterAutospacing="0"/>
              <w:jc w:val="center"/>
              <w:rPr>
                <w:sz w:val="20"/>
                <w:szCs w:val="20"/>
              </w:rPr>
            </w:pPr>
            <w:r>
              <w:rPr>
                <w:sz w:val="20"/>
                <w:szCs w:val="20"/>
              </w:rPr>
              <w:t>KIM</w:t>
            </w:r>
          </w:p>
        </w:tc>
        <w:tc>
          <w:tcPr>
            <w:tcW w:w="1100" w:type="pct"/>
            <w:shd w:val="clear" w:color="auto" w:fill="CCEEFF"/>
            <w:vAlign w:val="center"/>
            <w:hideMark/>
          </w:tcPr>
          <w:p w:rsidR="00000000" w:rsidRDefault="00E3336F">
            <w:pPr>
              <w:pStyle w:val="a3"/>
              <w:spacing w:before="0" w:beforeAutospacing="0" w:after="0" w:afterAutospacing="0"/>
              <w:rPr>
                <w:sz w:val="20"/>
                <w:szCs w:val="20"/>
              </w:rPr>
            </w:pPr>
            <w:r>
              <w:rPr>
                <w:sz w:val="20"/>
                <w:szCs w:val="20"/>
              </w:rPr>
              <w:t>New York Stock Exchange</w:t>
            </w:r>
          </w:p>
        </w:tc>
      </w:tr>
      <w:tr w:rsidR="00000000">
        <w:trPr>
          <w:divId w:val="441996968"/>
          <w:tblCellSpacing w:w="0" w:type="dxa"/>
        </w:trPr>
        <w:tc>
          <w:tcPr>
            <w:tcW w:w="3300" w:type="pct"/>
            <w:shd w:val="clear" w:color="auto" w:fill="FFFFFF"/>
            <w:vAlign w:val="center"/>
            <w:hideMark/>
          </w:tcPr>
          <w:p w:rsidR="00000000" w:rsidRDefault="00E3336F">
            <w:pPr>
              <w:pStyle w:val="a3"/>
              <w:spacing w:before="0" w:beforeAutospacing="0" w:after="0" w:afterAutospacing="0"/>
              <w:rPr>
                <w:sz w:val="20"/>
                <w:szCs w:val="20"/>
              </w:rPr>
            </w:pPr>
            <w:r>
              <w:rPr>
                <w:sz w:val="20"/>
                <w:szCs w:val="20"/>
              </w:rPr>
              <w:t>Depositary Shares, each representing one-thousandth of a share of 5.125% Class L Cumulative Redeemable, Preferred Stock, $1.00 par value per share.</w:t>
            </w:r>
          </w:p>
        </w:tc>
        <w:tc>
          <w:tcPr>
            <w:tcW w:w="600" w:type="pct"/>
            <w:shd w:val="clear" w:color="auto" w:fill="FFFFFF"/>
            <w:vAlign w:val="center"/>
            <w:hideMark/>
          </w:tcPr>
          <w:p w:rsidR="00000000" w:rsidRDefault="00E3336F">
            <w:pPr>
              <w:pStyle w:val="a3"/>
              <w:spacing w:before="0" w:beforeAutospacing="0" w:after="0" w:afterAutospacing="0"/>
              <w:jc w:val="center"/>
              <w:rPr>
                <w:sz w:val="20"/>
                <w:szCs w:val="20"/>
              </w:rPr>
            </w:pPr>
            <w:r>
              <w:rPr>
                <w:sz w:val="20"/>
                <w:szCs w:val="20"/>
              </w:rPr>
              <w:t>KIMprL</w:t>
            </w:r>
          </w:p>
        </w:tc>
        <w:tc>
          <w:tcPr>
            <w:tcW w:w="1100" w:type="pct"/>
            <w:shd w:val="clear" w:color="auto" w:fill="FFFFFF"/>
            <w:vAlign w:val="center"/>
            <w:hideMark/>
          </w:tcPr>
          <w:p w:rsidR="00000000" w:rsidRDefault="00E3336F">
            <w:pPr>
              <w:pStyle w:val="a3"/>
              <w:spacing w:before="0" w:beforeAutospacing="0" w:after="0" w:afterAutospacing="0"/>
              <w:rPr>
                <w:sz w:val="20"/>
                <w:szCs w:val="20"/>
              </w:rPr>
            </w:pPr>
            <w:r>
              <w:rPr>
                <w:sz w:val="20"/>
                <w:szCs w:val="20"/>
              </w:rPr>
              <w:t>New York Stock Exchange</w:t>
            </w:r>
          </w:p>
        </w:tc>
      </w:tr>
      <w:tr w:rsidR="00000000">
        <w:trPr>
          <w:divId w:val="441996968"/>
          <w:tblCellSpacing w:w="0" w:type="dxa"/>
        </w:trPr>
        <w:tc>
          <w:tcPr>
            <w:tcW w:w="3300" w:type="pct"/>
            <w:shd w:val="clear" w:color="auto" w:fill="CCEEFF"/>
            <w:vAlign w:val="center"/>
            <w:hideMark/>
          </w:tcPr>
          <w:p w:rsidR="00000000" w:rsidRDefault="00E3336F">
            <w:pPr>
              <w:pStyle w:val="a3"/>
              <w:spacing w:before="0" w:beforeAutospacing="0" w:after="0" w:afterAutospacing="0"/>
              <w:rPr>
                <w:sz w:val="20"/>
                <w:szCs w:val="20"/>
              </w:rPr>
            </w:pPr>
            <w:r>
              <w:rPr>
                <w:sz w:val="20"/>
                <w:szCs w:val="20"/>
              </w:rPr>
              <w:t>Depositary Shares, each representing one-thousandth of a share of 5.250% Cla</w:t>
            </w:r>
            <w:r>
              <w:rPr>
                <w:sz w:val="20"/>
                <w:szCs w:val="20"/>
              </w:rPr>
              <w:t>ss M Cumulative Redeemable, Preferred Stock, $1.00 par value per share.</w:t>
            </w:r>
          </w:p>
        </w:tc>
        <w:tc>
          <w:tcPr>
            <w:tcW w:w="600" w:type="pct"/>
            <w:shd w:val="clear" w:color="auto" w:fill="CCEEFF"/>
            <w:vAlign w:val="center"/>
            <w:hideMark/>
          </w:tcPr>
          <w:p w:rsidR="00000000" w:rsidRDefault="00E3336F">
            <w:pPr>
              <w:pStyle w:val="a3"/>
              <w:spacing w:before="0" w:beforeAutospacing="0" w:after="0" w:afterAutospacing="0"/>
              <w:jc w:val="center"/>
              <w:rPr>
                <w:sz w:val="20"/>
                <w:szCs w:val="20"/>
              </w:rPr>
            </w:pPr>
            <w:r>
              <w:rPr>
                <w:sz w:val="20"/>
                <w:szCs w:val="20"/>
              </w:rPr>
              <w:t>KIMprM</w:t>
            </w:r>
          </w:p>
        </w:tc>
        <w:tc>
          <w:tcPr>
            <w:tcW w:w="1100" w:type="pct"/>
            <w:shd w:val="clear" w:color="auto" w:fill="CCEEFF"/>
            <w:vAlign w:val="center"/>
            <w:hideMark/>
          </w:tcPr>
          <w:p w:rsidR="00000000" w:rsidRDefault="00E3336F">
            <w:pPr>
              <w:pStyle w:val="a3"/>
              <w:spacing w:before="0" w:beforeAutospacing="0" w:after="0" w:afterAutospacing="0"/>
              <w:rPr>
                <w:sz w:val="20"/>
                <w:szCs w:val="20"/>
              </w:rPr>
            </w:pPr>
            <w:r>
              <w:rPr>
                <w:sz w:val="20"/>
                <w:szCs w:val="20"/>
              </w:rPr>
              <w:t>New York Stock Exchange</w:t>
            </w:r>
          </w:p>
        </w:tc>
      </w:tr>
    </w:tbl>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ind w:firstLine="360"/>
        <w:divId w:val="441996968"/>
        <w:rPr>
          <w:sz w:val="20"/>
          <w:szCs w:val="20"/>
        </w:rPr>
      </w:pPr>
      <w:r>
        <w:rPr>
          <w:sz w:val="20"/>
          <w:szCs w:val="20"/>
        </w:rPr>
        <w:t xml:space="preserve">Indicate by check mark whether the registrant (1) has filed all reports required to be filed by Section 13 or 15(d) of the Securities Exchange Act of </w:t>
      </w:r>
      <w:r>
        <w:rPr>
          <w:sz w:val="20"/>
          <w:szCs w:val="20"/>
        </w:rPr>
        <w:t xml:space="preserve">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ind w:firstLine="360"/>
        <w:divId w:val="441996968"/>
        <w:rPr>
          <w:sz w:val="20"/>
          <w:szCs w:val="20"/>
        </w:rPr>
      </w:pPr>
      <w:r>
        <w:rPr>
          <w:sz w:val="20"/>
          <w:szCs w:val="20"/>
        </w:rPr>
        <w:t>Indicate by check mark whether the registran</w:t>
      </w:r>
      <w:r>
        <w:rPr>
          <w:sz w:val="20"/>
          <w:szCs w:val="20"/>
        </w:rPr>
        <w:t xml:space="preserve">t has submitted electronically, every Interactive Data File required to be submitted pursuant to Rule 405 of Regulation S-T (§232.405 of this chapter) during </w:t>
      </w:r>
      <w:r>
        <w:rPr>
          <w:sz w:val="20"/>
          <w:szCs w:val="20"/>
        </w:rPr>
        <w:lastRenderedPageBreak/>
        <w:t>the preceding 12 months (or for such shorter period that the registrant was required to submit suc</w:t>
      </w:r>
      <w:r>
        <w:rPr>
          <w:sz w:val="20"/>
          <w:szCs w:val="20"/>
        </w:rPr>
        <w:t xml:space="preserve">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ind w:firstLine="360"/>
        <w:divId w:val="441996968"/>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accelerated fil</w:t>
      </w:r>
      <w:r>
        <w:rPr>
          <w:sz w:val="20"/>
          <w:szCs w:val="20"/>
        </w:rPr>
        <w:t>er,” “accelerated filer,” “smaller reporting company,” and “emerging growth company” in Rule 12-b-2 of the Exchange Act.</w:t>
      </w:r>
    </w:p>
    <w:p w:rsidR="00000000" w:rsidRDefault="00E3336F">
      <w:pPr>
        <w:pStyle w:val="a3"/>
        <w:spacing w:before="0" w:beforeAutospacing="0" w:after="0" w:afterAutospacing="0"/>
        <w:divId w:val="44199696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203"/>
        <w:gridCol w:w="988"/>
        <w:gridCol w:w="2098"/>
        <w:gridCol w:w="226"/>
        <w:gridCol w:w="711"/>
        <w:gridCol w:w="1716"/>
        <w:gridCol w:w="364"/>
      </w:tblGrid>
      <w:tr w:rsidR="00000000">
        <w:trPr>
          <w:divId w:val="441996968"/>
          <w:tblCellSpacing w:w="0" w:type="dxa"/>
        </w:trPr>
        <w:tc>
          <w:tcPr>
            <w:tcW w:w="635" w:type="pct"/>
            <w:vAlign w:val="bottom"/>
            <w:hideMark/>
          </w:tcPr>
          <w:p w:rsidR="00000000" w:rsidRDefault="00E3336F">
            <w:pPr>
              <w:pStyle w:val="a3"/>
              <w:spacing w:before="0" w:beforeAutospacing="0" w:after="0" w:afterAutospacing="0"/>
              <w:ind w:left="180"/>
              <w:rPr>
                <w:sz w:val="20"/>
                <w:szCs w:val="20"/>
              </w:rPr>
            </w:pPr>
            <w:r>
              <w:rPr>
                <w:sz w:val="20"/>
                <w:szCs w:val="20"/>
              </w:rPr>
              <w:t>Large accelerated filer</w:t>
            </w:r>
          </w:p>
        </w:tc>
        <w:tc>
          <w:tcPr>
            <w:tcW w:w="285" w:type="pct"/>
            <w:vAlign w:val="bottom"/>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E3336F">
            <w:pPr>
              <w:pStyle w:val="a3"/>
              <w:spacing w:before="0" w:beforeAutospacing="0" w:after="0" w:afterAutospacing="0"/>
              <w:rPr>
                <w:sz w:val="20"/>
                <w:szCs w:val="20"/>
              </w:rPr>
            </w:pPr>
            <w:r>
              <w:rPr>
                <w:sz w:val="20"/>
                <w:szCs w:val="20"/>
              </w:rPr>
              <w:t>Accelerated filer</w:t>
            </w:r>
          </w:p>
        </w:tc>
        <w:tc>
          <w:tcPr>
            <w:tcW w:w="65" w:type="pct"/>
            <w:vAlign w:val="bottom"/>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E3336F">
            <w:pPr>
              <w:rPr>
                <w:rFonts w:eastAsia="Times New Roman"/>
                <w:sz w:val="20"/>
                <w:szCs w:val="20"/>
              </w:rPr>
            </w:pPr>
            <w:r>
              <w:rPr>
                <w:rFonts w:eastAsia="Times New Roman"/>
                <w:sz w:val="20"/>
                <w:szCs w:val="20"/>
              </w:rPr>
              <w:t> </w:t>
            </w:r>
          </w:p>
        </w:tc>
        <w:tc>
          <w:tcPr>
            <w:tcW w:w="495" w:type="pct"/>
            <w:hideMark/>
          </w:tcPr>
          <w:p w:rsidR="00000000" w:rsidRDefault="00E3336F">
            <w:pPr>
              <w:pStyle w:val="a3"/>
              <w:spacing w:before="0" w:beforeAutospacing="0" w:after="0" w:afterAutospacing="0"/>
              <w:rPr>
                <w:sz w:val="20"/>
                <w:szCs w:val="20"/>
              </w:rPr>
            </w:pPr>
            <w:r>
              <w:rPr>
                <w:sz w:val="20"/>
                <w:szCs w:val="20"/>
              </w:rPr>
              <w:t>Non-accelerated filer</w:t>
            </w:r>
          </w:p>
        </w:tc>
        <w:tc>
          <w:tcPr>
            <w:tcW w:w="105" w:type="pct"/>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441996968"/>
          <w:tblCellSpacing w:w="0" w:type="dxa"/>
        </w:trPr>
        <w:tc>
          <w:tcPr>
            <w:tcW w:w="635" w:type="pct"/>
            <w:vAlign w:val="bottom"/>
            <w:hideMark/>
          </w:tcPr>
          <w:p w:rsidR="00000000" w:rsidRDefault="00E3336F">
            <w:pPr>
              <w:pStyle w:val="a3"/>
              <w:spacing w:before="0" w:beforeAutospacing="0" w:after="0" w:afterAutospacing="0"/>
              <w:ind w:left="180"/>
              <w:rPr>
                <w:sz w:val="20"/>
                <w:szCs w:val="20"/>
              </w:rPr>
            </w:pPr>
            <w:r>
              <w:rPr>
                <w:sz w:val="20"/>
                <w:szCs w:val="20"/>
              </w:rPr>
              <w:t>Smaller reporting company</w:t>
            </w:r>
          </w:p>
        </w:tc>
        <w:tc>
          <w:tcPr>
            <w:tcW w:w="285" w:type="pct"/>
            <w:vAlign w:val="bottom"/>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605" w:type="pct"/>
            <w:vAlign w:val="bottom"/>
            <w:hideMark/>
          </w:tcPr>
          <w:p w:rsidR="00000000" w:rsidRDefault="00E3336F">
            <w:pPr>
              <w:pStyle w:val="a3"/>
              <w:spacing w:before="0" w:beforeAutospacing="0" w:after="0" w:afterAutospacing="0"/>
              <w:rPr>
                <w:sz w:val="20"/>
                <w:szCs w:val="20"/>
              </w:rPr>
            </w:pPr>
            <w:r>
              <w:rPr>
                <w:sz w:val="20"/>
                <w:szCs w:val="20"/>
              </w:rPr>
              <w:t>Emerging growth company</w:t>
            </w:r>
          </w:p>
        </w:tc>
        <w:tc>
          <w:tcPr>
            <w:tcW w:w="65" w:type="pct"/>
            <w:vAlign w:val="bottom"/>
            <w:hideMark/>
          </w:tcPr>
          <w:p w:rsidR="00000000" w:rsidRDefault="00E3336F">
            <w:pPr>
              <w:pStyle w:val="a3"/>
              <w:spacing w:before="0" w:beforeAutospacing="0" w:after="0" w:afterAutospacing="0"/>
              <w:rPr>
                <w:sz w:val="20"/>
                <w:szCs w:val="20"/>
              </w:rPr>
            </w:pPr>
            <w:r>
              <w:rPr>
                <w:rFonts w:ascii="Segoe UI Symbol" w:hAnsi="Segoe UI Symbol" w:cs="Segoe UI Symbol"/>
                <w:sz w:val="20"/>
                <w:szCs w:val="20"/>
              </w:rPr>
              <w:t>☐</w:t>
            </w:r>
          </w:p>
        </w:tc>
        <w:tc>
          <w:tcPr>
            <w:tcW w:w="205" w:type="pct"/>
            <w:hideMark/>
          </w:tcPr>
          <w:p w:rsidR="00000000" w:rsidRDefault="00E3336F">
            <w:pPr>
              <w:rPr>
                <w:rFonts w:eastAsia="Times New Roman"/>
                <w:sz w:val="20"/>
                <w:szCs w:val="20"/>
              </w:rPr>
            </w:pPr>
            <w:r>
              <w:rPr>
                <w:rFonts w:eastAsia="Times New Roman"/>
                <w:sz w:val="20"/>
                <w:szCs w:val="20"/>
              </w:rPr>
              <w:t> </w:t>
            </w:r>
          </w:p>
        </w:tc>
        <w:tc>
          <w:tcPr>
            <w:tcW w:w="495" w:type="pct"/>
            <w:hideMark/>
          </w:tcPr>
          <w:p w:rsidR="00000000" w:rsidRDefault="00E3336F">
            <w:pPr>
              <w:rPr>
                <w:rFonts w:eastAsia="Times New Roman"/>
                <w:sz w:val="20"/>
                <w:szCs w:val="20"/>
              </w:rPr>
            </w:pPr>
            <w:r>
              <w:rPr>
                <w:rFonts w:eastAsia="Times New Roman"/>
                <w:sz w:val="20"/>
                <w:szCs w:val="20"/>
              </w:rPr>
              <w:t> </w:t>
            </w:r>
          </w:p>
        </w:tc>
        <w:tc>
          <w:tcPr>
            <w:tcW w:w="105" w:type="pct"/>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ind w:firstLine="360"/>
        <w:divId w:val="441996968"/>
        <w:rPr>
          <w:sz w:val="20"/>
          <w:szCs w:val="20"/>
        </w:rPr>
      </w:pPr>
      <w:r>
        <w:rPr>
          <w:sz w:val="20"/>
          <w:szCs w:val="20"/>
        </w:rPr>
        <w:t> </w:t>
      </w:r>
    </w:p>
    <w:p w:rsidR="00000000" w:rsidRDefault="00E3336F">
      <w:pPr>
        <w:pStyle w:val="a3"/>
        <w:spacing w:before="0" w:beforeAutospacing="0" w:after="0" w:afterAutospacing="0"/>
        <w:ind w:firstLine="360"/>
        <w:divId w:val="441996968"/>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w:t>
      </w:r>
      <w:r>
        <w:rPr>
          <w:sz w:val="20"/>
          <w:szCs w:val="20"/>
        </w:rPr>
        <w:t xml:space="preserve">on 13(a) of the Exchange Act. </w:t>
      </w:r>
      <w:r>
        <w:rPr>
          <w:rFonts w:ascii="Segoe UI Symbol" w:hAnsi="Segoe UI Symbol" w:cs="Segoe UI Symbol"/>
          <w:sz w:val="20"/>
          <w:szCs w:val="20"/>
        </w:rPr>
        <w:t>☐</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ind w:firstLine="360"/>
        <w:divId w:val="441996968"/>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pStyle w:val="a3"/>
        <w:spacing w:before="0" w:beforeAutospacing="0" w:after="0" w:afterAutospacing="0"/>
        <w:ind w:firstLine="360"/>
        <w:jc w:val="center"/>
        <w:divId w:val="441996968"/>
        <w:rPr>
          <w:sz w:val="20"/>
          <w:szCs w:val="20"/>
        </w:rPr>
      </w:pPr>
      <w:r>
        <w:rPr>
          <w:sz w:val="20"/>
          <w:szCs w:val="20"/>
        </w:rPr>
        <w:t xml:space="preserve">As of October 19, 2022, the registrant had 618,460,829 </w:t>
      </w:r>
      <w:r>
        <w:rPr>
          <w:sz w:val="20"/>
          <w:szCs w:val="20"/>
        </w:rPr>
        <w:t>shares of common stock outstanding.</w:t>
      </w:r>
    </w:p>
    <w:p w:rsidR="00000000" w:rsidRDefault="00E3336F">
      <w:pPr>
        <w:pStyle w:val="a3"/>
        <w:spacing w:before="0" w:beforeAutospacing="0" w:after="0" w:afterAutospacing="0"/>
        <w:divId w:val="441996968"/>
        <w:rPr>
          <w:sz w:val="20"/>
          <w:szCs w:val="20"/>
        </w:rPr>
      </w:pPr>
      <w:r>
        <w:rPr>
          <w:sz w:val="20"/>
          <w:szCs w:val="20"/>
        </w:rPr>
        <w:t> </w:t>
      </w:r>
    </w:p>
    <w:p w:rsidR="00000000" w:rsidRDefault="00E3336F">
      <w:pPr>
        <w:spacing w:before="60" w:after="60"/>
        <w:divId w:val="441996968"/>
        <w:rPr>
          <w:rFonts w:eastAsia="Times New Roman"/>
          <w:sz w:val="20"/>
          <w:szCs w:val="20"/>
        </w:rPr>
      </w:pPr>
      <w:r>
        <w:rPr>
          <w:rFonts w:eastAsia="Times New Roman"/>
          <w:sz w:val="20"/>
          <w:szCs w:val="20"/>
        </w:rPr>
        <w:pict>
          <v:rect id="_x0000_i1027" style="width:415.3pt;height:.75pt" o:hralign="center" o:hrstd="t" o:hrnoshade="t" o:hr="t" fillcolor="black" stroked="f"/>
        </w:pict>
      </w:r>
    </w:p>
    <w:p w:rsidR="00000000" w:rsidRDefault="00E3336F">
      <w:pPr>
        <w:spacing w:after="60"/>
        <w:rPr>
          <w:rFonts w:eastAsia="Times New Roman"/>
          <w:sz w:val="20"/>
          <w:szCs w:val="20"/>
        </w:rPr>
      </w:pPr>
      <w:r>
        <w:rPr>
          <w:rFonts w:eastAsia="Times New Roman"/>
          <w:sz w:val="20"/>
          <w:szCs w:val="20"/>
        </w:rPr>
        <w:pict>
          <v:rect id="_x0000_i1028" style="width:415.3pt;height:2.25pt" o:hralign="center" o:hrstd="t" o:hrnoshade="t" o:hr="t" fillcolor="black" stroked="f"/>
        </w:pic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27554897"/>
        <w:rPr>
          <w:rFonts w:eastAsia="Times New Roman"/>
          <w:sz w:val="20"/>
          <w:szCs w:val="20"/>
        </w:rPr>
      </w:pPr>
      <w:r>
        <w:rPr>
          <w:rFonts w:eastAsia="Times New Roman"/>
          <w:sz w:val="20"/>
          <w:szCs w:val="20"/>
        </w:rPr>
        <w:t xml:space="preserve">  </w:t>
      </w:r>
    </w:p>
    <w:p w:rsidR="00000000" w:rsidRDefault="00E3336F">
      <w:pPr>
        <w:divId w:val="1434983644"/>
        <w:rPr>
          <w:rFonts w:eastAsia="Times New Roman"/>
          <w:sz w:val="20"/>
          <w:szCs w:val="20"/>
        </w:rPr>
      </w:pPr>
      <w:r>
        <w:rPr>
          <w:rFonts w:eastAsia="Times New Roman"/>
          <w:sz w:val="20"/>
          <w:szCs w:val="20"/>
        </w:rPr>
        <w:pict>
          <v:rect id="_x0000_i1029" style="width:415.3pt;height:1.5pt" o:hralign="center" o:hrstd="t" o:hrnoshade="t" o:hr="t" fillcolor="black" stroked="f"/>
        </w:pict>
      </w:r>
    </w:p>
    <w:p w:rsidR="00000000" w:rsidRDefault="00E3336F">
      <w:pPr>
        <w:divId w:val="38059324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divId w:val="1002855528"/>
        <w:rPr>
          <w:rFonts w:eastAsia="Times New Roman"/>
          <w:sz w:val="20"/>
          <w:szCs w:val="20"/>
        </w:rPr>
      </w:pPr>
      <w:r>
        <w:rPr>
          <w:rFonts w:eastAsia="Times New Roman"/>
          <w:sz w:val="20"/>
          <w:szCs w:val="20"/>
        </w:rPr>
        <w:t xml:space="preserve">  </w:t>
      </w:r>
    </w:p>
    <w:p w:rsidR="00000000" w:rsidRDefault="00E3336F">
      <w:pPr>
        <w:divId w:val="788860082"/>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divId w:val="218589353"/>
        <w:rPr>
          <w:sz w:val="20"/>
          <w:szCs w:val="20"/>
        </w:rPr>
      </w:pPr>
      <w:r>
        <w:rPr>
          <w:sz w:val="20"/>
          <w:szCs w:val="20"/>
        </w:rPr>
        <w:t>PART I - FINANCIAL INFORMATION</w:t>
      </w:r>
    </w:p>
    <w:p w:rsidR="00000000" w:rsidRDefault="00E3336F">
      <w:pPr>
        <w:pStyle w:val="a3"/>
        <w:spacing w:before="0" w:beforeAutospacing="0" w:after="0" w:afterAutospacing="0"/>
        <w:divId w:val="21858935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891"/>
        <w:gridCol w:w="415"/>
      </w:tblGrid>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part1" w:history="1">
              <w:r>
                <w:rPr>
                  <w:rStyle w:val="a4"/>
                  <w:sz w:val="20"/>
                  <w:szCs w:val="20"/>
                </w:rPr>
                <w:t>Item 1.  Financial Statements.</w:t>
              </w:r>
            </w:hyperlink>
          </w:p>
        </w:tc>
        <w:tc>
          <w:tcPr>
            <w:tcW w:w="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r>
              <w:rPr>
                <w:sz w:val="20"/>
                <w:szCs w:val="20"/>
              </w:rPr>
              <w:t> </w:t>
            </w:r>
          </w:p>
        </w:tc>
        <w:tc>
          <w:tcPr>
            <w:tcW w:w="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part1" w:history="1">
              <w:r>
                <w:rPr>
                  <w:rStyle w:val="a4"/>
                  <w:sz w:val="20"/>
                  <w:szCs w:val="20"/>
                </w:rPr>
                <w:t>Condensed Consolidated Financial Statements of Kimco Realty Corporation and Subsidiaries (Unaudited) -</w:t>
              </w:r>
            </w:hyperlink>
          </w:p>
        </w:tc>
        <w:tc>
          <w:tcPr>
            <w:tcW w:w="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r>
              <w:rPr>
                <w:sz w:val="20"/>
                <w:szCs w:val="20"/>
              </w:rPr>
              <w:t> </w:t>
            </w:r>
          </w:p>
        </w:tc>
        <w:tc>
          <w:tcPr>
            <w:tcW w:w="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ind w:left="720"/>
              <w:rPr>
                <w:sz w:val="20"/>
                <w:szCs w:val="20"/>
              </w:rPr>
            </w:pPr>
            <w:hyperlink w:anchor="part1" w:history="1">
              <w:r>
                <w:rPr>
                  <w:rStyle w:val="a4"/>
                  <w:sz w:val="20"/>
                  <w:szCs w:val="20"/>
                </w:rPr>
                <w:t>Condensed Consolidated Balance Sheets as of September 30, 2022 and December 31, 2021</w:t>
              </w:r>
            </w:hyperlink>
          </w:p>
        </w:tc>
        <w:tc>
          <w:tcPr>
            <w:tcW w:w="250" w:type="pct"/>
            <w:vAlign w:val="bottom"/>
            <w:hideMark/>
          </w:tcPr>
          <w:p w:rsidR="00000000" w:rsidRDefault="00E3336F">
            <w:pPr>
              <w:pStyle w:val="a3"/>
              <w:spacing w:before="0" w:beforeAutospacing="0" w:after="0" w:afterAutospacing="0"/>
              <w:jc w:val="center"/>
              <w:rPr>
                <w:sz w:val="20"/>
                <w:szCs w:val="20"/>
              </w:rPr>
            </w:pPr>
            <w:r>
              <w:rPr>
                <w:sz w:val="20"/>
                <w:szCs w:val="20"/>
              </w:rPr>
              <w:t>3</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r>
              <w:rPr>
                <w:sz w:val="20"/>
                <w:szCs w:val="20"/>
              </w:rPr>
              <w:t> </w:t>
            </w:r>
          </w:p>
        </w:tc>
        <w:tc>
          <w:tcPr>
            <w:tcW w:w="2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ind w:left="720"/>
              <w:rPr>
                <w:sz w:val="20"/>
                <w:szCs w:val="20"/>
              </w:rPr>
            </w:pPr>
            <w:hyperlink w:anchor="is" w:history="1">
              <w:r>
                <w:rPr>
                  <w:rStyle w:val="a4"/>
                  <w:sz w:val="20"/>
                  <w:szCs w:val="20"/>
                </w:rPr>
                <w:t>Condensed Consolidated Statements of Income for the Three and Nine Months Ended September 30, 2022 and 2021</w:t>
              </w:r>
            </w:hyperlink>
          </w:p>
        </w:tc>
        <w:tc>
          <w:tcPr>
            <w:tcW w:w="250" w:type="pct"/>
            <w:vAlign w:val="bottom"/>
            <w:hideMark/>
          </w:tcPr>
          <w:p w:rsidR="00000000" w:rsidRDefault="00E3336F">
            <w:pPr>
              <w:pStyle w:val="a3"/>
              <w:spacing w:before="0" w:beforeAutospacing="0" w:after="0" w:afterAutospacing="0"/>
              <w:jc w:val="center"/>
              <w:rPr>
                <w:sz w:val="20"/>
                <w:szCs w:val="20"/>
              </w:rPr>
            </w:pPr>
            <w:r>
              <w:rPr>
                <w:sz w:val="20"/>
                <w:szCs w:val="20"/>
              </w:rPr>
              <w:t>4</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ind w:left="720"/>
              <w:rPr>
                <w:sz w:val="20"/>
                <w:szCs w:val="20"/>
              </w:rPr>
            </w:pPr>
            <w:hyperlink w:anchor="ci" w:history="1">
              <w:r>
                <w:rPr>
                  <w:rStyle w:val="a4"/>
                  <w:sz w:val="20"/>
                  <w:szCs w:val="20"/>
                </w:rPr>
                <w:t>Condensed Consolidated Statements of Comprehensive Income for the Three and Nine Months Ended September 30, 2022 a</w:t>
              </w:r>
              <w:r>
                <w:rPr>
                  <w:rStyle w:val="a4"/>
                  <w:sz w:val="20"/>
                  <w:szCs w:val="20"/>
                </w:rPr>
                <w:t>nd 2021</w:t>
              </w:r>
            </w:hyperlink>
          </w:p>
        </w:tc>
        <w:tc>
          <w:tcPr>
            <w:tcW w:w="250" w:type="pct"/>
            <w:vAlign w:val="bottom"/>
            <w:hideMark/>
          </w:tcPr>
          <w:p w:rsidR="00000000" w:rsidRDefault="00E3336F">
            <w:pPr>
              <w:pStyle w:val="a3"/>
              <w:spacing w:before="0" w:beforeAutospacing="0" w:after="0" w:afterAutospacing="0"/>
              <w:jc w:val="center"/>
              <w:rPr>
                <w:sz w:val="20"/>
                <w:szCs w:val="20"/>
              </w:rPr>
            </w:pPr>
            <w:r>
              <w:rPr>
                <w:sz w:val="20"/>
                <w:szCs w:val="20"/>
              </w:rPr>
              <w:t>5</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ind w:left="720"/>
              <w:rPr>
                <w:sz w:val="20"/>
                <w:szCs w:val="20"/>
              </w:rPr>
            </w:pPr>
            <w:hyperlink w:anchor="es" w:history="1">
              <w:r>
                <w:rPr>
                  <w:rStyle w:val="a4"/>
                  <w:sz w:val="20"/>
                  <w:szCs w:val="20"/>
                </w:rPr>
                <w:t>Condensed Consolidated Statements of Changes in Equity for the Three and Nine Months Ended September 30, 2022 and 2021</w:t>
              </w:r>
            </w:hyperlink>
          </w:p>
        </w:tc>
        <w:tc>
          <w:tcPr>
            <w:tcW w:w="250" w:type="pct"/>
            <w:vAlign w:val="bottom"/>
            <w:hideMark/>
          </w:tcPr>
          <w:p w:rsidR="00000000" w:rsidRDefault="00E3336F">
            <w:pPr>
              <w:pStyle w:val="a3"/>
              <w:spacing w:before="0" w:beforeAutospacing="0" w:after="0" w:afterAutospacing="0"/>
              <w:jc w:val="center"/>
              <w:rPr>
                <w:sz w:val="20"/>
                <w:szCs w:val="20"/>
              </w:rPr>
            </w:pPr>
            <w:r>
              <w:rPr>
                <w:sz w:val="20"/>
                <w:szCs w:val="20"/>
              </w:rPr>
              <w:t>6</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ind w:left="720"/>
              <w:rPr>
                <w:sz w:val="20"/>
                <w:szCs w:val="20"/>
              </w:rPr>
            </w:pPr>
            <w:hyperlink w:anchor="cf" w:history="1">
              <w:r>
                <w:rPr>
                  <w:rStyle w:val="a4"/>
                  <w:sz w:val="20"/>
                  <w:szCs w:val="20"/>
                </w:rPr>
                <w:t>Condensed Consolidated Statements of Cash Flows for the Nine Months Ended September 30, 2022 and 2021</w:t>
              </w:r>
            </w:hyperlink>
          </w:p>
        </w:tc>
        <w:tc>
          <w:tcPr>
            <w:tcW w:w="250" w:type="pct"/>
            <w:vAlign w:val="bottom"/>
            <w:hideMark/>
          </w:tcPr>
          <w:p w:rsidR="00000000" w:rsidRDefault="00E3336F">
            <w:pPr>
              <w:pStyle w:val="a3"/>
              <w:spacing w:before="0" w:beforeAutospacing="0" w:after="0" w:afterAutospacing="0"/>
              <w:jc w:val="center"/>
              <w:rPr>
                <w:sz w:val="20"/>
                <w:szCs w:val="20"/>
              </w:rPr>
            </w:pPr>
            <w:r>
              <w:rPr>
                <w:sz w:val="20"/>
                <w:szCs w:val="20"/>
              </w:rPr>
              <w:t>8</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jc w:val="cente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hideMark/>
          </w:tcPr>
          <w:p w:rsidR="00000000" w:rsidRDefault="00E3336F">
            <w:pPr>
              <w:jc w:val="center"/>
              <w:rPr>
                <w:rFonts w:eastAsia="Times New Roman"/>
                <w:sz w:val="20"/>
                <w:szCs w:val="20"/>
              </w:rPr>
            </w:pPr>
            <w:r>
              <w:rPr>
                <w:rFonts w:eastAsia="Times New Roman"/>
                <w:sz w:val="20"/>
                <w:szCs w:val="20"/>
              </w:rPr>
              <w:t>9</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jc w:val="cente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mda" w:history="1">
              <w:r>
                <w:rPr>
                  <w:rStyle w:val="a4"/>
                  <w:sz w:val="20"/>
                  <w:szCs w:val="20"/>
                </w:rPr>
                <w:t>Item 2.  Management's Discussion and Analysis of Financial Condition and Results of Operations.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24</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qqd" w:history="1">
              <w:r>
                <w:rPr>
                  <w:rStyle w:val="a4"/>
                  <w:sz w:val="20"/>
                  <w:szCs w:val="20"/>
                </w:rPr>
                <w:t>Item 3.  Quantitative and Qualitative Disclosures About Market Risk.</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37</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cp" w:history="1">
              <w:r>
                <w:rPr>
                  <w:rStyle w:val="a4"/>
                  <w:sz w:val="20"/>
                  <w:szCs w:val="20"/>
                </w:rPr>
                <w:t>Item 4.  Controls and Procedures.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37</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jc w:val="center"/>
              <w:rPr>
                <w:sz w:val="20"/>
                <w:szCs w:val="20"/>
              </w:rPr>
            </w:pPr>
            <w:hyperlink w:anchor="part2" w:history="1">
              <w:r>
                <w:rPr>
                  <w:rStyle w:val="a4"/>
                  <w:sz w:val="20"/>
                  <w:szCs w:val="20"/>
                </w:rPr>
                <w:t>PART II - OTHER INFORMATION</w:t>
              </w:r>
            </w:hyperlink>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lp" w:history="1">
              <w:r>
                <w:rPr>
                  <w:rStyle w:val="a4"/>
                  <w:sz w:val="20"/>
                  <w:szCs w:val="20"/>
                </w:rPr>
                <w:t>Item 1.  Legal Proceedings.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38</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rf" w:history="1">
              <w:r>
                <w:rPr>
                  <w:rStyle w:val="a4"/>
                  <w:sz w:val="20"/>
                  <w:szCs w:val="20"/>
                </w:rPr>
                <w:t>Item 1A.  Risk Factors.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38</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uses" w:history="1">
              <w:r>
                <w:rPr>
                  <w:rStyle w:val="a4"/>
                  <w:sz w:val="20"/>
                  <w:szCs w:val="20"/>
                </w:rPr>
                <w:t>Item 2.  Unregistered Sales of Equity Securities and Use of Proceeds.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38</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dss" w:history="1">
              <w:r>
                <w:rPr>
                  <w:rStyle w:val="a4"/>
                  <w:sz w:val="20"/>
                  <w:szCs w:val="20"/>
                </w:rPr>
                <w:t>Item</w:t>
              </w:r>
              <w:r>
                <w:rPr>
                  <w:rStyle w:val="a4"/>
                  <w:sz w:val="20"/>
                  <w:szCs w:val="20"/>
                </w:rPr>
                <w:t xml:space="preserve"> 3.  Defaults Upon Senior Securities.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38</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msd" w:history="1">
              <w:r>
                <w:rPr>
                  <w:rStyle w:val="a4"/>
                  <w:sz w:val="20"/>
                  <w:szCs w:val="20"/>
                </w:rPr>
                <w:t>Item 4.  Mine Safety Disclosures.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39</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oi" w:history="1">
              <w:r>
                <w:rPr>
                  <w:rStyle w:val="a4"/>
                  <w:sz w:val="20"/>
                  <w:szCs w:val="20"/>
                </w:rPr>
                <w:t>Item 5.  Other Information.</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39</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ex" w:history="1">
              <w:r>
                <w:rPr>
                  <w:rStyle w:val="a4"/>
                  <w:sz w:val="20"/>
                  <w:szCs w:val="20"/>
                </w:rPr>
                <w:t>Item 6.  Exhibits.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39</w:t>
            </w:r>
          </w:p>
        </w:tc>
      </w:tr>
      <w:tr w:rsidR="00000000">
        <w:trPr>
          <w:divId w:val="218589353"/>
          <w:tblCellSpacing w:w="0" w:type="dxa"/>
        </w:trPr>
        <w:tc>
          <w:tcPr>
            <w:tcW w:w="4750" w:type="pct"/>
            <w:hideMark/>
          </w:tcPr>
          <w:p w:rsidR="00000000" w:rsidRDefault="00E3336F">
            <w:pPr>
              <w:rPr>
                <w:rFonts w:eastAsia="Times New Roman"/>
                <w:sz w:val="20"/>
                <w:szCs w:val="20"/>
              </w:rPr>
            </w:pPr>
            <w:r>
              <w:rPr>
                <w:rFonts w:eastAsia="Times New Roman"/>
                <w:sz w:val="20"/>
                <w:szCs w:val="20"/>
              </w:rPr>
              <w:t> </w:t>
            </w:r>
          </w:p>
        </w:tc>
        <w:tc>
          <w:tcPr>
            <w:tcW w:w="250" w:type="pct"/>
            <w:hideMark/>
          </w:tcPr>
          <w:p w:rsidR="00000000" w:rsidRDefault="00E3336F">
            <w:pPr>
              <w:rPr>
                <w:rFonts w:eastAsia="Times New Roman"/>
                <w:sz w:val="20"/>
                <w:szCs w:val="20"/>
              </w:rPr>
            </w:pPr>
            <w:r>
              <w:rPr>
                <w:rFonts w:eastAsia="Times New Roman"/>
                <w:sz w:val="20"/>
                <w:szCs w:val="20"/>
              </w:rPr>
              <w:t> </w:t>
            </w:r>
          </w:p>
        </w:tc>
      </w:tr>
      <w:tr w:rsidR="00000000">
        <w:trPr>
          <w:divId w:val="218589353"/>
          <w:tblCellSpacing w:w="0" w:type="dxa"/>
        </w:trPr>
        <w:tc>
          <w:tcPr>
            <w:tcW w:w="4750" w:type="pct"/>
            <w:hideMark/>
          </w:tcPr>
          <w:p w:rsidR="00000000" w:rsidRDefault="00E3336F">
            <w:pPr>
              <w:pStyle w:val="a3"/>
              <w:spacing w:before="0" w:beforeAutospacing="0" w:after="0" w:afterAutospacing="0"/>
              <w:rPr>
                <w:sz w:val="20"/>
                <w:szCs w:val="20"/>
              </w:rPr>
            </w:pPr>
            <w:hyperlink w:anchor="sigs" w:history="1">
              <w:r>
                <w:rPr>
                  <w:rStyle w:val="a4"/>
                  <w:sz w:val="20"/>
                  <w:szCs w:val="20"/>
                </w:rPr>
                <w:t>Signatures</w:t>
              </w:r>
            </w:hyperlink>
          </w:p>
        </w:tc>
        <w:tc>
          <w:tcPr>
            <w:tcW w:w="250" w:type="pct"/>
            <w:hideMark/>
          </w:tcPr>
          <w:p w:rsidR="00000000" w:rsidRDefault="00E3336F">
            <w:pPr>
              <w:pStyle w:val="a3"/>
              <w:spacing w:before="0" w:beforeAutospacing="0" w:after="0" w:afterAutospacing="0"/>
              <w:jc w:val="center"/>
              <w:rPr>
                <w:sz w:val="20"/>
                <w:szCs w:val="20"/>
              </w:rPr>
            </w:pPr>
            <w:r>
              <w:rPr>
                <w:sz w:val="20"/>
                <w:szCs w:val="20"/>
              </w:rPr>
              <w:t>40</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611978950"/>
        <w:rPr>
          <w:rFonts w:eastAsia="Times New Roman"/>
          <w:sz w:val="20"/>
          <w:szCs w:val="20"/>
        </w:rPr>
      </w:pPr>
      <w:r>
        <w:rPr>
          <w:rFonts w:eastAsia="Times New Roman"/>
          <w:sz w:val="20"/>
          <w:szCs w:val="20"/>
        </w:rPr>
        <w:t xml:space="preserve">2 </w:t>
      </w:r>
    </w:p>
    <w:p w:rsidR="00000000" w:rsidRDefault="00E3336F">
      <w:pPr>
        <w:divId w:val="611978950"/>
        <w:rPr>
          <w:rFonts w:eastAsia="Times New Roman"/>
          <w:sz w:val="20"/>
          <w:szCs w:val="20"/>
        </w:rPr>
      </w:pPr>
      <w:r>
        <w:rPr>
          <w:rFonts w:eastAsia="Times New Roman"/>
          <w:sz w:val="20"/>
          <w:szCs w:val="20"/>
        </w:rPr>
        <w:pict>
          <v:rect id="_x0000_i1030" style="width:415.3pt;height:1.5pt" o:hralign="center" o:hrstd="t" o:hrnoshade="t" o:hr="t" fillcolor="black" stroked="f"/>
        </w:pict>
      </w:r>
    </w:p>
    <w:p w:rsidR="00000000" w:rsidRDefault="00E3336F">
      <w:pPr>
        <w:divId w:val="8114821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divId w:val="1530139110"/>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KIMCO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CONSOLIDATED BALANCE SHEETS</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 except share information)</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477"/>
        <w:gridCol w:w="78"/>
        <w:gridCol w:w="100"/>
        <w:gridCol w:w="1158"/>
        <w:gridCol w:w="78"/>
        <w:gridCol w:w="78"/>
        <w:gridCol w:w="100"/>
        <w:gridCol w:w="1158"/>
        <w:gridCol w:w="79"/>
      </w:tblGrid>
      <w:tr w:rsidR="00000000">
        <w:trPr>
          <w:divId w:val="1730224821"/>
          <w:tblCellSpacing w:w="0" w:type="dxa"/>
        </w:trPr>
        <w:tc>
          <w:tcPr>
            <w:tcW w:w="33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Septemb</w:t>
            </w:r>
            <w:r>
              <w:rPr>
                <w:b/>
                <w:bCs/>
                <w:sz w:val="20"/>
                <w:szCs w:val="20"/>
              </w:rPr>
              <w:t>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Assets: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540" w:hanging="180"/>
              <w:rPr>
                <w:sz w:val="20"/>
                <w:szCs w:val="20"/>
              </w:rPr>
            </w:pPr>
            <w:r>
              <w:rPr>
                <w:sz w:val="20"/>
                <w:szCs w:val="20"/>
              </w:rPr>
              <w:t xml:space="preserve">Real estate, net of accumulated depreciation and amortization of </w:t>
            </w:r>
            <w:r>
              <w:rPr>
                <w:sz w:val="20"/>
                <w:szCs w:val="20"/>
              </w:rPr>
              <w:t>$</w:t>
            </w:r>
            <w:r>
              <w:rPr>
                <w:sz w:val="20"/>
                <w:szCs w:val="20"/>
              </w:rPr>
              <w:t>3,336,47</w:t>
            </w:r>
            <w:r>
              <w:rPr>
                <w:sz w:val="20"/>
                <w:szCs w:val="20"/>
              </w:rPr>
              <w:t>3</w:t>
            </w:r>
            <w:r>
              <w:rPr>
                <w:sz w:val="20"/>
                <w:szCs w:val="20"/>
              </w:rPr>
              <w:t xml:space="preserve"> and </w:t>
            </w:r>
            <w:r>
              <w:rPr>
                <w:sz w:val="20"/>
                <w:szCs w:val="20"/>
              </w:rPr>
              <w:t>$</w:t>
            </w:r>
            <w:r>
              <w:rPr>
                <w:sz w:val="20"/>
                <w:szCs w:val="20"/>
              </w:rPr>
              <w:t>3,010,69</w:t>
            </w:r>
            <w:r>
              <w:rPr>
                <w:sz w:val="20"/>
                <w:szCs w:val="20"/>
              </w:rPr>
              <w:t>9</w:t>
            </w:r>
            <w:r>
              <w:rPr>
                <w:sz w:val="20"/>
                <w:szCs w:val="20"/>
              </w:rPr>
              <w:t>, respectively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14,748,910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15,035,900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5,672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1,092,351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1,006,899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Other investments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105,984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122,015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123,531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334,663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Marketable securities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999,094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269,887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254,677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135,429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147,458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Other assets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434,711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340,176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assets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17,915,569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Liabilities: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Notes payable,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6,909,382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7,027,050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Mortgages payable,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300,739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448,652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Dividends payable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5,326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5,366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Operating lease liabilities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114,923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123,779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Other liabilities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732,081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730,690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liabilities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8,062,451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8,335,537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Redeemable noncontrolling interests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13,270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13,480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Commitments and Contingencies (Footnote 18)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Stockholders' equity: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540" w:hanging="180"/>
              <w:rPr>
                <w:sz w:val="20"/>
                <w:szCs w:val="20"/>
              </w:rPr>
            </w:pPr>
            <w:r>
              <w:rPr>
                <w:sz w:val="20"/>
                <w:szCs w:val="20"/>
              </w:rPr>
              <w:t xml:space="preserve">Preferred stock, </w:t>
            </w:r>
            <w:r>
              <w:rPr>
                <w:sz w:val="20"/>
                <w:szCs w:val="20"/>
              </w:rPr>
              <w:t>$</w:t>
            </w:r>
            <w:r>
              <w:rPr>
                <w:sz w:val="20"/>
                <w:szCs w:val="20"/>
              </w:rPr>
              <w:t>1.0</w:t>
            </w:r>
            <w:r>
              <w:rPr>
                <w:sz w:val="20"/>
                <w:szCs w:val="20"/>
              </w:rPr>
              <w:t>0</w:t>
            </w:r>
            <w:r>
              <w:rPr>
                <w:sz w:val="20"/>
                <w:szCs w:val="20"/>
              </w:rPr>
              <w:t xml:space="preserve"> par value, authorized</w:t>
            </w:r>
            <w:r>
              <w:rPr>
                <w:sz w:val="20"/>
                <w:szCs w:val="20"/>
              </w:rPr>
              <w:t xml:space="preserve"> </w:t>
            </w:r>
            <w:r>
              <w:rPr>
                <w:sz w:val="20"/>
                <w:szCs w:val="20"/>
              </w:rPr>
              <w:t>7,054,00</w:t>
            </w:r>
            <w:r>
              <w:rPr>
                <w:sz w:val="20"/>
                <w:szCs w:val="20"/>
              </w:rPr>
              <w:t>0</w:t>
            </w:r>
            <w:r>
              <w:rPr>
                <w:sz w:val="20"/>
                <w:szCs w:val="20"/>
              </w:rPr>
              <w:t xml:space="preserve"> </w:t>
            </w:r>
            <w:r>
              <w:rPr>
                <w:sz w:val="20"/>
                <w:szCs w:val="20"/>
              </w:rPr>
              <w:t>shares; Issued and outstanding (in series)</w:t>
            </w:r>
            <w:r>
              <w:rPr>
                <w:sz w:val="20"/>
                <w:szCs w:val="20"/>
              </w:rPr>
              <w:t xml:space="preserve"> </w:t>
            </w:r>
            <w:r>
              <w:rPr>
                <w:sz w:val="20"/>
                <w:szCs w:val="20"/>
              </w:rPr>
              <w:t>19,43</w:t>
            </w:r>
            <w:r>
              <w:rPr>
                <w:sz w:val="20"/>
                <w:szCs w:val="20"/>
              </w:rPr>
              <w:t>5</w:t>
            </w:r>
            <w:r>
              <w:rPr>
                <w:sz w:val="20"/>
                <w:szCs w:val="20"/>
              </w:rPr>
              <w:t xml:space="preserve"> and</w:t>
            </w:r>
            <w:r>
              <w:rPr>
                <w:sz w:val="20"/>
                <w:szCs w:val="20"/>
              </w:rPr>
              <w:t xml:space="preserve"> </w:t>
            </w:r>
            <w:r>
              <w:rPr>
                <w:sz w:val="20"/>
                <w:szCs w:val="20"/>
              </w:rPr>
              <w:t>19,58</w:t>
            </w:r>
            <w:r>
              <w:rPr>
                <w:sz w:val="20"/>
                <w:szCs w:val="20"/>
              </w:rPr>
              <w:t>0</w:t>
            </w:r>
            <w:r>
              <w:rPr>
                <w:sz w:val="20"/>
                <w:szCs w:val="20"/>
              </w:rPr>
              <w:t xml:space="preserve"> shares, respectively; Aggregate liquidation preference </w:t>
            </w:r>
            <w:r>
              <w:rPr>
                <w:sz w:val="20"/>
                <w:szCs w:val="20"/>
              </w:rPr>
              <w:t>$</w:t>
            </w:r>
            <w:r>
              <w:rPr>
                <w:sz w:val="20"/>
                <w:szCs w:val="20"/>
              </w:rPr>
              <w:t>485,86</w:t>
            </w:r>
            <w:r>
              <w:rPr>
                <w:sz w:val="20"/>
                <w:szCs w:val="20"/>
              </w:rPr>
              <w:t>8</w:t>
            </w:r>
            <w:r>
              <w:rPr>
                <w:sz w:val="20"/>
                <w:szCs w:val="20"/>
              </w:rPr>
              <w:t xml:space="preserve"> and </w:t>
            </w:r>
            <w:r>
              <w:rPr>
                <w:sz w:val="20"/>
                <w:szCs w:val="20"/>
              </w:rPr>
              <w:t>$</w:t>
            </w:r>
            <w:r>
              <w:rPr>
                <w:sz w:val="20"/>
                <w:szCs w:val="20"/>
              </w:rPr>
              <w:t>489,50</w:t>
            </w:r>
            <w:r>
              <w:rPr>
                <w:sz w:val="20"/>
                <w:szCs w:val="20"/>
              </w:rPr>
              <w:t>0</w:t>
            </w:r>
            <w:r>
              <w:rPr>
                <w:sz w:val="20"/>
                <w:szCs w:val="20"/>
              </w:rPr>
              <w:t>, respectively</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540" w:hanging="180"/>
              <w:rPr>
                <w:sz w:val="20"/>
                <w:szCs w:val="20"/>
              </w:rPr>
            </w:pPr>
            <w:r>
              <w:rPr>
                <w:sz w:val="20"/>
                <w:szCs w:val="20"/>
              </w:rPr>
              <w:lastRenderedPageBreak/>
              <w:t xml:space="preserve">Common stock, </w:t>
            </w:r>
            <w:r>
              <w:rPr>
                <w:sz w:val="20"/>
                <w:szCs w:val="20"/>
              </w:rPr>
              <w:t>$</w:t>
            </w:r>
            <w:r>
              <w:rPr>
                <w:sz w:val="20"/>
                <w:szCs w:val="20"/>
              </w:rPr>
              <w:t>.0</w:t>
            </w:r>
            <w:r>
              <w:rPr>
                <w:sz w:val="20"/>
                <w:szCs w:val="20"/>
              </w:rPr>
              <w:t>1</w:t>
            </w:r>
            <w:r>
              <w:rPr>
                <w:sz w:val="20"/>
                <w:szCs w:val="20"/>
              </w:rPr>
              <w:t xml:space="preserve"> par value, authorized</w:t>
            </w:r>
            <w:r>
              <w:rPr>
                <w:sz w:val="20"/>
                <w:szCs w:val="20"/>
              </w:rPr>
              <w:t xml:space="preserve"> </w:t>
            </w:r>
            <w:r>
              <w:rPr>
                <w:sz w:val="20"/>
                <w:szCs w:val="20"/>
              </w:rPr>
              <w:t>750,000,00</w:t>
            </w:r>
            <w:r>
              <w:rPr>
                <w:sz w:val="20"/>
                <w:szCs w:val="20"/>
              </w:rPr>
              <w:t>0</w:t>
            </w:r>
            <w:r>
              <w:rPr>
                <w:sz w:val="20"/>
                <w:szCs w:val="20"/>
              </w:rPr>
              <w:t xml:space="preserve"> </w:t>
            </w:r>
            <w:r>
              <w:rPr>
                <w:sz w:val="20"/>
                <w:szCs w:val="20"/>
              </w:rPr>
              <w:t>shares; Issued and outstanding</w:t>
            </w:r>
            <w:r>
              <w:rPr>
                <w:sz w:val="20"/>
                <w:szCs w:val="20"/>
              </w:rPr>
              <w:t xml:space="preserve"> </w:t>
            </w:r>
            <w:r>
              <w:rPr>
                <w:sz w:val="20"/>
                <w:szCs w:val="20"/>
              </w:rPr>
              <w:t>618,462,62</w:t>
            </w:r>
            <w:r>
              <w:rPr>
                <w:sz w:val="20"/>
                <w:szCs w:val="20"/>
              </w:rPr>
              <w:t>0</w:t>
            </w:r>
            <w:r>
              <w:rPr>
                <w:sz w:val="20"/>
                <w:szCs w:val="20"/>
              </w:rPr>
              <w:t xml:space="preserve"> and</w:t>
            </w:r>
            <w:r>
              <w:rPr>
                <w:sz w:val="20"/>
                <w:szCs w:val="20"/>
              </w:rPr>
              <w:t xml:space="preserve"> </w:t>
            </w:r>
            <w:r>
              <w:rPr>
                <w:sz w:val="20"/>
                <w:szCs w:val="20"/>
              </w:rPr>
              <w:t>616,658,59</w:t>
            </w:r>
            <w:r>
              <w:rPr>
                <w:sz w:val="20"/>
                <w:szCs w:val="20"/>
              </w:rPr>
              <w:t>3</w:t>
            </w:r>
            <w:r>
              <w:rPr>
                <w:sz w:val="20"/>
                <w:szCs w:val="20"/>
              </w:rPr>
              <w:t xml:space="preserve"> shares, respectively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6,185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6,167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Paid-in capital</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9,611,382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9,591,871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Retained earnings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78,790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299,115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Accumulated other comprehensive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6,688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9,703,064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9,899,389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136,784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210,793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Total equity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9,839,848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10,110,182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730224821"/>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17,915,569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18,459,199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6" w:type="dxa"/>
            <w:hideMark/>
          </w:tcPr>
          <w:p w:rsidR="00000000" w:rsidRDefault="00E3336F">
            <w:pPr>
              <w:pStyle w:val="a3"/>
              <w:spacing w:before="0" w:beforeAutospacing="0" w:after="0" w:afterAutospacing="0"/>
              <w:jc w:val="both"/>
              <w:rPr>
                <w:sz w:val="20"/>
                <w:szCs w:val="20"/>
              </w:rPr>
            </w:pPr>
            <w:r>
              <w:rPr>
                <w:sz w:val="20"/>
                <w:szCs w:val="20"/>
              </w:rPr>
              <w:t>Includes restricted assets of consolidated variable interest entities (“VIEs”</w:t>
            </w:r>
            <w:r>
              <w:rPr>
                <w:sz w:val="20"/>
                <w:szCs w:val="20"/>
              </w:rPr>
              <w:t>) at September 30, 2022 and December 31, 2021 of $88,949 and $227,858, respectively. See Footnote 13 of the Notes to Condensed Consolidated Financial Statements.</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112"/>
        <w:gridCol w:w="6194"/>
      </w:tblGrid>
      <w:tr w:rsidR="00000000">
        <w:trPr>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(2)</w:t>
            </w:r>
          </w:p>
        </w:tc>
        <w:tc>
          <w:tcPr>
            <w:tcW w:w="6" w:type="dxa"/>
            <w:hideMark/>
          </w:tcPr>
          <w:p w:rsidR="00000000" w:rsidRDefault="00E3336F">
            <w:pPr>
              <w:pStyle w:val="a3"/>
              <w:spacing w:before="0" w:beforeAutospacing="0" w:after="0" w:afterAutospacing="0"/>
              <w:jc w:val="both"/>
              <w:rPr>
                <w:sz w:val="20"/>
                <w:szCs w:val="20"/>
              </w:rPr>
            </w:pPr>
            <w:r>
              <w:rPr>
                <w:sz w:val="20"/>
                <w:szCs w:val="20"/>
              </w:rPr>
              <w:t>Includes non-recourse liabilities of consolidated VIEs at September 30, 2022 and Decembe</w:t>
            </w:r>
            <w:r>
              <w:rPr>
                <w:sz w:val="20"/>
                <w:szCs w:val="20"/>
              </w:rPr>
              <w:t>r 31, 2021 of $100,291 and $153,924, respectively. See Footnote 13 of the Notes to Condensed Consolidated Financial Statements.</w:t>
            </w:r>
          </w:p>
        </w:tc>
      </w:tr>
    </w:tbl>
    <w:p w:rsidR="00000000" w:rsidRDefault="00E3336F">
      <w:pPr>
        <w:pStyle w:val="a3"/>
        <w:spacing w:before="0" w:beforeAutospacing="0" w:after="0" w:afterAutospacing="0"/>
        <w:ind w:firstLine="36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688823075"/>
        <w:rPr>
          <w:rFonts w:eastAsia="Times New Roman"/>
          <w:sz w:val="20"/>
          <w:szCs w:val="20"/>
        </w:rPr>
      </w:pPr>
      <w:r>
        <w:rPr>
          <w:rFonts w:eastAsia="Times New Roman"/>
          <w:sz w:val="20"/>
          <w:szCs w:val="20"/>
        </w:rPr>
        <w:t xml:space="preserve">3 </w:t>
      </w:r>
    </w:p>
    <w:p w:rsidR="00000000" w:rsidRDefault="00E3336F">
      <w:pPr>
        <w:divId w:val="1688823075"/>
        <w:rPr>
          <w:rFonts w:eastAsia="Times New Roman"/>
          <w:sz w:val="20"/>
          <w:szCs w:val="20"/>
        </w:rPr>
      </w:pPr>
      <w:r>
        <w:rPr>
          <w:rFonts w:eastAsia="Times New Roman"/>
          <w:sz w:val="20"/>
          <w:szCs w:val="20"/>
        </w:rPr>
        <w:pict>
          <v:rect id="_x0000_i1031" style="width:415.3pt;height:1.5pt" o:hralign="center" o:hrstd="t" o:hrnoshade="t" o:hr="t" fillcolor="black" stroked="f"/>
        </w:pict>
      </w:r>
    </w:p>
    <w:p w:rsidR="00000000" w:rsidRDefault="00E3336F">
      <w:pPr>
        <w:divId w:val="11248888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614025271"/>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rPr>
          <w:sz w:val="20"/>
          <w:szCs w:val="20"/>
        </w:rPr>
      </w:pPr>
      <w:r>
        <w:rPr>
          <w:sz w:val="20"/>
          <w:szCs w:val="20"/>
        </w:rPr>
        <w:t>K</w:t>
      </w:r>
      <w:r>
        <w:rPr>
          <w:sz w:val="20"/>
          <w:szCs w:val="20"/>
        </w:rPr>
        <w:t>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CONSOLIDATED STATEMENTS OF INCOME</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 except per share data)</w:t>
      </w:r>
    </w:p>
    <w:p w:rsidR="00000000" w:rsidRDefault="00E3336F">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8"/>
        <w:gridCol w:w="73"/>
        <w:gridCol w:w="100"/>
        <w:gridCol w:w="738"/>
        <w:gridCol w:w="73"/>
        <w:gridCol w:w="73"/>
        <w:gridCol w:w="100"/>
        <w:gridCol w:w="738"/>
        <w:gridCol w:w="73"/>
        <w:gridCol w:w="73"/>
        <w:gridCol w:w="100"/>
        <w:gridCol w:w="800"/>
        <w:gridCol w:w="73"/>
        <w:gridCol w:w="73"/>
        <w:gridCol w:w="100"/>
        <w:gridCol w:w="738"/>
        <w:gridCol w:w="73"/>
      </w:tblGrid>
      <w:tr w:rsidR="00000000">
        <w:trPr>
          <w:divId w:val="48007840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vAlign w:val="bottom"/>
            <w:hideMark/>
          </w:tcPr>
          <w:p w:rsidR="00000000" w:rsidRDefault="00E3336F">
            <w:pPr>
              <w:pStyle w:val="a3"/>
              <w:spacing w:before="0" w:beforeAutospacing="0" w:after="0" w:afterAutospacing="0"/>
              <w:jc w:val="center"/>
              <w:rPr>
                <w:sz w:val="20"/>
                <w:szCs w:val="20"/>
              </w:rPr>
            </w:pPr>
            <w:r>
              <w:rPr>
                <w:b/>
                <w:bCs/>
                <w:sz w:val="20"/>
                <w:szCs w:val="20"/>
              </w:rPr>
              <w:t xml:space="preserve">Three Months Ended September 30,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vAlign w:val="bottom"/>
            <w:hideMark/>
          </w:tcPr>
          <w:p w:rsidR="00000000" w:rsidRDefault="00E3336F">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26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Revenues from rental properties,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429,042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364,694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1,274,969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929,297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Management and other fee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4,361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3,913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12,881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10,634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900"/>
              <w:rPr>
                <w:sz w:val="20"/>
                <w:szCs w:val="20"/>
              </w:rPr>
            </w:pPr>
            <w:r>
              <w:rPr>
                <w:sz w:val="20"/>
                <w:szCs w:val="20"/>
              </w:rPr>
              <w:t>Total revenues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433,403</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368,607</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1,287,850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939,931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Rent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(3,703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(3,678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(9,706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Real estate taxes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(55,578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(50,594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(165,967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(129,124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Operating and maintenance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(71,457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(52,063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(210,466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(145,480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General and administrative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(29,677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(87,606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Impairment charges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(21,758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Merger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Depreciation and amortization</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(125,419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(114,238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(380,324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(261,687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900"/>
              <w:rPr>
                <w:sz w:val="20"/>
                <w:szCs w:val="20"/>
              </w:rPr>
            </w:pPr>
            <w:r>
              <w:rPr>
                <w:sz w:val="20"/>
                <w:szCs w:val="20"/>
              </w:rPr>
              <w:t>Total operating expenses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(292,901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(294,325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(877,975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r>
              <w:rPr>
                <w:rFonts w:eastAsia="Times New Roman"/>
                <w:sz w:val="20"/>
                <w:szCs w:val="20"/>
              </w:rPr>
              <w:t>672,278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Gain on sale of properties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3,821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1,975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10,958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30,841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144,323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76,257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420,833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298,494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Other income,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6,226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6,696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18,851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(Loss)/gain on marketable securities,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457,127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(215,194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542,510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Interest expense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(52,391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(52,126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(165,876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(146,654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Early extinguishment of debt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(428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(7,658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investments,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22,239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487,954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50,956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706,184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Benefit/(provision) for income taxes,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(314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(2,897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Equity in income of joint ventures,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26,360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20,025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94,060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54,095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Equity in income of other investments,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6,733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10,365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56,371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509,204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161,603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767,747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Net loss/(income) attributable to noncontrolling interests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1,583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14,152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(5,369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income attributable to the Company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57,954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507,739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175,755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762,378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Preferred dividends, net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(6,307</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(18,911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(19,062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51,647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501,385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156,844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743,316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Per common share:</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0.08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0.08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Weighted average shares: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FFFFFF"/>
            <w:vAlign w:val="bottom"/>
            <w:hideMark/>
          </w:tcPr>
          <w:p w:rsidR="00000000" w:rsidRDefault="00E3336F">
            <w:pPr>
              <w:pStyle w:val="a3"/>
              <w:spacing w:before="0" w:beforeAutospacing="0" w:after="0" w:afterAutospacing="0"/>
              <w:ind w:left="900"/>
              <w:rPr>
                <w:sz w:val="20"/>
                <w:szCs w:val="20"/>
              </w:rPr>
            </w:pPr>
            <w:r>
              <w:rPr>
                <w:sz w:val="20"/>
                <w:szCs w:val="20"/>
              </w:rPr>
              <w:t>-Basic</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615,832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546,842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615,417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469,885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80078408"/>
          <w:tblCellSpacing w:w="0" w:type="dxa"/>
        </w:trPr>
        <w:tc>
          <w:tcPr>
            <w:tcW w:w="0" w:type="auto"/>
            <w:shd w:val="clear" w:color="auto" w:fill="CCEEFF"/>
            <w:vAlign w:val="bottom"/>
            <w:hideMark/>
          </w:tcPr>
          <w:p w:rsidR="00000000" w:rsidRDefault="00E3336F">
            <w:pPr>
              <w:pStyle w:val="a3"/>
              <w:spacing w:before="0" w:beforeAutospacing="0" w:after="0" w:afterAutospacing="0"/>
              <w:ind w:left="900"/>
              <w:rPr>
                <w:sz w:val="20"/>
                <w:szCs w:val="20"/>
              </w:rPr>
            </w:pPr>
            <w:r>
              <w:rPr>
                <w:sz w:val="20"/>
                <w:szCs w:val="20"/>
              </w:rPr>
              <w:t>-Diluted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618,018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548,766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617,856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474,452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3336F">
      <w:pPr>
        <w:pStyle w:val="a3"/>
        <w:spacing w:before="0" w:beforeAutospacing="0" w:after="0" w:afterAutospacing="0"/>
        <w:jc w:val="center"/>
        <w:rPr>
          <w:sz w:val="20"/>
          <w:szCs w:val="20"/>
        </w:rPr>
      </w:pPr>
      <w:r>
        <w:rPr>
          <w:sz w:val="20"/>
          <w:szCs w:val="20"/>
        </w:rPr>
        <w:t> </w:t>
      </w:r>
    </w:p>
    <w:p w:rsidR="00000000" w:rsidRDefault="00E3336F">
      <w:pPr>
        <w:jc w:val="center"/>
        <w:divId w:val="210650520"/>
        <w:rPr>
          <w:rFonts w:eastAsia="Times New Roman"/>
          <w:sz w:val="20"/>
          <w:szCs w:val="20"/>
        </w:rPr>
      </w:pPr>
      <w:r>
        <w:rPr>
          <w:rFonts w:eastAsia="Times New Roman"/>
          <w:sz w:val="20"/>
          <w:szCs w:val="20"/>
        </w:rPr>
        <w:t xml:space="preserve">4 </w:t>
      </w:r>
    </w:p>
    <w:p w:rsidR="00000000" w:rsidRDefault="00E3336F">
      <w:pPr>
        <w:divId w:val="210650520"/>
        <w:rPr>
          <w:rFonts w:eastAsia="Times New Roman"/>
          <w:sz w:val="20"/>
          <w:szCs w:val="20"/>
        </w:rPr>
      </w:pPr>
      <w:r>
        <w:rPr>
          <w:rFonts w:eastAsia="Times New Roman"/>
          <w:sz w:val="20"/>
          <w:szCs w:val="20"/>
        </w:rPr>
        <w:pict>
          <v:rect id="_x0000_i1032" style="width:415.3pt;height:1.5pt" o:hralign="center" o:hrstd="t" o:hrnoshade="t" o:hr="t" fillcolor="black" stroked="f"/>
        </w:pict>
      </w:r>
    </w:p>
    <w:p w:rsidR="00000000" w:rsidRDefault="00E3336F">
      <w:pPr>
        <w:divId w:val="185718765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207049269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rPr>
          <w:sz w:val="20"/>
          <w:szCs w:val="20"/>
        </w:rPr>
      </w:pPr>
      <w:r>
        <w:rPr>
          <w:sz w:val="20"/>
          <w:szCs w:val="20"/>
        </w:rPr>
        <w:t>K</w:t>
      </w:r>
      <w:r>
        <w:rPr>
          <w:sz w:val="20"/>
          <w:szCs w:val="20"/>
        </w:rPr>
        <w:t>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CONSOLIDATED STATEMENTS OF COMPREHENSIVE INCOME</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divId w:val="463154673"/>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26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Net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56,371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509,204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161,603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767,747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Change in unrealized gains related to defined benefit plan</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212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4,472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comprehensive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4,472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56,583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509,204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166,075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767,747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Comprehensive loss/(income) attributable to noncontrolling interests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1,583</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(1,465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14,152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(5,369</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463154673"/>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463154673"/>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58,166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507,739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180,227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762,378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lastRenderedPageBreak/>
        <w:t>The accompanying notes are an integral part of these condensed consolidated financial statements.</w:t>
      </w:r>
    </w:p>
    <w:p w:rsidR="00000000" w:rsidRDefault="00E3336F">
      <w:pPr>
        <w:pStyle w:val="a3"/>
        <w:spacing w:before="0" w:beforeAutospacing="0" w:after="0" w:afterAutospacing="0"/>
        <w:ind w:firstLine="180"/>
        <w:rPr>
          <w:sz w:val="20"/>
          <w:szCs w:val="20"/>
        </w:rPr>
      </w:pPr>
      <w:r>
        <w:rPr>
          <w:sz w:val="20"/>
          <w:szCs w:val="20"/>
        </w:rPr>
        <w:t> </w:t>
      </w:r>
    </w:p>
    <w:p w:rsidR="00000000" w:rsidRDefault="00E3336F">
      <w:pPr>
        <w:jc w:val="center"/>
        <w:divId w:val="225991190"/>
        <w:rPr>
          <w:rFonts w:eastAsia="Times New Roman"/>
          <w:sz w:val="20"/>
          <w:szCs w:val="20"/>
        </w:rPr>
      </w:pPr>
      <w:r>
        <w:rPr>
          <w:rFonts w:eastAsia="Times New Roman"/>
          <w:sz w:val="20"/>
          <w:szCs w:val="20"/>
        </w:rPr>
        <w:t xml:space="preserve">5 </w:t>
      </w:r>
    </w:p>
    <w:p w:rsidR="00000000" w:rsidRDefault="00E3336F">
      <w:pPr>
        <w:divId w:val="1914126140"/>
        <w:rPr>
          <w:rFonts w:eastAsia="Times New Roman"/>
          <w:sz w:val="20"/>
          <w:szCs w:val="20"/>
        </w:rPr>
      </w:pPr>
      <w:r>
        <w:rPr>
          <w:rFonts w:eastAsia="Times New Roman"/>
          <w:sz w:val="20"/>
          <w:szCs w:val="20"/>
        </w:rPr>
        <w:pict>
          <v:rect id="_x0000_i1033" style="width:415.3pt;height:1.5pt" o:hralign="center" o:hrstd="t" o:hrnoshade="t" o:hr="t" fillcolor="black" stroked="f"/>
        </w:pict>
      </w:r>
    </w:p>
    <w:p w:rsidR="00000000" w:rsidRDefault="00E3336F">
      <w:pPr>
        <w:divId w:val="25679181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204298239"/>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rPr>
          <w:sz w:val="20"/>
          <w:szCs w:val="20"/>
        </w:rPr>
      </w:pPr>
      <w:r>
        <w:rPr>
          <w:sz w:val="20"/>
          <w:szCs w:val="20"/>
        </w:rPr>
        <w:t>KIMCO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CONSOLIDATED STATEMENTS OF CHANGES IN EQUITY</w:t>
      </w:r>
    </w:p>
    <w:p w:rsidR="00000000" w:rsidRDefault="00E3336F">
      <w:pPr>
        <w:pStyle w:val="a3"/>
        <w:spacing w:before="0" w:beforeAutospacing="0" w:after="0" w:afterAutospacing="0"/>
        <w:jc w:val="center"/>
        <w:rPr>
          <w:sz w:val="20"/>
          <w:szCs w:val="20"/>
        </w:rPr>
      </w:pPr>
      <w:r>
        <w:rPr>
          <w:sz w:val="20"/>
          <w:szCs w:val="20"/>
        </w:rPr>
        <w:t>For the Three Months Ended September 30, 2022 and 2021</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00"/>
        <w:gridCol w:w="798"/>
        <w:gridCol w:w="54"/>
        <w:gridCol w:w="40"/>
        <w:gridCol w:w="134"/>
        <w:gridCol w:w="933"/>
        <w:gridCol w:w="40"/>
        <w:gridCol w:w="40"/>
        <w:gridCol w:w="88"/>
        <w:gridCol w:w="349"/>
        <w:gridCol w:w="56"/>
        <w:gridCol w:w="55"/>
        <w:gridCol w:w="113"/>
        <w:gridCol w:w="448"/>
        <w:gridCol w:w="40"/>
        <w:gridCol w:w="40"/>
        <w:gridCol w:w="40"/>
        <w:gridCol w:w="520"/>
        <w:gridCol w:w="54"/>
        <w:gridCol w:w="40"/>
        <w:gridCol w:w="113"/>
        <w:gridCol w:w="448"/>
        <w:gridCol w:w="54"/>
        <w:gridCol w:w="40"/>
        <w:gridCol w:w="80"/>
        <w:gridCol w:w="640"/>
        <w:gridCol w:w="54"/>
        <w:gridCol w:w="40"/>
        <w:gridCol w:w="134"/>
        <w:gridCol w:w="800"/>
        <w:gridCol w:w="54"/>
        <w:gridCol w:w="40"/>
        <w:gridCol w:w="148"/>
        <w:gridCol w:w="884"/>
        <w:gridCol w:w="54"/>
        <w:gridCol w:w="40"/>
        <w:gridCol w:w="80"/>
        <w:gridCol w:w="720"/>
        <w:gridCol w:w="54"/>
      </w:tblGrid>
      <w:tr w:rsidR="00000000">
        <w:trPr>
          <w:divId w:val="455417945"/>
          <w:tblCellSpacing w:w="0" w:type="dxa"/>
        </w:trPr>
        <w:tc>
          <w:tcPr>
            <w:tcW w:w="8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jc w:val="center"/>
              <w:rPr>
                <w:rFonts w:eastAsia="Times New Roman"/>
                <w:sz w:val="16"/>
                <w:szCs w:val="16"/>
              </w:rPr>
            </w:pPr>
            <w:r>
              <w:rPr>
                <w:rFonts w:eastAsia="Times New Roman"/>
                <w:b/>
                <w:bCs/>
                <w:sz w:val="16"/>
                <w:szCs w:val="16"/>
              </w:rPr>
              <w:t xml:space="preserve">Retained Earnings/ (Cumulative </w:t>
            </w:r>
          </w:p>
          <w:p w:rsidR="00000000" w:rsidRDefault="00E3336F">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sz w:val="16"/>
                <w:szCs w:val="16"/>
              </w:rPr>
              <w:t> </w:t>
            </w:r>
          </w:p>
          <w:p w:rsidR="00000000" w:rsidRDefault="00E3336F">
            <w:pPr>
              <w:jc w:val="center"/>
              <w:rPr>
                <w:rFonts w:eastAsia="Times New Roman"/>
                <w:sz w:val="16"/>
                <w:szCs w:val="16"/>
              </w:rPr>
            </w:pPr>
            <w:r>
              <w:rPr>
                <w:rFonts w:eastAsia="Times New Roman"/>
                <w:b/>
                <w:bCs/>
                <w:sz w:val="16"/>
                <w:szCs w:val="16"/>
              </w:rPr>
              <w:t xml:space="preserve">Accumulated Other </w:t>
            </w:r>
          </w:p>
          <w:p w:rsidR="00000000" w:rsidRDefault="00E3336F">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sz w:val="16"/>
                <w:szCs w:val="16"/>
              </w:rPr>
              <w:t> </w:t>
            </w:r>
          </w:p>
          <w:p w:rsidR="00000000" w:rsidRDefault="00E3336F">
            <w:pPr>
              <w:jc w:val="center"/>
              <w:rPr>
                <w:rFonts w:eastAsia="Times New Roman"/>
                <w:sz w:val="16"/>
                <w:szCs w:val="16"/>
              </w:rPr>
            </w:pPr>
            <w:r>
              <w:rPr>
                <w:rFonts w:eastAsia="Times New Roman"/>
                <w:b/>
                <w:bCs/>
                <w:sz w:val="16"/>
                <w:szCs w:val="16"/>
              </w:rPr>
              <w:t xml:space="preserve">Total </w:t>
            </w:r>
          </w:p>
          <w:p w:rsidR="00000000" w:rsidRDefault="00E3336F">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r>
      <w:tr w:rsidR="00000000">
        <w:trPr>
          <w:divId w:val="455417945"/>
          <w:tblCellSpacing w:w="0" w:type="dxa"/>
        </w:trPr>
        <w:tc>
          <w:tcPr>
            <w:tcW w:w="8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July 1, 2021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(68,265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433,517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4,335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5,771,179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5,707,269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64,946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5,772,215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Net income</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507,739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507,739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1,465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509,204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(353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(353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(110,865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(110,865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(110,865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(887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(887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Issuance of common stock, net of issue costs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3,516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76,893</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76,928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76,928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Issuance of common stock for merger</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179,920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3,736,936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3,738,735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3,738,735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Surrender of common stock for taxes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(567</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(11,575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(11,580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(11,580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28</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534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534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534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5,550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5,550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5,550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Noncontrolling interests assumed from the merger</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179,037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179,037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(3,094</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(3,094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September 30, 2021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328,609</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616,414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9,579,517</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9,914,310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241,114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10,155,424</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July 1, 2022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163,210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6,476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618,483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6,185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9,605,163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9,781,053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190,684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9,971,737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Net income/(loss)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57,954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57,954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(1,583</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56,371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360" w:hanging="180"/>
              <w:rPr>
                <w:sz w:val="16"/>
                <w:szCs w:val="16"/>
              </w:rPr>
            </w:pPr>
            <w:r>
              <w:rPr>
                <w:sz w:val="16"/>
                <w:szCs w:val="16"/>
              </w:rPr>
              <w:t>Other comprehensive income:</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540" w:hanging="180"/>
              <w:rPr>
                <w:sz w:val="16"/>
                <w:szCs w:val="16"/>
              </w:rPr>
            </w:pPr>
            <w:r>
              <w:rPr>
                <w:sz w:val="16"/>
                <w:szCs w:val="16"/>
              </w:rPr>
              <w:t>Change in unrealized gains related to defined</w:t>
            </w:r>
            <w:r>
              <w:rPr>
                <w:sz w:val="16"/>
                <w:szCs w:val="16"/>
              </w:rPr>
              <w:br/>
              <w:t>benefit plan</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212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212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212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(192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(192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(142,374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(142,374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(142,374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(52,125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(52,125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Surrender of common stock</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88</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88</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88</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6,261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6,261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6,261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455417945"/>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(15</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(15</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(15</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w:t>
            </w:r>
          </w:p>
        </w:tc>
      </w:tr>
      <w:tr w:rsidR="00E3336F">
        <w:trPr>
          <w:divId w:val="455417945"/>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Balance at September 30, 2022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78,790</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6,688</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618,463</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6,185</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9,611,382</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9,703,064</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136,784</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9,839,848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3336F">
      <w:pPr>
        <w:pStyle w:val="a3"/>
        <w:spacing w:before="0" w:beforeAutospacing="0" w:after="0" w:afterAutospacing="0"/>
        <w:jc w:val="center"/>
        <w:rPr>
          <w:sz w:val="20"/>
          <w:szCs w:val="20"/>
        </w:rPr>
      </w:pPr>
      <w:r>
        <w:rPr>
          <w:sz w:val="20"/>
          <w:szCs w:val="20"/>
        </w:rPr>
        <w:t> </w:t>
      </w:r>
    </w:p>
    <w:p w:rsidR="00000000" w:rsidRDefault="00E3336F">
      <w:pPr>
        <w:jc w:val="center"/>
        <w:divId w:val="320694671"/>
        <w:rPr>
          <w:rFonts w:eastAsia="Times New Roman"/>
          <w:sz w:val="20"/>
          <w:szCs w:val="20"/>
        </w:rPr>
      </w:pPr>
      <w:r>
        <w:rPr>
          <w:rFonts w:eastAsia="Times New Roman"/>
          <w:sz w:val="20"/>
          <w:szCs w:val="20"/>
        </w:rPr>
        <w:t xml:space="preserve">6 </w:t>
      </w:r>
    </w:p>
    <w:p w:rsidR="00000000" w:rsidRDefault="00E3336F">
      <w:pPr>
        <w:divId w:val="1130199586"/>
        <w:rPr>
          <w:rFonts w:eastAsia="Times New Roman"/>
          <w:sz w:val="20"/>
          <w:szCs w:val="20"/>
        </w:rPr>
      </w:pPr>
      <w:r>
        <w:rPr>
          <w:rFonts w:eastAsia="Times New Roman"/>
          <w:sz w:val="20"/>
          <w:szCs w:val="20"/>
        </w:rPr>
        <w:pict>
          <v:rect id="_x0000_i1034" style="width:415.3pt;height:1.5pt" o:hralign="center" o:hrstd="t" o:hrnoshade="t" o:hr="t" fillcolor="black" stroked="f"/>
        </w:pict>
      </w:r>
    </w:p>
    <w:p w:rsidR="00000000" w:rsidRDefault="00E3336F">
      <w:pPr>
        <w:divId w:val="122109350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413942273"/>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rPr>
          <w:sz w:val="20"/>
          <w:szCs w:val="20"/>
        </w:rPr>
      </w:pPr>
      <w:r>
        <w:rPr>
          <w:sz w:val="20"/>
          <w:szCs w:val="20"/>
        </w:rPr>
        <w:t>KIMCO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w:t>
      </w:r>
      <w:r>
        <w:rPr>
          <w:sz w:val="20"/>
          <w:szCs w:val="20"/>
        </w:rPr>
        <w:t>ED STATEMENTS OF CHANGES IN EQUITY</w:t>
      </w:r>
    </w:p>
    <w:p w:rsidR="00000000" w:rsidRDefault="00E3336F">
      <w:pPr>
        <w:pStyle w:val="a3"/>
        <w:spacing w:before="0" w:beforeAutospacing="0" w:after="0" w:afterAutospacing="0"/>
        <w:jc w:val="center"/>
        <w:rPr>
          <w:sz w:val="20"/>
          <w:szCs w:val="20"/>
        </w:rPr>
      </w:pPr>
      <w:r>
        <w:rPr>
          <w:sz w:val="20"/>
          <w:szCs w:val="20"/>
        </w:rPr>
        <w:t>For the Nine Months Ended September 30, 2022 and 2021</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29"/>
        <w:gridCol w:w="40"/>
        <w:gridCol w:w="100"/>
        <w:gridCol w:w="798"/>
        <w:gridCol w:w="54"/>
        <w:gridCol w:w="40"/>
        <w:gridCol w:w="134"/>
        <w:gridCol w:w="933"/>
        <w:gridCol w:w="40"/>
        <w:gridCol w:w="40"/>
        <w:gridCol w:w="88"/>
        <w:gridCol w:w="349"/>
        <w:gridCol w:w="56"/>
        <w:gridCol w:w="55"/>
        <w:gridCol w:w="113"/>
        <w:gridCol w:w="448"/>
        <w:gridCol w:w="54"/>
        <w:gridCol w:w="40"/>
        <w:gridCol w:w="40"/>
        <w:gridCol w:w="520"/>
        <w:gridCol w:w="54"/>
        <w:gridCol w:w="40"/>
        <w:gridCol w:w="113"/>
        <w:gridCol w:w="448"/>
        <w:gridCol w:w="54"/>
        <w:gridCol w:w="40"/>
        <w:gridCol w:w="80"/>
        <w:gridCol w:w="640"/>
        <w:gridCol w:w="54"/>
        <w:gridCol w:w="40"/>
        <w:gridCol w:w="134"/>
        <w:gridCol w:w="800"/>
        <w:gridCol w:w="54"/>
        <w:gridCol w:w="40"/>
        <w:gridCol w:w="148"/>
        <w:gridCol w:w="884"/>
        <w:gridCol w:w="54"/>
        <w:gridCol w:w="40"/>
        <w:gridCol w:w="80"/>
        <w:gridCol w:w="720"/>
        <w:gridCol w:w="54"/>
      </w:tblGrid>
      <w:tr w:rsidR="00000000">
        <w:trPr>
          <w:divId w:val="363598301"/>
          <w:tblCellSpacing w:w="0" w:type="dxa"/>
        </w:trPr>
        <w:tc>
          <w:tcPr>
            <w:tcW w:w="8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jc w:val="center"/>
              <w:rPr>
                <w:rFonts w:eastAsia="Times New Roman"/>
                <w:sz w:val="16"/>
                <w:szCs w:val="16"/>
              </w:rPr>
            </w:pPr>
            <w:r>
              <w:rPr>
                <w:rFonts w:eastAsia="Times New Roman"/>
                <w:b/>
                <w:bCs/>
                <w:sz w:val="16"/>
                <w:szCs w:val="16"/>
              </w:rPr>
              <w:t xml:space="preserve">Retained Earnings/ (Cumulative </w:t>
            </w:r>
          </w:p>
          <w:p w:rsidR="00000000" w:rsidRDefault="00E3336F">
            <w:pPr>
              <w:pStyle w:val="a3"/>
              <w:spacing w:before="0" w:beforeAutospacing="0" w:after="0" w:afterAutospacing="0"/>
              <w:jc w:val="center"/>
              <w:rPr>
                <w:sz w:val="16"/>
                <w:szCs w:val="16"/>
              </w:rPr>
            </w:pPr>
            <w:r>
              <w:rPr>
                <w:b/>
                <w:bCs/>
                <w:sz w:val="16"/>
                <w:szCs w:val="16"/>
              </w:rPr>
              <w:t>Distributions in Excess</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sz w:val="16"/>
                <w:szCs w:val="16"/>
              </w:rPr>
              <w:t> </w:t>
            </w:r>
          </w:p>
          <w:p w:rsidR="00000000" w:rsidRDefault="00E3336F">
            <w:pPr>
              <w:jc w:val="center"/>
              <w:rPr>
                <w:rFonts w:eastAsia="Times New Roman"/>
                <w:sz w:val="16"/>
                <w:szCs w:val="16"/>
              </w:rPr>
            </w:pPr>
            <w:r>
              <w:rPr>
                <w:rFonts w:eastAsia="Times New Roman"/>
                <w:b/>
                <w:bCs/>
                <w:sz w:val="16"/>
                <w:szCs w:val="16"/>
              </w:rPr>
              <w:t xml:space="preserve">Accumulated Other </w:t>
            </w:r>
          </w:p>
          <w:p w:rsidR="00000000" w:rsidRDefault="00E3336F">
            <w:pPr>
              <w:pStyle w:val="a3"/>
              <w:spacing w:before="0" w:beforeAutospacing="0" w:after="0" w:afterAutospacing="0"/>
              <w:jc w:val="center"/>
              <w:rPr>
                <w:sz w:val="16"/>
                <w:szCs w:val="16"/>
              </w:rPr>
            </w:pPr>
            <w:r>
              <w:rPr>
                <w:b/>
                <w:bCs/>
                <w:sz w:val="16"/>
                <w:szCs w:val="16"/>
              </w:rPr>
              <w:t>Comprehensive</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Preferred Stock</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4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Common Stock</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Paid-in</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sz w:val="16"/>
                <w:szCs w:val="16"/>
              </w:rPr>
              <w:t> </w:t>
            </w:r>
          </w:p>
          <w:p w:rsidR="00000000" w:rsidRDefault="00E3336F">
            <w:pPr>
              <w:jc w:val="center"/>
              <w:rPr>
                <w:rFonts w:eastAsia="Times New Roman"/>
                <w:sz w:val="16"/>
                <w:szCs w:val="16"/>
              </w:rPr>
            </w:pPr>
            <w:r>
              <w:rPr>
                <w:rFonts w:eastAsia="Times New Roman"/>
                <w:b/>
                <w:bCs/>
                <w:sz w:val="16"/>
                <w:szCs w:val="16"/>
              </w:rPr>
              <w:t xml:space="preserve">Total </w:t>
            </w:r>
          </w:p>
          <w:p w:rsidR="00000000" w:rsidRDefault="00E3336F">
            <w:pPr>
              <w:pStyle w:val="a3"/>
              <w:spacing w:before="0" w:beforeAutospacing="0" w:after="0" w:afterAutospacing="0"/>
              <w:jc w:val="center"/>
              <w:rPr>
                <w:sz w:val="16"/>
                <w:szCs w:val="16"/>
              </w:rPr>
            </w:pPr>
            <w:r>
              <w:rPr>
                <w:b/>
                <w:bCs/>
                <w:sz w:val="16"/>
                <w:szCs w:val="16"/>
              </w:rPr>
              <w:t>Stockholders'</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Noncontrolling</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vAlign w:val="bottom"/>
            <w:hideMark/>
          </w:tcPr>
          <w:p w:rsidR="00000000" w:rsidRDefault="00E3336F">
            <w:pPr>
              <w:pStyle w:val="a3"/>
              <w:spacing w:before="0" w:beforeAutospacing="0" w:after="0" w:afterAutospacing="0"/>
              <w:jc w:val="center"/>
              <w:rPr>
                <w:sz w:val="16"/>
                <w:szCs w:val="16"/>
              </w:rPr>
            </w:pPr>
            <w:r>
              <w:rPr>
                <w:b/>
                <w:bCs/>
                <w:sz w:val="16"/>
                <w:szCs w:val="16"/>
              </w:rPr>
              <w:t>Total</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r>
      <w:tr w:rsidR="00000000">
        <w:trPr>
          <w:divId w:val="363598301"/>
          <w:tblCellSpacing w:w="0" w:type="dxa"/>
        </w:trPr>
        <w:tc>
          <w:tcPr>
            <w:tcW w:w="8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of Net Income)</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Income</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Issued</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Amount</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Capital</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Equity</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Interests</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E3336F">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16"/>
                <w:szCs w:val="16"/>
              </w:rPr>
            </w:pPr>
            <w:r>
              <w:rPr>
                <w:b/>
                <w:bCs/>
                <w:sz w:val="16"/>
                <w:szCs w:val="16"/>
              </w:rPr>
              <w:t>Equity</w:t>
            </w:r>
          </w:p>
        </w:tc>
        <w:tc>
          <w:tcPr>
            <w:tcW w:w="50" w:type="pct"/>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January 1, 2021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(162,812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432,519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4,325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5,766,511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5,608,044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62,210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5,670,254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Net income</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762,378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762,378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5,369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767,747</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(529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(529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(270,957</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(270,957</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(270,957</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(1,879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(1,879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Issuance of common stock, net of issuance costs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4,958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49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76,879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76,928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76,928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Issuance of common stock for merger</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179,920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3,736,936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3,738,735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3,738,735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Surrender of common stock for taxes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(1,115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(10</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(20,816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(20,826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(20,826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132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2,503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2,504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2,504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17,504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17,504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17,504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Noncontrolling interests assumed from the merger</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179,037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179,037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(3,094</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(3,094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September 30, 2021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328,609</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616,414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9,579,517</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9,914,310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241,114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10,155,424</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January 1, 2022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299,115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2,216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616,659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6,167</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9,591,871</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9,899,389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210,793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10,110,182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Contributions from noncontrolling interests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891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891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Net income/(loss)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175,755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175,755</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(14,152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161,603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Other comprehensive income</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360" w:hanging="180"/>
              <w:rPr>
                <w:sz w:val="16"/>
                <w:szCs w:val="16"/>
              </w:rPr>
            </w:pPr>
            <w:r>
              <w:rPr>
                <w:sz w:val="16"/>
                <w:szCs w:val="16"/>
              </w:rPr>
              <w:t>Change in unrealized gains related to</w:t>
            </w:r>
            <w:r>
              <w:rPr>
                <w:sz w:val="16"/>
                <w:szCs w:val="16"/>
              </w:rPr>
              <w:br/>
              <w:t>defined benefit plan</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4,472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4,472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4,472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Redeemable noncontrolling interests income</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(726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(726</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Dividends declared to common and preferred shares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(396,144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(396,144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(396,144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Repurchase of preferred stock</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64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rPr>
                <w:rFonts w:eastAsia="Times New Roman"/>
                <w:sz w:val="16"/>
                <w:szCs w:val="16"/>
              </w:rPr>
            </w:pP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(3,505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(3,442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(3,442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Distributions to noncontrolling interests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(58,183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(58,183</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Issuance of common stock</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2,162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22</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11,259</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11,281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11,281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Surrender of common stock</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(609</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(6</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r>
              <w:rPr>
                <w:rFonts w:eastAsia="Times New Roman"/>
                <w:sz w:val="16"/>
                <w:szCs w:val="16"/>
              </w:rPr>
              <w:t>13,654</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(13,660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(13,660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Exercise of common stock options</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178</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1</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3,644</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3,645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E3336F">
            <w:pPr>
              <w:jc w:val="right"/>
              <w:rPr>
                <w:rFonts w:eastAsia="Times New Roman"/>
                <w:sz w:val="16"/>
                <w:szCs w:val="16"/>
              </w:rPr>
            </w:pPr>
            <w:r>
              <w:rPr>
                <w:rFonts w:eastAsia="Times New Roman"/>
                <w:sz w:val="16"/>
                <w:szCs w:val="16"/>
              </w:rPr>
              <w:t>3,645</w:t>
            </w:r>
          </w:p>
        </w:tc>
        <w:tc>
          <w:tcPr>
            <w:tcW w:w="50" w:type="pct"/>
            <w:shd w:val="clear" w:color="auto" w:fill="FFFF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Amortization of equity awards</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4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Style w:val="a6"/>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20,170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20,170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30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E3336F">
            <w:pPr>
              <w:jc w:val="right"/>
              <w:rPr>
                <w:rFonts w:eastAsia="Times New Roman"/>
                <w:sz w:val="16"/>
                <w:szCs w:val="16"/>
              </w:rPr>
            </w:pPr>
            <w:r>
              <w:rPr>
                <w:rFonts w:eastAsia="Times New Roman"/>
                <w:sz w:val="16"/>
                <w:szCs w:val="16"/>
              </w:rPr>
              <w:t>20,170</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r>
      <w:tr w:rsidR="00E3336F">
        <w:trPr>
          <w:divId w:val="363598301"/>
          <w:tblCellSpacing w:w="0" w:type="dxa"/>
        </w:trPr>
        <w:tc>
          <w:tcPr>
            <w:tcW w:w="850" w:type="pct"/>
            <w:shd w:val="clear" w:color="auto" w:fill="FFFFFF"/>
            <w:vAlign w:val="bottom"/>
            <w:hideMark/>
          </w:tcPr>
          <w:p w:rsidR="00000000" w:rsidRDefault="00E3336F">
            <w:pPr>
              <w:pStyle w:val="a3"/>
              <w:spacing w:before="0" w:beforeAutospacing="0" w:after="0" w:afterAutospacing="0"/>
              <w:ind w:left="180" w:hanging="180"/>
              <w:rPr>
                <w:sz w:val="16"/>
                <w:szCs w:val="16"/>
              </w:rPr>
            </w:pPr>
            <w:r>
              <w:rPr>
                <w:sz w:val="16"/>
                <w:szCs w:val="16"/>
              </w:rPr>
              <w:t>Redemption/conversion of noncontrolling interests</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4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73</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1,597</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1,598</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30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(1,839</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E3336F">
            <w:pPr>
              <w:jc w:val="right"/>
              <w:rPr>
                <w:rFonts w:eastAsia="Times New Roman"/>
                <w:sz w:val="16"/>
                <w:szCs w:val="16"/>
              </w:rPr>
            </w:pPr>
            <w:r>
              <w:rPr>
                <w:rFonts w:eastAsia="Times New Roman"/>
                <w:sz w:val="16"/>
                <w:szCs w:val="16"/>
              </w:rPr>
              <w:t>(241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16"/>
                <w:szCs w:val="16"/>
              </w:rPr>
            </w:pPr>
            <w:r>
              <w:rPr>
                <w:rFonts w:eastAsia="Times New Roman"/>
                <w:sz w:val="16"/>
                <w:szCs w:val="16"/>
              </w:rPr>
              <w:t>)</w:t>
            </w:r>
          </w:p>
        </w:tc>
      </w:tr>
      <w:tr w:rsidR="00E3336F">
        <w:trPr>
          <w:divId w:val="363598301"/>
          <w:tblCellSpacing w:w="0" w:type="dxa"/>
        </w:trPr>
        <w:tc>
          <w:tcPr>
            <w:tcW w:w="850" w:type="pct"/>
            <w:shd w:val="clear" w:color="auto" w:fill="CCEEFF"/>
            <w:vAlign w:val="bottom"/>
            <w:hideMark/>
          </w:tcPr>
          <w:p w:rsidR="00000000" w:rsidRDefault="00E3336F">
            <w:pPr>
              <w:pStyle w:val="a3"/>
              <w:spacing w:before="0" w:beforeAutospacing="0" w:after="0" w:afterAutospacing="0"/>
              <w:ind w:left="180" w:hanging="180"/>
              <w:rPr>
                <w:sz w:val="16"/>
                <w:szCs w:val="16"/>
              </w:rPr>
            </w:pPr>
            <w:r>
              <w:rPr>
                <w:sz w:val="16"/>
                <w:szCs w:val="16"/>
              </w:rPr>
              <w:t>Balance at September 30, 2022</w:t>
            </w:r>
          </w:p>
        </w:tc>
        <w:tc>
          <w:tcPr>
            <w:tcW w:w="50" w:type="pct"/>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4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78,790</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6,688</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19</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618,463</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6,185</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9,611,382</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9,703,064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30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136,784</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E3336F">
            <w:pPr>
              <w:jc w:val="right"/>
              <w:rPr>
                <w:rFonts w:eastAsia="Times New Roman"/>
                <w:sz w:val="16"/>
                <w:szCs w:val="16"/>
              </w:rPr>
            </w:pPr>
            <w:r>
              <w:rPr>
                <w:rFonts w:eastAsia="Times New Roman"/>
                <w:sz w:val="16"/>
                <w:szCs w:val="16"/>
              </w:rPr>
              <w:t>9,839,848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16"/>
                <w:szCs w:val="16"/>
              </w:rPr>
            </w:pPr>
            <w:r>
              <w:rPr>
                <w:rFonts w:eastAsia="Times New Roman"/>
                <w:sz w:val="16"/>
                <w:szCs w:val="16"/>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762026014"/>
        <w:rPr>
          <w:rFonts w:eastAsia="Times New Roman"/>
          <w:sz w:val="20"/>
          <w:szCs w:val="20"/>
        </w:rPr>
      </w:pPr>
      <w:r>
        <w:rPr>
          <w:rFonts w:eastAsia="Times New Roman"/>
          <w:sz w:val="20"/>
          <w:szCs w:val="20"/>
        </w:rPr>
        <w:t xml:space="preserve">7 </w:t>
      </w:r>
    </w:p>
    <w:p w:rsidR="00000000" w:rsidRDefault="00E3336F">
      <w:pPr>
        <w:divId w:val="2070498128"/>
        <w:rPr>
          <w:rFonts w:eastAsia="Times New Roman"/>
          <w:sz w:val="20"/>
          <w:szCs w:val="20"/>
        </w:rPr>
      </w:pPr>
      <w:r>
        <w:rPr>
          <w:rFonts w:eastAsia="Times New Roman"/>
          <w:sz w:val="20"/>
          <w:szCs w:val="20"/>
        </w:rPr>
        <w:pict>
          <v:rect id="_x0000_i1035" style="width:415.3pt;height:1.5pt" o:hralign="center" o:hrstd="t" o:hrnoshade="t" o:hr="t" fillcolor="black" stroked="f"/>
        </w:pict>
      </w:r>
    </w:p>
    <w:p w:rsidR="00000000" w:rsidRDefault="00E3336F">
      <w:pPr>
        <w:divId w:val="11506368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541933965"/>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center"/>
        <w:rPr>
          <w:sz w:val="20"/>
          <w:szCs w:val="20"/>
        </w:rPr>
      </w:pPr>
      <w:r>
        <w:rPr>
          <w:sz w:val="20"/>
          <w:szCs w:val="20"/>
        </w:rPr>
        <w:t>KIMCO REALTY CORPORATION AND SUBSIDIARIES</w:t>
      </w:r>
    </w:p>
    <w:p w:rsidR="00000000" w:rsidRDefault="00E3336F">
      <w:pPr>
        <w:pStyle w:val="a3"/>
        <w:spacing w:before="0" w:beforeAutospacing="0" w:after="0" w:afterAutospacing="0"/>
        <w:jc w:val="center"/>
        <w:rPr>
          <w:sz w:val="20"/>
          <w:szCs w:val="20"/>
        </w:rPr>
      </w:pPr>
      <w:r>
        <w:rPr>
          <w:sz w:val="20"/>
          <w:szCs w:val="20"/>
        </w:rPr>
        <w:t>CONDENSED CONSOLIDATED STATEMENTS OF CASH FLOWS</w:t>
      </w:r>
    </w:p>
    <w:p w:rsidR="00000000" w:rsidRDefault="00E3336F">
      <w:pPr>
        <w:pStyle w:val="a3"/>
        <w:spacing w:before="0" w:beforeAutospacing="0" w:after="0" w:afterAutospacing="0"/>
        <w:jc w:val="center"/>
        <w:rPr>
          <w:sz w:val="20"/>
          <w:szCs w:val="20"/>
        </w:rPr>
      </w:pPr>
      <w:r>
        <w:rPr>
          <w:sz w:val="20"/>
          <w:szCs w:val="20"/>
        </w:rPr>
        <w:t>(Unaudited)</w:t>
      </w:r>
    </w:p>
    <w:p w:rsidR="00000000" w:rsidRDefault="00E3336F">
      <w:pPr>
        <w:pStyle w:val="a3"/>
        <w:spacing w:before="0" w:beforeAutospacing="0" w:after="0" w:afterAutospacing="0"/>
        <w:jc w:val="center"/>
        <w:rPr>
          <w:sz w:val="20"/>
          <w:szCs w:val="20"/>
        </w:rPr>
      </w:pPr>
      <w:r>
        <w:rPr>
          <w:sz w:val="20"/>
          <w:szCs w:val="20"/>
        </w:rPr>
        <w:t>(in thousands)</w:t>
      </w:r>
    </w:p>
    <w:p w:rsidR="00000000" w:rsidRDefault="00E3336F">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392383330"/>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vAlign w:val="bottom"/>
            <w:hideMark/>
          </w:tcPr>
          <w:p w:rsidR="00000000" w:rsidRDefault="00E3336F">
            <w:pPr>
              <w:pStyle w:val="a3"/>
              <w:spacing w:before="0" w:beforeAutospacing="0" w:after="0" w:afterAutospacing="0"/>
              <w:jc w:val="center"/>
              <w:rPr>
                <w:sz w:val="20"/>
                <w:szCs w:val="20"/>
              </w:rPr>
            </w:pPr>
            <w:r>
              <w:rPr>
                <w:b/>
                <w:bCs/>
                <w:sz w:val="20"/>
                <w:szCs w:val="20"/>
              </w:rPr>
              <w:t xml:space="preserve">Nine Months Endeds September 30,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3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161,603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767,747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380,324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261,687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21,758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7,658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20,185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17,971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215,194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(542,510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(94,060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(54,095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(15,491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(10,365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Distributions from joint ventures and other investments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66,875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54,188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Change in accounts and notes receivable,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(10,950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(3,644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33,534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(55,569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Change in other operating assets and liabilities, net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(69,916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11,747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705,756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417,270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Cash flow from investing activities: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Acquisition of operating real estate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(161,171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(102,682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(128,592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(112,792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Acquisition of Weingarten Realty Investors, net of cash acquired of $56,465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(263,973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Investment in marketable securities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(3,348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Proceeds from sale of marketable securities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Investment in cost method investment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(4,497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(80,496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(7,546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31,540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9,113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Investments in and advances to other investments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(12,669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(59,504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Reimbursements of investments in and advances to other investments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29,444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48,420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(75,063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(26,897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38,232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3,742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Proceeds from sale of properties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146,218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154,017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cash flow used for investing activities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(219,602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(357,763</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Cash flow from financing activities: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(157,928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(136,222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(7,244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(7,481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Proceeds from mortgage loan financings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1,250,000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500,000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Proceeds from unsecured revolving credit facility,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Repayments of unsecured notes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(1,449,060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Financing origination costs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(19,273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(7,017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(6,955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(59,361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Dividends paid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(396,182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(270,956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14,926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79,433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Repurchase of preferred stock</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(3,441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Shares repurchased for employee tax withholding on equity awards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(13,549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(20,787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Change in tenants' security deposits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2,890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1,364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Net cash flow (used for)/provided by financing activities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(697,286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130,776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Net change in cash, cash equivalents and restricted cash</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(211,132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190,283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72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123,531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483,471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1392383330"/>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 xml:space="preserve">Interest paid during the period, including payment of early extinguishment of debt charges of </w:t>
            </w:r>
            <w:r>
              <w:rPr>
                <w:sz w:val="20"/>
                <w:szCs w:val="20"/>
              </w:rPr>
              <w:t>$</w:t>
            </w:r>
            <w:r>
              <w:rPr>
                <w:sz w:val="20"/>
                <w:szCs w:val="20"/>
              </w:rPr>
              <w:t>6,95</w:t>
            </w:r>
            <w:r>
              <w:rPr>
                <w:sz w:val="20"/>
                <w:szCs w:val="20"/>
              </w:rPr>
              <w:t>5</w:t>
            </w:r>
            <w:r>
              <w:rPr>
                <w:sz w:val="20"/>
                <w:szCs w:val="20"/>
              </w:rPr>
              <w:t xml:space="preserve"> and </w:t>
            </w:r>
            <w:r>
              <w:rPr>
                <w:sz w:val="20"/>
                <w:szCs w:val="20"/>
              </w:rPr>
              <w:t>$</w:t>
            </w:r>
            <w:r>
              <w:rPr>
                <w:sz w:val="20"/>
                <w:szCs w:val="20"/>
              </w:rPr>
              <w:t>0</w:t>
            </w:r>
            <w:r>
              <w:rPr>
                <w:sz w:val="20"/>
                <w:szCs w:val="20"/>
              </w:rPr>
              <w:t xml:space="preserve">, respectively (net of capitalized interest of </w:t>
            </w:r>
            <w:r>
              <w:rPr>
                <w:sz w:val="20"/>
                <w:szCs w:val="20"/>
              </w:rPr>
              <w:t>$</w:t>
            </w:r>
            <w:r>
              <w:rPr>
                <w:sz w:val="20"/>
                <w:szCs w:val="20"/>
              </w:rPr>
              <w:t>44</w:t>
            </w:r>
            <w:r>
              <w:rPr>
                <w:sz w:val="20"/>
                <w:szCs w:val="20"/>
              </w:rPr>
              <w:t>5</w:t>
            </w:r>
            <w:r>
              <w:rPr>
                <w:sz w:val="20"/>
                <w:szCs w:val="20"/>
              </w:rPr>
              <w:t xml:space="preserve"> and </w:t>
            </w:r>
            <w:r>
              <w:rPr>
                <w:sz w:val="20"/>
                <w:szCs w:val="20"/>
              </w:rPr>
              <w:t>$</w:t>
            </w:r>
            <w:r>
              <w:rPr>
                <w:sz w:val="20"/>
                <w:szCs w:val="20"/>
              </w:rPr>
              <w:t>48</w:t>
            </w:r>
            <w:r>
              <w:rPr>
                <w:sz w:val="20"/>
                <w:szCs w:val="20"/>
              </w:rPr>
              <w:t>2</w:t>
            </w:r>
            <w:r>
              <w:rPr>
                <w:sz w:val="20"/>
                <w:szCs w:val="20"/>
              </w:rPr>
              <w:t>, respectively)</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186,193</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122,297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390959976"/>
        <w:rPr>
          <w:rFonts w:eastAsia="Times New Roman"/>
          <w:sz w:val="20"/>
          <w:szCs w:val="20"/>
        </w:rPr>
      </w:pPr>
      <w:r>
        <w:rPr>
          <w:rFonts w:eastAsia="Times New Roman"/>
          <w:sz w:val="20"/>
          <w:szCs w:val="20"/>
        </w:rPr>
        <w:t xml:space="preserve">8 </w:t>
      </w:r>
    </w:p>
    <w:p w:rsidR="00000000" w:rsidRDefault="00E3336F">
      <w:pPr>
        <w:divId w:val="451561212"/>
        <w:rPr>
          <w:rFonts w:eastAsia="Times New Roman"/>
          <w:sz w:val="20"/>
          <w:szCs w:val="20"/>
        </w:rPr>
      </w:pPr>
      <w:r>
        <w:rPr>
          <w:rFonts w:eastAsia="Times New Roman"/>
          <w:sz w:val="20"/>
          <w:szCs w:val="20"/>
        </w:rPr>
        <w:pict>
          <v:rect id="_x0000_i1036" style="width:415.3pt;height:1.5pt" o:hralign="center" o:hrstd="t" o:hrnoshade="t" o:hr="t" fillcolor="black" stroked="f"/>
        </w:pict>
      </w:r>
    </w:p>
    <w:p w:rsidR="00000000" w:rsidRDefault="00E3336F">
      <w:pPr>
        <w:divId w:val="18633067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KIMCO REALTY CORPORATION AND SUBSIDIARIES</w:t>
      </w:r>
    </w:p>
    <w:p w:rsidR="00000000" w:rsidRDefault="00E3336F">
      <w:pPr>
        <w:pStyle w:val="a3"/>
        <w:spacing w:before="0" w:beforeAutospacing="0" w:after="0" w:afterAutospacing="0"/>
        <w:jc w:val="center"/>
        <w:rPr>
          <w:sz w:val="20"/>
          <w:szCs w:val="20"/>
        </w:rPr>
      </w:pPr>
      <w:r>
        <w:rPr>
          <w:sz w:val="20"/>
          <w:szCs w:val="20"/>
        </w:rPr>
        <w:t> </w:t>
      </w:r>
    </w:p>
    <w:p w:rsidR="00000000" w:rsidRDefault="00E3336F">
      <w:pPr>
        <w:pStyle w:val="a3"/>
        <w:spacing w:before="0" w:beforeAutospacing="0" w:after="0" w:afterAutospacing="0"/>
        <w:jc w:val="center"/>
        <w:rPr>
          <w:sz w:val="20"/>
          <w:szCs w:val="20"/>
        </w:rPr>
      </w:pPr>
      <w:r>
        <w:rPr>
          <w:sz w:val="20"/>
          <w:szCs w:val="20"/>
        </w:rPr>
        <w:t>NOTES TO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divId w:val="104236610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1.</w:t>
      </w:r>
      <w:r>
        <w:rPr>
          <w:sz w:val="20"/>
          <w:szCs w:val="20"/>
        </w:rPr>
        <w:t xml:space="preserve"> </w:t>
      </w:r>
      <w:r>
        <w:rPr>
          <w:sz w:val="20"/>
          <w:szCs w:val="20"/>
          <w:u w:val="single"/>
        </w:rPr>
        <w:t>Business and Organization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Kimco Realty Corporation, a Maryland corporation, is North America’s largest publicly traded owner and operator of open-air, grocery-anchored shopping centers, includi</w:t>
      </w:r>
      <w:r>
        <w:rPr>
          <w:sz w:val="20"/>
          <w:szCs w:val="20"/>
        </w:rPr>
        <w:t>ng mixed-use assets. The terms “Kimco,” the “Company,” “we,” “our” and “us” each refers to Kimco Realty Corporation and our subsidiaries, unless the context indicates otherwise. The Company, its affiliates and related real estate joint ventures are engaged</w:t>
      </w:r>
      <w:r>
        <w:rPr>
          <w:sz w:val="20"/>
          <w:szCs w:val="20"/>
        </w:rPr>
        <w:t xml:space="preserve"> principally in the ownership, management, development and operation of open-air shopping centers, including mixed-use assets which are anchored generally by grocery stores, off-price retailers, home improvement centers, discounters and/or service-oriented</w:t>
      </w:r>
      <w:r>
        <w:rPr>
          <w:sz w:val="20"/>
          <w:szCs w:val="20"/>
        </w:rPr>
        <w:t xml:space="preserve"> tenants. Additionally, the Company provides complementary services that capitalize on the Company’s established retail real estate expertise.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elected status as a Real Estate Investment Trust (a “REIT”) for federal income tax purposes beginni</w:t>
      </w:r>
      <w:r>
        <w:rPr>
          <w:sz w:val="20"/>
          <w:szCs w:val="20"/>
        </w:rPr>
        <w:t xml:space="preserve">ng in its taxable year ended </w:t>
      </w:r>
      <w:r>
        <w:rPr>
          <w:rStyle w:val="a6"/>
          <w:sz w:val="20"/>
          <w:szCs w:val="20"/>
        </w:rPr>
        <w:t xml:space="preserve">December 31, 1991 </w:t>
      </w:r>
      <w:r>
        <w:rPr>
          <w:sz w:val="20"/>
          <w:szCs w:val="20"/>
        </w:rPr>
        <w:t xml:space="preserve">and operates in a manner that enables the Company to maintain its status as a REIT. As a REIT, with respect to each taxable year, the Company must distribute at least </w:t>
      </w:r>
      <w:r>
        <w:rPr>
          <w:rStyle w:val="a6"/>
          <w:sz w:val="20"/>
          <w:szCs w:val="20"/>
        </w:rPr>
        <w:t>90</w:t>
      </w:r>
      <w:r>
        <w:rPr>
          <w:sz w:val="20"/>
          <w:szCs w:val="20"/>
        </w:rPr>
        <w:t xml:space="preserve"> percent of its taxable income (excludin</w:t>
      </w:r>
      <w:r>
        <w:rPr>
          <w:sz w:val="20"/>
          <w:szCs w:val="20"/>
        </w:rPr>
        <w:t xml:space="preserve">g capital gain) and does </w:t>
      </w:r>
      <w:r>
        <w:rPr>
          <w:rStyle w:val="a6"/>
          <w:sz w:val="20"/>
          <w:szCs w:val="20"/>
        </w:rPr>
        <w:t>not</w:t>
      </w:r>
      <w:r>
        <w:rPr>
          <w:sz w:val="20"/>
          <w:szCs w:val="20"/>
        </w:rPr>
        <w:t xml:space="preserve"> pay federal income taxes on the amount distributed to its shareholders. The Company is </w:t>
      </w:r>
      <w:r>
        <w:rPr>
          <w:rStyle w:val="a6"/>
          <w:sz w:val="20"/>
          <w:szCs w:val="20"/>
        </w:rPr>
        <w:t>not</w:t>
      </w:r>
      <w:r>
        <w:rPr>
          <w:sz w:val="20"/>
          <w:szCs w:val="20"/>
        </w:rPr>
        <w:t xml:space="preserve"> generally subject to federal income taxes if it distributes </w:t>
      </w:r>
      <w:r>
        <w:rPr>
          <w:rStyle w:val="a6"/>
          <w:sz w:val="20"/>
          <w:szCs w:val="20"/>
        </w:rPr>
        <w:t>100</w:t>
      </w:r>
      <w:r>
        <w:rPr>
          <w:sz w:val="20"/>
          <w:szCs w:val="20"/>
        </w:rPr>
        <w:t xml:space="preserve"> percent of its taxable income. Most states where the Company holds inves</w:t>
      </w:r>
      <w:r>
        <w:rPr>
          <w:sz w:val="20"/>
          <w:szCs w:val="20"/>
        </w:rPr>
        <w:t>tments in real estate conform to the federal rules recognizing REITs. Certain subsidiaries have made a joint election with the Company to be treated as taxable REIT subsidiaries (“TRSs”), which permit the Company to engage in certain business activities wh</w:t>
      </w:r>
      <w:r>
        <w:rPr>
          <w:sz w:val="20"/>
          <w:szCs w:val="20"/>
        </w:rPr>
        <w:t xml:space="preserve">ich the REIT </w:t>
      </w:r>
      <w:r>
        <w:rPr>
          <w:rStyle w:val="a6"/>
          <w:sz w:val="20"/>
          <w:szCs w:val="20"/>
        </w:rPr>
        <w:t>may not</w:t>
      </w:r>
      <w:r>
        <w:rPr>
          <w:sz w:val="20"/>
          <w:szCs w:val="20"/>
        </w:rPr>
        <w:t xml:space="preserve"> conduct directly. A TRS is subject to federal and state income taxes on its income, and the Company includes, when applicable, a provision for taxes in its condensed consolidated financial statements. The Company is subject to and also</w:t>
      </w:r>
      <w:r>
        <w:rPr>
          <w:sz w:val="20"/>
          <w:szCs w:val="20"/>
        </w:rPr>
        <w:t xml:space="preserve"> includes in its tax provision non-U.S. income taxes on certain investments located in jurisdictions outside the U.S. These investments are held by the Company at the REIT level and </w:t>
      </w:r>
      <w:r>
        <w:rPr>
          <w:rStyle w:val="a6"/>
          <w:sz w:val="20"/>
          <w:szCs w:val="20"/>
        </w:rPr>
        <w:t>not</w:t>
      </w:r>
      <w:r>
        <w:rPr>
          <w:sz w:val="20"/>
          <w:szCs w:val="20"/>
        </w:rPr>
        <w:t xml:space="preserve"> in the Company’s taxable REIT subsidiaries. Accordingly, the Company d</w:t>
      </w:r>
      <w:r>
        <w:rPr>
          <w:sz w:val="20"/>
          <w:szCs w:val="20"/>
        </w:rPr>
        <w:t xml:space="preserve">oes </w:t>
      </w:r>
      <w:r>
        <w:rPr>
          <w:rStyle w:val="a6"/>
          <w:sz w:val="20"/>
          <w:szCs w:val="20"/>
        </w:rPr>
        <w:t>not</w:t>
      </w:r>
      <w:r>
        <w:rPr>
          <w:sz w:val="20"/>
          <w:szCs w:val="20"/>
        </w:rPr>
        <w:t xml:space="preserve"> expect a U.S. income tax impact associated with the repatriation of undistributed earnings from the Company’s foreign subsidiaries.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Weingarten Merger</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On </w:t>
      </w:r>
      <w:r>
        <w:rPr>
          <w:rStyle w:val="a6"/>
          <w:sz w:val="20"/>
          <w:szCs w:val="20"/>
        </w:rPr>
        <w:t xml:space="preserve">August 3, 2021, </w:t>
      </w:r>
      <w:r>
        <w:rPr>
          <w:sz w:val="20"/>
          <w:szCs w:val="20"/>
        </w:rPr>
        <w:t>Weingarten Realty Investors (“Weingarten”) merged with and into the Company</w:t>
      </w:r>
      <w:r>
        <w:rPr>
          <w:sz w:val="20"/>
          <w:szCs w:val="20"/>
        </w:rPr>
        <w:t xml:space="preserve">, with the Company continuing as the surviving public company (the “Merger”), pursuant to the definitive merger agreement (the “Merger Agreement”) between the Company and Weingarten, entered into on </w:t>
      </w:r>
      <w:r>
        <w:rPr>
          <w:rStyle w:val="a6"/>
          <w:sz w:val="20"/>
          <w:szCs w:val="20"/>
        </w:rPr>
        <w:t xml:space="preserve">April 15, 2021. </w:t>
      </w:r>
      <w:r>
        <w:rPr>
          <w:sz w:val="20"/>
          <w:szCs w:val="20"/>
        </w:rPr>
        <w:t xml:space="preserve">Under the terms of the Merger Agreement, </w:t>
      </w:r>
      <w:r>
        <w:rPr>
          <w:sz w:val="20"/>
          <w:szCs w:val="20"/>
        </w:rPr>
        <w:t>each Weingarten common share was entitled to 1.408 newly issued shares of the Company’s common stock plus $2.20 in cash, subject to certain adjustments specified in the Merger Agreement.</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xml:space="preserve">See Footnote </w:t>
      </w:r>
      <w:r>
        <w:rPr>
          <w:rStyle w:val="a6"/>
          <w:sz w:val="20"/>
          <w:szCs w:val="20"/>
        </w:rPr>
        <w:t>3</w:t>
      </w:r>
      <w:r>
        <w:rPr>
          <w:sz w:val="20"/>
          <w:szCs w:val="20"/>
        </w:rPr>
        <w:t xml:space="preserve"> of the Company’s Condensed Consolidated Financial St</w:t>
      </w:r>
      <w:r>
        <w:rPr>
          <w:sz w:val="20"/>
          <w:szCs w:val="20"/>
        </w:rPr>
        <w:t>atements for further disclosure regarding the Merger transaction.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Economic Conditions and the COVID-</w:t>
      </w:r>
      <w:r>
        <w:rPr>
          <w:rStyle w:val="a6"/>
          <w:sz w:val="20"/>
          <w:szCs w:val="20"/>
        </w:rPr>
        <w:t>19</w:t>
      </w:r>
      <w:r>
        <w:rPr>
          <w:i/>
          <w:iCs/>
          <w:sz w:val="20"/>
          <w:szCs w:val="20"/>
        </w:rPr>
        <w:t xml:space="preserve"> Pandemic</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economy continues to face several issues including the lack of qualified employees, inflation risk, supply chain issues and new coronavi</w:t>
      </w:r>
      <w:r>
        <w:rPr>
          <w:sz w:val="20"/>
          <w:szCs w:val="20"/>
        </w:rPr>
        <w:t xml:space="preserve">rus disease </w:t>
      </w:r>
      <w:r>
        <w:rPr>
          <w:rStyle w:val="a6"/>
          <w:sz w:val="20"/>
          <w:szCs w:val="20"/>
        </w:rPr>
        <w:t>2019</w:t>
      </w:r>
      <w:r>
        <w:rPr>
          <w:sz w:val="20"/>
          <w:szCs w:val="20"/>
        </w:rPr>
        <w:t xml:space="preserve"> (“COVID-</w:t>
      </w:r>
      <w:r>
        <w:rPr>
          <w:rStyle w:val="a6"/>
          <w:sz w:val="20"/>
          <w:szCs w:val="20"/>
        </w:rPr>
        <w:t>19”</w:t>
      </w:r>
      <w:r>
        <w:rPr>
          <w:sz w:val="20"/>
          <w:szCs w:val="20"/>
        </w:rPr>
        <w:t xml:space="preserve">) variants, which could impact the Company and its tenants. In response to the rising rate of inflation the Federal Reserve has steadily increased interest rates, and </w:t>
      </w:r>
      <w:r>
        <w:rPr>
          <w:rStyle w:val="a6"/>
          <w:sz w:val="20"/>
          <w:szCs w:val="20"/>
        </w:rPr>
        <w:t xml:space="preserve">may </w:t>
      </w:r>
      <w:r>
        <w:rPr>
          <w:sz w:val="20"/>
          <w:szCs w:val="20"/>
        </w:rPr>
        <w:t>continue to increase interest rates, until the rate of in</w:t>
      </w:r>
      <w:r>
        <w:rPr>
          <w:sz w:val="20"/>
          <w:szCs w:val="20"/>
        </w:rPr>
        <w:t>flation begins to decrease. These increases in interest rates could adversely impact the business and financial results of the Company and its tenants. In addition to the rising rate of inflation, slower economic growth and the potential for a recession co</w:t>
      </w:r>
      <w:r>
        <w:rPr>
          <w:sz w:val="20"/>
          <w:szCs w:val="20"/>
        </w:rPr>
        <w:t xml:space="preserve">uld have an adverse effect on the Company and its tenants. This could negatively affect the overall demand for retail space, including the demand for leasable space in the Company’s properties. As a result, the Company could feel pricing pressure on rents </w:t>
      </w:r>
      <w:r>
        <w:rPr>
          <w:sz w:val="20"/>
          <w:szCs w:val="20"/>
        </w:rPr>
        <w:t>that it is able to charge to new or renewing tenants, such that future rents and rent spreads could be negatively impacted. The Company continues to monitor economic, financial, and social conditions, including the effects of the COVID-</w:t>
      </w:r>
      <w:r>
        <w:rPr>
          <w:rStyle w:val="a6"/>
          <w:sz w:val="20"/>
          <w:szCs w:val="20"/>
        </w:rPr>
        <w:t>19</w:t>
      </w:r>
      <w:r>
        <w:rPr>
          <w:sz w:val="20"/>
          <w:szCs w:val="20"/>
        </w:rPr>
        <w:t xml:space="preserve"> pandemic, and wil</w:t>
      </w:r>
      <w:r>
        <w:rPr>
          <w:sz w:val="20"/>
          <w:szCs w:val="20"/>
        </w:rPr>
        <w:t>l assess its asset portfolio for any impairment indicators.</w:t>
      </w:r>
    </w:p>
    <w:p w:rsidR="00000000" w:rsidRDefault="00E3336F">
      <w:pPr>
        <w:pStyle w:val="a3"/>
        <w:spacing w:before="0" w:beforeAutospacing="0" w:after="0" w:afterAutospacing="0"/>
        <w:rPr>
          <w:sz w:val="20"/>
          <w:szCs w:val="20"/>
        </w:rPr>
      </w:pPr>
      <w:r>
        <w:rPr>
          <w:sz w:val="20"/>
          <w:szCs w:val="20"/>
        </w:rPr>
        <w:t> </w:t>
      </w:r>
    </w:p>
    <w:p w:rsidR="00000000" w:rsidRDefault="00E3336F">
      <w:pPr>
        <w:divId w:val="21982131"/>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2.</w:t>
      </w:r>
      <w:r>
        <w:rPr>
          <w:sz w:val="20"/>
          <w:szCs w:val="20"/>
        </w:rPr>
        <w:t xml:space="preserve"> </w:t>
      </w:r>
      <w:r>
        <w:rPr>
          <w:sz w:val="20"/>
          <w:szCs w:val="20"/>
          <w:u w:val="single"/>
        </w:rPr>
        <w:t>Summary of Significant Accounting Policies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Principles of Consolidation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accompanying Condensed Consolidated Financial Statements include the accounts of the Company. The Company’s subsidiaries include subsidiaries which are wholly owned or which the Company has a controlling interest, including where the Company has been d</w:t>
      </w:r>
      <w:r>
        <w:rPr>
          <w:sz w:val="20"/>
          <w:szCs w:val="20"/>
        </w:rPr>
        <w:t>etermined to be a primary beneficiary of a variable interest entity (“VIE”) in accordance with the consolidation guidance of the Financial Accounting Standards Board (“FASB”) Accounting Standards Codification (“ASC”). All inter-company balances and transac</w:t>
      </w:r>
      <w:r>
        <w:rPr>
          <w:sz w:val="20"/>
          <w:szCs w:val="20"/>
        </w:rPr>
        <w:t xml:space="preserve">tions have been eliminated in consolidation. The information presented in the accompanying Condensed Consolidated Financial Statements is unaudited and reflects all adjustments which are, in the opinion of management, necessary to reflect a fair statement </w:t>
      </w:r>
      <w:r>
        <w:rPr>
          <w:sz w:val="20"/>
          <w:szCs w:val="20"/>
        </w:rPr>
        <w:t xml:space="preserve">of the results for the interim periods presented, and all such adjustments are of a normal recurring nature. These Condensed Consolidated Financial Statements should be read in conjunction with the Company's </w:t>
      </w:r>
      <w:r>
        <w:rPr>
          <w:rStyle w:val="a6"/>
          <w:sz w:val="20"/>
          <w:szCs w:val="20"/>
        </w:rPr>
        <w:t>10</w:t>
      </w:r>
      <w:r>
        <w:rPr>
          <w:sz w:val="20"/>
          <w:szCs w:val="20"/>
        </w:rPr>
        <w:t>-K, as certain disclosures in this Quarterly R</w:t>
      </w:r>
      <w:r>
        <w:rPr>
          <w:sz w:val="20"/>
          <w:szCs w:val="20"/>
        </w:rPr>
        <w:t xml:space="preserve">eport on Form </w:t>
      </w:r>
      <w:r>
        <w:rPr>
          <w:rStyle w:val="a6"/>
          <w:sz w:val="20"/>
          <w:szCs w:val="20"/>
        </w:rPr>
        <w:t>10</w:t>
      </w:r>
      <w:r>
        <w:rPr>
          <w:sz w:val="20"/>
          <w:szCs w:val="20"/>
        </w:rPr>
        <w:t xml:space="preserve">-Q for the quarterly period ended </w:t>
      </w:r>
      <w:r>
        <w:rPr>
          <w:rStyle w:val="a6"/>
          <w:sz w:val="20"/>
          <w:szCs w:val="20"/>
        </w:rPr>
        <w:t xml:space="preserve">September 30, 2022 </w:t>
      </w:r>
      <w:r>
        <w:rPr>
          <w:sz w:val="20"/>
          <w:szCs w:val="20"/>
        </w:rPr>
        <w:t xml:space="preserve">that would duplicate those included in the </w:t>
      </w:r>
      <w:r>
        <w:rPr>
          <w:rStyle w:val="a6"/>
          <w:sz w:val="20"/>
          <w:szCs w:val="20"/>
        </w:rPr>
        <w:t>10</w:t>
      </w:r>
      <w:r>
        <w:rPr>
          <w:sz w:val="20"/>
          <w:szCs w:val="20"/>
        </w:rPr>
        <w:t xml:space="preserve">-K are </w:t>
      </w:r>
      <w:r>
        <w:rPr>
          <w:rStyle w:val="a6"/>
          <w:sz w:val="20"/>
          <w:szCs w:val="20"/>
        </w:rPr>
        <w:t>not</w:t>
      </w:r>
      <w:r>
        <w:rPr>
          <w:sz w:val="20"/>
          <w:szCs w:val="20"/>
        </w:rPr>
        <w:t xml:space="preserve"> included in these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464232512"/>
        <w:rPr>
          <w:rFonts w:eastAsia="Times New Roman"/>
          <w:sz w:val="20"/>
          <w:szCs w:val="20"/>
        </w:rPr>
      </w:pPr>
      <w:r>
        <w:rPr>
          <w:rStyle w:val="a6"/>
          <w:rFonts w:eastAsia="Times New Roman"/>
          <w:sz w:val="20"/>
          <w:szCs w:val="20"/>
        </w:rPr>
        <w:t>9</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E3336F">
      <w:pPr>
        <w:divId w:val="93941527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i/>
          <w:iCs/>
          <w:sz w:val="20"/>
          <w:szCs w:val="20"/>
        </w:rPr>
        <w:t>Subsequent Events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 has evaluated subsequent events and transactions for potential recognition or disclosure in its Condensed Consolidated Financial Statements (see Footnote </w:t>
      </w:r>
      <w:r>
        <w:rPr>
          <w:rStyle w:val="a6"/>
          <w:sz w:val="20"/>
          <w:szCs w:val="20"/>
        </w:rPr>
        <w:t>22</w:t>
      </w:r>
      <w:r>
        <w:rPr>
          <w:sz w:val="20"/>
          <w:szCs w:val="20"/>
        </w:rPr>
        <w:t> of the Company’s Condensed Consolidated Financial Statements).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i/>
          <w:iCs/>
          <w:sz w:val="20"/>
          <w:szCs w:val="20"/>
        </w:rPr>
        <w:t>New Accounting Pronoun</w:t>
      </w:r>
      <w:r>
        <w:rPr>
          <w:i/>
          <w:iCs/>
          <w:sz w:val="20"/>
          <w:szCs w:val="20"/>
        </w:rPr>
        <w:t>cements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following table represents an Accounting Standards Update (“ASU”) to the FASB’s ASCs that, as of </w:t>
      </w:r>
      <w:r>
        <w:rPr>
          <w:rStyle w:val="a6"/>
          <w:sz w:val="20"/>
          <w:szCs w:val="20"/>
        </w:rPr>
        <w:t xml:space="preserve"> September 30, 2022, </w:t>
      </w:r>
      <w:r>
        <w:rPr>
          <w:sz w:val="20"/>
          <w:szCs w:val="20"/>
        </w:rPr>
        <w:t>are </w:t>
      </w:r>
      <w:r>
        <w:rPr>
          <w:rStyle w:val="a6"/>
          <w:sz w:val="20"/>
          <w:szCs w:val="20"/>
        </w:rPr>
        <w:t>not</w:t>
      </w:r>
      <w:r>
        <w:rPr>
          <w:sz w:val="20"/>
          <w:szCs w:val="20"/>
        </w:rPr>
        <w:t> yet effective for the Company and for which the Company has </w:t>
      </w:r>
      <w:r>
        <w:rPr>
          <w:rStyle w:val="a6"/>
          <w:sz w:val="20"/>
          <w:szCs w:val="20"/>
        </w:rPr>
        <w:t>not</w:t>
      </w:r>
      <w:r>
        <w:rPr>
          <w:sz w:val="20"/>
          <w:szCs w:val="20"/>
        </w:rPr>
        <w:t> elected early adoption, where permitted:</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Descr</w:t>
            </w:r>
            <w:r>
              <w:rPr>
                <w:b/>
                <w:bCs/>
                <w:sz w:val="20"/>
                <w:szCs w:val="20"/>
              </w:rPr>
              <w:t>iption</w:t>
            </w:r>
          </w:p>
        </w:tc>
        <w:tc>
          <w:tcPr>
            <w:tcW w:w="585" w:type="pct"/>
            <w:tcBorders>
              <w:top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Effective</w:t>
            </w:r>
          </w:p>
          <w:p w:rsidR="00000000" w:rsidRDefault="00E3336F">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Effect on the financial</w:t>
            </w:r>
          </w:p>
          <w:p w:rsidR="00000000" w:rsidRDefault="00E3336F">
            <w:pPr>
              <w:pStyle w:val="a3"/>
              <w:spacing w:before="0" w:beforeAutospacing="0" w:after="0" w:afterAutospacing="0"/>
              <w:jc w:val="center"/>
              <w:rPr>
                <w:sz w:val="20"/>
                <w:szCs w:val="20"/>
              </w:rPr>
            </w:pPr>
            <w:r>
              <w:rPr>
                <w:b/>
                <w:bCs/>
                <w:sz w:val="20"/>
                <w:szCs w:val="20"/>
              </w:rPr>
              <w:t>statements or other</w:t>
            </w:r>
          </w:p>
          <w:p w:rsidR="00000000" w:rsidRDefault="00E3336F">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 xml:space="preserve">ASU </w:t>
            </w:r>
            <w:r>
              <w:rPr>
                <w:rStyle w:val="a6"/>
                <w:sz w:val="20"/>
                <w:szCs w:val="20"/>
              </w:rPr>
              <w:t>2022</w:t>
            </w:r>
            <w:r>
              <w:rPr>
                <w:sz w:val="20"/>
                <w:szCs w:val="20"/>
              </w:rPr>
              <w:t>-</w:t>
            </w:r>
            <w:r>
              <w:rPr>
                <w:rStyle w:val="a6"/>
                <w:sz w:val="20"/>
                <w:szCs w:val="20"/>
              </w:rPr>
              <w:t>03,</w:t>
            </w:r>
            <w:r>
              <w:rPr>
                <w:sz w:val="20"/>
                <w:szCs w:val="20"/>
              </w:rPr>
              <w:t xml:space="preserve"> Fair Value Measurement (Topic </w:t>
            </w:r>
            <w:r>
              <w:rPr>
                <w:rStyle w:val="a6"/>
                <w:sz w:val="20"/>
                <w:szCs w:val="20"/>
              </w:rPr>
              <w:t>820</w:t>
            </w:r>
            <w:r>
              <w:rPr>
                <w:sz w:val="20"/>
                <w:szCs w:val="20"/>
              </w:rPr>
              <w:t>): Fair Value Measurement of Equity Securities Subject to Contractual Sale Restrictions</w:t>
            </w:r>
          </w:p>
        </w:tc>
        <w:tc>
          <w:tcPr>
            <w:tcW w:w="2215" w:type="pct"/>
            <w:tcBorders>
              <w:bottom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 xml:space="preserve">This ASU clarifies the guidance in Topic </w:t>
            </w:r>
            <w:r>
              <w:rPr>
                <w:rStyle w:val="a6"/>
                <w:sz w:val="20"/>
                <w:szCs w:val="20"/>
              </w:rPr>
              <w:t>820,</w:t>
            </w:r>
            <w:r>
              <w:rPr>
                <w:sz w:val="20"/>
                <w:szCs w:val="20"/>
              </w:rPr>
              <w:t xml:space="preserve"> Fair Value Measurement, when measuring the fair value of an equity security subject to contractual restrictions that prohi</w:t>
            </w:r>
            <w:r>
              <w:rPr>
                <w:sz w:val="20"/>
                <w:szCs w:val="20"/>
              </w:rPr>
              <w:t xml:space="preserve">bit the sale of an equity security and provides new disclosure requirements for equity securities subject to contractual sale restrictions that are measured at fair value in accordance with Topic </w:t>
            </w:r>
            <w:r>
              <w:rPr>
                <w:rStyle w:val="a6"/>
                <w:sz w:val="20"/>
                <w:szCs w:val="20"/>
              </w:rPr>
              <w:t>820.</w:t>
            </w:r>
          </w:p>
          <w:p w:rsidR="00000000" w:rsidRDefault="00E3336F">
            <w:pPr>
              <w:pStyle w:val="a3"/>
              <w:spacing w:before="0" w:beforeAutospacing="0" w:after="0" w:afterAutospacing="0"/>
              <w:ind w:left="100" w:right="100"/>
              <w:rPr>
                <w:sz w:val="20"/>
                <w:szCs w:val="20"/>
              </w:rPr>
            </w:pPr>
            <w:r>
              <w:rPr>
                <w:sz w:val="20"/>
                <w:szCs w:val="20"/>
              </w:rPr>
              <w:t> </w:t>
            </w:r>
          </w:p>
        </w:tc>
        <w:tc>
          <w:tcPr>
            <w:tcW w:w="585" w:type="pct"/>
            <w:tcBorders>
              <w:left w:val="single" w:sz="6" w:space="0" w:color="000000"/>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jc w:val="center"/>
              <w:rPr>
                <w:sz w:val="20"/>
                <w:szCs w:val="20"/>
              </w:rPr>
            </w:pPr>
            <w:r>
              <w:rPr>
                <w:rStyle w:val="a6"/>
                <w:sz w:val="20"/>
                <w:szCs w:val="20"/>
              </w:rPr>
              <w:t xml:space="preserve">January 1, 2024; </w:t>
            </w:r>
            <w:r>
              <w:rPr>
                <w:sz w:val="20"/>
                <w:szCs w:val="20"/>
              </w:rPr>
              <w:t>Early adoption permitted</w:t>
            </w:r>
          </w:p>
        </w:tc>
        <w:tc>
          <w:tcPr>
            <w:tcW w:w="1125" w:type="pct"/>
            <w:tcBorders>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The Company</w:t>
            </w:r>
            <w:r>
              <w:rPr>
                <w:sz w:val="20"/>
                <w:szCs w:val="20"/>
              </w:rPr>
              <w:t xml:space="preserve"> is assessing the impact this ASU will have on the Company’s financial position and/or results of operations.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FFFFFF"/>
            <w:hideMark/>
          </w:tcPr>
          <w:p w:rsidR="00000000" w:rsidRDefault="00E3336F">
            <w:pPr>
              <w:pStyle w:val="a3"/>
              <w:spacing w:before="0" w:beforeAutospacing="0" w:after="0" w:afterAutospacing="0"/>
              <w:ind w:left="100" w:right="100"/>
              <w:rPr>
                <w:sz w:val="20"/>
                <w:szCs w:val="20"/>
              </w:rPr>
            </w:pPr>
            <w:r>
              <w:rPr>
                <w:sz w:val="20"/>
                <w:szCs w:val="20"/>
              </w:rPr>
              <w:t xml:space="preserve">ASU </w:t>
            </w:r>
            <w:r>
              <w:rPr>
                <w:rStyle w:val="a6"/>
                <w:sz w:val="20"/>
                <w:szCs w:val="20"/>
              </w:rPr>
              <w:t>2021</w:t>
            </w:r>
            <w:r>
              <w:rPr>
                <w:sz w:val="20"/>
                <w:szCs w:val="20"/>
              </w:rPr>
              <w:t>-</w:t>
            </w:r>
            <w:r>
              <w:rPr>
                <w:rStyle w:val="a6"/>
                <w:sz w:val="20"/>
                <w:szCs w:val="20"/>
              </w:rPr>
              <w:t>08,</w:t>
            </w:r>
            <w:r>
              <w:rPr>
                <w:sz w:val="20"/>
                <w:szCs w:val="20"/>
              </w:rPr>
              <w:t xml:space="preserve"> Business Combinations (Topic </w:t>
            </w:r>
            <w:r>
              <w:rPr>
                <w:rStyle w:val="a6"/>
                <w:sz w:val="20"/>
                <w:szCs w:val="20"/>
              </w:rPr>
              <w:t>805</w:t>
            </w:r>
            <w:r>
              <w:rPr>
                <w:sz w:val="20"/>
                <w:szCs w:val="20"/>
              </w:rPr>
              <w:t>): Accounting for Contract Assets and Contract Liabilities from Contracts with Customers</w:t>
            </w:r>
          </w:p>
          <w:p w:rsidR="00000000" w:rsidRDefault="00E3336F">
            <w:pPr>
              <w:pStyle w:val="a3"/>
              <w:spacing w:before="0" w:beforeAutospacing="0" w:after="0" w:afterAutospacing="0"/>
              <w:ind w:left="100" w:right="100"/>
              <w:rPr>
                <w:sz w:val="20"/>
                <w:szCs w:val="20"/>
              </w:rPr>
            </w:pPr>
            <w:r>
              <w:rPr>
                <w:sz w:val="20"/>
                <w:szCs w:val="20"/>
              </w:rPr>
              <w:t> </w:t>
            </w:r>
          </w:p>
        </w:tc>
        <w:tc>
          <w:tcPr>
            <w:tcW w:w="2215" w:type="pct"/>
            <w:tcBorders>
              <w:bottom w:val="single" w:sz="6" w:space="0" w:color="000000"/>
            </w:tcBorders>
            <w:shd w:val="clear" w:color="auto" w:fill="FFFFFF"/>
            <w:hideMark/>
          </w:tcPr>
          <w:p w:rsidR="00000000" w:rsidRDefault="00E3336F">
            <w:pPr>
              <w:pStyle w:val="a3"/>
              <w:spacing w:before="0" w:beforeAutospacing="0" w:after="0" w:afterAutospacing="0"/>
              <w:ind w:left="100" w:right="100"/>
              <w:rPr>
                <w:sz w:val="20"/>
                <w:szCs w:val="20"/>
              </w:rPr>
            </w:pPr>
            <w:r>
              <w:rPr>
                <w:sz w:val="20"/>
                <w:szCs w:val="20"/>
              </w:rPr>
              <w:t>The amend</w:t>
            </w:r>
            <w:r>
              <w:rPr>
                <w:sz w:val="20"/>
                <w:szCs w:val="20"/>
              </w:rPr>
              <w:t xml:space="preserve">ments in this update require acquiring entities to apply Topic </w:t>
            </w:r>
            <w:r>
              <w:rPr>
                <w:rStyle w:val="a6"/>
                <w:sz w:val="20"/>
                <w:szCs w:val="20"/>
              </w:rPr>
              <w:t>606</w:t>
            </w:r>
            <w:r>
              <w:rPr>
                <w:sz w:val="20"/>
                <w:szCs w:val="20"/>
              </w:rPr>
              <w:t xml:space="preserve"> to recognize and measure contract assets and contract liabilities in a business combination rather than at fair value on the acquisition date required by Topic </w:t>
            </w:r>
            <w:r>
              <w:rPr>
                <w:rStyle w:val="a6"/>
                <w:sz w:val="20"/>
                <w:szCs w:val="20"/>
              </w:rPr>
              <w:t>805.</w:t>
            </w:r>
          </w:p>
        </w:tc>
        <w:tc>
          <w:tcPr>
            <w:tcW w:w="585" w:type="pct"/>
            <w:tcBorders>
              <w:left w:val="single" w:sz="6" w:space="0" w:color="000000"/>
              <w:bottom w:val="single" w:sz="6" w:space="0" w:color="000000"/>
              <w:right w:val="single" w:sz="6" w:space="0" w:color="000000"/>
            </w:tcBorders>
            <w:shd w:val="clear" w:color="auto" w:fill="FFFFFF"/>
            <w:hideMark/>
          </w:tcPr>
          <w:p w:rsidR="00000000" w:rsidRDefault="00E3336F">
            <w:pPr>
              <w:pStyle w:val="a3"/>
              <w:spacing w:before="0" w:beforeAutospacing="0" w:after="0" w:afterAutospacing="0"/>
              <w:jc w:val="center"/>
              <w:rPr>
                <w:sz w:val="20"/>
                <w:szCs w:val="20"/>
              </w:rPr>
            </w:pPr>
            <w:r>
              <w:rPr>
                <w:rStyle w:val="a6"/>
                <w:sz w:val="20"/>
                <w:szCs w:val="20"/>
              </w:rPr>
              <w:t xml:space="preserve">January 1, 2023; </w:t>
            </w:r>
            <w:r>
              <w:rPr>
                <w:sz w:val="20"/>
                <w:szCs w:val="20"/>
              </w:rPr>
              <w:t>Early a</w:t>
            </w:r>
            <w:r>
              <w:rPr>
                <w:sz w:val="20"/>
                <w:szCs w:val="20"/>
              </w:rPr>
              <w:t>doption permitted</w:t>
            </w:r>
          </w:p>
          <w:p w:rsidR="00000000" w:rsidRDefault="00E3336F">
            <w:pPr>
              <w:pStyle w:val="a3"/>
              <w:spacing w:before="0" w:beforeAutospacing="0" w:after="0" w:afterAutospacing="0"/>
              <w:jc w:val="center"/>
              <w:rPr>
                <w:sz w:val="20"/>
                <w:szCs w:val="20"/>
              </w:rPr>
            </w:pPr>
            <w:r>
              <w:rPr>
                <w:sz w:val="20"/>
                <w:szCs w:val="20"/>
              </w:rPr>
              <w:t> </w:t>
            </w:r>
          </w:p>
        </w:tc>
        <w:tc>
          <w:tcPr>
            <w:tcW w:w="1125" w:type="pct"/>
            <w:tcBorders>
              <w:bottom w:val="single" w:sz="6" w:space="0" w:color="000000"/>
              <w:right w:val="single" w:sz="6" w:space="0" w:color="000000"/>
            </w:tcBorders>
            <w:shd w:val="clear" w:color="auto" w:fill="FFFFFF"/>
            <w:hideMark/>
          </w:tcPr>
          <w:p w:rsidR="00000000" w:rsidRDefault="00E3336F">
            <w:pPr>
              <w:pStyle w:val="a3"/>
              <w:spacing w:before="0" w:beforeAutospacing="0" w:after="0" w:afterAutospacing="0"/>
              <w:ind w:left="100" w:right="100"/>
              <w:rPr>
                <w:sz w:val="20"/>
                <w:szCs w:val="20"/>
              </w:rPr>
            </w:pPr>
            <w:r>
              <w:rPr>
                <w:sz w:val="20"/>
                <w:szCs w:val="20"/>
              </w:rPr>
              <w:t xml:space="preserve">The adoption of this ASU is </w:t>
            </w:r>
            <w:r>
              <w:rPr>
                <w:rStyle w:val="a6"/>
                <w:sz w:val="20"/>
                <w:szCs w:val="20"/>
              </w:rPr>
              <w:t>not</w:t>
            </w:r>
            <w:r>
              <w:rPr>
                <w:sz w:val="20"/>
                <w:szCs w:val="20"/>
              </w:rPr>
              <w:t xml:space="preserve"> expected to have a material impact on the Company’s financial position and/or results of operations.</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ind w:firstLine="360"/>
        <w:jc w:val="both"/>
        <w:rPr>
          <w:sz w:val="20"/>
          <w:szCs w:val="20"/>
        </w:rPr>
      </w:pPr>
      <w:r>
        <w:rPr>
          <w:sz w:val="20"/>
          <w:szCs w:val="20"/>
        </w:rPr>
        <w:t>The following ASU to the FASB’s ASC has been adopted by the Company as of the date listed:</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66"/>
        <w:gridCol w:w="3672"/>
        <w:gridCol w:w="970"/>
        <w:gridCol w:w="1782"/>
      </w:tblGrid>
      <w:tr w:rsidR="00000000">
        <w:trPr>
          <w:tblCellSpacing w:w="0" w:type="dxa"/>
        </w:trPr>
        <w:tc>
          <w:tcPr>
            <w:tcW w:w="1125" w:type="pct"/>
            <w:tcBorders>
              <w:top w:val="single" w:sz="6" w:space="0" w:color="000000"/>
              <w:left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ASU</w:t>
            </w:r>
          </w:p>
        </w:tc>
        <w:tc>
          <w:tcPr>
            <w:tcW w:w="2215" w:type="pct"/>
            <w:tcBorders>
              <w:top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Description</w:t>
            </w:r>
          </w:p>
        </w:tc>
        <w:tc>
          <w:tcPr>
            <w:tcW w:w="585" w:type="pct"/>
            <w:tcBorders>
              <w:top w:val="single" w:sz="6" w:space="0" w:color="000000"/>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Adoption</w:t>
            </w:r>
          </w:p>
          <w:p w:rsidR="00000000" w:rsidRDefault="00E3336F">
            <w:pPr>
              <w:pStyle w:val="a3"/>
              <w:spacing w:before="0" w:beforeAutospacing="0" w:after="0" w:afterAutospacing="0"/>
              <w:jc w:val="center"/>
              <w:rPr>
                <w:sz w:val="20"/>
                <w:szCs w:val="20"/>
              </w:rPr>
            </w:pPr>
            <w:r>
              <w:rPr>
                <w:b/>
                <w:bCs/>
                <w:sz w:val="20"/>
                <w:szCs w:val="20"/>
              </w:rPr>
              <w:t>Date</w:t>
            </w:r>
          </w:p>
        </w:tc>
        <w:tc>
          <w:tcPr>
            <w:tcW w:w="1125" w:type="pct"/>
            <w:tcBorders>
              <w:top w:val="single" w:sz="6" w:space="0" w:color="000000"/>
              <w:bottom w:val="single" w:sz="6" w:space="0" w:color="000000"/>
              <w:right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Effect on the financial </w:t>
            </w:r>
          </w:p>
          <w:p w:rsidR="00000000" w:rsidRDefault="00E3336F">
            <w:pPr>
              <w:pStyle w:val="a3"/>
              <w:spacing w:before="0" w:beforeAutospacing="0" w:after="0" w:afterAutospacing="0"/>
              <w:jc w:val="center"/>
              <w:rPr>
                <w:sz w:val="20"/>
                <w:szCs w:val="20"/>
              </w:rPr>
            </w:pPr>
            <w:r>
              <w:rPr>
                <w:b/>
                <w:bCs/>
                <w:sz w:val="20"/>
                <w:szCs w:val="20"/>
              </w:rPr>
              <w:t>statements or other</w:t>
            </w:r>
          </w:p>
          <w:p w:rsidR="00000000" w:rsidRDefault="00E3336F">
            <w:pPr>
              <w:pStyle w:val="a3"/>
              <w:spacing w:before="0" w:beforeAutospacing="0" w:after="0" w:afterAutospacing="0"/>
              <w:jc w:val="center"/>
              <w:rPr>
                <w:sz w:val="20"/>
                <w:szCs w:val="20"/>
              </w:rPr>
            </w:pPr>
            <w:r>
              <w:rPr>
                <w:b/>
                <w:bCs/>
                <w:sz w:val="20"/>
                <w:szCs w:val="20"/>
              </w:rPr>
              <w:t>significant matters</w:t>
            </w:r>
          </w:p>
        </w:tc>
      </w:tr>
      <w:tr w:rsidR="00000000">
        <w:trPr>
          <w:tblCellSpacing w:w="0" w:type="dxa"/>
        </w:trPr>
        <w:tc>
          <w:tcPr>
            <w:tcW w:w="1125" w:type="pct"/>
            <w:tcBorders>
              <w:left w:val="single" w:sz="6" w:space="0" w:color="000000"/>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 xml:space="preserve">ASU </w:t>
            </w:r>
            <w:r>
              <w:rPr>
                <w:rStyle w:val="a6"/>
                <w:sz w:val="20"/>
                <w:szCs w:val="20"/>
              </w:rPr>
              <w:t>2021</w:t>
            </w:r>
            <w:r>
              <w:rPr>
                <w:sz w:val="20"/>
                <w:szCs w:val="20"/>
              </w:rPr>
              <w:t>-</w:t>
            </w:r>
            <w:r>
              <w:rPr>
                <w:rStyle w:val="a6"/>
                <w:sz w:val="20"/>
                <w:szCs w:val="20"/>
              </w:rPr>
              <w:t>05,</w:t>
            </w:r>
            <w:r>
              <w:rPr>
                <w:sz w:val="20"/>
                <w:szCs w:val="20"/>
              </w:rPr>
              <w:t xml:space="preserve"> Lessors – Certain Leases with Variable Lease Payments (Topic </w:t>
            </w:r>
            <w:r>
              <w:rPr>
                <w:rStyle w:val="a6"/>
                <w:sz w:val="20"/>
                <w:szCs w:val="20"/>
              </w:rPr>
              <w:t>842</w:t>
            </w:r>
            <w:r>
              <w:rPr>
                <w:sz w:val="20"/>
                <w:szCs w:val="20"/>
              </w:rPr>
              <w:t>)</w:t>
            </w:r>
          </w:p>
        </w:tc>
        <w:tc>
          <w:tcPr>
            <w:tcW w:w="2215" w:type="pct"/>
            <w:tcBorders>
              <w:bottom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 xml:space="preserve">This ASU amends the lessor lease classification in ASC </w:t>
            </w:r>
            <w:r>
              <w:rPr>
                <w:rStyle w:val="a6"/>
                <w:sz w:val="20"/>
                <w:szCs w:val="20"/>
              </w:rPr>
              <w:t>842</w:t>
            </w:r>
            <w:r>
              <w:rPr>
                <w:sz w:val="20"/>
                <w:szCs w:val="20"/>
              </w:rPr>
              <w:t xml:space="preserve"> for leases that include variable lease payments that are </w:t>
            </w:r>
            <w:r>
              <w:rPr>
                <w:rStyle w:val="a6"/>
                <w:sz w:val="20"/>
                <w:szCs w:val="20"/>
              </w:rPr>
              <w:t>not</w:t>
            </w:r>
            <w:r>
              <w:rPr>
                <w:sz w:val="20"/>
                <w:szCs w:val="20"/>
              </w:rPr>
              <w:t xml:space="preserve"> based on an index or rate. Under the amended guidance, lessors will classify a lease with variable payments that do </w:t>
            </w:r>
            <w:r>
              <w:rPr>
                <w:rStyle w:val="a6"/>
                <w:sz w:val="20"/>
                <w:szCs w:val="20"/>
              </w:rPr>
              <w:t>not</w:t>
            </w:r>
            <w:r>
              <w:rPr>
                <w:sz w:val="20"/>
                <w:szCs w:val="20"/>
              </w:rPr>
              <w:t xml:space="preserve"> depend on an ind</w:t>
            </w:r>
            <w:r>
              <w:rPr>
                <w:sz w:val="20"/>
                <w:szCs w:val="20"/>
              </w:rPr>
              <w:t xml:space="preserve">ex or rate as an operating lease if the lease would have been classified as a sales-type lease or a direct financing lease under the previous ASU </w:t>
            </w:r>
            <w:r>
              <w:rPr>
                <w:rStyle w:val="a6"/>
                <w:sz w:val="20"/>
                <w:szCs w:val="20"/>
              </w:rPr>
              <w:t>842</w:t>
            </w:r>
            <w:r>
              <w:rPr>
                <w:sz w:val="20"/>
                <w:szCs w:val="20"/>
              </w:rPr>
              <w:t xml:space="preserve"> classification criteria and sales-type or direct financing lease classification would result in a Day </w:t>
            </w:r>
            <w:r>
              <w:rPr>
                <w:rStyle w:val="a6"/>
                <w:sz w:val="20"/>
                <w:szCs w:val="20"/>
              </w:rPr>
              <w:t>1</w:t>
            </w:r>
            <w:r>
              <w:rPr>
                <w:sz w:val="20"/>
                <w:szCs w:val="20"/>
              </w:rPr>
              <w:t xml:space="preserve"> lo</w:t>
            </w:r>
            <w:r>
              <w:rPr>
                <w:sz w:val="20"/>
                <w:szCs w:val="20"/>
              </w:rPr>
              <w:t>ss.</w:t>
            </w:r>
          </w:p>
          <w:p w:rsidR="00000000" w:rsidRDefault="00E3336F">
            <w:pPr>
              <w:pStyle w:val="a3"/>
              <w:spacing w:before="0" w:beforeAutospacing="0" w:after="0" w:afterAutospacing="0"/>
              <w:ind w:left="100" w:right="100"/>
              <w:rPr>
                <w:sz w:val="20"/>
                <w:szCs w:val="20"/>
              </w:rPr>
            </w:pPr>
            <w:r>
              <w:rPr>
                <w:sz w:val="20"/>
                <w:szCs w:val="20"/>
              </w:rPr>
              <w:t> </w:t>
            </w:r>
          </w:p>
        </w:tc>
        <w:tc>
          <w:tcPr>
            <w:tcW w:w="585" w:type="pct"/>
            <w:tcBorders>
              <w:left w:val="single" w:sz="6" w:space="0" w:color="000000"/>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jc w:val="center"/>
              <w:rPr>
                <w:sz w:val="20"/>
                <w:szCs w:val="20"/>
              </w:rPr>
            </w:pPr>
            <w:r>
              <w:rPr>
                <w:rStyle w:val="a6"/>
                <w:sz w:val="20"/>
                <w:szCs w:val="20"/>
              </w:rPr>
              <w:t>January 1, 2022</w:t>
            </w:r>
          </w:p>
        </w:tc>
        <w:tc>
          <w:tcPr>
            <w:tcW w:w="1125" w:type="pct"/>
            <w:tcBorders>
              <w:bottom w:val="single" w:sz="6" w:space="0" w:color="000000"/>
              <w:right w:val="single" w:sz="6" w:space="0" w:color="000000"/>
            </w:tcBorders>
            <w:shd w:val="clear" w:color="auto" w:fill="CCEEFF"/>
            <w:hideMark/>
          </w:tcPr>
          <w:p w:rsidR="00000000" w:rsidRDefault="00E3336F">
            <w:pPr>
              <w:pStyle w:val="a3"/>
              <w:spacing w:before="0" w:beforeAutospacing="0" w:after="0" w:afterAutospacing="0"/>
              <w:ind w:left="100" w:right="100"/>
              <w:rPr>
                <w:sz w:val="20"/>
                <w:szCs w:val="20"/>
              </w:rPr>
            </w:pPr>
            <w:r>
              <w:rPr>
                <w:sz w:val="20"/>
                <w:szCs w:val="20"/>
              </w:rPr>
              <w:t xml:space="preserve">The adoption of this ASU did </w:t>
            </w:r>
            <w:r>
              <w:rPr>
                <w:rStyle w:val="a6"/>
                <w:sz w:val="20"/>
                <w:szCs w:val="20"/>
              </w:rPr>
              <w:t>not</w:t>
            </w:r>
            <w:r>
              <w:rPr>
                <w:sz w:val="20"/>
                <w:szCs w:val="20"/>
              </w:rPr>
              <w:t xml:space="preserve"> impact the Company’s financial position and/or results of operations.</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8298"/>
      </w:tblGrid>
      <w:tr w:rsidR="00000000">
        <w:trPr>
          <w:tblCellSpacing w:w="0" w:type="dxa"/>
        </w:trPr>
        <w:tc>
          <w:tcPr>
            <w:tcW w:w="1125" w:type="pct"/>
            <w:tcBorders>
              <w:bottom w:val="single" w:sz="6" w:space="0" w:color="000000"/>
              <w:right w:val="single" w:sz="6" w:space="0" w:color="000000"/>
            </w:tcBorders>
            <w:shd w:val="clear" w:color="auto" w:fill="CCEEFF"/>
            <w:hideMark/>
          </w:tcPr>
          <w:p w:rsidR="00000000" w:rsidRDefault="00E3336F">
            <w:pPr>
              <w:rPr>
                <w:rFonts w:eastAsia="Times New Roman"/>
                <w:sz w:val="20"/>
                <w:szCs w:val="20"/>
              </w:rPr>
            </w:pP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191526783"/>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3.</w:t>
      </w:r>
      <w:r>
        <w:rPr>
          <w:sz w:val="20"/>
          <w:szCs w:val="20"/>
        </w:rPr>
        <w:t xml:space="preserve"> </w:t>
      </w:r>
      <w:r>
        <w:rPr>
          <w:sz w:val="20"/>
          <w:szCs w:val="20"/>
          <w:u w:val="single"/>
        </w:rPr>
        <w:t>Weingarten Merger</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On </w:t>
      </w:r>
      <w:r>
        <w:rPr>
          <w:rStyle w:val="a6"/>
          <w:sz w:val="20"/>
          <w:szCs w:val="20"/>
        </w:rPr>
        <w:t xml:space="preserve">August 3, 2021, </w:t>
      </w:r>
      <w:r>
        <w:rPr>
          <w:sz w:val="20"/>
          <w:szCs w:val="20"/>
        </w:rPr>
        <w:t>Weingarten merged with and into the Company, with the Company continuing as the surviving public company. Under the terms of the Merger Agreement, each Weingarten common share was entitled to 1.408 newly issued shares of the Company’s common stock plus $2.</w:t>
      </w:r>
      <w:r>
        <w:rPr>
          <w:sz w:val="20"/>
          <w:szCs w:val="20"/>
        </w:rPr>
        <w:t>20 in cash, subject to certain adjustments specified in the Merger Agreement.</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xml:space="preserve">The following highlights the Company’s significant activity upon completion of the $4.1 billion strategic Merger with Weingarten on </w:t>
      </w:r>
      <w:r>
        <w:rPr>
          <w:rStyle w:val="a6"/>
          <w:sz w:val="20"/>
          <w:szCs w:val="20"/>
        </w:rPr>
        <w:t>August 3, 2021:</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Acquired 149 properties,</w:t>
            </w:r>
            <w:r>
              <w:rPr>
                <w:sz w:val="20"/>
                <w:szCs w:val="20"/>
              </w:rPr>
              <w:t xml:space="preserve"> including 30 held through joint venture programs.</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 xml:space="preserve">Assumed senior unsecured notes of $1.5 billion (including $95.6 million in fair market value adjustments) and mortgage debt of $317.7 million (including $11.0 </w:t>
            </w:r>
            <w:r>
              <w:rPr>
                <w:sz w:val="20"/>
                <w:szCs w:val="20"/>
              </w:rPr>
              <w:t>million in fair market value adjustments) encumbering 16 operating properties.</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Issued 179.9 million shares of common stock valued at $3.8 billion and paid cash consideration of $0.3 billion.</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Revenues from rental properties, net and Net income avai</w:t>
      </w:r>
      <w:r>
        <w:rPr>
          <w:sz w:val="20"/>
          <w:szCs w:val="20"/>
        </w:rPr>
        <w:t xml:space="preserve">lable to the Company's common shareholders in the Company's Condensed Consolidated Statements of Income includes revenues of $73.5 million and net income of $9.9 million (excluding </w:t>
      </w:r>
      <w:r>
        <w:rPr>
          <w:rStyle w:val="a6"/>
          <w:sz w:val="20"/>
          <w:szCs w:val="20"/>
        </w:rPr>
        <w:t>$50.2</w:t>
      </w:r>
      <w:r>
        <w:rPr>
          <w:sz w:val="20"/>
          <w:szCs w:val="20"/>
        </w:rPr>
        <w:t xml:space="preserve"> million of merger related charges), respectively, resulting from the </w:t>
      </w:r>
      <w:r>
        <w:rPr>
          <w:sz w:val="20"/>
          <w:szCs w:val="20"/>
        </w:rPr>
        <w:t xml:space="preserve">Merger during the </w:t>
      </w:r>
      <w:r>
        <w:rPr>
          <w:rStyle w:val="a6"/>
          <w:sz w:val="20"/>
          <w:szCs w:val="20"/>
        </w:rPr>
        <w:t>nine</w:t>
      </w:r>
      <w:r>
        <w:rPr>
          <w:sz w:val="20"/>
          <w:szCs w:val="20"/>
        </w:rPr>
        <w:t xml:space="preserve"> months ended </w:t>
      </w:r>
      <w:r>
        <w:rPr>
          <w:rStyle w:val="a6"/>
          <w:sz w:val="20"/>
          <w:szCs w:val="20"/>
        </w:rPr>
        <w:t>September 30, 2021.</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819423562"/>
        <w:rPr>
          <w:rFonts w:eastAsia="Times New Roman"/>
          <w:sz w:val="20"/>
          <w:szCs w:val="20"/>
        </w:rPr>
      </w:pPr>
      <w:r>
        <w:rPr>
          <w:rStyle w:val="a6"/>
          <w:rFonts w:eastAsia="Times New Roman"/>
          <w:sz w:val="20"/>
          <w:szCs w:val="20"/>
        </w:rPr>
        <w:t>10</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E3336F">
      <w:pPr>
        <w:divId w:val="186084887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i/>
          <w:iCs/>
          <w:sz w:val="20"/>
          <w:szCs w:val="20"/>
        </w:rPr>
        <w:t>Pro forma Information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pro forma financial information set forth below is based upon the Company’s historical Condensed Consolidated Statements of Income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September 30, 202</w:t>
      </w:r>
      <w:r>
        <w:rPr>
          <w:rStyle w:val="a6"/>
          <w:sz w:val="20"/>
          <w:szCs w:val="20"/>
        </w:rPr>
        <w:t xml:space="preserve">1, </w:t>
      </w:r>
      <w:r>
        <w:rPr>
          <w:sz w:val="20"/>
          <w:szCs w:val="20"/>
        </w:rPr>
        <w:t xml:space="preserve">adjusted to give effect as if the Merger occurred as of </w:t>
      </w:r>
      <w:r>
        <w:rPr>
          <w:rStyle w:val="a6"/>
          <w:sz w:val="20"/>
          <w:szCs w:val="20"/>
        </w:rPr>
        <w:t xml:space="preserve">January 1, 2020. </w:t>
      </w:r>
      <w:r>
        <w:rPr>
          <w:sz w:val="20"/>
          <w:szCs w:val="20"/>
        </w:rPr>
        <w:t xml:space="preserve">The pro forma financial information is presented for informational purposes only and </w:t>
      </w:r>
      <w:r>
        <w:rPr>
          <w:rStyle w:val="a6"/>
          <w:sz w:val="20"/>
          <w:szCs w:val="20"/>
        </w:rPr>
        <w:t>may not</w:t>
      </w:r>
      <w:r>
        <w:rPr>
          <w:sz w:val="20"/>
          <w:szCs w:val="20"/>
        </w:rPr>
        <w:t xml:space="preserve"> be indicative of what actual results of income would have been, nor does it purport to </w:t>
      </w:r>
      <w:r>
        <w:rPr>
          <w:sz w:val="20"/>
          <w:szCs w:val="20"/>
        </w:rPr>
        <w:t>represent the results of income for future periods. (Amounts presented in millions, except per share figures). </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4885"/>
        <w:gridCol w:w="72"/>
        <w:gridCol w:w="102"/>
        <w:gridCol w:w="1256"/>
        <w:gridCol w:w="72"/>
        <w:gridCol w:w="73"/>
        <w:gridCol w:w="101"/>
        <w:gridCol w:w="1257"/>
        <w:gridCol w:w="73"/>
      </w:tblGrid>
      <w:tr w:rsidR="00000000">
        <w:trPr>
          <w:tblCellSpacing w:w="0" w:type="dxa"/>
        </w:trPr>
        <w:tc>
          <w:tcPr>
            <w:tcW w:w="31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vAlign w:val="bottom"/>
            <w:hideMark/>
          </w:tcPr>
          <w:p w:rsidR="00000000" w:rsidRDefault="00E3336F">
            <w:pPr>
              <w:pStyle w:val="a3"/>
              <w:spacing w:before="0" w:beforeAutospacing="0" w:after="0" w:afterAutospacing="0"/>
              <w:jc w:val="center"/>
              <w:rPr>
                <w:sz w:val="20"/>
                <w:szCs w:val="20"/>
              </w:rPr>
            </w:pPr>
            <w:r>
              <w:rPr>
                <w:b/>
                <w:bCs/>
                <w:sz w:val="20"/>
                <w:szCs w:val="20"/>
              </w:rPr>
              <w:t xml:space="preserve">Three Months Ended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vAlign w:val="bottom"/>
            <w:hideMark/>
          </w:tcPr>
          <w:p w:rsidR="00000000" w:rsidRDefault="00E3336F">
            <w:pPr>
              <w:pStyle w:val="a3"/>
              <w:spacing w:before="0" w:beforeAutospacing="0" w:after="0" w:afterAutospacing="0"/>
              <w:jc w:val="center"/>
              <w:rPr>
                <w:sz w:val="20"/>
                <w:szCs w:val="20"/>
              </w:rPr>
            </w:pPr>
            <w:r>
              <w:rPr>
                <w:b/>
                <w:bCs/>
                <w:sz w:val="20"/>
                <w:szCs w:val="20"/>
              </w:rPr>
              <w:t>Nine Months Ended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September 30,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Revenues from rental properties,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401.4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1,186.4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Net income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561.4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854.</w:t>
            </w:r>
            <w:r>
              <w:rPr>
                <w:rFonts w:eastAsia="Times New Roman"/>
                <w:sz w:val="20"/>
                <w:szCs w:val="20"/>
              </w:rPr>
              <w:t>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Net income available to the Company’s common shareholders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553.4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828.</w:t>
            </w:r>
            <w:r>
              <w:rPr>
                <w:rFonts w:eastAsia="Times New Roman"/>
                <w:sz w:val="20"/>
                <w:szCs w:val="20"/>
              </w:rPr>
              <w:t>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Net income available to the Company’s common shareholders per common share: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Basic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w:t>
            </w:r>
            <w:r>
              <w:rPr>
                <w:rFonts w:eastAsia="Times New Roman"/>
                <w:sz w:val="20"/>
                <w:szCs w:val="20"/>
              </w:rPr>
              <w:t>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Diluted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0.90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w:t>
            </w:r>
            <w:r>
              <w:rPr>
                <w:rFonts w:eastAsia="Times New Roman"/>
                <w:sz w:val="20"/>
                <w:szCs w:val="20"/>
              </w:rPr>
              <w:t>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2063"/>
        <w:gridCol w:w="5828"/>
      </w:tblGrid>
      <w:tr w:rsidR="00000000">
        <w:trPr>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 xml:space="preserve">The pro forma earnings for the </w:t>
            </w:r>
            <w:r>
              <w:rPr>
                <w:rStyle w:val="a6"/>
                <w:sz w:val="20"/>
                <w:szCs w:val="20"/>
              </w:rPr>
              <w:t>three</w:t>
            </w:r>
            <w:r>
              <w:rPr>
                <w:sz w:val="20"/>
                <w:szCs w:val="20"/>
              </w:rPr>
              <w:t xml:space="preserve"> and </w:t>
            </w:r>
            <w:r>
              <w:rPr>
                <w:rStyle w:val="a6"/>
                <w:sz w:val="20"/>
                <w:szCs w:val="20"/>
              </w:rPr>
              <w:t>nine</w:t>
            </w:r>
            <w:r>
              <w:rPr>
                <w:sz w:val="20"/>
                <w:szCs w:val="20"/>
              </w:rPr>
              <w:t xml:space="preserve"> </w:t>
            </w:r>
            <w:r>
              <w:rPr>
                <w:sz w:val="20"/>
                <w:szCs w:val="20"/>
              </w:rPr>
              <w:t xml:space="preserve">months ended </w:t>
            </w:r>
            <w:r>
              <w:rPr>
                <w:rStyle w:val="a6"/>
                <w:sz w:val="20"/>
                <w:szCs w:val="20"/>
              </w:rPr>
              <w:t xml:space="preserve">September 30, 2021 </w:t>
            </w:r>
            <w:r>
              <w:rPr>
                <w:sz w:val="20"/>
                <w:szCs w:val="20"/>
              </w:rPr>
              <w:t>were adjusted to exclude $47.0 million and $50.2 million of merger costs, respectively.</w:t>
            </w:r>
          </w:p>
        </w:tc>
      </w:tr>
    </w:tbl>
    <w:p w:rsidR="00000000" w:rsidRDefault="00E3336F">
      <w:pPr>
        <w:pStyle w:val="a3"/>
        <w:spacing w:before="0" w:beforeAutospacing="0" w:after="0" w:afterAutospacing="0"/>
        <w:jc w:val="both"/>
        <w:rPr>
          <w:sz w:val="20"/>
          <w:szCs w:val="20"/>
        </w:rPr>
      </w:pPr>
      <w:r>
        <w:rPr>
          <w:sz w:val="20"/>
          <w:szCs w:val="20"/>
        </w:rPr>
        <w:t> </w:t>
      </w:r>
    </w:p>
    <w:p w:rsidR="00000000" w:rsidRDefault="00E3336F">
      <w:pPr>
        <w:divId w:val="1630012072"/>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4.</w:t>
      </w:r>
      <w:r>
        <w:rPr>
          <w:sz w:val="20"/>
          <w:szCs w:val="20"/>
        </w:rPr>
        <w:t xml:space="preserve"> </w:t>
      </w:r>
      <w:r>
        <w:rPr>
          <w:sz w:val="20"/>
          <w:szCs w:val="20"/>
          <w:u w:val="single"/>
        </w:rPr>
        <w:t>Real Estate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Acquisitions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acquired the following operating properties, through direct asset purchases (in thousands):</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2542"/>
        <w:gridCol w:w="1437"/>
        <w:gridCol w:w="1367"/>
        <w:gridCol w:w="73"/>
        <w:gridCol w:w="140"/>
        <w:gridCol w:w="1020"/>
        <w:gridCol w:w="73"/>
        <w:gridCol w:w="73"/>
        <w:gridCol w:w="73"/>
        <w:gridCol w:w="1020"/>
        <w:gridCol w:w="73"/>
      </w:tblGrid>
      <w:tr w:rsidR="00000000">
        <w:trPr>
          <w:tblCellSpacing w:w="0" w:type="dxa"/>
        </w:trPr>
        <w:tc>
          <w:tcPr>
            <w:tcW w:w="1615"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Property Name</w:t>
            </w:r>
          </w:p>
        </w:tc>
        <w:tc>
          <w:tcPr>
            <w:tcW w:w="915"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Location</w:t>
            </w:r>
          </w:p>
        </w:tc>
        <w:tc>
          <w:tcPr>
            <w:tcW w:w="87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Month Acquired</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Purchase Price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GLA*</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Ranchos San Marcos Parcel</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San Marcos, CA</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Jan-22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40"/>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ind w:left="40"/>
              <w:jc w:val="right"/>
              <w:rPr>
                <w:rFonts w:eastAsia="Times New Roman"/>
                <w:sz w:val="20"/>
                <w:szCs w:val="20"/>
              </w:rPr>
            </w:pPr>
            <w:r>
              <w:rPr>
                <w:rFonts w:eastAsia="Times New Roman"/>
                <w:sz w:val="20"/>
                <w:szCs w:val="20"/>
              </w:rPr>
              <w:t>2,407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Columbia Crossing Parcel</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Columbia, MD</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Feb-22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ind w:left="40"/>
              <w:jc w:val="right"/>
              <w:rPr>
                <w:rFonts w:eastAsia="Times New Roman"/>
                <w:sz w:val="20"/>
                <w:szCs w:val="20"/>
              </w:rPr>
            </w:pPr>
            <w:r>
              <w:rPr>
                <w:rFonts w:eastAsia="Times New Roman"/>
                <w:sz w:val="20"/>
                <w:szCs w:val="20"/>
              </w:rPr>
              <w:t>16,239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Oak Forest Parcel</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Houston, TX</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Jun-22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ind w:left="40"/>
              <w:jc w:val="right"/>
              <w:rPr>
                <w:rFonts w:eastAsia="Times New Roman"/>
                <w:sz w:val="20"/>
                <w:szCs w:val="20"/>
              </w:rPr>
            </w:pPr>
            <w:r>
              <w:rPr>
                <w:rFonts w:eastAsia="Times New Roman"/>
                <w:sz w:val="20"/>
                <w:szCs w:val="20"/>
              </w:rPr>
              <w:t>3,846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Devon Village (1)</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Devon, PA</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Jun-22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ind w:left="40"/>
              <w:jc w:val="right"/>
              <w:rPr>
                <w:rFonts w:eastAsia="Times New Roman"/>
                <w:sz w:val="20"/>
                <w:szCs w:val="20"/>
              </w:rPr>
            </w:pPr>
            <w:r>
              <w:rPr>
                <w:rFonts w:eastAsia="Times New Roman"/>
                <w:sz w:val="20"/>
                <w:szCs w:val="20"/>
              </w:rPr>
              <w:t>733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Fishtown Crossing</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Philadelphia, PA</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Jul-22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ind w:left="40"/>
              <w:jc w:val="right"/>
              <w:rPr>
                <w:rFonts w:eastAsia="Times New Roman"/>
                <w:sz w:val="20"/>
                <w:szCs w:val="20"/>
              </w:rPr>
            </w:pPr>
            <w:r>
              <w:rPr>
                <w:rFonts w:eastAsia="Times New Roman"/>
                <w:sz w:val="20"/>
                <w:szCs w:val="20"/>
              </w:rPr>
              <w:t>39,291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Carman’s Plaza</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Massapequa, NY</w:t>
            </w:r>
          </w:p>
        </w:tc>
        <w:tc>
          <w:tcPr>
            <w:tcW w:w="0" w:type="auto"/>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Jul-22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ind w:left="40"/>
              <w:jc w:val="right"/>
              <w:rPr>
                <w:rFonts w:eastAsia="Times New Roman"/>
                <w:sz w:val="20"/>
                <w:szCs w:val="20"/>
              </w:rPr>
            </w:pPr>
            <w:r>
              <w:rPr>
                <w:rFonts w:eastAsia="Times New Roman"/>
                <w:sz w:val="20"/>
                <w:szCs w:val="20"/>
              </w:rPr>
              <w:t>51,423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Pike Center (1)</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Rockville, MD</w:t>
            </w:r>
          </w:p>
        </w:tc>
        <w:tc>
          <w:tcPr>
            <w:tcW w:w="0" w:type="auto"/>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Jul-22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E3336F">
            <w:pPr>
              <w:ind w:left="40"/>
              <w:jc w:val="right"/>
              <w:rPr>
                <w:rFonts w:eastAsia="Times New Roman"/>
                <w:sz w:val="20"/>
                <w:szCs w:val="20"/>
              </w:rPr>
            </w:pPr>
            <w:r>
              <w:rPr>
                <w:rFonts w:eastAsia="Times New Roman"/>
                <w:sz w:val="20"/>
                <w:szCs w:val="20"/>
              </w:rPr>
              <w:t>21,850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Style w:val="a6"/>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Style w:val="a6"/>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ind w:left="40"/>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FFFFFF"/>
            <w:vAlign w:val="bottom"/>
            <w:hideMark/>
          </w:tcPr>
          <w:p w:rsidR="00000000" w:rsidRDefault="00E3336F">
            <w:pPr>
              <w:ind w:left="40"/>
              <w:jc w:val="right"/>
              <w:rPr>
                <w:rFonts w:eastAsia="Times New Roman"/>
                <w:sz w:val="20"/>
                <w:szCs w:val="20"/>
              </w:rPr>
            </w:pPr>
            <w:r>
              <w:rPr>
                <w:rFonts w:eastAsia="Times New Roman"/>
                <w:b/>
                <w:bCs/>
                <w:sz w:val="20"/>
                <w:szCs w:val="20"/>
              </w:rPr>
              <w:t>135,789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6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398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Gross leasable area ("GLA")</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Land parcel</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purchase price for these acquisitions was allocated to real estate and related intangible assets and liabilities acquired, as applicable, in accordance with our accounting policies for asset acquisitions. The purchase price allocation for properties ac</w:t>
      </w:r>
      <w:r>
        <w:rPr>
          <w:sz w:val="20"/>
          <w:szCs w:val="20"/>
        </w:rPr>
        <w:t xml:space="preserve">quired 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is as follows (in thousands): </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583"/>
        <w:gridCol w:w="61"/>
        <w:gridCol w:w="101"/>
        <w:gridCol w:w="1058"/>
        <w:gridCol w:w="67"/>
        <w:gridCol w:w="61"/>
        <w:gridCol w:w="61"/>
        <w:gridCol w:w="1591"/>
        <w:gridCol w:w="62"/>
      </w:tblGrid>
      <w:tr w:rsidR="00000000">
        <w:trPr>
          <w:tblCellSpacing w:w="0" w:type="dxa"/>
        </w:trPr>
        <w:tc>
          <w:tcPr>
            <w:tcW w:w="27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Allocation as of </w:t>
            </w:r>
          </w:p>
          <w:p w:rsidR="00000000" w:rsidRDefault="00E3336F">
            <w:pPr>
              <w:pStyle w:val="a3"/>
              <w:spacing w:before="0" w:beforeAutospacing="0" w:after="0" w:afterAutospacing="0"/>
              <w:jc w:val="center"/>
              <w:rPr>
                <w:sz w:val="20"/>
                <w:szCs w:val="20"/>
              </w:rPr>
            </w:pPr>
            <w:r>
              <w:rPr>
                <w:b/>
                <w:bCs/>
                <w:sz w:val="20"/>
                <w:szCs w:val="20"/>
              </w:rPr>
              <w:t>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Weighted Average</w:t>
            </w:r>
            <w:r>
              <w:rPr>
                <w:b/>
                <w:bCs/>
                <w:sz w:val="20"/>
                <w:szCs w:val="20"/>
              </w:rPr>
              <w:br/>
              <w:t>Amortization Period (in Years)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Land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64,480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n/a</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Building</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58,800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4,480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4,963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Solar panels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2,308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In-place leases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Above-market leases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Below-market leases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(6,690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2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rPr>
              <w:t>Net assets acquired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135,789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1200" w:type="pct"/>
            <w:shd w:val="clear" w:color="auto" w:fill="CCEE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b/>
                <w:bCs/>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312174106"/>
        <w:rPr>
          <w:rFonts w:eastAsia="Times New Roman"/>
          <w:sz w:val="20"/>
          <w:szCs w:val="20"/>
        </w:rPr>
      </w:pPr>
      <w:r>
        <w:rPr>
          <w:rStyle w:val="a6"/>
          <w:rFonts w:eastAsia="Times New Roman"/>
          <w:sz w:val="20"/>
          <w:szCs w:val="20"/>
        </w:rPr>
        <w:t>11</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E3336F">
      <w:pPr>
        <w:divId w:val="169915578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the Company acquired the following operating properties</w:t>
      </w:r>
      <w:r>
        <w:rPr>
          <w:sz w:val="20"/>
          <w:szCs w:val="20"/>
        </w:rPr>
        <w:t>, through direct asset purchases (in thousands):</w:t>
      </w:r>
    </w:p>
    <w:p w:rsidR="00000000" w:rsidRDefault="00E3336F">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82"/>
        <w:gridCol w:w="1070"/>
        <w:gridCol w:w="1070"/>
        <w:gridCol w:w="73"/>
        <w:gridCol w:w="140"/>
        <w:gridCol w:w="654"/>
        <w:gridCol w:w="73"/>
        <w:gridCol w:w="73"/>
        <w:gridCol w:w="101"/>
        <w:gridCol w:w="1224"/>
        <w:gridCol w:w="73"/>
        <w:gridCol w:w="73"/>
        <w:gridCol w:w="100"/>
        <w:gridCol w:w="654"/>
        <w:gridCol w:w="73"/>
        <w:gridCol w:w="73"/>
        <w:gridCol w:w="73"/>
        <w:gridCol w:w="654"/>
        <w:gridCol w:w="73"/>
      </w:tblGrid>
      <w:tr w:rsidR="00000000">
        <w:trPr>
          <w:tblCellSpacing w:w="0" w:type="dxa"/>
        </w:trPr>
        <w:tc>
          <w:tcPr>
            <w:tcW w:w="1200" w:type="pct"/>
            <w:vAlign w:val="bottom"/>
            <w:hideMark/>
          </w:tcPr>
          <w:p w:rsidR="00000000" w:rsidRDefault="00E3336F">
            <w:pPr>
              <w:rPr>
                <w:rFonts w:eastAsia="Times New Roman"/>
                <w:sz w:val="20"/>
                <w:szCs w:val="20"/>
              </w:rPr>
            </w:pPr>
            <w:r>
              <w:rPr>
                <w:rFonts w:eastAsia="Times New Roman"/>
                <w:sz w:val="20"/>
                <w:szCs w:val="20"/>
              </w:rPr>
              <w:t> </w:t>
            </w:r>
          </w:p>
        </w:tc>
        <w:tc>
          <w:tcPr>
            <w:tcW w:w="650" w:type="pct"/>
            <w:vAlign w:val="bottom"/>
            <w:hideMark/>
          </w:tcPr>
          <w:p w:rsidR="00000000" w:rsidRDefault="00E3336F">
            <w:pPr>
              <w:rPr>
                <w:rFonts w:eastAsia="Times New Roman"/>
                <w:sz w:val="20"/>
                <w:szCs w:val="20"/>
              </w:rPr>
            </w:pPr>
            <w:r>
              <w:rPr>
                <w:rFonts w:eastAsia="Times New Roman"/>
                <w:sz w:val="20"/>
                <w:szCs w:val="20"/>
              </w:rPr>
              <w:t> </w:t>
            </w:r>
          </w:p>
        </w:tc>
        <w:tc>
          <w:tcPr>
            <w:tcW w:w="6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1450" w:type="pct"/>
            <w:gridSpan w:val="10"/>
            <w:tcBorders>
              <w:bottom w:val="single" w:sz="6" w:space="0" w:color="000000"/>
            </w:tcBorders>
            <w:vAlign w:val="bottom"/>
            <w:hideMark/>
          </w:tcPr>
          <w:p w:rsidR="00000000" w:rsidRDefault="00E3336F">
            <w:pPr>
              <w:pStyle w:val="a3"/>
              <w:spacing w:before="0" w:beforeAutospacing="0" w:after="0" w:afterAutospacing="0"/>
              <w:ind w:left="80" w:hanging="40"/>
              <w:jc w:val="center"/>
              <w:rPr>
                <w:sz w:val="20"/>
                <w:szCs w:val="20"/>
              </w:rPr>
            </w:pPr>
            <w:r>
              <w:rPr>
                <w:b/>
                <w:bCs/>
                <w:sz w:val="20"/>
                <w:szCs w:val="20"/>
              </w:rPr>
              <w:t>Purchase Price</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b/>
                <w:bCs/>
                <w:sz w:val="20"/>
                <w:szCs w:val="20"/>
              </w:rPr>
              <w:t> </w:t>
            </w:r>
          </w:p>
        </w:tc>
        <w:tc>
          <w:tcPr>
            <w:tcW w:w="400" w:type="pct"/>
            <w:vAlign w:val="bottom"/>
            <w:hideMark/>
          </w:tcPr>
          <w:p w:rsidR="00000000" w:rsidRDefault="00E3336F">
            <w:pPr>
              <w:jc w:val="center"/>
              <w:rPr>
                <w:rFonts w:eastAsia="Times New Roman"/>
                <w:sz w:val="20"/>
                <w:szCs w:val="20"/>
              </w:rPr>
            </w:pPr>
            <w:r>
              <w:rPr>
                <w:rFonts w:eastAsia="Times New Roman"/>
                <w:b/>
                <w:bCs/>
                <w:sz w:val="20"/>
                <w:szCs w:val="20"/>
              </w:rPr>
              <w:t> </w:t>
            </w:r>
          </w:p>
        </w:tc>
        <w:tc>
          <w:tcPr>
            <w:tcW w:w="50" w:type="pct"/>
            <w:vAlign w:val="bottom"/>
            <w:hideMark/>
          </w:tcPr>
          <w:p w:rsidR="00000000" w:rsidRDefault="00E3336F">
            <w:pPr>
              <w:rPr>
                <w:rFonts w:eastAsia="Times New Roman"/>
                <w:sz w:val="20"/>
                <w:szCs w:val="20"/>
              </w:rPr>
            </w:pPr>
            <w:r>
              <w:rPr>
                <w:rFonts w:eastAsia="Times New Roman"/>
                <w:b/>
                <w:bCs/>
                <w:sz w:val="20"/>
                <w:szCs w:val="20"/>
              </w:rPr>
              <w:t> </w:t>
            </w:r>
          </w:p>
        </w:tc>
      </w:tr>
      <w:tr w:rsidR="00000000">
        <w:trPr>
          <w:tblCellSpacing w:w="0" w:type="dxa"/>
        </w:trPr>
        <w:tc>
          <w:tcPr>
            <w:tcW w:w="12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Property Name</w:t>
            </w:r>
          </w:p>
        </w:tc>
        <w:tc>
          <w:tcPr>
            <w:tcW w:w="6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Location</w:t>
            </w:r>
          </w:p>
        </w:tc>
        <w:tc>
          <w:tcPr>
            <w:tcW w:w="6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Month Acquired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Cash</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Other Consideration*</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Total</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GLA</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2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Distribution Center #1</w:t>
            </w:r>
          </w:p>
        </w:tc>
        <w:tc>
          <w:tcPr>
            <w:tcW w:w="65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Lancaster, CA</w:t>
            </w:r>
          </w:p>
        </w:tc>
        <w:tc>
          <w:tcPr>
            <w:tcW w:w="65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Jan-21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40"/>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E3336F">
            <w:pPr>
              <w:ind w:left="40"/>
              <w:jc w:val="right"/>
              <w:rPr>
                <w:rFonts w:eastAsia="Times New Roman"/>
                <w:sz w:val="20"/>
                <w:szCs w:val="20"/>
              </w:rPr>
            </w:pPr>
            <w:r>
              <w:rPr>
                <w:rFonts w:eastAsia="Times New Roman"/>
                <w:sz w:val="20"/>
                <w:szCs w:val="20"/>
              </w:rPr>
              <w:t>58,723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11,277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927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2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Distribution Center #2</w:t>
            </w:r>
          </w:p>
        </w:tc>
        <w:tc>
          <w:tcPr>
            <w:tcW w:w="65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Woodland, CA</w:t>
            </w:r>
          </w:p>
        </w:tc>
        <w:tc>
          <w:tcPr>
            <w:tcW w:w="65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Jan-21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E3336F">
            <w:pPr>
              <w:ind w:left="40"/>
              <w:jc w:val="right"/>
              <w:rPr>
                <w:rFonts w:eastAsia="Times New Roman"/>
                <w:sz w:val="20"/>
                <w:szCs w:val="20"/>
              </w:rPr>
            </w:pPr>
            <w:r>
              <w:rPr>
                <w:rFonts w:eastAsia="Times New Roman"/>
                <w:sz w:val="20"/>
                <w:szCs w:val="20"/>
              </w:rPr>
              <w:t>27,589</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6,411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34,000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508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2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rPr>
                <w:rFonts w:eastAsia="Times New Roman"/>
                <w:sz w:val="20"/>
                <w:szCs w:val="20"/>
              </w:rPr>
            </w:pPr>
            <w:r>
              <w:rPr>
                <w:rStyle w:val="a6"/>
                <w:rFonts w:eastAsia="Times New Roman"/>
                <w:sz w:val="20"/>
                <w:szCs w:val="20"/>
              </w:rPr>
              <w:t> </w:t>
            </w:r>
          </w:p>
        </w:tc>
        <w:tc>
          <w:tcPr>
            <w:tcW w:w="650" w:type="pct"/>
            <w:shd w:val="clear" w:color="auto" w:fill="CCEEFF"/>
            <w:vAlign w:val="bottom"/>
            <w:hideMark/>
          </w:tcPr>
          <w:p w:rsidR="00000000" w:rsidRDefault="00E3336F">
            <w:pPr>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ind w:left="40"/>
              <w:rPr>
                <w:rFonts w:eastAsia="Times New Roman"/>
                <w:sz w:val="20"/>
                <w:szCs w:val="20"/>
              </w:rPr>
            </w:pPr>
            <w:r>
              <w:rPr>
                <w:rFonts w:eastAsia="Times New Roman"/>
                <w:b/>
                <w:bCs/>
                <w:sz w:val="20"/>
                <w:szCs w:val="20"/>
              </w:rPr>
              <w:t>$</w:t>
            </w:r>
          </w:p>
        </w:tc>
        <w:tc>
          <w:tcPr>
            <w:tcW w:w="400" w:type="pct"/>
            <w:tcBorders>
              <w:bottom w:val="double" w:sz="6" w:space="0" w:color="000000"/>
            </w:tcBorders>
            <w:shd w:val="clear" w:color="auto" w:fill="CCEEFF"/>
            <w:vAlign w:val="bottom"/>
            <w:hideMark/>
          </w:tcPr>
          <w:p w:rsidR="00000000" w:rsidRDefault="00E3336F">
            <w:pPr>
              <w:ind w:left="40"/>
              <w:jc w:val="right"/>
              <w:rPr>
                <w:rFonts w:eastAsia="Times New Roman"/>
                <w:sz w:val="20"/>
                <w:szCs w:val="20"/>
              </w:rPr>
            </w:pPr>
            <w:r>
              <w:rPr>
                <w:rFonts w:eastAsia="Times New Roman"/>
                <w:b/>
                <w:bCs/>
                <w:sz w:val="20"/>
                <w:szCs w:val="20"/>
              </w:rPr>
              <w:t>86,312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17,688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4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104,000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4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1,435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 Consists of the fair value of the assets acquired which exceeded the purchase price upon closing. The transaction was a sale-leaseback with the seller which resulted in the recognition of a prepayment of rent of $17.7 million in accordance with ASC </w:t>
      </w:r>
      <w:r>
        <w:rPr>
          <w:rStyle w:val="a6"/>
          <w:sz w:val="20"/>
          <w:szCs w:val="20"/>
        </w:rPr>
        <w:t>842,</w:t>
      </w:r>
      <w:r>
        <w:rPr>
          <w:sz w:val="20"/>
          <w:szCs w:val="20"/>
        </w:rPr>
        <w:t xml:space="preserve"> </w:t>
      </w:r>
      <w:r>
        <w:rPr>
          <w:i/>
          <w:iCs/>
          <w:sz w:val="20"/>
          <w:szCs w:val="20"/>
        </w:rPr>
        <w:t>Leases</w:t>
      </w:r>
      <w:r>
        <w:rPr>
          <w:sz w:val="20"/>
          <w:szCs w:val="20"/>
        </w:rPr>
        <w:t xml:space="preserve"> at closing. The prepayment of rent was amortized over the initial term of the lease through Revenues from rental properties, net on the Company's Condensed Consolidated Statements of Income.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two distribution centers were purchased through a TR</w:t>
      </w:r>
      <w:r>
        <w:rPr>
          <w:sz w:val="20"/>
          <w:szCs w:val="20"/>
        </w:rPr>
        <w:t xml:space="preserve">S of the Company during </w:t>
      </w:r>
      <w:r>
        <w:rPr>
          <w:rStyle w:val="a6"/>
          <w:sz w:val="20"/>
          <w:szCs w:val="20"/>
        </w:rPr>
        <w:t xml:space="preserve">January 2021, </w:t>
      </w:r>
      <w:r>
        <w:rPr>
          <w:sz w:val="20"/>
          <w:szCs w:val="20"/>
        </w:rPr>
        <w:t xml:space="preserve">and they were subsequently sold in </w:t>
      </w:r>
      <w:r>
        <w:rPr>
          <w:rStyle w:val="a6"/>
          <w:sz w:val="20"/>
          <w:szCs w:val="20"/>
        </w:rPr>
        <w:t xml:space="preserve">June 2021 </w:t>
      </w:r>
      <w:r>
        <w:rPr>
          <w:sz w:val="20"/>
          <w:szCs w:val="20"/>
        </w:rPr>
        <w:t xml:space="preserve">and are included in the </w:t>
      </w:r>
      <w:r>
        <w:rPr>
          <w:i/>
          <w:iCs/>
          <w:sz w:val="20"/>
          <w:szCs w:val="20"/>
        </w:rPr>
        <w:t xml:space="preserve">Dispositions </w:t>
      </w:r>
      <w:r>
        <w:rPr>
          <w:sz w:val="20"/>
          <w:szCs w:val="20"/>
        </w:rPr>
        <w:t xml:space="preserve">disclosure below. Included in the Company's Condensed Consolidated Statements of Income is $3.2 million in total revenues from the date </w:t>
      </w:r>
      <w:r>
        <w:rPr>
          <w:sz w:val="20"/>
          <w:szCs w:val="20"/>
        </w:rPr>
        <w:t xml:space="preserve">of acquisition through the date of disposition for these </w:t>
      </w:r>
      <w:r>
        <w:rPr>
          <w:rStyle w:val="a6"/>
          <w:sz w:val="20"/>
          <w:szCs w:val="20"/>
        </w:rPr>
        <w:t>two</w:t>
      </w:r>
      <w:r>
        <w:rPr>
          <w:sz w:val="20"/>
          <w:szCs w:val="20"/>
        </w:rPr>
        <w:t xml:space="preserve"> operating properties.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Included in the Company’s Condensed Consolidated Statements of Income is $3.2 million in total revenues from the date of acquisition through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r</w:t>
      </w:r>
      <w:r>
        <w:rPr>
          <w:sz w:val="20"/>
          <w:szCs w:val="20"/>
        </w:rPr>
        <w:t>espectively, for operating properties acquired during each of the respective years.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Dispositions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table below summarizes the Company’</w:t>
      </w:r>
      <w:r>
        <w:rPr>
          <w:sz w:val="20"/>
          <w:szCs w:val="20"/>
        </w:rPr>
        <w:t xml:space="preserve">s disposition activity relating to consolidated operating properties and parcels for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(dollars in millions):</w:t>
      </w:r>
    </w:p>
    <w:p w:rsidR="00000000" w:rsidRDefault="00E3336F">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0"/>
        <w:gridCol w:w="1054"/>
        <w:gridCol w:w="57"/>
        <w:gridCol w:w="57"/>
        <w:gridCol w:w="100"/>
        <w:gridCol w:w="1054"/>
        <w:gridCol w:w="57"/>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Aggregate sales price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172.2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156.6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Gain on sale of properties (2)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Number of properties sold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Number of parcels sold</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910"/>
        <w:gridCol w:w="1911"/>
        <w:gridCol w:w="4485"/>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E3336F">
            <w:pPr>
              <w:pStyle w:val="a3"/>
              <w:spacing w:before="0" w:beforeAutospacing="0" w:after="0" w:afterAutospacing="0"/>
              <w:jc w:val="both"/>
              <w:rPr>
                <w:sz w:val="20"/>
                <w:szCs w:val="20"/>
              </w:rPr>
            </w:pPr>
            <w:r>
              <w:rPr>
                <w:sz w:val="20"/>
                <w:szCs w:val="20"/>
              </w:rPr>
              <w:t xml:space="preserve">Includes $19.7 </w:t>
            </w:r>
            <w:r>
              <w:rPr>
                <w:sz w:val="20"/>
                <w:szCs w:val="20"/>
              </w:rPr>
              <w:t xml:space="preserve">million of Internal Revenue Code </w:t>
            </w:r>
            <w:r>
              <w:rPr>
                <w:rStyle w:val="a6"/>
                <w:sz w:val="20"/>
                <w:szCs w:val="20"/>
              </w:rPr>
              <w:t>26</w:t>
            </w:r>
            <w:r>
              <w:rPr>
                <w:sz w:val="20"/>
                <w:szCs w:val="20"/>
              </w:rPr>
              <w:t xml:space="preserve"> U.S.C. </w:t>
            </w:r>
            <w:r>
              <w:rPr>
                <w:rStyle w:val="a6"/>
                <w:sz w:val="20"/>
                <w:szCs w:val="20"/>
              </w:rPr>
              <w:t>§1031</w:t>
            </w:r>
            <w:r>
              <w:rPr>
                <w:sz w:val="20"/>
                <w:szCs w:val="20"/>
              </w:rPr>
              <w:t xml:space="preserve"> proceeds held in escrow through sale of real estate interests for the </w:t>
            </w:r>
            <w:r>
              <w:rPr>
                <w:rStyle w:val="a6"/>
                <w:sz w:val="20"/>
                <w:szCs w:val="20"/>
              </w:rPr>
              <w:t>nine</w:t>
            </w:r>
            <w:r>
              <w:rPr>
                <w:sz w:val="20"/>
                <w:szCs w:val="20"/>
              </w:rPr>
              <w:t xml:space="preserve"> months ended </w:t>
            </w:r>
            <w:r>
              <w:rPr>
                <w:rStyle w:val="a6"/>
                <w:sz w:val="20"/>
                <w:szCs w:val="20"/>
              </w:rPr>
              <w:t>September 30, 2022.</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76"/>
        <w:gridCol w:w="1575"/>
        <w:gridCol w:w="5155"/>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E3336F">
            <w:pPr>
              <w:pStyle w:val="a3"/>
              <w:spacing w:before="0" w:beforeAutospacing="0" w:after="0" w:afterAutospacing="0"/>
              <w:jc w:val="both"/>
              <w:rPr>
                <w:sz w:val="20"/>
                <w:szCs w:val="20"/>
              </w:rPr>
            </w:pPr>
            <w:r>
              <w:rPr>
                <w:sz w:val="20"/>
                <w:szCs w:val="20"/>
              </w:rPr>
              <w:t xml:space="preserve">Before noncontrolling interests of $3.0 million and taxes of $2.2 </w:t>
            </w:r>
            <w:r>
              <w:rPr>
                <w:sz w:val="20"/>
                <w:szCs w:val="20"/>
              </w:rPr>
              <w:t xml:space="preserve">million, after utilization of net operating loss carryforwards, for the </w:t>
            </w:r>
            <w:r>
              <w:rPr>
                <w:rStyle w:val="a6"/>
                <w:sz w:val="20"/>
                <w:szCs w:val="20"/>
              </w:rPr>
              <w:t>nine</w:t>
            </w:r>
            <w:r>
              <w:rPr>
                <w:sz w:val="20"/>
                <w:szCs w:val="20"/>
              </w:rPr>
              <w:t xml:space="preserve"> months ended </w:t>
            </w:r>
            <w:r>
              <w:rPr>
                <w:rStyle w:val="a6"/>
                <w:sz w:val="20"/>
                <w:szCs w:val="20"/>
              </w:rPr>
              <w:t>September 30, 2021.</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Impairments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recognized impairment charges related to adjustments to property car</w:t>
      </w:r>
      <w:r>
        <w:rPr>
          <w:sz w:val="20"/>
          <w:szCs w:val="20"/>
        </w:rPr>
        <w:t>rying values of $21.8 million, before noncontrolling interests of $15.8 million. The Company’s estimated fair values of these assets were primarily based upon sales prices from signed contracts, which were less than the carrying value of the assets.</w:t>
      </w:r>
    </w:p>
    <w:p w:rsidR="00000000" w:rsidRDefault="00E3336F">
      <w:pPr>
        <w:pStyle w:val="a3"/>
        <w:spacing w:before="0" w:beforeAutospacing="0" w:after="0" w:afterAutospacing="0"/>
        <w:rPr>
          <w:sz w:val="20"/>
          <w:szCs w:val="20"/>
        </w:rPr>
      </w:pPr>
      <w:r>
        <w:rPr>
          <w:sz w:val="20"/>
          <w:szCs w:val="20"/>
        </w:rPr>
        <w:t> </w:t>
      </w:r>
    </w:p>
    <w:p w:rsidR="00000000" w:rsidRDefault="00E3336F">
      <w:pPr>
        <w:divId w:val="328758229"/>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5</w:t>
      </w:r>
      <w:r>
        <w:rPr>
          <w:rStyle w:val="a6"/>
          <w:sz w:val="20"/>
          <w:szCs w:val="20"/>
        </w:rPr>
        <w:t>.</w:t>
      </w:r>
      <w:r>
        <w:rPr>
          <w:sz w:val="20"/>
          <w:szCs w:val="20"/>
        </w:rPr>
        <w:t xml:space="preserve"> </w:t>
      </w:r>
      <w:r>
        <w:rPr>
          <w:sz w:val="20"/>
          <w:szCs w:val="20"/>
          <w:u w:val="single"/>
        </w:rPr>
        <w:t>Investments in and Advances to Real Estate Joint Ventures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 has investments in and advances to various real estate joint ventures. These joint ventures are engaged primarily in the operation of shopping centers which are either owned or held </w:t>
      </w:r>
      <w:r>
        <w:rPr>
          <w:sz w:val="20"/>
          <w:szCs w:val="20"/>
        </w:rPr>
        <w:t>under long-term operating leases. The Company and the joint venture partners have joint approval rights for major decisions, including those regarding property operations. As such, the Company holds noncontrolling interests in these joint ventures and acco</w:t>
      </w:r>
      <w:r>
        <w:rPr>
          <w:sz w:val="20"/>
          <w:szCs w:val="20"/>
        </w:rPr>
        <w:t>unts for them under the equity method of accounting. The Company manages certain of these joint venture investments and, where applicable, earns acquisition fees, leasing commissions, property management fees, asset management fees and construction managem</w:t>
      </w:r>
      <w:r>
        <w:rPr>
          <w:sz w:val="20"/>
          <w:szCs w:val="20"/>
        </w:rPr>
        <w:t xml:space="preserve">ent fees. The table below presents unconsolidated joint venture investments for which the Company held an ownership interest at </w:t>
      </w:r>
      <w:r>
        <w:rPr>
          <w:rStyle w:val="a6"/>
          <w:sz w:val="20"/>
          <w:szCs w:val="20"/>
        </w:rPr>
        <w:t xml:space="preserve">September 30, 2022 </w:t>
      </w:r>
      <w:r>
        <w:rPr>
          <w:sz w:val="20"/>
          <w:szCs w:val="20"/>
        </w:rPr>
        <w:t xml:space="preserve">and </w:t>
      </w:r>
      <w:r>
        <w:rPr>
          <w:rStyle w:val="a6"/>
          <w:sz w:val="20"/>
          <w:szCs w:val="20"/>
        </w:rPr>
        <w:t>December 31, 2021 (</w:t>
      </w:r>
      <w:r>
        <w:rPr>
          <w:sz w:val="20"/>
          <w:szCs w:val="20"/>
        </w:rPr>
        <w:t>dollars in millions):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713"/>
        <w:gridCol w:w="58"/>
        <w:gridCol w:w="68"/>
        <w:gridCol w:w="1460"/>
        <w:gridCol w:w="58"/>
        <w:gridCol w:w="58"/>
        <w:gridCol w:w="220"/>
        <w:gridCol w:w="1138"/>
        <w:gridCol w:w="58"/>
        <w:gridCol w:w="58"/>
        <w:gridCol w:w="221"/>
        <w:gridCol w:w="1138"/>
        <w:gridCol w:w="58"/>
      </w:tblGrid>
      <w:tr w:rsidR="00000000">
        <w:trPr>
          <w:tblCellSpacing w:w="0" w:type="dxa"/>
        </w:trPr>
        <w:tc>
          <w:tcPr>
            <w:tcW w:w="22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Noncontrolling Ownership</w:t>
            </w:r>
          </w:p>
          <w:p w:rsidR="00000000" w:rsidRDefault="00E3336F">
            <w:pPr>
              <w:pStyle w:val="a3"/>
              <w:spacing w:before="0" w:beforeAutospacing="0" w:after="0" w:afterAutospacing="0"/>
              <w:jc w:val="center"/>
              <w:rPr>
                <w:sz w:val="20"/>
                <w:szCs w:val="20"/>
              </w:rPr>
            </w:pPr>
            <w:r>
              <w:rPr>
                <w:b/>
                <w:bCs/>
                <w:sz w:val="20"/>
                <w:szCs w:val="20"/>
              </w:rPr>
              <w:t>Interest</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9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The Company’s Investment</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tcBorders>
              <w:bottom w:val="single" w:sz="6" w:space="0" w:color="000000"/>
            </w:tcBorders>
            <w:vAlign w:val="bottom"/>
            <w:hideMark/>
          </w:tcPr>
          <w:p w:rsidR="00000000" w:rsidRDefault="00E3336F">
            <w:pPr>
              <w:pStyle w:val="a3"/>
              <w:spacing w:before="0" w:beforeAutospacing="0" w:after="0" w:afterAutospacing="0"/>
              <w:rPr>
                <w:sz w:val="20"/>
                <w:szCs w:val="20"/>
              </w:rPr>
            </w:pPr>
            <w:r>
              <w:rPr>
                <w:b/>
                <w:bCs/>
                <w:sz w:val="20"/>
                <w:szCs w:val="20"/>
              </w:rPr>
              <w:t>Joint Venture</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ind w:left="120"/>
              <w:jc w:val="center"/>
              <w:rPr>
                <w:rFonts w:eastAsia="Times New Roman"/>
                <w:sz w:val="20"/>
                <w:szCs w:val="20"/>
              </w:rPr>
            </w:pPr>
            <w:r>
              <w:rPr>
                <w:rFonts w:eastAsia="Times New Roman"/>
                <w:sz w:val="20"/>
                <w:szCs w:val="20"/>
              </w:rPr>
              <w:t>15.0%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2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153.8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20"/>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163.0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ind w:left="120"/>
              <w:jc w:val="center"/>
              <w:rPr>
                <w:rFonts w:eastAsia="Times New Roman"/>
                <w:sz w:val="20"/>
                <w:szCs w:val="20"/>
              </w:rPr>
            </w:pPr>
            <w:r>
              <w:rPr>
                <w:rFonts w:eastAsia="Times New Roman"/>
                <w:sz w:val="20"/>
                <w:szCs w:val="20"/>
              </w:rPr>
              <w:t>52.1%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ind w:left="120"/>
              <w:jc w:val="right"/>
              <w:rPr>
                <w:rFonts w:eastAsia="Times New Roman"/>
                <w:sz w:val="20"/>
                <w:szCs w:val="20"/>
              </w:rPr>
            </w:pPr>
            <w:r>
              <w:rPr>
                <w:rFonts w:eastAsia="Times New Roman"/>
                <w:sz w:val="20"/>
                <w:szCs w:val="20"/>
              </w:rPr>
              <w:t>281.7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ind w:left="120"/>
              <w:jc w:val="right"/>
              <w:rPr>
                <w:rFonts w:eastAsia="Times New Roman"/>
                <w:sz w:val="20"/>
                <w:szCs w:val="20"/>
              </w:rPr>
            </w:pPr>
            <w:r>
              <w:rPr>
                <w:rFonts w:eastAsia="Times New Roman"/>
                <w:sz w:val="20"/>
                <w:szCs w:val="20"/>
              </w:rPr>
              <w:t>186.0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Canada Pension Plan Investment Board (“CPP”)</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ind w:left="120"/>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185.7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165.1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shd w:val="clear" w:color="auto" w:fill="FFFFFF"/>
            <w:vAlign w:val="bottom"/>
            <w:hideMark/>
          </w:tcPr>
          <w:p w:rsidR="00000000" w:rsidRDefault="00E3336F">
            <w:pPr>
              <w:pStyle w:val="a3"/>
              <w:spacing w:before="0" w:beforeAutospacing="0" w:after="0" w:afterAutospacing="0"/>
              <w:ind w:left="240" w:hanging="120"/>
              <w:jc w:val="center"/>
              <w:rPr>
                <w:sz w:val="20"/>
                <w:szCs w:val="20"/>
              </w:rPr>
            </w:pPr>
            <w:r>
              <w:rPr>
                <w:rStyle w:val="a6"/>
                <w:sz w:val="20"/>
                <w:szCs w:val="20"/>
              </w:rPr>
              <w:t>Various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ind w:left="120"/>
              <w:jc w:val="right"/>
              <w:rPr>
                <w:rFonts w:eastAsia="Times New Roman"/>
                <w:sz w:val="20"/>
                <w:szCs w:val="20"/>
              </w:rPr>
            </w:pPr>
            <w:r>
              <w:rPr>
                <w:rFonts w:eastAsia="Times New Roman"/>
                <w:sz w:val="20"/>
                <w:szCs w:val="20"/>
              </w:rPr>
              <w:t>260.4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E3336F">
            <w:pPr>
              <w:ind w:left="120"/>
              <w:jc w:val="right"/>
              <w:rPr>
                <w:rFonts w:eastAsia="Times New Roman"/>
                <w:sz w:val="20"/>
                <w:szCs w:val="20"/>
              </w:rPr>
            </w:pPr>
            <w:r>
              <w:rPr>
                <w:rFonts w:eastAsia="Times New Roman"/>
                <w:sz w:val="20"/>
                <w:szCs w:val="20"/>
              </w:rPr>
              <w:t>281.8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shd w:val="clear" w:color="auto" w:fill="CCEEFF"/>
            <w:vAlign w:val="bottom"/>
            <w:hideMark/>
          </w:tcPr>
          <w:p w:rsidR="00000000" w:rsidRDefault="00E3336F">
            <w:pPr>
              <w:pStyle w:val="a3"/>
              <w:spacing w:before="0" w:beforeAutospacing="0" w:after="0" w:afterAutospacing="0"/>
              <w:ind w:left="240" w:hanging="120"/>
              <w:jc w:val="center"/>
              <w:rPr>
                <w:sz w:val="20"/>
                <w:szCs w:val="20"/>
              </w:rPr>
            </w:pPr>
            <w:r>
              <w:rPr>
                <w:rStyle w:val="a6"/>
                <w:sz w:val="20"/>
                <w:szCs w:val="20"/>
              </w:rPr>
              <w:t>Various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210.8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E3336F">
            <w:pPr>
              <w:ind w:left="120"/>
              <w:jc w:val="right"/>
              <w:rPr>
                <w:rFonts w:eastAsia="Times New Roman"/>
                <w:sz w:val="20"/>
                <w:szCs w:val="20"/>
              </w:rPr>
            </w:pPr>
            <w:r>
              <w:rPr>
                <w:rFonts w:eastAsia="Times New Roman"/>
                <w:sz w:val="20"/>
                <w:szCs w:val="20"/>
              </w:rPr>
              <w:t>211.0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50" w:type="pct"/>
            <w:shd w:val="clear" w:color="auto" w:fill="FFFFFF"/>
            <w:vAlign w:val="bottom"/>
            <w:hideMark/>
          </w:tcPr>
          <w:p w:rsidR="00000000" w:rsidRDefault="00E3336F">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ind w:left="120"/>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E3336F">
            <w:pPr>
              <w:ind w:left="120"/>
              <w:jc w:val="right"/>
              <w:rPr>
                <w:rFonts w:eastAsia="Times New Roman"/>
                <w:sz w:val="20"/>
                <w:szCs w:val="20"/>
              </w:rPr>
            </w:pPr>
            <w:r>
              <w:rPr>
                <w:rFonts w:eastAsia="Times New Roman"/>
                <w:b/>
                <w:bCs/>
                <w:sz w:val="20"/>
                <w:szCs w:val="20"/>
              </w:rPr>
              <w:t>1,092.4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7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1,006.9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ind w:left="360" w:hanging="180"/>
        <w:jc w:val="both"/>
        <w:rPr>
          <w:sz w:val="20"/>
          <w:szCs w:val="20"/>
        </w:rPr>
      </w:pPr>
      <w:r>
        <w:rPr>
          <w:sz w:val="20"/>
          <w:szCs w:val="20"/>
        </w:rPr>
        <w:t xml:space="preserve">* Representing 112 property interests and 22.6 million square feet of GLA, as of </w:t>
      </w:r>
      <w:r>
        <w:rPr>
          <w:rStyle w:val="a6"/>
          <w:sz w:val="20"/>
          <w:szCs w:val="20"/>
        </w:rPr>
        <w:t xml:space="preserve">September 30, 2022, </w:t>
      </w:r>
      <w:r>
        <w:rPr>
          <w:sz w:val="20"/>
          <w:szCs w:val="20"/>
        </w:rPr>
        <w:t xml:space="preserve">and 120 </w:t>
      </w:r>
      <w:r>
        <w:rPr>
          <w:sz w:val="20"/>
          <w:szCs w:val="20"/>
        </w:rPr>
        <w:t xml:space="preserve">property interests and 24.7 million square feet of GLA, as of </w:t>
      </w:r>
      <w:r>
        <w:rPr>
          <w:rStyle w:val="a6"/>
          <w:sz w:val="20"/>
          <w:szCs w:val="20"/>
        </w:rPr>
        <w:t>December 31, 2021.</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18"/>
        <w:gridCol w:w="1618"/>
        <w:gridCol w:w="5070"/>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purchased additional ownership interests for $55.1 million, including </w:t>
            </w:r>
            <w:r>
              <w:rPr>
                <w:sz w:val="20"/>
                <w:szCs w:val="20"/>
              </w:rPr>
              <w:t xml:space="preserve">the General Partner's ownership interest from Milton Cooper, Executive Chairman of the Board of Directors of the Company, for $0.1 million. There was </w:t>
            </w:r>
            <w:r>
              <w:rPr>
                <w:rStyle w:val="a6"/>
                <w:sz w:val="20"/>
                <w:szCs w:val="20"/>
              </w:rPr>
              <w:t>no</w:t>
            </w:r>
            <w:r>
              <w:rPr>
                <w:sz w:val="20"/>
                <w:szCs w:val="20"/>
              </w:rPr>
              <w:t xml:space="preserve"> change in control as a result of these transactions.</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272005653"/>
        <w:rPr>
          <w:rFonts w:eastAsia="Times New Roman"/>
          <w:sz w:val="20"/>
          <w:szCs w:val="20"/>
        </w:rPr>
      </w:pPr>
      <w:r>
        <w:rPr>
          <w:rStyle w:val="a6"/>
          <w:rFonts w:eastAsia="Times New Roman"/>
          <w:sz w:val="20"/>
          <w:szCs w:val="20"/>
        </w:rPr>
        <w:t>12</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E3336F">
      <w:pPr>
        <w:divId w:val="182558807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sz w:val="20"/>
          <w:szCs w:val="20"/>
        </w:rPr>
        <w:t>The table below presents the Company’s share of net income for the above investments which is included in Equity in income of joint ventures, net on the Company’s Condensed Consolidated Statements of Income for t</w:t>
      </w:r>
      <w:r>
        <w:rPr>
          <w:sz w:val="20"/>
          <w:szCs w:val="20"/>
        </w:rPr>
        <w:t xml:space="preserve">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(in millions):</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781"/>
        <w:gridCol w:w="72"/>
        <w:gridCol w:w="100"/>
        <w:gridCol w:w="782"/>
        <w:gridCol w:w="72"/>
        <w:gridCol w:w="72"/>
        <w:gridCol w:w="100"/>
        <w:gridCol w:w="782"/>
        <w:gridCol w:w="72"/>
        <w:gridCol w:w="73"/>
        <w:gridCol w:w="100"/>
        <w:gridCol w:w="783"/>
        <w:gridCol w:w="73"/>
        <w:gridCol w:w="73"/>
        <w:gridCol w:w="100"/>
        <w:gridCol w:w="783"/>
        <w:gridCol w:w="73"/>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400" w:type="pct"/>
            <w:tcBorders>
              <w:bottom w:val="single" w:sz="6" w:space="0" w:color="000000"/>
            </w:tcBorders>
            <w:vAlign w:val="bottom"/>
            <w:hideMark/>
          </w:tcPr>
          <w:p w:rsidR="00000000" w:rsidRDefault="00E3336F">
            <w:pPr>
              <w:pStyle w:val="a3"/>
              <w:spacing w:before="0" w:beforeAutospacing="0" w:after="0" w:afterAutospacing="0"/>
              <w:rPr>
                <w:sz w:val="20"/>
                <w:szCs w:val="20"/>
              </w:rPr>
            </w:pPr>
            <w:r>
              <w:rPr>
                <w:b/>
                <w:bCs/>
                <w:sz w:val="20"/>
                <w:szCs w:val="20"/>
              </w:rPr>
              <w:t>Joint Venture</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Prudential Investment Program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62.9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Other Joint Venture Programs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9.3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26.4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20.0</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94.1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54.1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20"/>
        <w:gridCol w:w="1820"/>
        <w:gridCol w:w="4666"/>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Prudential Investment Program recognized an impairment charge on a property of $15.1 million, of which the Company’s share was $2.3 million.</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certain of the Company’</w:t>
      </w:r>
      <w:r>
        <w:rPr>
          <w:sz w:val="20"/>
          <w:szCs w:val="20"/>
        </w:rPr>
        <w:t xml:space="preserve">s real estate joint ventures disposed of eight properties and a land parcel, in separate transactions, for an aggregate sales price of $326.5 million. These transactions resulted in an aggregate net gain to the Company of $37.3 million for the </w:t>
      </w:r>
      <w:r>
        <w:rPr>
          <w:rStyle w:val="a6"/>
          <w:sz w:val="20"/>
          <w:szCs w:val="20"/>
        </w:rPr>
        <w:t>nine</w:t>
      </w:r>
      <w:r>
        <w:rPr>
          <w:sz w:val="20"/>
          <w:szCs w:val="20"/>
        </w:rPr>
        <w:t xml:space="preserve"> months </w:t>
      </w:r>
      <w:r>
        <w:rPr>
          <w:sz w:val="20"/>
          <w:szCs w:val="20"/>
        </w:rPr>
        <w:t xml:space="preserve">ended </w:t>
      </w:r>
      <w:r>
        <w:rPr>
          <w:rStyle w:val="a6"/>
          <w:sz w:val="20"/>
          <w:szCs w:val="20"/>
        </w:rPr>
        <w:t>September 30, 2022.</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2021, </w:t>
      </w:r>
      <w:r>
        <w:rPr>
          <w:sz w:val="20"/>
          <w:szCs w:val="20"/>
        </w:rPr>
        <w:t>certain of the Company’s real estate joint ventures disposed of two properties, in separate transactions, for an aggregate sales price of $53.7 million. These transactions resulte</w:t>
      </w:r>
      <w:r>
        <w:rPr>
          <w:sz w:val="20"/>
          <w:szCs w:val="20"/>
        </w:rPr>
        <w:t xml:space="preserve">d in an aggregate net gain to the Company of $4.2 million for the </w:t>
      </w:r>
      <w:r>
        <w:rPr>
          <w:rStyle w:val="a6"/>
          <w:sz w:val="20"/>
          <w:szCs w:val="20"/>
        </w:rPr>
        <w:t>nine</w:t>
      </w:r>
      <w:r>
        <w:rPr>
          <w:sz w:val="20"/>
          <w:szCs w:val="20"/>
        </w:rPr>
        <w:t xml:space="preserve"> months ended </w:t>
      </w:r>
      <w:r>
        <w:rPr>
          <w:rStyle w:val="a6"/>
          <w:sz w:val="20"/>
          <w:szCs w:val="20"/>
        </w:rPr>
        <w:t>September 30, 2021.</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table below presents debt balances within the Company’s unconsolidated joint venture investments for which the Company held noncontrolling ownersh</w:t>
      </w:r>
      <w:r>
        <w:rPr>
          <w:sz w:val="20"/>
          <w:szCs w:val="20"/>
        </w:rPr>
        <w:t xml:space="preserve">ip interests at </w:t>
      </w:r>
      <w:r>
        <w:rPr>
          <w:rStyle w:val="a6"/>
          <w:sz w:val="20"/>
          <w:szCs w:val="20"/>
        </w:rPr>
        <w:t xml:space="preserve">September 30, 2022 </w:t>
      </w:r>
      <w:r>
        <w:rPr>
          <w:sz w:val="20"/>
          <w:szCs w:val="20"/>
        </w:rPr>
        <w:t xml:space="preserve">and </w:t>
      </w:r>
      <w:r>
        <w:rPr>
          <w:rStyle w:val="a6"/>
          <w:sz w:val="20"/>
          <w:szCs w:val="20"/>
        </w:rPr>
        <w:t>December 31, 2021 (</w:t>
      </w:r>
      <w:r>
        <w:rPr>
          <w:sz w:val="20"/>
          <w:szCs w:val="20"/>
        </w:rPr>
        <w:t>dollars in millions):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18"/>
        <w:gridCol w:w="50"/>
        <w:gridCol w:w="101"/>
        <w:gridCol w:w="819"/>
        <w:gridCol w:w="50"/>
        <w:gridCol w:w="50"/>
        <w:gridCol w:w="83"/>
        <w:gridCol w:w="740"/>
        <w:gridCol w:w="167"/>
        <w:gridCol w:w="50"/>
        <w:gridCol w:w="94"/>
        <w:gridCol w:w="840"/>
        <w:gridCol w:w="50"/>
        <w:gridCol w:w="50"/>
        <w:gridCol w:w="101"/>
        <w:gridCol w:w="819"/>
        <w:gridCol w:w="50"/>
        <w:gridCol w:w="50"/>
        <w:gridCol w:w="83"/>
        <w:gridCol w:w="740"/>
        <w:gridCol w:w="167"/>
        <w:gridCol w:w="50"/>
        <w:gridCol w:w="94"/>
        <w:gridCol w:w="840"/>
        <w:gridCol w:w="50"/>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400" w:type="pct"/>
            <w:tcBorders>
              <w:bottom w:val="single" w:sz="6" w:space="0" w:color="000000"/>
            </w:tcBorders>
            <w:vAlign w:val="bottom"/>
            <w:hideMark/>
          </w:tcPr>
          <w:p w:rsidR="00000000" w:rsidRDefault="00E3336F">
            <w:pPr>
              <w:pStyle w:val="a3"/>
              <w:spacing w:before="0" w:beforeAutospacing="0" w:after="0" w:afterAutospacing="0"/>
              <w:rPr>
                <w:sz w:val="20"/>
                <w:szCs w:val="20"/>
              </w:rPr>
            </w:pPr>
            <w:r>
              <w:rPr>
                <w:b/>
                <w:bCs/>
                <w:sz w:val="20"/>
                <w:szCs w:val="20"/>
              </w:rPr>
              <w:t>Joint Venture</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Mortgages and</w:t>
            </w:r>
          </w:p>
          <w:p w:rsidR="00000000" w:rsidRDefault="00E3336F">
            <w:pPr>
              <w:pStyle w:val="a3"/>
              <w:spacing w:before="0" w:beforeAutospacing="0" w:after="0" w:afterAutospacing="0"/>
              <w:jc w:val="center"/>
              <w:rPr>
                <w:sz w:val="20"/>
                <w:szCs w:val="20"/>
              </w:rPr>
            </w:pPr>
            <w:r>
              <w:rPr>
                <w:b/>
                <w:bCs/>
                <w:sz w:val="20"/>
                <w:szCs w:val="20"/>
              </w:rPr>
              <w:t xml:space="preserve">Notes Payable, </w:t>
            </w:r>
          </w:p>
          <w:p w:rsidR="00000000" w:rsidRDefault="00E3336F">
            <w:pPr>
              <w:pStyle w:val="a3"/>
              <w:spacing w:before="0" w:beforeAutospacing="0" w:after="0" w:afterAutospacing="0"/>
              <w:jc w:val="center"/>
              <w:rPr>
                <w:sz w:val="20"/>
                <w:szCs w:val="20"/>
              </w:rPr>
            </w:pPr>
            <w:r>
              <w:rPr>
                <w:b/>
                <w:bCs/>
                <w:sz w:val="20"/>
                <w:szCs w:val="20"/>
              </w:rPr>
              <w:t>Net</w:t>
            </w:r>
          </w:p>
        </w:tc>
        <w:tc>
          <w:tcPr>
            <w:tcW w:w="0" w:type="auto"/>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Weighted </w:t>
            </w:r>
          </w:p>
          <w:p w:rsidR="00000000" w:rsidRDefault="00E3336F">
            <w:pPr>
              <w:pStyle w:val="a3"/>
              <w:spacing w:before="0" w:beforeAutospacing="0" w:after="0" w:afterAutospacing="0"/>
              <w:jc w:val="center"/>
              <w:rPr>
                <w:sz w:val="20"/>
                <w:szCs w:val="20"/>
              </w:rPr>
            </w:pPr>
            <w:r>
              <w:rPr>
                <w:b/>
                <w:bCs/>
                <w:sz w:val="20"/>
                <w:szCs w:val="20"/>
              </w:rPr>
              <w:t>Average</w:t>
            </w:r>
          </w:p>
          <w:p w:rsidR="00000000" w:rsidRDefault="00E3336F">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Weighted </w:t>
            </w:r>
          </w:p>
          <w:p w:rsidR="00000000" w:rsidRDefault="00E3336F">
            <w:pPr>
              <w:pStyle w:val="a3"/>
              <w:spacing w:before="0" w:beforeAutospacing="0" w:after="0" w:afterAutospacing="0"/>
              <w:jc w:val="center"/>
              <w:rPr>
                <w:sz w:val="20"/>
                <w:szCs w:val="20"/>
              </w:rPr>
            </w:pPr>
            <w:r>
              <w:rPr>
                <w:b/>
                <w:bCs/>
                <w:sz w:val="20"/>
                <w:szCs w:val="20"/>
              </w:rPr>
              <w:t xml:space="preserve">Average </w:t>
            </w:r>
          </w:p>
          <w:p w:rsidR="00000000" w:rsidRDefault="00E3336F">
            <w:pPr>
              <w:pStyle w:val="a3"/>
              <w:spacing w:before="0" w:beforeAutospacing="0" w:after="0" w:afterAutospacing="0"/>
              <w:jc w:val="center"/>
              <w:rPr>
                <w:sz w:val="20"/>
                <w:szCs w:val="20"/>
              </w:rPr>
            </w:pPr>
            <w:r>
              <w:rPr>
                <w:b/>
                <w:bCs/>
                <w:sz w:val="20"/>
                <w:szCs w:val="20"/>
              </w:rPr>
              <w:t xml:space="preserve">Remaining </w:t>
            </w:r>
          </w:p>
          <w:p w:rsidR="00000000" w:rsidRDefault="00E3336F">
            <w:pPr>
              <w:pStyle w:val="a3"/>
              <w:spacing w:before="0" w:beforeAutospacing="0" w:after="0" w:afterAutospacing="0"/>
              <w:jc w:val="center"/>
              <w:rPr>
                <w:sz w:val="20"/>
                <w:szCs w:val="20"/>
              </w:rPr>
            </w:pPr>
            <w:r>
              <w:rPr>
                <w:b/>
                <w:bCs/>
                <w:sz w:val="20"/>
                <w:szCs w:val="20"/>
              </w:rPr>
              <w:t>Term (months)*</w:t>
            </w:r>
          </w:p>
        </w:tc>
        <w:tc>
          <w:tcPr>
            <w:tcW w:w="0" w:type="auto"/>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Mortgages and</w:t>
            </w:r>
          </w:p>
          <w:p w:rsidR="00000000" w:rsidRDefault="00E3336F">
            <w:pPr>
              <w:pStyle w:val="a3"/>
              <w:spacing w:before="0" w:beforeAutospacing="0" w:after="0" w:afterAutospacing="0"/>
              <w:jc w:val="center"/>
              <w:rPr>
                <w:sz w:val="20"/>
                <w:szCs w:val="20"/>
              </w:rPr>
            </w:pPr>
            <w:r>
              <w:rPr>
                <w:b/>
                <w:bCs/>
                <w:sz w:val="20"/>
                <w:szCs w:val="20"/>
              </w:rPr>
              <w:t xml:space="preserve">Notes Payable, </w:t>
            </w:r>
          </w:p>
          <w:p w:rsidR="00000000" w:rsidRDefault="00E3336F">
            <w:pPr>
              <w:pStyle w:val="a3"/>
              <w:spacing w:before="0" w:beforeAutospacing="0" w:after="0" w:afterAutospacing="0"/>
              <w:jc w:val="center"/>
              <w:rPr>
                <w:sz w:val="20"/>
                <w:szCs w:val="20"/>
              </w:rPr>
            </w:pPr>
            <w:r>
              <w:rPr>
                <w:b/>
                <w:bCs/>
                <w:sz w:val="20"/>
                <w:szCs w:val="20"/>
              </w:rPr>
              <w:t>Net</w:t>
            </w:r>
          </w:p>
        </w:tc>
        <w:tc>
          <w:tcPr>
            <w:tcW w:w="0" w:type="auto"/>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Weighted</w:t>
            </w:r>
          </w:p>
          <w:p w:rsidR="00000000" w:rsidRDefault="00E3336F">
            <w:pPr>
              <w:pStyle w:val="a3"/>
              <w:spacing w:before="0" w:beforeAutospacing="0" w:after="0" w:afterAutospacing="0"/>
              <w:jc w:val="center"/>
              <w:rPr>
                <w:sz w:val="20"/>
                <w:szCs w:val="20"/>
              </w:rPr>
            </w:pPr>
            <w:r>
              <w:rPr>
                <w:b/>
                <w:bCs/>
                <w:sz w:val="20"/>
                <w:szCs w:val="20"/>
              </w:rPr>
              <w:t>Average</w:t>
            </w:r>
          </w:p>
          <w:p w:rsidR="00000000" w:rsidRDefault="00E3336F">
            <w:pPr>
              <w:pStyle w:val="a3"/>
              <w:spacing w:before="0" w:beforeAutospacing="0" w:after="0" w:afterAutospacing="0"/>
              <w:jc w:val="center"/>
              <w:rPr>
                <w:sz w:val="20"/>
                <w:szCs w:val="20"/>
              </w:rPr>
            </w:pPr>
            <w:r>
              <w:rPr>
                <w:b/>
                <w:bCs/>
                <w:sz w:val="20"/>
                <w:szCs w:val="20"/>
              </w:rPr>
              <w:t>Interest Rate</w:t>
            </w:r>
          </w:p>
        </w:tc>
        <w:tc>
          <w:tcPr>
            <w:tcW w:w="0" w:type="auto"/>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Weighted </w:t>
            </w:r>
          </w:p>
          <w:p w:rsidR="00000000" w:rsidRDefault="00E3336F">
            <w:pPr>
              <w:pStyle w:val="a3"/>
              <w:spacing w:before="0" w:beforeAutospacing="0" w:after="0" w:afterAutospacing="0"/>
              <w:jc w:val="center"/>
              <w:rPr>
                <w:sz w:val="20"/>
                <w:szCs w:val="20"/>
              </w:rPr>
            </w:pPr>
            <w:r>
              <w:rPr>
                <w:b/>
                <w:bCs/>
                <w:sz w:val="20"/>
                <w:szCs w:val="20"/>
              </w:rPr>
              <w:t>Average</w:t>
            </w:r>
          </w:p>
          <w:p w:rsidR="00000000" w:rsidRDefault="00E3336F">
            <w:pPr>
              <w:pStyle w:val="a3"/>
              <w:spacing w:before="0" w:beforeAutospacing="0" w:after="0" w:afterAutospacing="0"/>
              <w:jc w:val="center"/>
              <w:rPr>
                <w:sz w:val="20"/>
                <w:szCs w:val="20"/>
              </w:rPr>
            </w:pPr>
            <w:r>
              <w:rPr>
                <w:b/>
                <w:bCs/>
                <w:sz w:val="20"/>
                <w:szCs w:val="20"/>
              </w:rPr>
              <w:t xml:space="preserve">Remaining </w:t>
            </w:r>
          </w:p>
          <w:p w:rsidR="00000000" w:rsidRDefault="00E3336F">
            <w:pPr>
              <w:pStyle w:val="a3"/>
              <w:spacing w:before="0" w:beforeAutospacing="0" w:after="0" w:afterAutospacing="0"/>
              <w:jc w:val="center"/>
              <w:rPr>
                <w:sz w:val="20"/>
                <w:szCs w:val="20"/>
              </w:rPr>
            </w:pPr>
            <w:r>
              <w:rPr>
                <w:b/>
                <w:bCs/>
                <w:sz w:val="20"/>
                <w:szCs w:val="20"/>
              </w:rPr>
              <w:t>Term (months)*</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Prudential Investment Program</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381.0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36.1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426.9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45.6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492.6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4.89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46.1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84.2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Institutional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233.3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4.30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232.9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Other Joint Venture Programs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391.9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3.99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74.6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402.1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b/>
                <w:bCs/>
                <w:sz w:val="20"/>
                <w:szCs w:val="20"/>
              </w:rPr>
              <w:t>Total</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1,414.5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1,638.7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Style w:val="a6"/>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r>
    </w:tbl>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Includes extension options</w:t>
      </w:r>
    </w:p>
    <w:p w:rsidR="00000000" w:rsidRDefault="00E3336F">
      <w:pPr>
        <w:pStyle w:val="a3"/>
        <w:spacing w:before="0" w:beforeAutospacing="0" w:after="0" w:afterAutospacing="0"/>
        <w:rPr>
          <w:sz w:val="20"/>
          <w:szCs w:val="20"/>
        </w:rPr>
      </w:pPr>
      <w:r>
        <w:rPr>
          <w:sz w:val="20"/>
          <w:szCs w:val="20"/>
        </w:rPr>
        <w:t> </w:t>
      </w:r>
    </w:p>
    <w:p w:rsidR="00000000" w:rsidRDefault="00E3336F">
      <w:pPr>
        <w:divId w:val="4938689"/>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6.</w:t>
      </w:r>
      <w:r>
        <w:rPr>
          <w:sz w:val="20"/>
          <w:szCs w:val="20"/>
        </w:rPr>
        <w:t xml:space="preserve"> </w:t>
      </w:r>
      <w:r>
        <w:rPr>
          <w:sz w:val="20"/>
          <w:szCs w:val="20"/>
          <w:u w:val="single"/>
        </w:rPr>
        <w:t>Other Investments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has provided capital to owners and developers of real estate properties and loans through its Preferred Equity Program. The Company’s maximum exposure to losses associated with its preferred equity investments is primarily limited to its net in</w:t>
      </w:r>
      <w:r>
        <w:rPr>
          <w:sz w:val="20"/>
          <w:szCs w:val="20"/>
        </w:rPr>
        <w:t xml:space="preserve">vestment. As of </w:t>
      </w:r>
      <w:r>
        <w:rPr>
          <w:rStyle w:val="a6"/>
          <w:sz w:val="20"/>
          <w:szCs w:val="20"/>
        </w:rPr>
        <w:t xml:space="preserve">September 30, 2022, </w:t>
      </w:r>
      <w:r>
        <w:rPr>
          <w:sz w:val="20"/>
          <w:szCs w:val="20"/>
        </w:rPr>
        <w:t xml:space="preserve">the Company’s net investment under the Preferred Equity Program was $69.6 million relating to 13 properties. 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the Company recognized net income of $14.8 million an</w:t>
      </w:r>
      <w:r>
        <w:rPr>
          <w:sz w:val="20"/>
          <w:szCs w:val="20"/>
        </w:rPr>
        <w:t>d $8.5 million from its preferred equity investments, respectively. These amounts are included in Equity in income of other investments, net on the Company’s Condensed Consolidated Statements of Income.</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373390381"/>
        <w:rPr>
          <w:rFonts w:eastAsia="Times New Roman"/>
          <w:sz w:val="20"/>
          <w:szCs w:val="20"/>
        </w:rPr>
      </w:pPr>
      <w:r>
        <w:rPr>
          <w:rFonts w:eastAsia="Times New Roman"/>
          <w:sz w:val="20"/>
          <w:szCs w:val="20"/>
        </w:rPr>
        <w:t xml:space="preserve">13 </w:t>
      </w:r>
    </w:p>
    <w:p w:rsidR="00000000" w:rsidRDefault="00E3336F">
      <w:pPr>
        <w:divId w:val="631786569"/>
        <w:rPr>
          <w:rFonts w:eastAsia="Times New Roman"/>
          <w:sz w:val="20"/>
          <w:szCs w:val="20"/>
        </w:rPr>
      </w:pPr>
      <w:r>
        <w:rPr>
          <w:rFonts w:eastAsia="Times New Roman"/>
          <w:sz w:val="20"/>
          <w:szCs w:val="20"/>
        </w:rPr>
        <w:pict>
          <v:rect id="_x0000_i1041" style="width:415.3pt;height:1.5pt" o:hralign="center" o:hrstd="t" o:hrnoshade="t" o:hr="t" fillcolor="black" stroked="f"/>
        </w:pict>
      </w:r>
    </w:p>
    <w:p w:rsidR="00000000" w:rsidRDefault="00E3336F">
      <w:pPr>
        <w:divId w:val="188358888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798032151"/>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7.</w:t>
      </w:r>
      <w:r>
        <w:rPr>
          <w:sz w:val="20"/>
          <w:szCs w:val="20"/>
        </w:rPr>
        <w:t xml:space="preserve"> </w:t>
      </w:r>
      <w:r>
        <w:rPr>
          <w:sz w:val="20"/>
          <w:szCs w:val="20"/>
          <w:u w:val="single"/>
        </w:rPr>
        <w:t>Marketable Securities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amortized cost and unrealized gains, net of marketable securities as of </w:t>
      </w:r>
      <w:r>
        <w:rPr>
          <w:rStyle w:val="a6"/>
          <w:sz w:val="20"/>
          <w:szCs w:val="20"/>
        </w:rPr>
        <w:t xml:space="preserve">September 30, 2022 </w:t>
      </w:r>
      <w:r>
        <w:rPr>
          <w:sz w:val="20"/>
          <w:szCs w:val="20"/>
        </w:rPr>
        <w:t xml:space="preserve">and </w:t>
      </w:r>
      <w:r>
        <w:rPr>
          <w:rStyle w:val="a6"/>
          <w:sz w:val="20"/>
          <w:szCs w:val="20"/>
        </w:rPr>
        <w:t xml:space="preserve">December 31, 2021, </w:t>
      </w:r>
      <w:r>
        <w:rPr>
          <w:sz w:val="20"/>
          <w:szCs w:val="20"/>
        </w:rPr>
        <w:t>are as follows (in thousands):</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3313"/>
        <w:gridCol w:w="56"/>
        <w:gridCol w:w="101"/>
        <w:gridCol w:w="1452"/>
        <w:gridCol w:w="56"/>
        <w:gridCol w:w="57"/>
        <w:gridCol w:w="100"/>
        <w:gridCol w:w="1453"/>
        <w:gridCol w:w="57"/>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Marketable</w:t>
            </w:r>
            <w:r>
              <w:rPr>
                <w:sz w:val="20"/>
                <w:szCs w:val="20"/>
              </w:rPr>
              <w:t xml:space="preserve"> securities: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Amortized cost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116,741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114,159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Unrealized gains,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882,353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1,097,580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Total fair value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999,094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1,211,739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three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w:t>
      </w:r>
      <w:r>
        <w:rPr>
          <w:sz w:val="20"/>
          <w:szCs w:val="20"/>
        </w:rPr>
        <w:t xml:space="preserve">the Company recognized net unrealized losses on marketable securities of $75.5 million and net unrealized gains on marketable securities of $457.1 million, respectively. 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the Company recognized net u</w:t>
      </w:r>
      <w:r>
        <w:rPr>
          <w:sz w:val="20"/>
          <w:szCs w:val="20"/>
        </w:rPr>
        <w:t xml:space="preserve">nrealized losses on marketable securities of $215.2 million and net unrealized gains on marketable securities of $542.5 million, respectively. These net unrealized gains and losses are included in (Loss)/gain on marketable securities, net on the Company’s </w:t>
      </w:r>
      <w:r>
        <w:rPr>
          <w:sz w:val="20"/>
          <w:szCs w:val="20"/>
        </w:rPr>
        <w:t>Condensed Consolidated Statements of Income. See Footnote 22 of the Company's Condensed Consolidated Financial Statements for additional information regarding subsequent events.</w:t>
      </w:r>
    </w:p>
    <w:p w:rsidR="00000000" w:rsidRDefault="00E3336F">
      <w:pPr>
        <w:pStyle w:val="a3"/>
        <w:spacing w:before="0" w:beforeAutospacing="0" w:after="0" w:afterAutospacing="0"/>
        <w:rPr>
          <w:sz w:val="20"/>
          <w:szCs w:val="20"/>
        </w:rPr>
      </w:pPr>
      <w:r>
        <w:rPr>
          <w:sz w:val="20"/>
          <w:szCs w:val="20"/>
        </w:rPr>
        <w:t> </w:t>
      </w:r>
    </w:p>
    <w:p w:rsidR="00000000" w:rsidRDefault="00E3336F">
      <w:pPr>
        <w:divId w:val="791440577"/>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8.</w:t>
      </w:r>
      <w:r>
        <w:rPr>
          <w:sz w:val="20"/>
          <w:szCs w:val="20"/>
        </w:rPr>
        <w:t xml:space="preserve"> </w:t>
      </w:r>
      <w:r>
        <w:rPr>
          <w:sz w:val="20"/>
          <w:szCs w:val="20"/>
          <w:u w:val="single"/>
        </w:rPr>
        <w:t>Accounts and Notes Receivable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components of accounts and notes r</w:t>
      </w:r>
      <w:r>
        <w:rPr>
          <w:sz w:val="20"/>
          <w:szCs w:val="20"/>
        </w:rPr>
        <w:t xml:space="preserve">eceivable, net of potentially uncollectible amounts as of </w:t>
      </w:r>
      <w:r>
        <w:rPr>
          <w:rStyle w:val="a6"/>
          <w:sz w:val="20"/>
          <w:szCs w:val="20"/>
        </w:rPr>
        <w:t xml:space="preserve">September 30, 2022 </w:t>
      </w:r>
      <w:r>
        <w:rPr>
          <w:sz w:val="20"/>
          <w:szCs w:val="20"/>
        </w:rPr>
        <w:t xml:space="preserve">and </w:t>
      </w:r>
      <w:r>
        <w:rPr>
          <w:rStyle w:val="a6"/>
          <w:sz w:val="20"/>
          <w:szCs w:val="20"/>
        </w:rPr>
        <w:t xml:space="preserve">December 31, 2021, </w:t>
      </w:r>
      <w:r>
        <w:rPr>
          <w:sz w:val="20"/>
          <w:szCs w:val="20"/>
        </w:rPr>
        <w:t>are as follows (in thousands):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029"/>
        <w:gridCol w:w="67"/>
        <w:gridCol w:w="101"/>
        <w:gridCol w:w="1487"/>
        <w:gridCol w:w="67"/>
        <w:gridCol w:w="67"/>
        <w:gridCol w:w="101"/>
        <w:gridCol w:w="1488"/>
        <w:gridCol w:w="6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7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Billed tenant receivables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13,430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0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20,970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Unbilled common area maintenance, insurance and tax reimbursements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53,305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55,283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Deferred rent receivables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3,145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5,029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Other receivables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18,167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15,725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Straight-line rent receivables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181,840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157,670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Total accounts and notes receivable,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269,887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0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254,677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636131775"/>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9.</w:t>
      </w:r>
      <w:r>
        <w:rPr>
          <w:sz w:val="20"/>
          <w:szCs w:val="20"/>
        </w:rPr>
        <w:t xml:space="preserve"> </w:t>
      </w:r>
      <w:r>
        <w:rPr>
          <w:sz w:val="20"/>
          <w:szCs w:val="20"/>
          <w:u w:val="single"/>
        </w:rPr>
        <w:t>Leases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Lessor Leases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w:t>
      </w:r>
      <w:r>
        <w:rPr>
          <w:sz w:val="20"/>
          <w:szCs w:val="20"/>
        </w:rPr>
        <w:t>s primary source of revenues is derived from lease agreements, which includes rental income and expense reimbursement. The Company’s lease income is comprised of minimum base rent, expense reimbursements, percentage rent, lease termination fee income, anci</w:t>
      </w:r>
      <w:r>
        <w:rPr>
          <w:sz w:val="20"/>
          <w:szCs w:val="20"/>
        </w:rPr>
        <w:t>llary income, amortization of above-market and below-market rent adjustments and straight-line rent adjustments.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disaggregation of the Company’s lease income, which is included in Revenues from rental properties, net on the Company’s Condensed Consol</w:t>
      </w:r>
      <w:r>
        <w:rPr>
          <w:sz w:val="20"/>
          <w:szCs w:val="20"/>
        </w:rPr>
        <w:t xml:space="preserve">idated Statements of Income, as either fixed or variable lease income based on the criteria specified in ASC </w:t>
      </w:r>
      <w:r>
        <w:rPr>
          <w:rStyle w:val="a6"/>
          <w:sz w:val="20"/>
          <w:szCs w:val="20"/>
        </w:rPr>
        <w:t>842,</w:t>
      </w:r>
      <w:r>
        <w:rPr>
          <w:sz w:val="20"/>
          <w:szCs w:val="20"/>
        </w:rPr>
        <w:t xml:space="preserve">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is as follows (in thousands):</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08"/>
        <w:gridCol w:w="73"/>
        <w:gridCol w:w="100"/>
        <w:gridCol w:w="738"/>
        <w:gridCol w:w="73"/>
        <w:gridCol w:w="73"/>
        <w:gridCol w:w="100"/>
        <w:gridCol w:w="738"/>
        <w:gridCol w:w="73"/>
        <w:gridCol w:w="73"/>
        <w:gridCol w:w="100"/>
        <w:gridCol w:w="800"/>
        <w:gridCol w:w="73"/>
        <w:gridCol w:w="73"/>
        <w:gridCol w:w="100"/>
        <w:gridCol w:w="738"/>
        <w:gridCol w:w="73"/>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w:t>
            </w:r>
          </w:p>
          <w:p w:rsidR="00000000" w:rsidRDefault="00E3336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w:t>
            </w:r>
          </w:p>
          <w:p w:rsidR="00000000" w:rsidRDefault="00E3336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Lease income:</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Fixed lease income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340,990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283,911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1,009,358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720,174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Variable lease income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83,689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65,985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248,650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181,980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Above-market and below-market leases amortization,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3,107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2,982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10,088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11,915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Adjustments for potentially uncollectible revenues and disputed amounts (3)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1,256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11,816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6,873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15,228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Total lease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429,042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364,694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1,274,969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929,297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Includes minimum base rents, expense reimbursements, ancillary income and straight-line rent adjustments.</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Includes minimum base rents, expense reimbursements, percentage rent, lease termination fee income and ancillary income.</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80"/>
        <w:gridCol w:w="360"/>
        <w:gridCol w:w="7666"/>
      </w:tblGrid>
      <w:tr w:rsidR="00000000">
        <w:trPr>
          <w:tblCellSpacing w:w="0" w:type="dxa"/>
        </w:trPr>
        <w:tc>
          <w:tcPr>
            <w:tcW w:w="28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 xml:space="preserve">The amounts represent adjustments associated with potentially uncollectible revenues and disputed amounts primarily due to the </w:t>
            </w:r>
            <w:r>
              <w:rPr>
                <w:sz w:val="20"/>
                <w:szCs w:val="20"/>
              </w:rPr>
              <w:t>COVID-</w:t>
            </w:r>
            <w:r>
              <w:rPr>
                <w:rStyle w:val="a6"/>
                <w:sz w:val="20"/>
                <w:szCs w:val="20"/>
              </w:rPr>
              <w:t>19</w:t>
            </w:r>
            <w:r>
              <w:rPr>
                <w:sz w:val="20"/>
                <w:szCs w:val="20"/>
              </w:rPr>
              <w:t xml:space="preserve"> pandemic.</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735011222"/>
        <w:rPr>
          <w:rFonts w:eastAsia="Times New Roman"/>
          <w:sz w:val="20"/>
          <w:szCs w:val="20"/>
        </w:rPr>
      </w:pPr>
      <w:r>
        <w:rPr>
          <w:rStyle w:val="a6"/>
          <w:rFonts w:eastAsia="Times New Roman"/>
          <w:sz w:val="20"/>
          <w:szCs w:val="20"/>
        </w:rPr>
        <w:t>14</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42" style="width:415.3pt;height:1.5pt" o:hralign="center" o:hrstd="t" o:hrnoshade="t" o:hr="t" fillcolor="black" stroked="f"/>
        </w:pict>
      </w:r>
    </w:p>
    <w:p w:rsidR="00000000" w:rsidRDefault="00E3336F">
      <w:pPr>
        <w:divId w:val="166555291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i/>
          <w:iCs/>
          <w:sz w:val="20"/>
          <w:szCs w:val="20"/>
        </w:rPr>
        <w:t>Lessee Leases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currently leases real estate space under non-cancelable operating lease agreements for ground leases and administrative office leases. The Company’s</w:t>
      </w:r>
      <w:r>
        <w:rPr>
          <w:sz w:val="20"/>
          <w:szCs w:val="20"/>
        </w:rPr>
        <w:t xml:space="preserve"> operating leases have remaining lease terms ranging from</w:t>
      </w:r>
      <w:r>
        <w:rPr>
          <w:sz w:val="20"/>
          <w:szCs w:val="20"/>
        </w:rPr>
        <w:t xml:space="preserve"> </w:t>
      </w:r>
      <w:r>
        <w:rPr>
          <w:sz w:val="20"/>
          <w:szCs w:val="20"/>
        </w:rPr>
        <w:t>on</w:t>
      </w:r>
      <w:r>
        <w:rPr>
          <w:sz w:val="20"/>
          <w:szCs w:val="20"/>
        </w:rPr>
        <w:t>e</w:t>
      </w:r>
      <w:r>
        <w:rPr>
          <w:sz w:val="20"/>
          <w:szCs w:val="20"/>
        </w:rPr>
        <w:t xml:space="preserve"> to 63.3 years, some of which include options to extend the terms for up to an additional 75 years.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weighted-average remaining non-cancelable lease term and weighted-average discount rates </w:t>
      </w:r>
      <w:r>
        <w:rPr>
          <w:sz w:val="20"/>
          <w:szCs w:val="20"/>
        </w:rPr>
        <w:t xml:space="preserve">for the Company’s operating and finance leases as of </w:t>
      </w:r>
      <w:r>
        <w:rPr>
          <w:rStyle w:val="a6"/>
          <w:sz w:val="20"/>
          <w:szCs w:val="20"/>
        </w:rPr>
        <w:t xml:space="preserve">September 30, 2022 </w:t>
      </w:r>
      <w:r>
        <w:rPr>
          <w:sz w:val="20"/>
          <w:szCs w:val="20"/>
        </w:rPr>
        <w:t>were as follows:</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091"/>
        <w:gridCol w:w="50"/>
        <w:gridCol w:w="52"/>
        <w:gridCol w:w="1007"/>
        <w:gridCol w:w="167"/>
        <w:gridCol w:w="50"/>
        <w:gridCol w:w="51"/>
        <w:gridCol w:w="1010"/>
        <w:gridCol w:w="167"/>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Operating Leases</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Finance Leases</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Weighted-average remaining lease term (in years)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24.7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Weighted-average discount rate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6.62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4.44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components of the Company’s lease expense, which are included in interest expense, rent expense and general and administrative expense on the Company’s Condensed Consolidated Statements of Income</w:t>
      </w:r>
      <w:r>
        <w:rPr>
          <w:sz w:val="20"/>
          <w:szCs w:val="20"/>
        </w:rPr>
        <w:t xml:space="preserve"> for the </w:t>
      </w:r>
      <w:r>
        <w:rPr>
          <w:rStyle w:val="a6"/>
          <w:sz w:val="20"/>
          <w:szCs w:val="20"/>
        </w:rPr>
        <w:t>three</w:t>
      </w:r>
      <w:r>
        <w:rPr>
          <w:sz w:val="20"/>
          <w:szCs w:val="20"/>
        </w:rPr>
        <w:t xml:space="preserve"> and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were as follows (in thousands):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Lease cost:</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Finance lease cost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974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Operating lease cost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3,222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2,938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9,473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8,562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Variable lease cost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825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1,188</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3,421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2,520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Total lease cost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4,445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4,389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13,868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11,345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divId w:val="257762627"/>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10.</w:t>
      </w:r>
      <w:r>
        <w:rPr>
          <w:sz w:val="20"/>
          <w:szCs w:val="20"/>
        </w:rPr>
        <w:t xml:space="preserve"> </w:t>
      </w:r>
      <w:r>
        <w:rPr>
          <w:sz w:val="20"/>
          <w:szCs w:val="20"/>
          <w:u w:val="single"/>
        </w:rPr>
        <w:t>Other Assets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Assets Held-For-Sale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At </w:t>
      </w:r>
      <w:r>
        <w:rPr>
          <w:rStyle w:val="a6"/>
          <w:sz w:val="20"/>
          <w:szCs w:val="20"/>
        </w:rPr>
        <w:t xml:space="preserve">September 30, 2022, </w:t>
      </w:r>
      <w:r>
        <w:rPr>
          <w:sz w:val="20"/>
          <w:szCs w:val="20"/>
        </w:rPr>
        <w:t>the Company had a property classified as held-for-sale at a net carrying amount of $12.4 million (including accumulated depreciation and amortization of $0.9 million).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i/>
          <w:iCs/>
          <w:sz w:val="20"/>
          <w:szCs w:val="20"/>
        </w:rPr>
        <w:t>Mortgages and Other Financing Receivables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September 30,</w:t>
      </w:r>
      <w:r>
        <w:rPr>
          <w:rStyle w:val="a6"/>
          <w:sz w:val="20"/>
          <w:szCs w:val="20"/>
        </w:rPr>
        <w:t xml:space="preserve"> 2022, </w:t>
      </w:r>
      <w:r>
        <w:rPr>
          <w:sz w:val="20"/>
          <w:szCs w:val="20"/>
        </w:rPr>
        <w:t>the Company provided as a lender the following mortgage loans and other financing receivables (dollars in millions):</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2641"/>
        <w:gridCol w:w="50"/>
        <w:gridCol w:w="101"/>
        <w:gridCol w:w="1178"/>
        <w:gridCol w:w="50"/>
        <w:gridCol w:w="51"/>
        <w:gridCol w:w="1177"/>
        <w:gridCol w:w="167"/>
        <w:gridCol w:w="50"/>
        <w:gridCol w:w="1180"/>
      </w:tblGrid>
      <w:tr w:rsidR="00000000">
        <w:trPr>
          <w:tblCellSpacing w:w="0" w:type="dxa"/>
        </w:trPr>
        <w:tc>
          <w:tcPr>
            <w:tcW w:w="20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Date Issued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Face Amount</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Jul-22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22.0</w:t>
            </w:r>
          </w:p>
        </w:tc>
        <w:tc>
          <w:tcPr>
            <w:tcW w:w="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Feb-24</w:t>
            </w:r>
          </w:p>
        </w:tc>
      </w:tr>
      <w:tr w:rsidR="00000000">
        <w:trPr>
          <w:tblCellSpacing w:w="0" w:type="dxa"/>
        </w:trPr>
        <w:tc>
          <w:tcPr>
            <w:tcW w:w="20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Jun-22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16.5</w:t>
            </w:r>
          </w:p>
        </w:tc>
        <w:tc>
          <w:tcPr>
            <w:tcW w:w="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Jun-25</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Jun-22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19.6</w:t>
            </w:r>
          </w:p>
        </w:tc>
        <w:tc>
          <w:tcPr>
            <w:tcW w:w="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Jun-29</w:t>
            </w:r>
          </w:p>
        </w:tc>
      </w:tr>
      <w:tr w:rsidR="00000000">
        <w:trPr>
          <w:tblCellSpacing w:w="0" w:type="dxa"/>
        </w:trPr>
        <w:tc>
          <w:tcPr>
            <w:tcW w:w="20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May-22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14.0</w:t>
            </w:r>
          </w:p>
        </w:tc>
        <w:tc>
          <w:tcPr>
            <w:tcW w:w="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May-29</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Jan-22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Jul-22</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the Company received $38.1 </w:t>
      </w:r>
      <w:r>
        <w:rPr>
          <w:sz w:val="20"/>
          <w:szCs w:val="20"/>
        </w:rPr>
        <w:t xml:space="preserve">million of partial and full repayments relating to three mortgage loans with interest rates ranging from 8.00% to 12.50%, and maturity dates ranging from </w:t>
      </w:r>
      <w:r>
        <w:rPr>
          <w:rStyle w:val="a6"/>
          <w:sz w:val="20"/>
          <w:szCs w:val="20"/>
        </w:rPr>
        <w:t xml:space="preserve">July 2022 </w:t>
      </w:r>
      <w:r>
        <w:rPr>
          <w:sz w:val="20"/>
          <w:szCs w:val="20"/>
        </w:rPr>
        <w:t xml:space="preserve">to </w:t>
      </w:r>
      <w:r>
        <w:rPr>
          <w:rStyle w:val="a6"/>
          <w:sz w:val="20"/>
          <w:szCs w:val="20"/>
        </w:rPr>
        <w:t>September 2027.</w:t>
      </w:r>
    </w:p>
    <w:p w:rsidR="00000000" w:rsidRDefault="00E3336F">
      <w:pPr>
        <w:pStyle w:val="a3"/>
        <w:spacing w:before="0" w:beforeAutospacing="0" w:after="0" w:afterAutospacing="0"/>
        <w:rPr>
          <w:sz w:val="20"/>
          <w:szCs w:val="20"/>
        </w:rPr>
      </w:pPr>
      <w:r>
        <w:rPr>
          <w:sz w:val="20"/>
          <w:szCs w:val="20"/>
        </w:rPr>
        <w:t> </w:t>
      </w:r>
    </w:p>
    <w:p w:rsidR="00000000" w:rsidRDefault="00E3336F">
      <w:pPr>
        <w:divId w:val="1146819039"/>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11.</w:t>
      </w:r>
      <w:r>
        <w:rPr>
          <w:sz w:val="20"/>
          <w:szCs w:val="20"/>
        </w:rPr>
        <w:t xml:space="preserve"> </w:t>
      </w:r>
      <w:r>
        <w:rPr>
          <w:sz w:val="20"/>
          <w:szCs w:val="20"/>
          <w:u w:val="single"/>
        </w:rPr>
        <w:t>Notes and Mortgages Payable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Notes Payable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 has a </w:t>
      </w:r>
      <w:r>
        <w:rPr>
          <w:sz w:val="20"/>
          <w:szCs w:val="20"/>
        </w:rPr>
        <w:t xml:space="preserve">$2.0 billion unsecured revolving credit facility (the “Credit Facility”) with a group of banks which is scheduled to expire in </w:t>
      </w:r>
      <w:r>
        <w:rPr>
          <w:rStyle w:val="a6"/>
          <w:sz w:val="20"/>
          <w:szCs w:val="20"/>
        </w:rPr>
        <w:t xml:space="preserve">March 2024, </w:t>
      </w:r>
      <w:r>
        <w:rPr>
          <w:sz w:val="20"/>
          <w:szCs w:val="20"/>
        </w:rPr>
        <w:t xml:space="preserve">with </w:t>
      </w:r>
      <w:r>
        <w:rPr>
          <w:rStyle w:val="a6"/>
          <w:sz w:val="20"/>
          <w:szCs w:val="20"/>
        </w:rPr>
        <w:t>two</w:t>
      </w:r>
      <w:r>
        <w:rPr>
          <w:sz w:val="20"/>
          <w:szCs w:val="20"/>
        </w:rPr>
        <w:t xml:space="preserve"> additional </w:t>
      </w:r>
      <w:r>
        <w:rPr>
          <w:rStyle w:val="a6"/>
          <w:sz w:val="20"/>
          <w:szCs w:val="20"/>
        </w:rPr>
        <w:t>six</w:t>
      </w:r>
      <w:r>
        <w:rPr>
          <w:sz w:val="20"/>
          <w:szCs w:val="20"/>
        </w:rPr>
        <w:t xml:space="preserve">-month options to extend the maturity date, at the Company’s discretion, to </w:t>
      </w:r>
      <w:r>
        <w:rPr>
          <w:rStyle w:val="a6"/>
          <w:sz w:val="20"/>
          <w:szCs w:val="20"/>
        </w:rPr>
        <w:t xml:space="preserve">March 2025. </w:t>
      </w:r>
      <w:r>
        <w:rPr>
          <w:sz w:val="20"/>
          <w:szCs w:val="20"/>
        </w:rPr>
        <w:t>The Cr</w:t>
      </w:r>
      <w:r>
        <w:rPr>
          <w:sz w:val="20"/>
          <w:szCs w:val="20"/>
        </w:rPr>
        <w:t xml:space="preserve">edit Facility is a green credit facility tied to sustainability metric targets, as described in the agreement. In </w:t>
      </w:r>
      <w:r>
        <w:rPr>
          <w:rStyle w:val="a6"/>
          <w:sz w:val="20"/>
          <w:szCs w:val="20"/>
        </w:rPr>
        <w:t xml:space="preserve">July 2022, </w:t>
      </w:r>
      <w:r>
        <w:rPr>
          <w:sz w:val="20"/>
          <w:szCs w:val="20"/>
        </w:rPr>
        <w:t xml:space="preserve">the Company amended the Credit Facility to (i) replace LIBOR borrowings with Secured Overnight Financing Rate (“SOFR”) borrowings, </w:t>
      </w:r>
      <w:r>
        <w:rPr>
          <w:sz w:val="20"/>
          <w:szCs w:val="20"/>
        </w:rPr>
        <w:t xml:space="preserve">(ii) supplement the sustainability grid with an additional </w:t>
      </w:r>
      <w:r>
        <w:rPr>
          <w:rStyle w:val="a6"/>
          <w:sz w:val="20"/>
          <w:szCs w:val="20"/>
        </w:rPr>
        <w:t>one</w:t>
      </w:r>
      <w:r>
        <w:rPr>
          <w:sz w:val="20"/>
          <w:szCs w:val="20"/>
        </w:rPr>
        <w:t xml:space="preserve"> basis point reduction of applicable margin if certain criteria as defined in the Credit Facility are met, (iii) add a leverage metric test which, if met, reduces the applicable margin by </w:t>
      </w:r>
      <w:r>
        <w:rPr>
          <w:rStyle w:val="a6"/>
          <w:sz w:val="20"/>
          <w:szCs w:val="20"/>
        </w:rPr>
        <w:t>five</w:t>
      </w:r>
      <w:r>
        <w:rPr>
          <w:sz w:val="20"/>
          <w:szCs w:val="20"/>
        </w:rPr>
        <w:t xml:space="preserve"> b</w:t>
      </w:r>
      <w:r>
        <w:rPr>
          <w:sz w:val="20"/>
          <w:szCs w:val="20"/>
        </w:rPr>
        <w:t xml:space="preserve">asis points and (iv) obtain pre-approval of a possible organizational conversion to an UPREIT structure. The Company achieved such sustainability metric targets, which effectively reduced the rate on the Credit Facility by </w:t>
      </w:r>
      <w:r>
        <w:rPr>
          <w:rStyle w:val="a6"/>
          <w:sz w:val="20"/>
          <w:szCs w:val="20"/>
        </w:rPr>
        <w:t>two</w:t>
      </w:r>
      <w:r>
        <w:rPr>
          <w:sz w:val="20"/>
          <w:szCs w:val="20"/>
        </w:rPr>
        <w:t xml:space="preserve"> basis points. The Credit Faci</w:t>
      </w:r>
      <w:r>
        <w:rPr>
          <w:sz w:val="20"/>
          <w:szCs w:val="20"/>
        </w:rPr>
        <w:t xml:space="preserve">lity, which accrues interest at a rate of Adjusted Term SOFR, as defined in the terms of the Credit Facility, plus 75.5 basis points (3.85% as of </w:t>
      </w:r>
      <w:r>
        <w:rPr>
          <w:rStyle w:val="a6"/>
          <w:sz w:val="20"/>
          <w:szCs w:val="20"/>
        </w:rPr>
        <w:t xml:space="preserve">September 30, 2022), </w:t>
      </w:r>
      <w:r>
        <w:rPr>
          <w:sz w:val="20"/>
          <w:szCs w:val="20"/>
        </w:rPr>
        <w:t xml:space="preserve">can be increased to $2.75 billion through an accordion feature. Pursuant to the terms of </w:t>
      </w:r>
      <w:r>
        <w:rPr>
          <w:sz w:val="20"/>
          <w:szCs w:val="20"/>
        </w:rPr>
        <w:t xml:space="preserve">the Credit Facility, the Company, among other things, is subject to covenants requiring the maintenance of (i) maximum indebtedness ratios and (ii) minimum interest and fixed charge coverage ratios. As of </w:t>
      </w:r>
      <w:r>
        <w:rPr>
          <w:rStyle w:val="a6"/>
          <w:sz w:val="20"/>
          <w:szCs w:val="20"/>
        </w:rPr>
        <w:t xml:space="preserve">September 30, 2022, </w:t>
      </w:r>
      <w:r>
        <w:rPr>
          <w:sz w:val="20"/>
          <w:szCs w:val="20"/>
        </w:rPr>
        <w:t>the Credit Facility had an outs</w:t>
      </w:r>
      <w:r>
        <w:rPr>
          <w:sz w:val="20"/>
          <w:szCs w:val="20"/>
        </w:rPr>
        <w:t>tanding balance of $128.0 million, appropriations for letters of credit of $1.2 million and the Company was in compliance with its covenants.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493494082"/>
        <w:rPr>
          <w:rFonts w:eastAsia="Times New Roman"/>
          <w:sz w:val="20"/>
          <w:szCs w:val="20"/>
        </w:rPr>
      </w:pPr>
      <w:r>
        <w:rPr>
          <w:rStyle w:val="a6"/>
          <w:rFonts w:eastAsia="Times New Roman"/>
          <w:sz w:val="20"/>
          <w:szCs w:val="20"/>
        </w:rPr>
        <w:t>15</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E3336F">
      <w:pPr>
        <w:divId w:val="124783632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issued the following series of senior unsecured notes (dollars in millions):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2901"/>
        <w:gridCol w:w="61"/>
        <w:gridCol w:w="101"/>
        <w:gridCol w:w="1332"/>
        <w:gridCol w:w="61"/>
        <w:gridCol w:w="62"/>
        <w:gridCol w:w="62"/>
        <w:gridCol w:w="1333"/>
        <w:gridCol w:w="167"/>
        <w:gridCol w:w="62"/>
        <w:gridCol w:w="1333"/>
      </w:tblGrid>
      <w:tr w:rsidR="00000000">
        <w:trPr>
          <w:tblCellSpacing w:w="0" w:type="dxa"/>
        </w:trPr>
        <w:tc>
          <w:tcPr>
            <w:tcW w:w="19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Date Issued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Amount Issued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19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Aug-22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4.600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Feb-33</w:t>
            </w:r>
          </w:p>
        </w:tc>
      </w:tr>
      <w:tr w:rsidR="00000000">
        <w:trPr>
          <w:tblCellSpacing w:w="0" w:type="dxa"/>
        </w:trPr>
        <w:tc>
          <w:tcPr>
            <w:tcW w:w="19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Feb-22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3.200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Apr-32</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fully repaid the following senior unsecured notes (dollars in millions):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2901"/>
        <w:gridCol w:w="61"/>
        <w:gridCol w:w="101"/>
        <w:gridCol w:w="1332"/>
        <w:gridCol w:w="61"/>
        <w:gridCol w:w="62"/>
        <w:gridCol w:w="62"/>
        <w:gridCol w:w="1333"/>
        <w:gridCol w:w="167"/>
        <w:gridCol w:w="62"/>
        <w:gridCol w:w="1333"/>
      </w:tblGrid>
      <w:tr w:rsidR="00000000">
        <w:trPr>
          <w:tblCellSpacing w:w="0" w:type="dxa"/>
        </w:trPr>
        <w:tc>
          <w:tcPr>
            <w:tcW w:w="19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Date Paid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19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Sep-22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299.7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Apr-23</w:t>
            </w:r>
          </w:p>
        </w:tc>
      </w:tr>
      <w:tr w:rsidR="00000000">
        <w:trPr>
          <w:tblCellSpacing w:w="0" w:type="dxa"/>
        </w:trPr>
        <w:tc>
          <w:tcPr>
            <w:tcW w:w="19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Sep-22 (1) (2)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350.0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Jun-23</w:t>
            </w:r>
          </w:p>
        </w:tc>
      </w:tr>
      <w:tr w:rsidR="00000000">
        <w:trPr>
          <w:tblCellSpacing w:w="0" w:type="dxa"/>
        </w:trPr>
        <w:tc>
          <w:tcPr>
            <w:tcW w:w="19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Sep-22 (1)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299.4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E3336F">
            <w:pPr>
              <w:pStyle w:val="a3"/>
              <w:spacing w:before="0" w:beforeAutospacing="0" w:after="0" w:afterAutospacing="0"/>
              <w:jc w:val="center"/>
              <w:rPr>
                <w:sz w:val="20"/>
                <w:szCs w:val="20"/>
              </w:rPr>
            </w:pPr>
            <w:r>
              <w:rPr>
                <w:rStyle w:val="a6"/>
                <w:sz w:val="20"/>
                <w:szCs w:val="20"/>
              </w:rPr>
              <w:t>Oct-22</w:t>
            </w:r>
          </w:p>
        </w:tc>
      </w:tr>
      <w:tr w:rsidR="00000000">
        <w:trPr>
          <w:tblCellSpacing w:w="0" w:type="dxa"/>
        </w:trPr>
        <w:tc>
          <w:tcPr>
            <w:tcW w:w="19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Mar-22 (3)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3.400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E3336F">
            <w:pPr>
              <w:pStyle w:val="a3"/>
              <w:spacing w:before="0" w:beforeAutospacing="0" w:after="0" w:afterAutospacing="0"/>
              <w:jc w:val="center"/>
              <w:rPr>
                <w:sz w:val="20"/>
                <w:szCs w:val="20"/>
              </w:rPr>
            </w:pPr>
            <w:r>
              <w:rPr>
                <w:rStyle w:val="a6"/>
                <w:sz w:val="20"/>
                <w:szCs w:val="20"/>
              </w:rPr>
              <w:t>Nov-22</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6"/>
        <w:gridCol w:w="1796"/>
        <w:gridCol w:w="4714"/>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 xml:space="preserve">There was </w:t>
            </w:r>
            <w:r>
              <w:rPr>
                <w:rStyle w:val="a6"/>
                <w:sz w:val="20"/>
                <w:szCs w:val="20"/>
              </w:rPr>
              <w:t>no</w:t>
            </w:r>
            <w:r>
              <w:rPr>
                <w:sz w:val="20"/>
                <w:szCs w:val="20"/>
              </w:rPr>
              <w:t xml:space="preserve"> </w:t>
            </w:r>
            <w:r>
              <w:rPr>
                <w:sz w:val="20"/>
                <w:szCs w:val="20"/>
              </w:rPr>
              <w:t>prepayment charge associated with this early repayment.</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21"/>
        <w:gridCol w:w="1821"/>
        <w:gridCol w:w="4664"/>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 xml:space="preserve">Includes partial repayments during </w:t>
            </w:r>
            <w:r>
              <w:rPr>
                <w:rStyle w:val="a6"/>
                <w:sz w:val="20"/>
                <w:szCs w:val="20"/>
              </w:rPr>
              <w:t xml:space="preserve">May </w:t>
            </w:r>
            <w:r>
              <w:rPr>
                <w:sz w:val="20"/>
                <w:szCs w:val="20"/>
              </w:rPr>
              <w:t xml:space="preserve">and </w:t>
            </w:r>
            <w:r>
              <w:rPr>
                <w:rStyle w:val="a6"/>
                <w:sz w:val="20"/>
                <w:szCs w:val="20"/>
              </w:rPr>
              <w:t>June 2022.</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531"/>
        <w:gridCol w:w="1530"/>
        <w:gridCol w:w="5245"/>
      </w:tblGrid>
      <w:tr w:rsidR="00000000">
        <w:trPr>
          <w:tblCellSpacing w:w="0" w:type="dxa"/>
        </w:trPr>
        <w:tc>
          <w:tcPr>
            <w:tcW w:w="36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3</w:t>
            </w:r>
            <w:r>
              <w:rPr>
                <w:sz w:val="20"/>
                <w:szCs w:val="20"/>
              </w:rPr>
              <w:t>)</w:t>
            </w:r>
          </w:p>
        </w:tc>
        <w:tc>
          <w:tcPr>
            <w:tcW w:w="6" w:type="dxa"/>
            <w:hideMark/>
          </w:tcPr>
          <w:p w:rsidR="00000000" w:rsidRDefault="00E3336F">
            <w:pPr>
              <w:pStyle w:val="a3"/>
              <w:spacing w:before="0" w:beforeAutospacing="0" w:after="0" w:afterAutospacing="0"/>
              <w:rPr>
                <w:sz w:val="20"/>
                <w:szCs w:val="20"/>
              </w:rPr>
            </w:pPr>
            <w:r>
              <w:rPr>
                <w:sz w:val="20"/>
                <w:szCs w:val="20"/>
              </w:rPr>
              <w:t xml:space="preserve">The Company incurred a prepayment charge of $6.5 million and $0.7 </w:t>
            </w:r>
            <w:r>
              <w:rPr>
                <w:sz w:val="20"/>
                <w:szCs w:val="20"/>
              </w:rPr>
              <w:t>million in write-off of deferred financing costs resulting from this early repayment, which are included in Early extinguishment of debt charges on the Company's Condensed Consolidated Statements of Income.</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Mortgages Payable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w:t>
      </w:r>
      <w:r>
        <w:rPr>
          <w:sz w:val="20"/>
          <w:szCs w:val="20"/>
        </w:rPr>
        <w:t xml:space="preserve">ed </w:t>
      </w:r>
      <w:r>
        <w:rPr>
          <w:rStyle w:val="a6"/>
          <w:sz w:val="20"/>
          <w:szCs w:val="20"/>
        </w:rPr>
        <w:t xml:space="preserve">September 30, 2022, </w:t>
      </w:r>
      <w:r>
        <w:rPr>
          <w:sz w:val="20"/>
          <w:szCs w:val="20"/>
        </w:rPr>
        <w:t xml:space="preserve">the Company (i) obtained a $19.0 million mortgage relating to a consolidated joint venture operating property and (ii) repaid $158.4 million of mortgage debt (including fair market value adjustment of $0.5 million) that encumbered </w:t>
      </w:r>
      <w:r>
        <w:rPr>
          <w:rStyle w:val="a6"/>
          <w:sz w:val="20"/>
          <w:szCs w:val="20"/>
        </w:rPr>
        <w:t>11</w:t>
      </w:r>
      <w:r>
        <w:rPr>
          <w:sz w:val="20"/>
          <w:szCs w:val="20"/>
        </w:rPr>
        <w:t xml:space="preserve"> operating properties.</w:t>
      </w:r>
    </w:p>
    <w:p w:rsidR="00000000" w:rsidRDefault="00E3336F">
      <w:pPr>
        <w:pStyle w:val="a3"/>
        <w:spacing w:before="0" w:beforeAutospacing="0" w:after="0" w:afterAutospacing="0"/>
        <w:rPr>
          <w:sz w:val="20"/>
          <w:szCs w:val="20"/>
        </w:rPr>
      </w:pPr>
      <w:r>
        <w:rPr>
          <w:sz w:val="20"/>
          <w:szCs w:val="20"/>
        </w:rPr>
        <w:t> </w:t>
      </w:r>
    </w:p>
    <w:p w:rsidR="00000000" w:rsidRDefault="00E3336F">
      <w:pPr>
        <w:divId w:val="527987863"/>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12.</w:t>
      </w:r>
      <w:r>
        <w:rPr>
          <w:sz w:val="20"/>
          <w:szCs w:val="20"/>
        </w:rPr>
        <w:t xml:space="preserve"> </w:t>
      </w:r>
      <w:r>
        <w:rPr>
          <w:sz w:val="20"/>
          <w:szCs w:val="20"/>
          <w:u w:val="single"/>
        </w:rPr>
        <w:t>Noncontrolling Interests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Noncontrolling interests represent the portion of equity that the Company does </w:t>
      </w:r>
      <w:r>
        <w:rPr>
          <w:rStyle w:val="a6"/>
          <w:sz w:val="20"/>
          <w:szCs w:val="20"/>
        </w:rPr>
        <w:t>not</w:t>
      </w:r>
      <w:r>
        <w:rPr>
          <w:sz w:val="20"/>
          <w:szCs w:val="20"/>
        </w:rPr>
        <w:t xml:space="preserve"> own in those entities it consolidates as a result of having a controlling interest or having determined that the C</w:t>
      </w:r>
      <w:r>
        <w:rPr>
          <w:sz w:val="20"/>
          <w:szCs w:val="20"/>
        </w:rPr>
        <w:t>ompany was the primary beneficiary of a VIE in accordance with the provisions of the FASB’s Consolidation guidance. The Company accounts and reports for noncontrolling interests in accordance with the Consolidation guidance and the Distinguishing Liabiliti</w:t>
      </w:r>
      <w:r>
        <w:rPr>
          <w:sz w:val="20"/>
          <w:szCs w:val="20"/>
        </w:rPr>
        <w:t xml:space="preserve">es from Equity guidance issued by the FASB. The Company identifies its noncontrolling interests separately within the equity section on the Company’s Condensed Consolidated Balance Sheets. The amounts of consolidated net income attributable to the Company </w:t>
      </w:r>
      <w:r>
        <w:rPr>
          <w:sz w:val="20"/>
          <w:szCs w:val="20"/>
        </w:rPr>
        <w:t>and to the noncontrolling interests are presented separately on the Company’s Condensed Consolidated Statements of Income.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a consolidated joint venture, which the Company had a 15% controlling interest, di</w:t>
      </w:r>
      <w:r>
        <w:rPr>
          <w:sz w:val="20"/>
          <w:szCs w:val="20"/>
        </w:rPr>
        <w:t>sposed of five properties (encumbered by $42.8 million of mortgage debt, in aggregate) for a sales price of $105.5 million, in aggregate. The Company recognized impairment charges of $19.0 million, before the partner's $15.8 million noncontrolling interest</w:t>
      </w:r>
      <w:r>
        <w:rPr>
          <w:sz w:val="20"/>
          <w:szCs w:val="20"/>
        </w:rPr>
        <w:t>s share of the impairment. As a result of this transaction the noncontrolling partner received a distribution of $50.3 million.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Included within noncontrolling interests are units that were determined to be contingently redeemable that are classified as R</w:t>
      </w:r>
      <w:r>
        <w:rPr>
          <w:sz w:val="20"/>
          <w:szCs w:val="20"/>
        </w:rPr>
        <w:t>edeemable noncontrolling interests and presented in the mezzanine section between Total liabilities and Stockholders' equity on the Company’s Condensed Consolidated Balance Sheets.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following table presents the change in the redemption value of the Re</w:t>
      </w:r>
      <w:r>
        <w:rPr>
          <w:sz w:val="20"/>
          <w:szCs w:val="20"/>
        </w:rPr>
        <w:t xml:space="preserve">deemable noncontrolling interests for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(in thousands): </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13,480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15,784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Fair value allocation to partnership interest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Net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Distributions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Redemption/conversion of noncontrolling interests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(209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Balance at September 30,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13,270</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15,784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179346358"/>
        <w:rPr>
          <w:rFonts w:eastAsia="Times New Roman"/>
          <w:sz w:val="20"/>
          <w:szCs w:val="20"/>
        </w:rPr>
      </w:pPr>
      <w:r>
        <w:rPr>
          <w:rFonts w:eastAsia="Times New Roman"/>
          <w:sz w:val="20"/>
          <w:szCs w:val="20"/>
        </w:rPr>
        <w:t xml:space="preserve">16 </w:t>
      </w:r>
    </w:p>
    <w:p w:rsidR="00000000" w:rsidRDefault="00E3336F">
      <w:pPr>
        <w:divId w:val="889531640"/>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E3336F">
      <w:pPr>
        <w:divId w:val="2890917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040206623"/>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13.</w:t>
      </w:r>
      <w:r>
        <w:rPr>
          <w:sz w:val="20"/>
          <w:szCs w:val="20"/>
        </w:rPr>
        <w:t xml:space="preserve"> </w:t>
      </w:r>
      <w:r>
        <w:rPr>
          <w:sz w:val="20"/>
          <w:szCs w:val="20"/>
          <w:u w:val="single"/>
        </w:rPr>
        <w:t>Variable Interest Entities (“VIE”)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Included within the Company’s consolidated operating properties at </w:t>
      </w:r>
      <w:r>
        <w:rPr>
          <w:rStyle w:val="a6"/>
          <w:sz w:val="20"/>
          <w:szCs w:val="20"/>
        </w:rPr>
        <w:t xml:space="preserve">September 30, 2022 </w:t>
      </w:r>
      <w:r>
        <w:rPr>
          <w:sz w:val="20"/>
          <w:szCs w:val="20"/>
        </w:rPr>
        <w:t xml:space="preserve">and </w:t>
      </w:r>
      <w:r>
        <w:rPr>
          <w:rStyle w:val="a6"/>
          <w:sz w:val="20"/>
          <w:szCs w:val="20"/>
        </w:rPr>
        <w:t xml:space="preserve">December 31, 2021 </w:t>
      </w:r>
      <w:r>
        <w:rPr>
          <w:sz w:val="20"/>
          <w:szCs w:val="20"/>
        </w:rPr>
        <w:t xml:space="preserve">are 32 and 34 </w:t>
      </w:r>
      <w:r>
        <w:rPr>
          <w:sz w:val="20"/>
          <w:szCs w:val="20"/>
        </w:rPr>
        <w:t>consolidated entities, respectively, that are VIEs for which the Company is the primary beneficiary. These entities have been established to own and operate real estate property. The Company’s involvement with these entities is through its majority ownersh</w:t>
      </w:r>
      <w:r>
        <w:rPr>
          <w:sz w:val="20"/>
          <w:szCs w:val="20"/>
        </w:rPr>
        <w:t xml:space="preserve">ip and management of the properties. The entities were deemed VIEs primarily because the unrelated investors do </w:t>
      </w:r>
      <w:r>
        <w:rPr>
          <w:rStyle w:val="a6"/>
          <w:sz w:val="20"/>
          <w:szCs w:val="20"/>
        </w:rPr>
        <w:t>not</w:t>
      </w:r>
      <w:r>
        <w:rPr>
          <w:sz w:val="20"/>
          <w:szCs w:val="20"/>
        </w:rPr>
        <w:t xml:space="preserve"> have substantive kick-out rights to remove the general or managing partner by a vote of a simple majority or less, and they do </w:t>
      </w:r>
      <w:r>
        <w:rPr>
          <w:rStyle w:val="a6"/>
          <w:sz w:val="20"/>
          <w:szCs w:val="20"/>
        </w:rPr>
        <w:t>not</w:t>
      </w:r>
      <w:r>
        <w:rPr>
          <w:sz w:val="20"/>
          <w:szCs w:val="20"/>
        </w:rPr>
        <w:t xml:space="preserve"> have subs</w:t>
      </w:r>
      <w:r>
        <w:rPr>
          <w:sz w:val="20"/>
          <w:szCs w:val="20"/>
        </w:rPr>
        <w:t xml:space="preserve">tantive participating rights. The Company determined that it was the primary beneficiary of these VIEs as a result of its controlling financial interest. At </w:t>
      </w:r>
      <w:r>
        <w:rPr>
          <w:rStyle w:val="a6"/>
          <w:sz w:val="20"/>
          <w:szCs w:val="20"/>
        </w:rPr>
        <w:t xml:space="preserve">September 30, 2022, </w:t>
      </w:r>
      <w:r>
        <w:rPr>
          <w:sz w:val="20"/>
          <w:szCs w:val="20"/>
        </w:rPr>
        <w:t xml:space="preserve">total assets of these VIEs were $1.4 billion and total liabilities were $100.3 </w:t>
      </w:r>
      <w:r>
        <w:rPr>
          <w:sz w:val="20"/>
          <w:szCs w:val="20"/>
        </w:rPr>
        <w:t xml:space="preserve">million. At </w:t>
      </w:r>
      <w:r>
        <w:rPr>
          <w:rStyle w:val="a6"/>
          <w:sz w:val="20"/>
          <w:szCs w:val="20"/>
        </w:rPr>
        <w:t xml:space="preserve">December 31, 2021, </w:t>
      </w:r>
      <w:r>
        <w:rPr>
          <w:sz w:val="20"/>
          <w:szCs w:val="20"/>
        </w:rPr>
        <w:t>total assets of these VIEs were $1.6 billion and total liabilities were $153.9 million.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majority of the operations of these VIEs are funded with cash flows generated from the properties. The Company has </w:t>
      </w:r>
      <w:r>
        <w:rPr>
          <w:rStyle w:val="a6"/>
          <w:sz w:val="20"/>
          <w:szCs w:val="20"/>
        </w:rPr>
        <w:t>not</w:t>
      </w:r>
      <w:r>
        <w:rPr>
          <w:sz w:val="20"/>
          <w:szCs w:val="20"/>
        </w:rPr>
        <w:t xml:space="preserve"> provided fin</w:t>
      </w:r>
      <w:r>
        <w:rPr>
          <w:sz w:val="20"/>
          <w:szCs w:val="20"/>
        </w:rPr>
        <w:t xml:space="preserve">ancial support to any of these VIEs that it was </w:t>
      </w:r>
      <w:r>
        <w:rPr>
          <w:rStyle w:val="a6"/>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 and </w:t>
      </w:r>
      <w:r>
        <w:rPr>
          <w:sz w:val="20"/>
          <w:szCs w:val="20"/>
        </w:rPr>
        <w:t xml:space="preserve">any operating cash shortfalls the entity </w:t>
      </w:r>
      <w:r>
        <w:rPr>
          <w:rStyle w:val="a6"/>
          <w:sz w:val="20"/>
          <w:szCs w:val="20"/>
        </w:rPr>
        <w:t xml:space="preserve">may </w:t>
      </w:r>
      <w:r>
        <w:rPr>
          <w:sz w:val="20"/>
          <w:szCs w:val="20"/>
        </w:rPr>
        <w:t>experience.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All liabilities of these consolidated VIEs are non-recourse to the Company (“VIE Liabilities”). The assets of the unencumbered VIEs are </w:t>
      </w:r>
      <w:r>
        <w:rPr>
          <w:rStyle w:val="a6"/>
          <w:sz w:val="20"/>
          <w:szCs w:val="20"/>
        </w:rPr>
        <w:t>not</w:t>
      </w:r>
      <w:r>
        <w:rPr>
          <w:sz w:val="20"/>
          <w:szCs w:val="20"/>
        </w:rPr>
        <w:t xml:space="preserve"> restricted for use to settle only the obligations of thes</w:t>
      </w:r>
      <w:r>
        <w:rPr>
          <w:sz w:val="20"/>
          <w:szCs w:val="20"/>
        </w:rPr>
        <w:t xml:space="preserve">e VIEs. The remaining VIE assets are encumbered by </w:t>
      </w:r>
      <w:r>
        <w:rPr>
          <w:rStyle w:val="a6"/>
          <w:sz w:val="20"/>
          <w:szCs w:val="20"/>
        </w:rPr>
        <w:t>third</w:t>
      </w:r>
      <w:r>
        <w:rPr>
          <w:sz w:val="20"/>
          <w:szCs w:val="20"/>
        </w:rPr>
        <w:t>-party non-recourse mortgage debt. The assets associated with these encumbered VIEs (“Restricted Assets”) are collateral under the respective mortgages and are therefore restricted and can only be use</w:t>
      </w:r>
      <w:r>
        <w:rPr>
          <w:sz w:val="20"/>
          <w:szCs w:val="20"/>
        </w:rPr>
        <w:t>d to settle the corresponding liabilities of the VIE. The table below summarizes the consolidated VIEs and the classification of the Restricted Assets and VIE Liabilities on the Company’s Condensed Consolidated Balance Sheets as follows (dollars in million</w:t>
      </w:r>
      <w:r>
        <w:rPr>
          <w:sz w:val="20"/>
          <w:szCs w:val="20"/>
        </w:rPr>
        <w:t>s):</w:t>
      </w:r>
    </w:p>
    <w:p w:rsidR="00000000" w:rsidRDefault="00E3336F">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3521"/>
        <w:gridCol w:w="62"/>
        <w:gridCol w:w="101"/>
        <w:gridCol w:w="1544"/>
        <w:gridCol w:w="62"/>
        <w:gridCol w:w="62"/>
        <w:gridCol w:w="101"/>
        <w:gridCol w:w="1544"/>
        <w:gridCol w:w="63"/>
      </w:tblGrid>
      <w:tr w:rsidR="00000000">
        <w:trPr>
          <w:tblCellSpacing w:w="0" w:type="dxa"/>
        </w:trPr>
        <w:tc>
          <w:tcPr>
            <w:tcW w:w="25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Number of unencumbered VIEs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number of consolidated VIEs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Restricted Assets: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81.5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222.9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88.9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227.9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VIE Liabilities: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Mortgages payable,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31.1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78.9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Accounts payable and accrued expenses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Operating lease liabilities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51.6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56.5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5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100.3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153.9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divId w:val="2090930801"/>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14.</w:t>
      </w:r>
      <w:r>
        <w:rPr>
          <w:sz w:val="20"/>
          <w:szCs w:val="20"/>
        </w:rPr>
        <w:t xml:space="preserve"> </w:t>
      </w:r>
      <w:r>
        <w:rPr>
          <w:sz w:val="20"/>
          <w:szCs w:val="20"/>
          <w:u w:val="single"/>
        </w:rPr>
        <w:t>Fair Value Measurements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All financial instruments of the Company are reflected in the accompanying Condensed Consolidated Balance Sheets at amounts which, in management’s estimation, based upon an interpretation of available market information and valuation methodologies, reasona</w:t>
      </w:r>
      <w:r>
        <w:rPr>
          <w:sz w:val="20"/>
          <w:szCs w:val="20"/>
        </w:rPr>
        <w:t>bly approximate their fair values, except those listed below, for which fair values are disclosed. The valuation method used to estimate fair value for fixed-rate and variable-rate debt is based on discounted cash flow analyses, with assumptions that inclu</w:t>
      </w:r>
      <w:r>
        <w:rPr>
          <w:sz w:val="20"/>
          <w:szCs w:val="20"/>
        </w:rPr>
        <w:t>de credit spreads, market yield curves, trading activity, loan amounts and debt maturities. The fair values for marketable securities are based on published values, securities dealers’ estimated market values or comparable market sales. Such fair value est</w:t>
      </w:r>
      <w:r>
        <w:rPr>
          <w:sz w:val="20"/>
          <w:szCs w:val="20"/>
        </w:rPr>
        <w:t xml:space="preserve">imates are </w:t>
      </w:r>
      <w:r>
        <w:rPr>
          <w:rStyle w:val="a6"/>
          <w:sz w:val="20"/>
          <w:szCs w:val="20"/>
        </w:rPr>
        <w:t>not</w:t>
      </w:r>
      <w:r>
        <w:rPr>
          <w:sz w:val="20"/>
          <w:szCs w:val="20"/>
        </w:rPr>
        <w:t xml:space="preserve"> necessarily indicative of the amounts that would be realized upon disposition.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As a basis for considering market participant assumptions in fair value measurements, the FASB’s Fair Value Measurements and Disclosures guidance establishes a </w:t>
      </w:r>
      <w:r>
        <w:rPr>
          <w:sz w:val="20"/>
          <w:szCs w:val="20"/>
        </w:rPr>
        <w:t xml:space="preserve">fair value hierarchy that distinguishes between market participant assumptions based on market data obtained from sources independent of the reporting entity (observable inputs that are classified within Levels </w:t>
      </w:r>
      <w:r>
        <w:rPr>
          <w:rStyle w:val="a6"/>
          <w:sz w:val="20"/>
          <w:szCs w:val="20"/>
        </w:rPr>
        <w:t>1</w:t>
      </w:r>
      <w:r>
        <w:rPr>
          <w:sz w:val="20"/>
          <w:szCs w:val="20"/>
        </w:rPr>
        <w:t xml:space="preserve"> and </w:t>
      </w:r>
      <w:r>
        <w:rPr>
          <w:rStyle w:val="a6"/>
          <w:sz w:val="20"/>
          <w:szCs w:val="20"/>
        </w:rPr>
        <w:t>2</w:t>
      </w:r>
      <w:r>
        <w:rPr>
          <w:sz w:val="20"/>
          <w:szCs w:val="20"/>
        </w:rPr>
        <w:t xml:space="preserve"> of the hierarchy) and the reporting e</w:t>
      </w:r>
      <w:r>
        <w:rPr>
          <w:sz w:val="20"/>
          <w:szCs w:val="20"/>
        </w:rPr>
        <w:t xml:space="preserve">ntity’s own assumptions about market participant assumptions (unobservable inputs classified within Level </w:t>
      </w:r>
      <w:r>
        <w:rPr>
          <w:rStyle w:val="a6"/>
          <w:sz w:val="20"/>
          <w:szCs w:val="20"/>
        </w:rPr>
        <w:t>3</w:t>
      </w:r>
      <w:r>
        <w:rPr>
          <w:sz w:val="20"/>
          <w:szCs w:val="20"/>
        </w:rPr>
        <w:t xml:space="preserve"> of the hierarchy).</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47137035"/>
        <w:rPr>
          <w:rFonts w:eastAsia="Times New Roman"/>
          <w:sz w:val="20"/>
          <w:szCs w:val="20"/>
        </w:rPr>
      </w:pPr>
      <w:r>
        <w:rPr>
          <w:rStyle w:val="a6"/>
          <w:rFonts w:eastAsia="Times New Roman"/>
          <w:sz w:val="20"/>
          <w:szCs w:val="20"/>
        </w:rPr>
        <w:t>17</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45" style="width:415.3pt;height:1.5pt" o:hralign="center" o:hrstd="t" o:hrnoshade="t" o:hr="t" fillcolor="black" stroked="f"/>
        </w:pict>
      </w:r>
    </w:p>
    <w:p w:rsidR="00000000" w:rsidRDefault="00E3336F">
      <w:pPr>
        <w:divId w:val="18436722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sz w:val="20"/>
          <w:szCs w:val="20"/>
        </w:rPr>
        <w:t>The following are financial instruments for which the Company’s estimated fair value differs from the ca</w:t>
      </w:r>
      <w:r>
        <w:rPr>
          <w:sz w:val="20"/>
          <w:szCs w:val="20"/>
        </w:rPr>
        <w:t>rrying value (in thousands):</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3149"/>
        <w:gridCol w:w="72"/>
        <w:gridCol w:w="100"/>
        <w:gridCol w:w="940"/>
        <w:gridCol w:w="72"/>
        <w:gridCol w:w="72"/>
        <w:gridCol w:w="100"/>
        <w:gridCol w:w="940"/>
        <w:gridCol w:w="72"/>
        <w:gridCol w:w="73"/>
        <w:gridCol w:w="100"/>
        <w:gridCol w:w="941"/>
        <w:gridCol w:w="73"/>
        <w:gridCol w:w="73"/>
        <w:gridCol w:w="100"/>
        <w:gridCol w:w="941"/>
        <w:gridCol w:w="73"/>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September 30, 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December 31, 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Carrying Value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Notes payable, net (1) (3)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6,909,382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5,869,420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7,027,050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7,330,723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Mortgages payable, net (2) (3)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300,739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264,082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448,652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449,758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 xml:space="preserve">The Company determined that the valuation of its senior unsecured notes were classified within Level </w:t>
            </w:r>
            <w:r>
              <w:rPr>
                <w:rStyle w:val="a6"/>
                <w:sz w:val="20"/>
                <w:szCs w:val="20"/>
              </w:rPr>
              <w:t>2</w:t>
            </w:r>
            <w:r>
              <w:rPr>
                <w:sz w:val="20"/>
                <w:szCs w:val="20"/>
              </w:rPr>
              <w:t xml:space="preserve"> of the fair value hierarchy and its Credit Facility was classified within Level </w:t>
            </w:r>
            <w:r>
              <w:rPr>
                <w:rStyle w:val="a6"/>
                <w:sz w:val="20"/>
                <w:szCs w:val="20"/>
              </w:rPr>
              <w:t>3</w:t>
            </w:r>
            <w:r>
              <w:rPr>
                <w:sz w:val="20"/>
                <w:szCs w:val="20"/>
              </w:rPr>
              <w:t xml:space="preserve"> of the fair value hierarchy. The estimated fair value amounts classifie</w:t>
            </w:r>
            <w:r>
              <w:rPr>
                <w:sz w:val="20"/>
                <w:szCs w:val="20"/>
              </w:rPr>
              <w:t xml:space="preserve">d as Level </w:t>
            </w:r>
            <w:r>
              <w:rPr>
                <w:rStyle w:val="a6"/>
                <w:sz w:val="20"/>
                <w:szCs w:val="20"/>
              </w:rPr>
              <w:t>2,</w:t>
            </w:r>
            <w:r>
              <w:rPr>
                <w:sz w:val="20"/>
                <w:szCs w:val="20"/>
              </w:rPr>
              <w:t xml:space="preserve"> as of </w:t>
            </w:r>
            <w:r>
              <w:rPr>
                <w:rStyle w:val="a6"/>
                <w:sz w:val="20"/>
                <w:szCs w:val="20"/>
              </w:rPr>
              <w:t xml:space="preserve">September 30, 2022 </w:t>
            </w:r>
            <w:r>
              <w:rPr>
                <w:sz w:val="20"/>
                <w:szCs w:val="20"/>
              </w:rPr>
              <w:t xml:space="preserve">and </w:t>
            </w:r>
            <w:r>
              <w:rPr>
                <w:rStyle w:val="a6"/>
                <w:sz w:val="20"/>
                <w:szCs w:val="20"/>
              </w:rPr>
              <w:t xml:space="preserve">December 31, 2021, </w:t>
            </w:r>
            <w:r>
              <w:rPr>
                <w:sz w:val="20"/>
                <w:szCs w:val="20"/>
              </w:rPr>
              <w:t xml:space="preserve">were $5.7 billion and $7.3 billion, respectively. The estimated fair value amounts classified as Level </w:t>
            </w:r>
            <w:r>
              <w:rPr>
                <w:rStyle w:val="a6"/>
                <w:sz w:val="20"/>
                <w:szCs w:val="20"/>
              </w:rPr>
              <w:t>3,</w:t>
            </w:r>
            <w:r>
              <w:rPr>
                <w:sz w:val="20"/>
                <w:szCs w:val="20"/>
              </w:rPr>
              <w:t xml:space="preserve"> as of </w:t>
            </w:r>
            <w:r>
              <w:rPr>
                <w:rStyle w:val="a6"/>
                <w:sz w:val="20"/>
                <w:szCs w:val="20"/>
              </w:rPr>
              <w:t xml:space="preserve">September 30, 2022, </w:t>
            </w:r>
            <w:r>
              <w:rPr>
                <w:sz w:val="20"/>
                <w:szCs w:val="20"/>
              </w:rPr>
              <w:t>was $126.7 million.</w:t>
            </w:r>
          </w:p>
        </w:tc>
      </w:tr>
    </w:tbl>
    <w:p w:rsidR="00000000" w:rsidRDefault="00E3336F">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2</w:t>
            </w: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 xml:space="preserve">The Company determined that its valuation of its mortgages payable were classified within Level </w:t>
            </w:r>
            <w:r>
              <w:rPr>
                <w:rStyle w:val="a6"/>
                <w:sz w:val="20"/>
                <w:szCs w:val="20"/>
              </w:rPr>
              <w:t>3</w:t>
            </w:r>
            <w:r>
              <w:rPr>
                <w:sz w:val="20"/>
                <w:szCs w:val="20"/>
              </w:rPr>
              <w:t xml:space="preserve"> of the fair value hierarchy. </w:t>
            </w:r>
          </w:p>
        </w:tc>
      </w:tr>
      <w:tr w:rsidR="00000000">
        <w:trPr>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rPr>
                <w:rFonts w:eastAsia="Times New Roman"/>
                <w:sz w:val="20"/>
                <w:szCs w:val="20"/>
              </w:rPr>
            </w:pPr>
            <w:r>
              <w:rPr>
                <w:rFonts w:eastAsia="Times New Roman"/>
                <w:sz w:val="20"/>
                <w:szCs w:val="20"/>
              </w:rPr>
              <w:t>(</w:t>
            </w:r>
            <w:r>
              <w:rPr>
                <w:rStyle w:val="a6"/>
                <w:rFonts w:eastAsia="Times New Roman"/>
                <w:sz w:val="20"/>
                <w:szCs w:val="20"/>
              </w:rPr>
              <w:t>3</w:t>
            </w:r>
            <w:r>
              <w:rPr>
                <w:rFonts w:eastAsia="Times New Roman"/>
                <w:sz w:val="20"/>
                <w:szCs w:val="20"/>
              </w:rPr>
              <w:t>)</w:t>
            </w:r>
          </w:p>
        </w:tc>
        <w:tc>
          <w:tcPr>
            <w:tcW w:w="0" w:type="auto"/>
            <w:hideMark/>
          </w:tcPr>
          <w:p w:rsidR="00000000" w:rsidRDefault="00E3336F">
            <w:pPr>
              <w:rPr>
                <w:rFonts w:eastAsia="Times New Roman"/>
                <w:sz w:val="20"/>
                <w:szCs w:val="20"/>
              </w:rPr>
            </w:pPr>
            <w:r>
              <w:rPr>
                <w:rFonts w:eastAsia="Times New Roman"/>
                <w:sz w:val="20"/>
                <w:szCs w:val="20"/>
              </w:rPr>
              <w:t>The Company determined the estimated fair value of the Credit Facility and mortgages payable using a discounted cash flow</w:t>
            </w:r>
            <w:r>
              <w:rPr>
                <w:rFonts w:eastAsia="Times New Roman"/>
                <w:sz w:val="20"/>
                <w:szCs w:val="20"/>
              </w:rPr>
              <w:t xml:space="preserve"> model using a rate that reflects the average yield of similar market participants.</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has certain financial instruments that must be measured under the FASB’s Fair Value Measurements and Disclosures guidance, including available for sale secur</w:t>
      </w:r>
      <w:r>
        <w:rPr>
          <w:sz w:val="20"/>
          <w:szCs w:val="20"/>
        </w:rPr>
        <w:t xml:space="preserve">ities. The Company currently does </w:t>
      </w:r>
      <w:r>
        <w:rPr>
          <w:rStyle w:val="a6"/>
          <w:sz w:val="20"/>
          <w:szCs w:val="20"/>
        </w:rPr>
        <w:t>not</w:t>
      </w:r>
      <w:r>
        <w:rPr>
          <w:sz w:val="20"/>
          <w:szCs w:val="20"/>
        </w:rPr>
        <w:t xml:space="preserve"> have non-financial assets and non-financial liabilities that are required to be measured at fair value on a recurring basis.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table below presents the Company’s financial assets measured at fair value on a recurri</w:t>
      </w:r>
      <w:r>
        <w:rPr>
          <w:sz w:val="20"/>
          <w:szCs w:val="20"/>
        </w:rPr>
        <w:t>ng basis at </w:t>
      </w:r>
      <w:r>
        <w:rPr>
          <w:rStyle w:val="a6"/>
          <w:sz w:val="20"/>
          <w:szCs w:val="20"/>
        </w:rPr>
        <w:t xml:space="preserve"> September 30, 2022 </w:t>
      </w:r>
      <w:r>
        <w:rPr>
          <w:sz w:val="20"/>
          <w:szCs w:val="20"/>
        </w:rPr>
        <w:t xml:space="preserve">and </w:t>
      </w:r>
      <w:r>
        <w:rPr>
          <w:rStyle w:val="a6"/>
          <w:sz w:val="20"/>
          <w:szCs w:val="20"/>
        </w:rPr>
        <w:t xml:space="preserve">December 31, 2021, </w:t>
      </w:r>
      <w:r>
        <w:rPr>
          <w:sz w:val="20"/>
          <w:szCs w:val="20"/>
        </w:rPr>
        <w:t>aggregated by the level in the fair value hierarchy within which those measurements fall (in thousands):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2981"/>
        <w:gridCol w:w="67"/>
        <w:gridCol w:w="101"/>
        <w:gridCol w:w="1113"/>
        <w:gridCol w:w="67"/>
        <w:gridCol w:w="67"/>
        <w:gridCol w:w="100"/>
        <w:gridCol w:w="814"/>
        <w:gridCol w:w="67"/>
        <w:gridCol w:w="67"/>
        <w:gridCol w:w="101"/>
        <w:gridCol w:w="814"/>
        <w:gridCol w:w="67"/>
        <w:gridCol w:w="67"/>
        <w:gridCol w:w="101"/>
        <w:gridCol w:w="814"/>
        <w:gridCol w:w="67"/>
      </w:tblGrid>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Balance at</w:t>
            </w:r>
          </w:p>
          <w:p w:rsidR="00000000" w:rsidRDefault="00E3336F">
            <w:pPr>
              <w:pStyle w:val="a3"/>
              <w:spacing w:before="0" w:beforeAutospacing="0" w:after="0" w:afterAutospacing="0"/>
              <w:jc w:val="center"/>
              <w:rPr>
                <w:sz w:val="20"/>
                <w:szCs w:val="20"/>
              </w:rPr>
            </w:pPr>
            <w:r>
              <w:rPr>
                <w:b/>
                <w:bCs/>
                <w:sz w:val="20"/>
                <w:szCs w:val="20"/>
              </w:rPr>
              <w:t>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7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999,094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999,094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2982"/>
        <w:gridCol w:w="67"/>
        <w:gridCol w:w="100"/>
        <w:gridCol w:w="1113"/>
        <w:gridCol w:w="67"/>
        <w:gridCol w:w="67"/>
        <w:gridCol w:w="100"/>
        <w:gridCol w:w="814"/>
        <w:gridCol w:w="67"/>
        <w:gridCol w:w="67"/>
        <w:gridCol w:w="101"/>
        <w:gridCol w:w="814"/>
        <w:gridCol w:w="67"/>
        <w:gridCol w:w="67"/>
        <w:gridCol w:w="101"/>
        <w:gridCol w:w="814"/>
        <w:gridCol w:w="67"/>
      </w:tblGrid>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Balance at</w:t>
            </w:r>
          </w:p>
          <w:p w:rsidR="00000000" w:rsidRDefault="00E3336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7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1,211,739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ind w:firstLine="18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table below presents assets measured at fair value on a non-recurring basis at </w:t>
      </w:r>
      <w:r>
        <w:rPr>
          <w:rStyle w:val="a6"/>
          <w:sz w:val="20"/>
          <w:szCs w:val="20"/>
        </w:rPr>
        <w:t>December 31, 2021 (</w:t>
      </w:r>
      <w:r>
        <w:rPr>
          <w:sz w:val="20"/>
          <w:szCs w:val="20"/>
        </w:rPr>
        <w:t>in thousands):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2981"/>
        <w:gridCol w:w="67"/>
        <w:gridCol w:w="101"/>
        <w:gridCol w:w="1113"/>
        <w:gridCol w:w="67"/>
        <w:gridCol w:w="67"/>
        <w:gridCol w:w="101"/>
        <w:gridCol w:w="814"/>
        <w:gridCol w:w="67"/>
        <w:gridCol w:w="67"/>
        <w:gridCol w:w="101"/>
        <w:gridCol w:w="814"/>
        <w:gridCol w:w="67"/>
        <w:gridCol w:w="67"/>
        <w:gridCol w:w="100"/>
        <w:gridCol w:w="814"/>
        <w:gridCol w:w="67"/>
      </w:tblGrid>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Balance at</w:t>
            </w:r>
          </w:p>
          <w:p w:rsidR="00000000" w:rsidRDefault="00E3336F">
            <w:pPr>
              <w:pStyle w:val="a3"/>
              <w:spacing w:before="0" w:beforeAutospacing="0" w:after="0" w:afterAutospacing="0"/>
              <w:jc w:val="center"/>
              <w:rPr>
                <w:sz w:val="20"/>
                <w:szCs w:val="20"/>
              </w:rPr>
            </w:pPr>
            <w:r>
              <w:rPr>
                <w:b/>
                <w:bCs/>
                <w:sz w:val="20"/>
                <w:szCs w:val="20"/>
              </w:rPr>
              <w:t>December 31, 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7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Other investments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9,834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recognized impairment charges related to adjustments to property carrying values of $21.8 million, before noncontrolling interests of $15.8 million. The Company’s estimated fair values of these assets were primarily based upon estimated sales p</w:t>
      </w:r>
      <w:r>
        <w:rPr>
          <w:sz w:val="20"/>
          <w:szCs w:val="20"/>
        </w:rPr>
        <w:t xml:space="preserve">rices from signed contracts or letters of intent from </w:t>
      </w:r>
      <w:r>
        <w:rPr>
          <w:rStyle w:val="a6"/>
          <w:sz w:val="20"/>
          <w:szCs w:val="20"/>
        </w:rPr>
        <w:t>third</w:t>
      </w:r>
      <w:r>
        <w:rPr>
          <w:sz w:val="20"/>
          <w:szCs w:val="20"/>
        </w:rPr>
        <w:t xml:space="preserve">-party offers, which were less than the carrying value of the assets. The Company does </w:t>
      </w:r>
      <w:r>
        <w:rPr>
          <w:rStyle w:val="a6"/>
          <w:sz w:val="20"/>
          <w:szCs w:val="20"/>
        </w:rPr>
        <w:t>not</w:t>
      </w:r>
      <w:r>
        <w:rPr>
          <w:sz w:val="20"/>
          <w:szCs w:val="20"/>
        </w:rPr>
        <w:t xml:space="preserve"> have access to the unobservable inputs used to determine the estimated fair values of </w:t>
      </w:r>
      <w:r>
        <w:rPr>
          <w:rStyle w:val="a6"/>
          <w:sz w:val="20"/>
          <w:szCs w:val="20"/>
        </w:rPr>
        <w:t>third</w:t>
      </w:r>
      <w:r>
        <w:rPr>
          <w:sz w:val="20"/>
          <w:szCs w:val="20"/>
        </w:rPr>
        <w:t xml:space="preserve">-party offers. </w:t>
      </w:r>
      <w:r>
        <w:rPr>
          <w:sz w:val="20"/>
          <w:szCs w:val="20"/>
        </w:rPr>
        <w:t xml:space="preserve">Based on these inputs, the Company determined that its valuation of these investments was classified within Level </w:t>
      </w:r>
      <w:r>
        <w:rPr>
          <w:rStyle w:val="a6"/>
          <w:sz w:val="20"/>
          <w:szCs w:val="20"/>
        </w:rPr>
        <w:t>3</w:t>
      </w:r>
      <w:r>
        <w:rPr>
          <w:sz w:val="20"/>
          <w:szCs w:val="20"/>
        </w:rPr>
        <w:t xml:space="preserve"> of the fair value hierarchy.</w:t>
      </w:r>
    </w:p>
    <w:p w:rsidR="00000000" w:rsidRDefault="00E3336F">
      <w:pPr>
        <w:pStyle w:val="a3"/>
        <w:spacing w:before="0" w:beforeAutospacing="0" w:after="0" w:afterAutospacing="0"/>
        <w:rPr>
          <w:sz w:val="20"/>
          <w:szCs w:val="20"/>
        </w:rPr>
      </w:pPr>
      <w:r>
        <w:rPr>
          <w:sz w:val="20"/>
          <w:szCs w:val="20"/>
        </w:rPr>
        <w:t> </w:t>
      </w:r>
    </w:p>
    <w:p w:rsidR="00000000" w:rsidRDefault="00E3336F">
      <w:pPr>
        <w:divId w:val="178481102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15.</w:t>
      </w:r>
      <w:r>
        <w:rPr>
          <w:sz w:val="20"/>
          <w:szCs w:val="20"/>
        </w:rPr>
        <w:t xml:space="preserve"> </w:t>
      </w:r>
      <w:r>
        <w:rPr>
          <w:sz w:val="20"/>
          <w:szCs w:val="20"/>
          <w:u w:val="single"/>
        </w:rPr>
        <w:t>Incentive Plans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In </w:t>
      </w:r>
      <w:r>
        <w:rPr>
          <w:rStyle w:val="a6"/>
          <w:sz w:val="20"/>
          <w:szCs w:val="20"/>
        </w:rPr>
        <w:t xml:space="preserve">May 2020, </w:t>
      </w:r>
      <w:r>
        <w:rPr>
          <w:sz w:val="20"/>
          <w:szCs w:val="20"/>
        </w:rPr>
        <w:t xml:space="preserve">the Company’s stockholders approved the </w:t>
      </w:r>
      <w:r>
        <w:rPr>
          <w:rStyle w:val="a6"/>
          <w:sz w:val="20"/>
          <w:szCs w:val="20"/>
        </w:rPr>
        <w:t>2020</w:t>
      </w:r>
      <w:r>
        <w:rPr>
          <w:sz w:val="20"/>
          <w:szCs w:val="20"/>
        </w:rPr>
        <w:t xml:space="preserve"> </w:t>
      </w:r>
      <w:r>
        <w:rPr>
          <w:sz w:val="20"/>
          <w:szCs w:val="20"/>
        </w:rPr>
        <w:t xml:space="preserve">Equity Participation Plan (the </w:t>
      </w:r>
      <w:r>
        <w:rPr>
          <w:rStyle w:val="a6"/>
          <w:sz w:val="20"/>
          <w:szCs w:val="20"/>
        </w:rPr>
        <w:t>“2020</w:t>
      </w:r>
      <w:r>
        <w:rPr>
          <w:sz w:val="20"/>
          <w:szCs w:val="20"/>
        </w:rPr>
        <w:t xml:space="preserve"> Plan”), which is a successor to the Restated Kimco Realty Corporation </w:t>
      </w:r>
      <w:r>
        <w:rPr>
          <w:rStyle w:val="a6"/>
          <w:sz w:val="20"/>
          <w:szCs w:val="20"/>
        </w:rPr>
        <w:t>2010</w:t>
      </w:r>
      <w:r>
        <w:rPr>
          <w:sz w:val="20"/>
          <w:szCs w:val="20"/>
        </w:rPr>
        <w:t xml:space="preserve"> Equity Participation Plan (together with the </w:t>
      </w:r>
      <w:r>
        <w:rPr>
          <w:rStyle w:val="a6"/>
          <w:sz w:val="20"/>
          <w:szCs w:val="20"/>
        </w:rPr>
        <w:t>2020</w:t>
      </w:r>
      <w:r>
        <w:rPr>
          <w:sz w:val="20"/>
          <w:szCs w:val="20"/>
        </w:rPr>
        <w:t xml:space="preserve"> Plan, the “Plans”) that expired in </w:t>
      </w:r>
      <w:r>
        <w:rPr>
          <w:rStyle w:val="a6"/>
          <w:sz w:val="20"/>
          <w:szCs w:val="20"/>
        </w:rPr>
        <w:t>March 2020. </w:t>
      </w:r>
      <w:r>
        <w:rPr>
          <w:sz w:val="20"/>
          <w:szCs w:val="20"/>
        </w:rPr>
        <w:t xml:space="preserve">The </w:t>
      </w:r>
      <w:r>
        <w:rPr>
          <w:rStyle w:val="a6"/>
          <w:sz w:val="20"/>
          <w:szCs w:val="20"/>
        </w:rPr>
        <w:t>2020</w:t>
      </w:r>
      <w:r>
        <w:rPr>
          <w:sz w:val="20"/>
          <w:szCs w:val="20"/>
        </w:rPr>
        <w:t xml:space="preserve"> Plan provides for a maximum of 10,000,</w:t>
      </w:r>
      <w:r>
        <w:rPr>
          <w:sz w:val="20"/>
          <w:szCs w:val="20"/>
        </w:rPr>
        <w:t xml:space="preserve">000 shares of the Company’s common stock to be reserved for the issuance of stock options, stock appreciation rights, restricted stock, restricted stock units, performance awards, dividend equivalents, stock payments and deferred stock awards. At </w:t>
      </w:r>
      <w:r>
        <w:rPr>
          <w:rStyle w:val="a6"/>
          <w:sz w:val="20"/>
          <w:szCs w:val="20"/>
        </w:rPr>
        <w:t>September</w:t>
      </w:r>
      <w:r>
        <w:rPr>
          <w:rStyle w:val="a6"/>
          <w:sz w:val="20"/>
          <w:szCs w:val="20"/>
        </w:rPr>
        <w:t xml:space="preserve"> 30, 2022, </w:t>
      </w:r>
      <w:r>
        <w:rPr>
          <w:sz w:val="20"/>
          <w:szCs w:val="20"/>
        </w:rPr>
        <w:t xml:space="preserve">the Company had 6.9 million shares of common stock available for issuance under the </w:t>
      </w:r>
      <w:r>
        <w:rPr>
          <w:rStyle w:val="a6"/>
          <w:sz w:val="20"/>
          <w:szCs w:val="20"/>
        </w:rPr>
        <w:t>2020</w:t>
      </w:r>
      <w:r>
        <w:rPr>
          <w:sz w:val="20"/>
          <w:szCs w:val="20"/>
        </w:rPr>
        <w:t xml:space="preserve"> Plan.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accounts for equity awards in accordance with FASB’s Compensation – Stock Compensation guidance, which requires that all share-based pay</w:t>
      </w:r>
      <w:r>
        <w:rPr>
          <w:sz w:val="20"/>
          <w:szCs w:val="20"/>
        </w:rPr>
        <w:t>ments to employees, including grants of employee stock options, restricted stock and performance shares, be recognized in the Condensed Consolidated Statements of Income over the service period based on their fair values. Fair value of performance awards i</w:t>
      </w:r>
      <w:r>
        <w:rPr>
          <w:sz w:val="20"/>
          <w:szCs w:val="20"/>
        </w:rPr>
        <w:t>s determined using the Monte Carlo method which is intended to estimate the fair value of the awards at the grant date. Fair value of restricted shares is calculated based on the price on the date of grant.</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recognized expenses associated with</w:t>
      </w:r>
      <w:r>
        <w:rPr>
          <w:sz w:val="20"/>
          <w:szCs w:val="20"/>
        </w:rPr>
        <w:t xml:space="preserve"> its equity awards of $20.2 million and $18.0 million for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respectively. As of </w:t>
      </w:r>
      <w:r>
        <w:rPr>
          <w:rStyle w:val="a6"/>
          <w:sz w:val="20"/>
          <w:szCs w:val="20"/>
        </w:rPr>
        <w:t xml:space="preserve">September 30, 2022, </w:t>
      </w:r>
      <w:r>
        <w:rPr>
          <w:sz w:val="20"/>
          <w:szCs w:val="20"/>
        </w:rPr>
        <w:t>the Company had $49.6 million of total unrecognized compensation cost related to unvested stock compensatio</w:t>
      </w:r>
      <w:r>
        <w:rPr>
          <w:sz w:val="20"/>
          <w:szCs w:val="20"/>
        </w:rPr>
        <w:t>n granted under the Plans. That cost is expected to be recognized over a weighted-average period of approximately 2.9 years.</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624895192"/>
        <w:rPr>
          <w:rFonts w:eastAsia="Times New Roman"/>
          <w:sz w:val="20"/>
          <w:szCs w:val="20"/>
        </w:rPr>
      </w:pPr>
      <w:r>
        <w:rPr>
          <w:rFonts w:eastAsia="Times New Roman"/>
          <w:sz w:val="20"/>
          <w:szCs w:val="20"/>
        </w:rPr>
        <w:t xml:space="preserve">18 </w:t>
      </w:r>
    </w:p>
    <w:p w:rsidR="00000000" w:rsidRDefault="00E3336F">
      <w:pPr>
        <w:divId w:val="204218453"/>
        <w:rPr>
          <w:rFonts w:eastAsia="Times New Roman"/>
          <w:sz w:val="20"/>
          <w:szCs w:val="20"/>
        </w:rPr>
      </w:pPr>
      <w:r>
        <w:rPr>
          <w:rFonts w:eastAsia="Times New Roman"/>
          <w:sz w:val="20"/>
          <w:szCs w:val="20"/>
        </w:rPr>
        <w:pict>
          <v:rect id="_x0000_i1046" style="width:415.3pt;height:1.5pt" o:hralign="center" o:hrstd="t" o:hrnoshade="t" o:hr="t" fillcolor="black" stroked="f"/>
        </w:pict>
      </w:r>
    </w:p>
    <w:p w:rsidR="00000000" w:rsidRDefault="00E3336F">
      <w:pPr>
        <w:divId w:val="25142745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57997267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16.</w:t>
      </w:r>
      <w:r>
        <w:rPr>
          <w:sz w:val="20"/>
          <w:szCs w:val="20"/>
        </w:rPr>
        <w:t xml:space="preserve"> </w:t>
      </w:r>
      <w:r>
        <w:rPr>
          <w:sz w:val="20"/>
          <w:szCs w:val="20"/>
          <w:u w:val="single"/>
        </w:rPr>
        <w:t>Stockholders’ Equity</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 xml:space="preserve">Preferred Stock </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Company’s Board of Director’s authorized the repurchase of up to 900,000 depositary shares of Class L preferred stock and 1,058,000 depositary shares of Class M</w:t>
      </w:r>
      <w:r>
        <w:rPr>
          <w:sz w:val="20"/>
          <w:szCs w:val="20"/>
        </w:rPr>
        <w:t xml:space="preserve"> preferred stock representing up to 1,958 shares of the Company’s preferred stock, par value $1.00 per share, through </w:t>
      </w:r>
      <w:r>
        <w:rPr>
          <w:rStyle w:val="a6"/>
          <w:sz w:val="20"/>
          <w:szCs w:val="20"/>
        </w:rPr>
        <w:t xml:space="preserve">December 31, 2022. </w:t>
      </w:r>
      <w:r>
        <w:rPr>
          <w:sz w:val="20"/>
          <w:szCs w:val="20"/>
        </w:rPr>
        <w:t xml:space="preserve">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the Company repurchased the following preferred stock:</w:t>
      </w:r>
    </w:p>
    <w:p w:rsidR="00000000" w:rsidRDefault="00E3336F">
      <w:pPr>
        <w:pStyle w:val="a3"/>
        <w:spacing w:before="0" w:beforeAutospacing="0" w:after="0" w:afterAutospacing="0"/>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2254"/>
        <w:gridCol w:w="67"/>
        <w:gridCol w:w="67"/>
        <w:gridCol w:w="2185"/>
        <w:gridCol w:w="67"/>
        <w:gridCol w:w="67"/>
        <w:gridCol w:w="101"/>
        <w:gridCol w:w="2185"/>
        <w:gridCol w:w="67"/>
      </w:tblGrid>
      <w:tr w:rsidR="00000000">
        <w:trPr>
          <w:tblCellSpacing w:w="0" w:type="dxa"/>
        </w:trPr>
        <w:tc>
          <w:tcPr>
            <w:tcW w:w="16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Class of Pref</w:t>
            </w:r>
            <w:r>
              <w:rPr>
                <w:b/>
                <w:bCs/>
                <w:sz w:val="20"/>
                <w:szCs w:val="20"/>
              </w:rPr>
              <w:t>erred Stock</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Depositary Shares Repurchased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Purchase Price (in millions)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54,508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16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90,760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w:t>
      </w:r>
      <w:r>
        <w:rPr>
          <w:sz w:val="20"/>
          <w:szCs w:val="20"/>
        </w:rPr>
        <w:t>s outstanding Preferred Stock is detailed below:</w:t>
      </w:r>
    </w:p>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88"/>
        <w:gridCol w:w="879"/>
        <w:gridCol w:w="50"/>
        <w:gridCol w:w="50"/>
        <w:gridCol w:w="89"/>
        <w:gridCol w:w="979"/>
        <w:gridCol w:w="50"/>
        <w:gridCol w:w="50"/>
        <w:gridCol w:w="460"/>
        <w:gridCol w:w="1010"/>
        <w:gridCol w:w="50"/>
        <w:gridCol w:w="50"/>
        <w:gridCol w:w="71"/>
        <w:gridCol w:w="708"/>
        <w:gridCol w:w="167"/>
        <w:gridCol w:w="50"/>
        <w:gridCol w:w="101"/>
        <w:gridCol w:w="849"/>
        <w:gridCol w:w="50"/>
        <w:gridCol w:w="50"/>
        <w:gridCol w:w="121"/>
        <w:gridCol w:w="454"/>
        <w:gridCol w:w="50"/>
        <w:gridCol w:w="1045"/>
      </w:tblGrid>
      <w:tr w:rsidR="00000000">
        <w:trPr>
          <w:tblCellSpacing w:w="0" w:type="dxa"/>
        </w:trPr>
        <w:tc>
          <w:tcPr>
            <w:tcW w:w="4500" w:type="pct"/>
            <w:gridSpan w:val="2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r>
      <w:tr w:rsidR="00000000">
        <w:trPr>
          <w:tblCellSpacing w:w="0" w:type="dxa"/>
        </w:trPr>
        <w:tc>
          <w:tcPr>
            <w:tcW w:w="5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Class of</w:t>
            </w:r>
          </w:p>
          <w:p w:rsidR="00000000" w:rsidRDefault="00E3336F">
            <w:pPr>
              <w:pStyle w:val="a3"/>
              <w:spacing w:before="0" w:beforeAutospacing="0" w:after="0" w:afterAutospacing="0"/>
              <w:jc w:val="center"/>
              <w:rPr>
                <w:sz w:val="20"/>
                <w:szCs w:val="20"/>
              </w:rPr>
            </w:pPr>
            <w:r>
              <w:rPr>
                <w:b/>
                <w:bCs/>
                <w:sz w:val="20"/>
                <w:szCs w:val="20"/>
              </w:rPr>
              <w:t>Preferred</w:t>
            </w:r>
          </w:p>
          <w:p w:rsidR="00000000" w:rsidRDefault="00E3336F">
            <w:pPr>
              <w:pStyle w:val="a3"/>
              <w:spacing w:before="0" w:beforeAutospacing="0" w:after="0" w:afterAutospacing="0"/>
              <w:jc w:val="center"/>
              <w:rPr>
                <w:sz w:val="20"/>
                <w:szCs w:val="20"/>
              </w:rPr>
            </w:pPr>
            <w:r>
              <w:rPr>
                <w:b/>
                <w:bCs/>
                <w:sz w:val="20"/>
                <w:szCs w:val="20"/>
              </w:rPr>
              <w:t>Stock</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Shares </w:t>
            </w:r>
          </w:p>
          <w:p w:rsidR="00000000" w:rsidRDefault="00E3336F">
            <w:pPr>
              <w:pStyle w:val="a3"/>
              <w:spacing w:before="0" w:beforeAutospacing="0" w:after="0" w:afterAutospacing="0"/>
              <w:jc w:val="center"/>
              <w:rPr>
                <w:sz w:val="20"/>
                <w:szCs w:val="20"/>
              </w:rPr>
            </w:pPr>
            <w:r>
              <w:rPr>
                <w:b/>
                <w:bCs/>
                <w:sz w:val="20"/>
                <w:szCs w:val="20"/>
              </w:rPr>
              <w:t>Authorized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Shares</w:t>
            </w:r>
          </w:p>
          <w:p w:rsidR="00000000" w:rsidRDefault="00E3336F">
            <w:pPr>
              <w:pStyle w:val="a3"/>
              <w:spacing w:before="0" w:beforeAutospacing="0" w:after="0" w:afterAutospacing="0"/>
              <w:jc w:val="center"/>
              <w:rPr>
                <w:sz w:val="20"/>
                <w:szCs w:val="20"/>
              </w:rPr>
            </w:pPr>
            <w:r>
              <w:rPr>
                <w:b/>
                <w:bCs/>
                <w:sz w:val="20"/>
                <w:szCs w:val="20"/>
              </w:rPr>
              <w:t xml:space="preserve">Issued and </w:t>
            </w:r>
          </w:p>
          <w:p w:rsidR="00000000" w:rsidRDefault="00E3336F">
            <w:pPr>
              <w:pStyle w:val="a3"/>
              <w:spacing w:before="0" w:beforeAutospacing="0" w:after="0" w:afterAutospacing="0"/>
              <w:jc w:val="center"/>
              <w:rPr>
                <w:sz w:val="20"/>
                <w:szCs w:val="20"/>
              </w:rPr>
            </w:pPr>
            <w:r>
              <w:rPr>
                <w:b/>
                <w:bCs/>
                <w:sz w:val="20"/>
                <w:szCs w:val="20"/>
              </w:rPr>
              <w:t>Outstanding</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Liquidation</w:t>
            </w:r>
          </w:p>
          <w:p w:rsidR="00000000" w:rsidRDefault="00E3336F">
            <w:pPr>
              <w:pStyle w:val="a3"/>
              <w:spacing w:before="0" w:beforeAutospacing="0" w:after="0" w:afterAutospacing="0"/>
              <w:jc w:val="center"/>
              <w:rPr>
                <w:sz w:val="20"/>
                <w:szCs w:val="20"/>
              </w:rPr>
            </w:pPr>
            <w:r>
              <w:rPr>
                <w:b/>
                <w:bCs/>
                <w:sz w:val="20"/>
                <w:szCs w:val="20"/>
              </w:rPr>
              <w:t>Preference</w:t>
            </w:r>
          </w:p>
          <w:p w:rsidR="00000000" w:rsidRDefault="00E3336F">
            <w:pPr>
              <w:pStyle w:val="a3"/>
              <w:spacing w:before="0" w:beforeAutospacing="0" w:after="0" w:afterAutospacing="0"/>
              <w:jc w:val="center"/>
              <w:rPr>
                <w:sz w:val="20"/>
                <w:szCs w:val="20"/>
              </w:rPr>
            </w:pPr>
            <w:r>
              <w:rPr>
                <w:b/>
                <w:bCs/>
                <w:sz w:val="20"/>
                <w:szCs w:val="20"/>
              </w:rPr>
              <w:t>(in thousands)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Dividend </w:t>
            </w:r>
          </w:p>
          <w:p w:rsidR="00000000" w:rsidRDefault="00E3336F">
            <w:pPr>
              <w:pStyle w:val="a3"/>
              <w:spacing w:before="0" w:beforeAutospacing="0" w:after="0" w:afterAutospacing="0"/>
              <w:jc w:val="center"/>
              <w:rPr>
                <w:sz w:val="20"/>
                <w:szCs w:val="20"/>
              </w:rPr>
            </w:pPr>
            <w:r>
              <w:rPr>
                <w:b/>
                <w:bCs/>
                <w:sz w:val="20"/>
                <w:szCs w:val="20"/>
              </w:rPr>
              <w:t>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Annual</w:t>
            </w:r>
          </w:p>
          <w:p w:rsidR="00000000" w:rsidRDefault="00E3336F">
            <w:pPr>
              <w:pStyle w:val="a3"/>
              <w:spacing w:before="0" w:beforeAutospacing="0" w:after="0" w:afterAutospacing="0"/>
              <w:jc w:val="center"/>
              <w:rPr>
                <w:sz w:val="20"/>
                <w:szCs w:val="20"/>
              </w:rPr>
            </w:pPr>
            <w:r>
              <w:rPr>
                <w:b/>
                <w:bCs/>
                <w:sz w:val="20"/>
                <w:szCs w:val="20"/>
              </w:rPr>
              <w:t xml:space="preserve">Dividend per </w:t>
            </w:r>
          </w:p>
          <w:p w:rsidR="00000000" w:rsidRDefault="00E3336F">
            <w:pPr>
              <w:pStyle w:val="a3"/>
              <w:spacing w:before="0" w:beforeAutospacing="0" w:after="0" w:afterAutospacing="0"/>
              <w:jc w:val="center"/>
              <w:rPr>
                <w:sz w:val="20"/>
                <w:szCs w:val="20"/>
              </w:rPr>
            </w:pPr>
            <w:r>
              <w:rPr>
                <w:b/>
                <w:bCs/>
                <w:sz w:val="20"/>
                <w:szCs w:val="20"/>
              </w:rPr>
              <w:t>Depositary</w:t>
            </w:r>
          </w:p>
          <w:p w:rsidR="00000000" w:rsidRDefault="00E3336F">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Par</w:t>
            </w:r>
          </w:p>
          <w:p w:rsidR="00000000" w:rsidRDefault="00E3336F">
            <w:pPr>
              <w:pStyle w:val="a3"/>
              <w:spacing w:before="0" w:beforeAutospacing="0" w:after="0" w:afterAutospacing="0"/>
              <w:jc w:val="center"/>
              <w:rPr>
                <w:sz w:val="20"/>
                <w:szCs w:val="20"/>
              </w:rPr>
            </w:pPr>
            <w:r>
              <w:rPr>
                <w:b/>
                <w:bCs/>
                <w:sz w:val="20"/>
                <w:szCs w:val="20"/>
              </w:rPr>
              <w:t>Value</w:t>
            </w:r>
          </w:p>
        </w:tc>
        <w:tc>
          <w:tcPr>
            <w:tcW w:w="50" w:type="pct"/>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Optional</w:t>
            </w:r>
          </w:p>
          <w:p w:rsidR="00000000" w:rsidRDefault="00E3336F">
            <w:pPr>
              <w:pStyle w:val="a3"/>
              <w:spacing w:before="0" w:beforeAutospacing="0" w:after="0" w:afterAutospacing="0"/>
              <w:jc w:val="center"/>
              <w:rPr>
                <w:sz w:val="20"/>
                <w:szCs w:val="20"/>
              </w:rPr>
            </w:pPr>
            <w:r>
              <w:rPr>
                <w:b/>
                <w:bCs/>
                <w:sz w:val="20"/>
                <w:szCs w:val="20"/>
              </w:rPr>
              <w:t xml:space="preserve">Redemption </w:t>
            </w:r>
          </w:p>
          <w:p w:rsidR="00000000" w:rsidRDefault="00E3336F">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8,946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223,637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20"/>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10,489</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262,231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20"/>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E3336F">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19,435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ind w:left="360"/>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ind w:left="360"/>
              <w:jc w:val="right"/>
              <w:rPr>
                <w:rFonts w:eastAsia="Times New Roman"/>
                <w:sz w:val="20"/>
                <w:szCs w:val="20"/>
              </w:rPr>
            </w:pPr>
            <w:r>
              <w:rPr>
                <w:rFonts w:eastAsia="Times New Roman"/>
                <w:sz w:val="20"/>
                <w:szCs w:val="20"/>
              </w:rPr>
              <w:t>485,868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Style w:val="a6"/>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88"/>
        <w:gridCol w:w="879"/>
        <w:gridCol w:w="50"/>
        <w:gridCol w:w="50"/>
        <w:gridCol w:w="89"/>
        <w:gridCol w:w="979"/>
        <w:gridCol w:w="50"/>
        <w:gridCol w:w="50"/>
        <w:gridCol w:w="460"/>
        <w:gridCol w:w="1010"/>
        <w:gridCol w:w="50"/>
        <w:gridCol w:w="50"/>
        <w:gridCol w:w="71"/>
        <w:gridCol w:w="708"/>
        <w:gridCol w:w="167"/>
        <w:gridCol w:w="50"/>
        <w:gridCol w:w="101"/>
        <w:gridCol w:w="849"/>
        <w:gridCol w:w="50"/>
        <w:gridCol w:w="50"/>
        <w:gridCol w:w="121"/>
        <w:gridCol w:w="454"/>
        <w:gridCol w:w="50"/>
        <w:gridCol w:w="1045"/>
      </w:tblGrid>
      <w:tr w:rsidR="00000000">
        <w:trPr>
          <w:tblCellSpacing w:w="0" w:type="dxa"/>
        </w:trPr>
        <w:tc>
          <w:tcPr>
            <w:tcW w:w="4500" w:type="pct"/>
            <w:gridSpan w:val="2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r>
      <w:tr w:rsidR="00000000">
        <w:trPr>
          <w:tblCellSpacing w:w="0" w:type="dxa"/>
        </w:trPr>
        <w:tc>
          <w:tcPr>
            <w:tcW w:w="5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Class of </w:t>
            </w:r>
          </w:p>
          <w:p w:rsidR="00000000" w:rsidRDefault="00E3336F">
            <w:pPr>
              <w:pStyle w:val="a3"/>
              <w:spacing w:before="0" w:beforeAutospacing="0" w:after="0" w:afterAutospacing="0"/>
              <w:jc w:val="center"/>
              <w:rPr>
                <w:sz w:val="20"/>
                <w:szCs w:val="20"/>
              </w:rPr>
            </w:pPr>
            <w:r>
              <w:rPr>
                <w:b/>
                <w:bCs/>
                <w:sz w:val="20"/>
                <w:szCs w:val="20"/>
              </w:rPr>
              <w:t xml:space="preserve">Preferred </w:t>
            </w:r>
          </w:p>
          <w:p w:rsidR="00000000" w:rsidRDefault="00E3336F">
            <w:pPr>
              <w:pStyle w:val="a3"/>
              <w:spacing w:before="0" w:beforeAutospacing="0" w:after="0" w:afterAutospacing="0"/>
              <w:jc w:val="center"/>
              <w:rPr>
                <w:sz w:val="20"/>
                <w:szCs w:val="20"/>
              </w:rPr>
            </w:pPr>
            <w:r>
              <w:rPr>
                <w:b/>
                <w:bCs/>
                <w:sz w:val="20"/>
                <w:szCs w:val="20"/>
              </w:rPr>
              <w:t>Stock</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Shares</w:t>
            </w:r>
          </w:p>
          <w:p w:rsidR="00000000" w:rsidRDefault="00E3336F">
            <w:pPr>
              <w:pStyle w:val="a3"/>
              <w:spacing w:before="0" w:beforeAutospacing="0" w:after="0" w:afterAutospacing="0"/>
              <w:jc w:val="center"/>
              <w:rPr>
                <w:sz w:val="20"/>
                <w:szCs w:val="20"/>
              </w:rPr>
            </w:pPr>
            <w:r>
              <w:rPr>
                <w:b/>
                <w:bCs/>
                <w:sz w:val="20"/>
                <w:szCs w:val="20"/>
              </w:rPr>
              <w:t>Authorized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Share</w:t>
            </w:r>
          </w:p>
          <w:p w:rsidR="00000000" w:rsidRDefault="00E3336F">
            <w:pPr>
              <w:pStyle w:val="a3"/>
              <w:spacing w:before="0" w:beforeAutospacing="0" w:after="0" w:afterAutospacing="0"/>
              <w:jc w:val="center"/>
              <w:rPr>
                <w:sz w:val="20"/>
                <w:szCs w:val="20"/>
              </w:rPr>
            </w:pPr>
            <w:r>
              <w:rPr>
                <w:b/>
                <w:bCs/>
                <w:sz w:val="20"/>
                <w:szCs w:val="20"/>
              </w:rPr>
              <w:t xml:space="preserve">Issued and </w:t>
            </w:r>
          </w:p>
          <w:p w:rsidR="00000000" w:rsidRDefault="00E3336F">
            <w:pPr>
              <w:pStyle w:val="a3"/>
              <w:spacing w:before="0" w:beforeAutospacing="0" w:after="0" w:afterAutospacing="0"/>
              <w:jc w:val="center"/>
              <w:rPr>
                <w:sz w:val="20"/>
                <w:szCs w:val="20"/>
              </w:rPr>
            </w:pPr>
            <w:r>
              <w:rPr>
                <w:b/>
                <w:bCs/>
                <w:sz w:val="20"/>
                <w:szCs w:val="20"/>
              </w:rPr>
              <w:t>Outstanding</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Liquidation </w:t>
            </w:r>
          </w:p>
          <w:p w:rsidR="00000000" w:rsidRDefault="00E3336F">
            <w:pPr>
              <w:pStyle w:val="a3"/>
              <w:spacing w:before="0" w:beforeAutospacing="0" w:after="0" w:afterAutospacing="0"/>
              <w:jc w:val="center"/>
              <w:rPr>
                <w:sz w:val="20"/>
                <w:szCs w:val="20"/>
              </w:rPr>
            </w:pPr>
            <w:r>
              <w:rPr>
                <w:b/>
                <w:bCs/>
                <w:sz w:val="20"/>
                <w:szCs w:val="20"/>
              </w:rPr>
              <w:t>Preference</w:t>
            </w:r>
          </w:p>
          <w:p w:rsidR="00000000" w:rsidRDefault="00E3336F">
            <w:pPr>
              <w:pStyle w:val="a3"/>
              <w:spacing w:before="0" w:beforeAutospacing="0" w:after="0" w:afterAutospacing="0"/>
              <w:jc w:val="center"/>
              <w:rPr>
                <w:sz w:val="20"/>
                <w:szCs w:val="20"/>
              </w:rPr>
            </w:pPr>
            <w:r>
              <w:rPr>
                <w:b/>
                <w:bCs/>
                <w:sz w:val="20"/>
                <w:szCs w:val="20"/>
              </w:rPr>
              <w:t>(in thousands)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Dividend</w:t>
            </w:r>
          </w:p>
          <w:p w:rsidR="00000000" w:rsidRDefault="00E3336F">
            <w:pPr>
              <w:pStyle w:val="a3"/>
              <w:spacing w:before="0" w:beforeAutospacing="0" w:after="0" w:afterAutospacing="0"/>
              <w:jc w:val="center"/>
              <w:rPr>
                <w:sz w:val="20"/>
                <w:szCs w:val="20"/>
              </w:rPr>
            </w:pPr>
            <w:r>
              <w:rPr>
                <w:b/>
                <w:bCs/>
                <w:sz w:val="20"/>
                <w:szCs w:val="20"/>
              </w:rPr>
              <w:t>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Annual </w:t>
            </w:r>
          </w:p>
          <w:p w:rsidR="00000000" w:rsidRDefault="00E3336F">
            <w:pPr>
              <w:pStyle w:val="a3"/>
              <w:spacing w:before="0" w:beforeAutospacing="0" w:after="0" w:afterAutospacing="0"/>
              <w:jc w:val="center"/>
              <w:rPr>
                <w:sz w:val="20"/>
                <w:szCs w:val="20"/>
              </w:rPr>
            </w:pPr>
            <w:r>
              <w:rPr>
                <w:b/>
                <w:bCs/>
                <w:sz w:val="20"/>
                <w:szCs w:val="20"/>
              </w:rPr>
              <w:t xml:space="preserve">Dividend per </w:t>
            </w:r>
          </w:p>
          <w:p w:rsidR="00000000" w:rsidRDefault="00E3336F">
            <w:pPr>
              <w:pStyle w:val="a3"/>
              <w:spacing w:before="0" w:beforeAutospacing="0" w:after="0" w:afterAutospacing="0"/>
              <w:jc w:val="center"/>
              <w:rPr>
                <w:sz w:val="20"/>
                <w:szCs w:val="20"/>
              </w:rPr>
            </w:pPr>
            <w:r>
              <w:rPr>
                <w:b/>
                <w:bCs/>
                <w:sz w:val="20"/>
                <w:szCs w:val="20"/>
              </w:rPr>
              <w:t>Depositary</w:t>
            </w:r>
          </w:p>
          <w:p w:rsidR="00000000" w:rsidRDefault="00E3336F">
            <w:pPr>
              <w:pStyle w:val="a3"/>
              <w:spacing w:before="0" w:beforeAutospacing="0" w:after="0" w:afterAutospacing="0"/>
              <w:jc w:val="center"/>
              <w:rPr>
                <w:sz w:val="20"/>
                <w:szCs w:val="20"/>
              </w:rPr>
            </w:pPr>
            <w:r>
              <w:rPr>
                <w:b/>
                <w:bCs/>
                <w:sz w:val="20"/>
                <w:szCs w:val="20"/>
              </w:rPr>
              <w:t>Share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Par</w:t>
            </w:r>
          </w:p>
          <w:p w:rsidR="00000000" w:rsidRDefault="00E3336F">
            <w:pPr>
              <w:pStyle w:val="a3"/>
              <w:spacing w:before="0" w:beforeAutospacing="0" w:after="0" w:afterAutospacing="0"/>
              <w:jc w:val="center"/>
              <w:rPr>
                <w:sz w:val="20"/>
                <w:szCs w:val="20"/>
              </w:rPr>
            </w:pPr>
            <w:r>
              <w:rPr>
                <w:b/>
                <w:bCs/>
                <w:sz w:val="20"/>
                <w:szCs w:val="20"/>
              </w:rPr>
              <w:t>Value</w:t>
            </w:r>
          </w:p>
        </w:tc>
        <w:tc>
          <w:tcPr>
            <w:tcW w:w="50" w:type="pct"/>
            <w:tcBorders>
              <w:bottom w:val="single" w:sz="6" w:space="0" w:color="000000"/>
            </w:tcBorders>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Optional </w:t>
            </w:r>
          </w:p>
          <w:p w:rsidR="00000000" w:rsidRDefault="00E3336F">
            <w:pPr>
              <w:pStyle w:val="a3"/>
              <w:spacing w:before="0" w:beforeAutospacing="0" w:after="0" w:afterAutospacing="0"/>
              <w:jc w:val="center"/>
              <w:rPr>
                <w:sz w:val="20"/>
                <w:szCs w:val="20"/>
              </w:rPr>
            </w:pPr>
            <w:r>
              <w:rPr>
                <w:b/>
                <w:bCs/>
                <w:sz w:val="20"/>
                <w:szCs w:val="20"/>
              </w:rPr>
              <w:t xml:space="preserve">Redemption </w:t>
            </w:r>
          </w:p>
          <w:p w:rsidR="00000000" w:rsidRDefault="00E3336F">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10,350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5.125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1.28125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20"/>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E3336F">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pStyle w:val="a3"/>
              <w:spacing w:before="0" w:beforeAutospacing="0" w:after="0" w:afterAutospacing="0"/>
              <w:ind w:left="40"/>
              <w:jc w:val="center"/>
              <w:rPr>
                <w:sz w:val="20"/>
                <w:szCs w:val="20"/>
              </w:rPr>
            </w:pPr>
            <w:r>
              <w:rPr>
                <w:rStyle w:val="a6"/>
                <w:sz w:val="20"/>
                <w:szCs w:val="20"/>
              </w:rPr>
              <w:t>8/16/2022</w:t>
            </w:r>
          </w:p>
        </w:tc>
      </w:tr>
      <w:tr w:rsidR="00000000">
        <w:trPr>
          <w:tblCellSpacing w:w="0" w:type="dxa"/>
        </w:trPr>
        <w:tc>
          <w:tcPr>
            <w:tcW w:w="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10,580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10,580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264,500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5.250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1.31250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20"/>
              <w:rPr>
                <w:rFonts w:eastAsia="Times New Roman"/>
                <w:sz w:val="20"/>
                <w:szCs w:val="20"/>
              </w:rPr>
            </w:pPr>
            <w:r>
              <w:rPr>
                <w:rFonts w:eastAsia="Times New Roman"/>
                <w:sz w:val="20"/>
                <w:szCs w:val="20"/>
              </w:rPr>
              <w:t>$</w:t>
            </w:r>
          </w:p>
        </w:tc>
        <w:tc>
          <w:tcPr>
            <w:tcW w:w="500" w:type="pct"/>
            <w:shd w:val="clear" w:color="auto" w:fill="FFFFFF"/>
            <w:vAlign w:val="bottom"/>
            <w:hideMark/>
          </w:tcPr>
          <w:p w:rsidR="00000000" w:rsidRDefault="00E3336F">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pStyle w:val="a3"/>
              <w:spacing w:before="0" w:beforeAutospacing="0" w:after="0" w:afterAutospacing="0"/>
              <w:ind w:left="40"/>
              <w:jc w:val="center"/>
              <w:rPr>
                <w:sz w:val="20"/>
                <w:szCs w:val="20"/>
              </w:rPr>
            </w:pPr>
            <w:r>
              <w:rPr>
                <w:rStyle w:val="a6"/>
                <w:sz w:val="20"/>
                <w:szCs w:val="20"/>
              </w:rPr>
              <w:t>12/20/2022</w:t>
            </w:r>
          </w:p>
        </w:tc>
      </w:tr>
      <w:tr w:rsidR="00000000">
        <w:trPr>
          <w:tblCellSpacing w:w="0" w:type="dxa"/>
        </w:trPr>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19,580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ind w:left="360"/>
              <w:rPr>
                <w:rFonts w:eastAsia="Times New Roman"/>
                <w:sz w:val="20"/>
                <w:szCs w:val="20"/>
              </w:rPr>
            </w:pPr>
            <w:r>
              <w:rPr>
                <w:rFonts w:eastAsia="Times New Roman"/>
                <w:sz w:val="20"/>
                <w:szCs w:val="20"/>
              </w:rPr>
              <w:t>$</w:t>
            </w:r>
          </w:p>
        </w:tc>
        <w:tc>
          <w:tcPr>
            <w:tcW w:w="550" w:type="pct"/>
            <w:tcBorders>
              <w:bottom w:val="double" w:sz="6" w:space="0" w:color="000000"/>
            </w:tcBorders>
            <w:shd w:val="clear" w:color="auto" w:fill="CCEEFF"/>
            <w:vAlign w:val="bottom"/>
            <w:hideMark/>
          </w:tcPr>
          <w:p w:rsidR="00000000" w:rsidRDefault="00E3336F">
            <w:pPr>
              <w:ind w:left="360"/>
              <w:jc w:val="right"/>
              <w:rPr>
                <w:rFonts w:eastAsia="Times New Roman"/>
                <w:sz w:val="20"/>
                <w:szCs w:val="20"/>
              </w:rPr>
            </w:pPr>
            <w:r>
              <w:rPr>
                <w:rFonts w:eastAsia="Times New Roman"/>
                <w:sz w:val="20"/>
                <w:szCs w:val="20"/>
              </w:rPr>
              <w:t>489,500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Style w:val="a6"/>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Style w:val="a6"/>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 xml:space="preserve">Common Stock </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 has a common share repurchase program, which is scheduled to expire </w:t>
      </w:r>
      <w:r>
        <w:rPr>
          <w:rStyle w:val="a6"/>
          <w:sz w:val="20"/>
          <w:szCs w:val="20"/>
        </w:rPr>
        <w:t>February 29,</w:t>
      </w:r>
      <w:r>
        <w:rPr>
          <w:sz w:val="20"/>
          <w:szCs w:val="20"/>
        </w:rPr>
        <w:t xml:space="preserve"> </w:t>
      </w:r>
      <w:r>
        <w:rPr>
          <w:rStyle w:val="a6"/>
          <w:sz w:val="20"/>
          <w:szCs w:val="20"/>
        </w:rPr>
        <w:t>2024.</w:t>
      </w:r>
      <w:r>
        <w:rPr>
          <w:sz w:val="20"/>
          <w:szCs w:val="20"/>
        </w:rPr>
        <w:t xml:space="preserve"> Under this program, the Company </w:t>
      </w:r>
      <w:r>
        <w:rPr>
          <w:rStyle w:val="a6"/>
          <w:sz w:val="20"/>
          <w:szCs w:val="20"/>
        </w:rPr>
        <w:t xml:space="preserve">may </w:t>
      </w:r>
      <w:r>
        <w:rPr>
          <w:sz w:val="20"/>
          <w:szCs w:val="20"/>
        </w:rPr>
        <w:t xml:space="preserve">repurchase shares of its common stock, par value $0.01 per share, with an aggregate gross purchase price of up to $300.0 </w:t>
      </w:r>
      <w:r>
        <w:rPr>
          <w:sz w:val="20"/>
          <w:szCs w:val="20"/>
        </w:rPr>
        <w:t>million. The Company did</w:t>
      </w:r>
      <w:r>
        <w:rPr>
          <w:sz w:val="20"/>
          <w:szCs w:val="20"/>
        </w:rPr>
        <w:t xml:space="preserve"> </w:t>
      </w:r>
      <w:r>
        <w:rPr>
          <w:sz w:val="20"/>
          <w:szCs w:val="20"/>
        </w:rPr>
        <w:t>no</w:t>
      </w:r>
      <w:r>
        <w:rPr>
          <w:sz w:val="20"/>
          <w:szCs w:val="20"/>
        </w:rPr>
        <w:t>t</w:t>
      </w:r>
      <w:r>
        <w:rPr>
          <w:sz w:val="20"/>
          <w:szCs w:val="20"/>
        </w:rPr>
        <w:t xml:space="preserve"> repurchase any shares under the common share repurchase program during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As of </w:t>
      </w:r>
      <w:r>
        <w:rPr>
          <w:rStyle w:val="a6"/>
          <w:sz w:val="20"/>
          <w:szCs w:val="20"/>
        </w:rPr>
        <w:t xml:space="preserve">September 30, 2022, </w:t>
      </w:r>
      <w:r>
        <w:rPr>
          <w:sz w:val="20"/>
          <w:szCs w:val="20"/>
        </w:rPr>
        <w:t>the Company had $224.9 million available under this common share repurchase program.</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During </w:t>
      </w:r>
      <w:r>
        <w:rPr>
          <w:rStyle w:val="a6"/>
          <w:sz w:val="20"/>
          <w:szCs w:val="20"/>
        </w:rPr>
        <w:t xml:space="preserve">August 2021, </w:t>
      </w:r>
      <w:r>
        <w:rPr>
          <w:sz w:val="20"/>
          <w:szCs w:val="20"/>
        </w:rPr>
        <w:t xml:space="preserve">the Company established an at-the-market continuous offering program (the “ATM program”) pursuant to which the Company </w:t>
      </w:r>
      <w:r>
        <w:rPr>
          <w:rStyle w:val="a6"/>
          <w:sz w:val="20"/>
          <w:szCs w:val="20"/>
        </w:rPr>
        <w:t xml:space="preserve">may </w:t>
      </w:r>
      <w:r>
        <w:rPr>
          <w:sz w:val="20"/>
          <w:szCs w:val="20"/>
        </w:rPr>
        <w:t xml:space="preserve">offer and sell from time-to-time shares of its common stock, par value $0.01 per share, with an aggregate gross sales price of up to $500.0 million through a consortium of banks acting as sales agents. Sales of the shares of common stock </w:t>
      </w:r>
      <w:r>
        <w:rPr>
          <w:rStyle w:val="a6"/>
          <w:sz w:val="20"/>
          <w:szCs w:val="20"/>
        </w:rPr>
        <w:t xml:space="preserve">may </w:t>
      </w:r>
      <w:r>
        <w:rPr>
          <w:sz w:val="20"/>
          <w:szCs w:val="20"/>
        </w:rPr>
        <w:t>be made, as ne</w:t>
      </w:r>
      <w:r>
        <w:rPr>
          <w:sz w:val="20"/>
          <w:szCs w:val="20"/>
        </w:rPr>
        <w:t xml:space="preserve">eded, from time to time in “at the market” offerings as defined in Rule </w:t>
      </w:r>
      <w:r>
        <w:rPr>
          <w:rStyle w:val="a6"/>
          <w:sz w:val="20"/>
          <w:szCs w:val="20"/>
        </w:rPr>
        <w:t>415</w:t>
      </w:r>
      <w:r>
        <w:rPr>
          <w:sz w:val="20"/>
          <w:szCs w:val="20"/>
        </w:rPr>
        <w:t xml:space="preserve"> of the Securities Act of </w:t>
      </w:r>
      <w:r>
        <w:rPr>
          <w:rStyle w:val="a6"/>
          <w:sz w:val="20"/>
          <w:szCs w:val="20"/>
        </w:rPr>
        <w:t>1933,</w:t>
      </w:r>
      <w:r>
        <w:rPr>
          <w:sz w:val="20"/>
          <w:szCs w:val="20"/>
        </w:rPr>
        <w:t xml:space="preserve"> including by means of ordinary brokers’ transactions on the New York Stock Exchange or otherwise (i) at market prices prevailing at the time of sale,</w:t>
      </w:r>
      <w:r>
        <w:rPr>
          <w:sz w:val="20"/>
          <w:szCs w:val="20"/>
        </w:rPr>
        <w:t xml:space="preserve"> (ii) at prices related to prevailing market prices or (iii) as otherwise agreed to with the applicable sales agent. In addition, the Company </w:t>
      </w:r>
      <w:r>
        <w:rPr>
          <w:rStyle w:val="a6"/>
          <w:sz w:val="20"/>
          <w:szCs w:val="20"/>
        </w:rPr>
        <w:t xml:space="preserve">may </w:t>
      </w:r>
      <w:r>
        <w:rPr>
          <w:sz w:val="20"/>
          <w:szCs w:val="20"/>
        </w:rPr>
        <w:t xml:space="preserve">from time to time enter into separate forward sale agreements with </w:t>
      </w:r>
      <w:r>
        <w:rPr>
          <w:rStyle w:val="a6"/>
          <w:sz w:val="20"/>
          <w:szCs w:val="20"/>
        </w:rPr>
        <w:t>one</w:t>
      </w:r>
      <w:r>
        <w:rPr>
          <w:sz w:val="20"/>
          <w:szCs w:val="20"/>
        </w:rPr>
        <w:t xml:space="preserve"> or more banks. During the </w:t>
      </w:r>
      <w:r>
        <w:rPr>
          <w:rStyle w:val="a6"/>
          <w:sz w:val="20"/>
          <w:szCs w:val="20"/>
        </w:rPr>
        <w:t>nine</w:t>
      </w:r>
      <w:r>
        <w:rPr>
          <w:sz w:val="20"/>
          <w:szCs w:val="20"/>
        </w:rPr>
        <w:t xml:space="preserve"> months e</w:t>
      </w:r>
      <w:r>
        <w:rPr>
          <w:sz w:val="20"/>
          <w:szCs w:val="20"/>
        </w:rPr>
        <w:t xml:space="preserve">nded </w:t>
      </w:r>
      <w:r>
        <w:rPr>
          <w:rStyle w:val="a6"/>
          <w:sz w:val="20"/>
          <w:szCs w:val="20"/>
        </w:rPr>
        <w:t xml:space="preserve">September 30, 2022, </w:t>
      </w:r>
      <w:r>
        <w:rPr>
          <w:sz w:val="20"/>
          <w:szCs w:val="20"/>
        </w:rPr>
        <w:t xml:space="preserve">the Company issued 450,000 shares and received net proceeds after commissions of $11.3 million. As of </w:t>
      </w:r>
      <w:r>
        <w:rPr>
          <w:rStyle w:val="a6"/>
          <w:sz w:val="20"/>
          <w:szCs w:val="20"/>
        </w:rPr>
        <w:t xml:space="preserve">September 30, 2022, </w:t>
      </w:r>
      <w:r>
        <w:rPr>
          <w:sz w:val="20"/>
          <w:szCs w:val="20"/>
        </w:rPr>
        <w:t>the Company had $411.0 million available under this ATM program.</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 xml:space="preserve">Dividends Declared </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following table </w:t>
      </w:r>
      <w:r>
        <w:rPr>
          <w:sz w:val="20"/>
          <w:szCs w:val="20"/>
        </w:rPr>
        <w:t>provides a summary of the dividends declared per share:</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3281"/>
        <w:gridCol w:w="67"/>
        <w:gridCol w:w="100"/>
        <w:gridCol w:w="814"/>
        <w:gridCol w:w="67"/>
        <w:gridCol w:w="67"/>
        <w:gridCol w:w="100"/>
        <w:gridCol w:w="814"/>
        <w:gridCol w:w="67"/>
        <w:gridCol w:w="67"/>
        <w:gridCol w:w="100"/>
        <w:gridCol w:w="814"/>
        <w:gridCol w:w="67"/>
        <w:gridCol w:w="67"/>
        <w:gridCol w:w="100"/>
        <w:gridCol w:w="815"/>
        <w:gridCol w:w="6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Common Shares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0.22000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0.17000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0.61000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0.51000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Class L Depositary Shares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0.32031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0.96093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0.96093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Class M Depositary Shares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0.32813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0.98439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0.98439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74852184"/>
        <w:rPr>
          <w:rFonts w:eastAsia="Times New Roman"/>
          <w:sz w:val="20"/>
          <w:szCs w:val="20"/>
        </w:rPr>
      </w:pPr>
      <w:r>
        <w:rPr>
          <w:rFonts w:eastAsia="Times New Roman"/>
          <w:sz w:val="20"/>
          <w:szCs w:val="20"/>
        </w:rPr>
        <w:t xml:space="preserve">19 </w:t>
      </w:r>
    </w:p>
    <w:p w:rsidR="00000000" w:rsidRDefault="00E3336F">
      <w:pPr>
        <w:divId w:val="1078483779"/>
        <w:rPr>
          <w:rFonts w:eastAsia="Times New Roman"/>
          <w:sz w:val="20"/>
          <w:szCs w:val="20"/>
        </w:rPr>
      </w:pPr>
      <w:r>
        <w:rPr>
          <w:rFonts w:eastAsia="Times New Roman"/>
          <w:sz w:val="20"/>
          <w:szCs w:val="20"/>
        </w:rPr>
        <w:pict>
          <v:rect id="_x0000_i1047" style="width:415.3pt;height:1.5pt" o:hralign="center" o:hrstd="t" o:hrnoshade="t" o:hr="t" fillcolor="black" stroked="f"/>
        </w:pict>
      </w:r>
    </w:p>
    <w:p w:rsidR="00000000" w:rsidRDefault="00E3336F">
      <w:pPr>
        <w:divId w:val="77479146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806974624"/>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17.</w:t>
      </w:r>
      <w:r>
        <w:rPr>
          <w:sz w:val="20"/>
          <w:szCs w:val="20"/>
        </w:rPr>
        <w:t xml:space="preserve"> </w:t>
      </w:r>
      <w:r>
        <w:rPr>
          <w:sz w:val="20"/>
          <w:szCs w:val="20"/>
          <w:u w:val="single"/>
        </w:rPr>
        <w:t xml:space="preserve">Supplemental Schedule </w:t>
      </w:r>
      <w:r>
        <w:rPr>
          <w:sz w:val="20"/>
          <w:szCs w:val="20"/>
          <w:u w:val="single"/>
        </w:rPr>
        <w:t>of Non-Cash Investing / Financing Activities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following schedule summarizes the non-cash investing and financing activities of the Company for the </w:t>
      </w:r>
      <w:r>
        <w:rPr>
          <w:rStyle w:val="a6"/>
          <w:sz w:val="20"/>
          <w:szCs w:val="20"/>
        </w:rPr>
        <w:t>nine</w:t>
      </w:r>
      <w:r>
        <w:rPr>
          <w:sz w:val="20"/>
          <w:szCs w:val="20"/>
        </w:rPr>
        <w:t xml:space="preserve"> months ended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(in thousands):</w:t>
      </w:r>
    </w:p>
    <w:p w:rsidR="00000000" w:rsidRDefault="00E3336F">
      <w:pPr>
        <w:pStyle w:val="a3"/>
        <w:spacing w:before="0" w:beforeAutospacing="0" w:after="0" w:afterAutospacing="0"/>
        <w:jc w:val="both"/>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5075"/>
        <w:gridCol w:w="67"/>
        <w:gridCol w:w="100"/>
        <w:gridCol w:w="964"/>
        <w:gridCol w:w="68"/>
        <w:gridCol w:w="68"/>
        <w:gridCol w:w="100"/>
        <w:gridCol w:w="965"/>
        <w:gridCol w:w="6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Nine Months Ended September 30, </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Proceeds held in escrow through the sale of real estate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19,744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Surrender of common stock</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13,660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20,826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5,366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28,219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35,451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Lease liabilities arising from obtaining operating right-of-use assets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553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Allocation of fair value to noncontrolling interests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2,068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Decrease in redeemable noncontrolling interests from redemption of units for common stock</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1,613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Purchase price fair value adjustment to prepaid rent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15,620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Weingarten Merger:</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Real estate assets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5,624,707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Investments in and advances to real estate joint ventures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586,248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Notes payable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(1,497,632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Mortgages payable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(317,671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Below-market leases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(120,441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Noncontrolling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(179,037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Other assets and liabilities,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(149,813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Lease liabilities arising from obtaining operating right-of-use assets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32,569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540"/>
              <w:rPr>
                <w:sz w:val="20"/>
                <w:szCs w:val="20"/>
              </w:rPr>
            </w:pPr>
            <w:r>
              <w:rPr>
                <w:sz w:val="20"/>
                <w:szCs w:val="20"/>
              </w:rPr>
              <w:t>Lease liabilities arising from obtaining financing right-of-use assets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23,778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540"/>
              <w:rPr>
                <w:sz w:val="20"/>
                <w:szCs w:val="20"/>
              </w:rPr>
            </w:pPr>
            <w:r>
              <w:rPr>
                <w:sz w:val="20"/>
                <w:szCs w:val="20"/>
              </w:rPr>
              <w:t>Common stock issued in exchange for Weingarten shares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(3,738,735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following table provides a reconciliation of cash, cash equivalents and restricted cash recorded on the Company’s Condensed Consolidated Balance Sheets to the Company’s Condensed Consolidated Statements of Cash Flows (in thousands):</w:t>
      </w:r>
    </w:p>
    <w:p w:rsidR="00000000" w:rsidRDefault="00E3336F">
      <w:pPr>
        <w:pStyle w:val="a3"/>
        <w:spacing w:before="0" w:beforeAutospacing="0" w:after="0" w:afterAutospacing="0"/>
        <w:rPr>
          <w:sz w:val="20"/>
          <w:szCs w:val="20"/>
        </w:rPr>
      </w:pPr>
      <w:r>
        <w:rPr>
          <w:sz w:val="20"/>
          <w:szCs w:val="20"/>
        </w:rPr>
        <w:t> </w:t>
      </w:r>
    </w:p>
    <w:tbl>
      <w:tblPr>
        <w:tblW w:w="4500" w:type="pct"/>
        <w:tblCellSpacing w:w="0" w:type="dxa"/>
        <w:tblInd w:w="720" w:type="dxa"/>
        <w:tblCellMar>
          <w:left w:w="0" w:type="dxa"/>
          <w:right w:w="0" w:type="dxa"/>
        </w:tblCellMar>
        <w:tblLook w:val="04A0" w:firstRow="1" w:lastRow="0" w:firstColumn="1" w:lastColumn="0" w:noHBand="0" w:noVBand="1"/>
      </w:tblPr>
      <w:tblGrid>
        <w:gridCol w:w="4328"/>
        <w:gridCol w:w="67"/>
        <w:gridCol w:w="101"/>
        <w:gridCol w:w="1338"/>
        <w:gridCol w:w="67"/>
        <w:gridCol w:w="67"/>
        <w:gridCol w:w="101"/>
        <w:gridCol w:w="1338"/>
        <w:gridCol w:w="6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w:t>
            </w:r>
            <w:r>
              <w:rPr>
                <w:b/>
                <w:bCs/>
                <w:sz w:val="20"/>
                <w:szCs w:val="20"/>
              </w:rPr>
              <w:t>er 30, 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December 31, 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9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Cash and cash equivalents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120,331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325,631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Restricted cash</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3,200</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9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9,032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cash, cash equivalents and restricted cash</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123,531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divId w:val="809860387"/>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18.</w:t>
      </w:r>
      <w:r>
        <w:rPr>
          <w:sz w:val="20"/>
          <w:szCs w:val="20"/>
        </w:rPr>
        <w:t xml:space="preserve"> </w:t>
      </w:r>
      <w:r>
        <w:rPr>
          <w:sz w:val="20"/>
          <w:szCs w:val="20"/>
          <w:u w:val="single"/>
        </w:rPr>
        <w:t>Commitments and Contingencies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Letters of Credit</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Company has issued letters of credit in connection with the completion and repayment guarantees primarily on certain of the Company’s redevelopment projects and guaranty of payment related to the Comp</w:t>
      </w:r>
      <w:r>
        <w:rPr>
          <w:sz w:val="20"/>
          <w:szCs w:val="20"/>
        </w:rPr>
        <w:t xml:space="preserve">any’s insurance program. At </w:t>
      </w:r>
      <w:r>
        <w:rPr>
          <w:rStyle w:val="a6"/>
          <w:sz w:val="20"/>
          <w:szCs w:val="20"/>
        </w:rPr>
        <w:t xml:space="preserve">September 30, 2022, </w:t>
      </w:r>
      <w:r>
        <w:rPr>
          <w:sz w:val="20"/>
          <w:szCs w:val="20"/>
        </w:rPr>
        <w:t>these letters of credit aggregated $44.2 million.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Funding Commitments</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 has investments with funding commitments of $27.5 million, of which $13.1 million has been funded as of </w:t>
      </w:r>
      <w:r>
        <w:rPr>
          <w:rStyle w:val="a6"/>
          <w:sz w:val="20"/>
          <w:szCs w:val="20"/>
        </w:rPr>
        <w:t>September 30, 2022</w:t>
      </w:r>
      <w:r>
        <w:rPr>
          <w:rStyle w:val="a6"/>
          <w:sz w:val="20"/>
          <w:szCs w:val="20"/>
        </w:rPr>
        <w:t>.</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i/>
          <w:iCs/>
          <w:sz w:val="20"/>
          <w:szCs w:val="20"/>
        </w:rPr>
        <w:t>Other</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In connection with the construction of its development and redevelopment projects and related infrastructure, certain public agencies require posting of performance and surety bonds to guarantee that the Company’s obligations are satisfied. The</w:t>
      </w:r>
      <w:r>
        <w:rPr>
          <w:sz w:val="20"/>
          <w:szCs w:val="20"/>
        </w:rPr>
        <w:t xml:space="preserve">se bonds expire upon the completion of the improvements and infrastructure. As of </w:t>
      </w:r>
      <w:r>
        <w:rPr>
          <w:rStyle w:val="a6"/>
          <w:sz w:val="20"/>
          <w:szCs w:val="20"/>
        </w:rPr>
        <w:t xml:space="preserve">September 30, 2022, </w:t>
      </w:r>
      <w:r>
        <w:rPr>
          <w:sz w:val="20"/>
          <w:szCs w:val="20"/>
        </w:rPr>
        <w:t>there were $18.5 million in performance and surety bonds outstanding.</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In connection with the Merger, the Company now provides a guaranty for the payment</w:t>
      </w:r>
      <w:r>
        <w:rPr>
          <w:sz w:val="20"/>
          <w:szCs w:val="20"/>
        </w:rPr>
        <w:t xml:space="preserve"> of any debt service shortfalls on the Sheridan Redevelopment Agency issued Series A bonds which are tax increment revenue bonds issued in connection with a development project in Sheridan, Colorado. These tax increment revenue bonds have a balance of $49.</w:t>
      </w:r>
      <w:r>
        <w:rPr>
          <w:sz w:val="20"/>
          <w:szCs w:val="20"/>
        </w:rPr>
        <w:t xml:space="preserve">7 million outstanding at </w:t>
      </w:r>
      <w:r>
        <w:rPr>
          <w:rStyle w:val="a6"/>
          <w:sz w:val="20"/>
          <w:szCs w:val="20"/>
        </w:rPr>
        <w:t xml:space="preserve">September 30, 2022. </w:t>
      </w:r>
      <w:r>
        <w:rPr>
          <w:sz w:val="20"/>
          <w:szCs w:val="20"/>
        </w:rPr>
        <w:t xml:space="preserve">The bonds are to be repaid with incremental sales and property taxes and a public improvement fee ("PIF") to be assessed on current and future retail sales and, to the extent necessary, any amounts we </w:t>
      </w:r>
      <w:r>
        <w:rPr>
          <w:rStyle w:val="a6"/>
          <w:sz w:val="20"/>
          <w:szCs w:val="20"/>
        </w:rPr>
        <w:t xml:space="preserve">may </w:t>
      </w:r>
      <w:r>
        <w:rPr>
          <w:sz w:val="20"/>
          <w:szCs w:val="20"/>
        </w:rPr>
        <w:t>have t</w:t>
      </w:r>
      <w:r>
        <w:rPr>
          <w:sz w:val="20"/>
          <w:szCs w:val="20"/>
        </w:rPr>
        <w:t>o provide under a guaranty. The revenue generated from incremental sales, property taxes and PIF have satisfied the debt service requirements to date. The incremental taxes and PIF are to remain intact until the earlier of the payment of the bond liability</w:t>
      </w:r>
      <w:r>
        <w:rPr>
          <w:sz w:val="20"/>
          <w:szCs w:val="20"/>
        </w:rPr>
        <w:t xml:space="preserve"> in full or </w:t>
      </w:r>
      <w:r>
        <w:rPr>
          <w:rStyle w:val="a6"/>
          <w:sz w:val="20"/>
          <w:szCs w:val="20"/>
        </w:rPr>
        <w:t>2040.</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1695033753"/>
        <w:rPr>
          <w:rFonts w:eastAsia="Times New Roman"/>
          <w:sz w:val="20"/>
          <w:szCs w:val="20"/>
        </w:rPr>
      </w:pPr>
      <w:r>
        <w:rPr>
          <w:rStyle w:val="a6"/>
          <w:rFonts w:eastAsia="Times New Roman"/>
          <w:sz w:val="20"/>
          <w:szCs w:val="20"/>
        </w:rPr>
        <w:t>20</w:t>
      </w:r>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pict>
          <v:rect id="_x0000_i1048" style="width:415.3pt;height:1.5pt" o:hralign="center" o:hrstd="t" o:hrnoshade="t" o:hr="t" fillcolor="black" stroked="f"/>
        </w:pict>
      </w:r>
    </w:p>
    <w:p w:rsidR="00000000" w:rsidRDefault="00E3336F">
      <w:pPr>
        <w:divId w:val="160668745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sz w:val="20"/>
          <w:szCs w:val="20"/>
        </w:rPr>
        <w:t>The Company is subject to various other legal proceedings and claims that arise in the ordinary course of business. Management believes that the final outcome of such matters w</w:t>
      </w:r>
      <w:r>
        <w:rPr>
          <w:sz w:val="20"/>
          <w:szCs w:val="20"/>
        </w:rPr>
        <w:t xml:space="preserve">ill </w:t>
      </w:r>
      <w:r>
        <w:rPr>
          <w:rStyle w:val="a6"/>
          <w:sz w:val="20"/>
          <w:szCs w:val="20"/>
        </w:rPr>
        <w:t>not</w:t>
      </w:r>
      <w:r>
        <w:rPr>
          <w:sz w:val="20"/>
          <w:szCs w:val="20"/>
        </w:rPr>
        <w:t xml:space="preserve"> have a material adverse effect on the financial position, results of operations or liquidity of the Company taken as a whole as of </w:t>
      </w:r>
      <w:r>
        <w:rPr>
          <w:rStyle w:val="a6"/>
          <w:sz w:val="20"/>
          <w:szCs w:val="20"/>
        </w:rPr>
        <w:t>September 30, 2022.</w:t>
      </w:r>
    </w:p>
    <w:p w:rsidR="00000000" w:rsidRDefault="00E3336F">
      <w:pPr>
        <w:pStyle w:val="a3"/>
        <w:spacing w:before="0" w:beforeAutospacing="0" w:after="0" w:afterAutospacing="0"/>
        <w:rPr>
          <w:sz w:val="20"/>
          <w:szCs w:val="20"/>
        </w:rPr>
      </w:pPr>
      <w:r>
        <w:rPr>
          <w:sz w:val="20"/>
          <w:szCs w:val="20"/>
        </w:rPr>
        <w:t> </w:t>
      </w:r>
    </w:p>
    <w:p w:rsidR="00000000" w:rsidRDefault="00E3336F">
      <w:pPr>
        <w:divId w:val="52698516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19.</w:t>
      </w:r>
      <w:r>
        <w:rPr>
          <w:i/>
          <w:iCs/>
          <w:sz w:val="20"/>
          <w:szCs w:val="20"/>
        </w:rPr>
        <w:t xml:space="preserve"> </w:t>
      </w:r>
      <w:r>
        <w:rPr>
          <w:sz w:val="20"/>
          <w:szCs w:val="20"/>
          <w:u w:val="single"/>
        </w:rPr>
        <w:t>Defined Benefit Plan</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As part of the Merger, the Company assumed sponsorship of Weingarten’s noncontributory qualified cash balance retirement plan (“the Benefit Plan”). At the date of the Merger, the Benefit Plan was frozen and as a result </w:t>
      </w:r>
      <w:r>
        <w:rPr>
          <w:rStyle w:val="a6"/>
          <w:sz w:val="20"/>
          <w:szCs w:val="20"/>
        </w:rPr>
        <w:t>no</w:t>
      </w:r>
      <w:r>
        <w:rPr>
          <w:sz w:val="20"/>
          <w:szCs w:val="20"/>
        </w:rPr>
        <w:t xml:space="preserve"> new benefits will be offered to em</w:t>
      </w:r>
      <w:r>
        <w:rPr>
          <w:sz w:val="20"/>
          <w:szCs w:val="20"/>
        </w:rPr>
        <w:t xml:space="preserve">ployees who were </w:t>
      </w:r>
      <w:r>
        <w:rPr>
          <w:rStyle w:val="a6"/>
          <w:sz w:val="20"/>
          <w:szCs w:val="20"/>
        </w:rPr>
        <w:t>not</w:t>
      </w:r>
      <w:r>
        <w:rPr>
          <w:sz w:val="20"/>
          <w:szCs w:val="20"/>
        </w:rPr>
        <w:t xml:space="preserve"> already part of the Benefit Plan on the Merger date. The Benefit Plan was terminated as of </w:t>
      </w:r>
      <w:r>
        <w:rPr>
          <w:rStyle w:val="a6"/>
          <w:sz w:val="20"/>
          <w:szCs w:val="20"/>
        </w:rPr>
        <w:t xml:space="preserve">December 31, 2021. </w:t>
      </w:r>
      <w:r>
        <w:rPr>
          <w:sz w:val="20"/>
          <w:szCs w:val="20"/>
        </w:rPr>
        <w:t>In connection with the termination, the Benefit Plan maintains a separate account for each participant. Annual additions to e</w:t>
      </w:r>
      <w:r>
        <w:rPr>
          <w:sz w:val="20"/>
          <w:szCs w:val="20"/>
        </w:rPr>
        <w:t xml:space="preserve">ach participant’s account includes an interest credit of 4.5% as the service credit was suspended upon the freeze. The participant data used in determining the liabilities and costs for the Benefit Plan was determined as of </w:t>
      </w:r>
      <w:r>
        <w:rPr>
          <w:rStyle w:val="a6"/>
          <w:sz w:val="20"/>
          <w:szCs w:val="20"/>
        </w:rPr>
        <w:t>September 30, 2022.</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follow</w:t>
      </w:r>
      <w:r>
        <w:rPr>
          <w:sz w:val="20"/>
          <w:szCs w:val="20"/>
        </w:rPr>
        <w:t xml:space="preserve">ing table summarizes the measurement changes in the Benefit Plan’s projected benefit obligation, plan assets and funded status, as well as the components of net periodic benefit costs, including key assumptions, from </w:t>
      </w:r>
      <w:r>
        <w:rPr>
          <w:rStyle w:val="a6"/>
          <w:sz w:val="20"/>
          <w:szCs w:val="20"/>
        </w:rPr>
        <w:t xml:space="preserve">January 1, 2022 </w:t>
      </w:r>
      <w:r>
        <w:rPr>
          <w:sz w:val="20"/>
          <w:szCs w:val="20"/>
        </w:rPr>
        <w:t xml:space="preserve">through </w:t>
      </w:r>
      <w:r>
        <w:rPr>
          <w:rStyle w:val="a6"/>
          <w:sz w:val="20"/>
          <w:szCs w:val="20"/>
        </w:rPr>
        <w:t>September 30, 2</w:t>
      </w:r>
      <w:r>
        <w:rPr>
          <w:rStyle w:val="a6"/>
          <w:sz w:val="20"/>
          <w:szCs w:val="20"/>
        </w:rPr>
        <w:t>022 (</w:t>
      </w:r>
      <w:r>
        <w:rPr>
          <w:sz w:val="20"/>
          <w:szCs w:val="20"/>
        </w:rPr>
        <w:t>in thousands):</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540" w:type="dxa"/>
        <w:tblCellMar>
          <w:left w:w="0" w:type="dxa"/>
          <w:right w:w="0" w:type="dxa"/>
        </w:tblCellMar>
        <w:tblLook w:val="04A0" w:firstRow="1" w:lastRow="0" w:firstColumn="1" w:lastColumn="0" w:noHBand="0" w:noVBand="1"/>
      </w:tblPr>
      <w:tblGrid>
        <w:gridCol w:w="6622"/>
        <w:gridCol w:w="74"/>
        <w:gridCol w:w="100"/>
        <w:gridCol w:w="1021"/>
        <w:gridCol w:w="74"/>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42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Change in Projected Benefit Obligation:</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Benefit obligation at January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36,995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Interest cost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435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Actuarial gain</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(6,028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Benefit payments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(1,093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Benefit obligation at September 30, 2022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30,309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Change in Plan Assets: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both"/>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Fair value of plan assets at January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43,653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Actual return on plan assets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(1,343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Benefit payments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(1,093</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Fair value of plan assets at September 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41,217</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Funded status at September 30 (included in Other assets)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10,908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Accumulated benefit obligation</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30,309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Net gain recognized in other comprehensive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6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6,688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weighted-average assumptions used to determine the benefit obligation as of </w:t>
      </w:r>
      <w:r>
        <w:rPr>
          <w:rStyle w:val="a6"/>
          <w:sz w:val="20"/>
          <w:szCs w:val="20"/>
        </w:rPr>
        <w:t xml:space="preserve">September 30, 2022 </w:t>
      </w:r>
      <w:r>
        <w:rPr>
          <w:sz w:val="20"/>
          <w:szCs w:val="20"/>
        </w:rPr>
        <w:t>are as follows:</w:t>
      </w:r>
    </w:p>
    <w:p w:rsidR="00000000" w:rsidRDefault="00E3336F">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57"/>
        <w:gridCol w:w="50"/>
        <w:gridCol w:w="50"/>
        <w:gridCol w:w="1021"/>
        <w:gridCol w:w="167"/>
      </w:tblGrid>
      <w:tr w:rsidR="00000000">
        <w:trPr>
          <w:tblCellSpacing w:w="0" w:type="dxa"/>
        </w:trPr>
        <w:tc>
          <w:tcPr>
            <w:tcW w:w="40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Discount rate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4.23</w:t>
            </w:r>
          </w:p>
        </w:tc>
        <w:tc>
          <w:tcPr>
            <w:tcW w:w="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Interest credit rate for cash balance plan</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4.50</w:t>
            </w:r>
          </w:p>
        </w:tc>
        <w:tc>
          <w:tcPr>
            <w:tcW w:w="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selection of the discount rate is made after comparison to yields based on cash investments. The long-term rate of return is a composite rate for the Benefit Plan. It is derived as the sum of the</w:t>
      </w:r>
      <w:r>
        <w:rPr>
          <w:sz w:val="20"/>
          <w:szCs w:val="20"/>
        </w:rPr>
        <w:t xml:space="preserve"> percentages invested in each principal asset class included in the portfolio multiplied by their respective expected rates of return. The Company considered the historical returns and the future expectations for returns for each asset class, as well as th</w:t>
      </w:r>
      <w:r>
        <w:rPr>
          <w:sz w:val="20"/>
          <w:szCs w:val="20"/>
        </w:rPr>
        <w:t xml:space="preserve">e target asset allocation of the Benefit Plan portfolio. This analysis resulted in the selection of 1.00% as the long-term rate of return assumption for the </w:t>
      </w:r>
      <w:r>
        <w:rPr>
          <w:rStyle w:val="a6"/>
          <w:sz w:val="20"/>
          <w:szCs w:val="20"/>
        </w:rPr>
        <w:t>nine</w:t>
      </w:r>
      <w:r>
        <w:rPr>
          <w:sz w:val="20"/>
          <w:szCs w:val="20"/>
        </w:rPr>
        <w:t xml:space="preserve"> months ended </w:t>
      </w:r>
      <w:r>
        <w:rPr>
          <w:rStyle w:val="a6"/>
          <w:sz w:val="20"/>
          <w:szCs w:val="20"/>
        </w:rPr>
        <w:t>September 30, 2022.</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No </w:t>
      </w:r>
      <w:r>
        <w:rPr>
          <w:sz w:val="20"/>
          <w:szCs w:val="20"/>
        </w:rPr>
        <w:t xml:space="preserve">contributions have been made and </w:t>
      </w:r>
      <w:r>
        <w:rPr>
          <w:rStyle w:val="a6"/>
          <w:sz w:val="20"/>
          <w:szCs w:val="20"/>
        </w:rPr>
        <w:t>none</w:t>
      </w:r>
      <w:r>
        <w:rPr>
          <w:sz w:val="20"/>
          <w:szCs w:val="20"/>
        </w:rPr>
        <w:t xml:space="preserve"> are anticipated to be made to the Benefit Plan during </w:t>
      </w:r>
      <w:r>
        <w:rPr>
          <w:rStyle w:val="a6"/>
          <w:sz w:val="20"/>
          <w:szCs w:val="20"/>
        </w:rPr>
        <w:t>2022.</w:t>
      </w:r>
    </w:p>
    <w:p w:rsidR="00000000" w:rsidRDefault="00E3336F">
      <w:pPr>
        <w:pStyle w:val="a3"/>
        <w:spacing w:before="0" w:beforeAutospacing="0" w:after="0" w:afterAutospacing="0"/>
        <w:rPr>
          <w:sz w:val="20"/>
          <w:szCs w:val="20"/>
        </w:rPr>
      </w:pPr>
      <w:r>
        <w:rPr>
          <w:sz w:val="20"/>
          <w:szCs w:val="20"/>
        </w:rPr>
        <w:t> </w:t>
      </w:r>
    </w:p>
    <w:p w:rsidR="00000000" w:rsidRDefault="00E3336F">
      <w:pPr>
        <w:divId w:val="101380102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20.</w:t>
      </w:r>
      <w:r>
        <w:rPr>
          <w:sz w:val="20"/>
          <w:szCs w:val="20"/>
        </w:rPr>
        <w:t xml:space="preserve"> </w:t>
      </w:r>
      <w:r>
        <w:rPr>
          <w:sz w:val="20"/>
          <w:szCs w:val="20"/>
          <w:u w:val="single"/>
        </w:rPr>
        <w:t>Accumulated Other Comprehensive Income (“AOCI”)</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xml:space="preserve">The following table displays the change in the components of AOCI for the </w:t>
      </w:r>
      <w:r>
        <w:rPr>
          <w:rStyle w:val="a6"/>
          <w:sz w:val="20"/>
          <w:szCs w:val="20"/>
        </w:rPr>
        <w:t>nine</w:t>
      </w:r>
      <w:r>
        <w:rPr>
          <w:sz w:val="20"/>
          <w:szCs w:val="20"/>
        </w:rPr>
        <w:t xml:space="preserve"> months ended </w:t>
      </w:r>
      <w:r>
        <w:rPr>
          <w:rStyle w:val="a6"/>
          <w:sz w:val="20"/>
          <w:szCs w:val="20"/>
        </w:rPr>
        <w:t>Septemb</w:t>
      </w:r>
      <w:r>
        <w:rPr>
          <w:rStyle w:val="a6"/>
          <w:sz w:val="20"/>
          <w:szCs w:val="20"/>
        </w:rPr>
        <w:t>er 30, 2022:</w:t>
      </w:r>
    </w:p>
    <w:p w:rsidR="00000000" w:rsidRDefault="00E3336F">
      <w:pPr>
        <w:pStyle w:val="a3"/>
        <w:spacing w:before="0" w:beforeAutospacing="0" w:after="0" w:afterAutospacing="0"/>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975"/>
        <w:gridCol w:w="57"/>
        <w:gridCol w:w="101"/>
        <w:gridCol w:w="1454"/>
        <w:gridCol w:w="58"/>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Unrealized Gains</w:t>
            </w:r>
          </w:p>
          <w:p w:rsidR="00000000" w:rsidRDefault="00E3336F">
            <w:pPr>
              <w:pStyle w:val="a3"/>
              <w:spacing w:before="0" w:beforeAutospacing="0" w:after="0" w:afterAutospacing="0"/>
              <w:jc w:val="center"/>
              <w:rPr>
                <w:sz w:val="20"/>
                <w:szCs w:val="20"/>
              </w:rPr>
            </w:pPr>
            <w:r>
              <w:rPr>
                <w:b/>
                <w:bCs/>
                <w:sz w:val="20"/>
                <w:szCs w:val="20"/>
              </w:rPr>
              <w:t>Related to Defined</w:t>
            </w:r>
          </w:p>
          <w:p w:rsidR="00000000" w:rsidRDefault="00E3336F">
            <w:pPr>
              <w:pStyle w:val="a3"/>
              <w:spacing w:before="0" w:beforeAutospacing="0" w:after="0" w:afterAutospacing="0"/>
              <w:jc w:val="center"/>
              <w:rPr>
                <w:sz w:val="20"/>
                <w:szCs w:val="20"/>
              </w:rPr>
            </w:pPr>
            <w:r>
              <w:rPr>
                <w:b/>
                <w:bCs/>
                <w:sz w:val="20"/>
                <w:szCs w:val="20"/>
              </w:rPr>
              <w:t>Benefit Plan</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37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Balance as of January 1,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2,216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Other comprehensive income before reclassifications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4,472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Amounts reclassified from AOCI</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Net current-period other comprehensive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4,472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Balance as of September 30,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6,688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rPr>
          <w:sz w:val="20"/>
          <w:szCs w:val="20"/>
        </w:rPr>
      </w:pPr>
      <w:r>
        <w:rPr>
          <w:sz w:val="20"/>
          <w:szCs w:val="20"/>
        </w:rPr>
        <w:t> </w:t>
      </w:r>
    </w:p>
    <w:p w:rsidR="00000000" w:rsidRDefault="00E3336F">
      <w:pPr>
        <w:jc w:val="center"/>
        <w:divId w:val="779297435"/>
        <w:rPr>
          <w:rFonts w:eastAsia="Times New Roman"/>
          <w:sz w:val="20"/>
          <w:szCs w:val="20"/>
        </w:rPr>
      </w:pPr>
      <w:r>
        <w:rPr>
          <w:rFonts w:eastAsia="Times New Roman"/>
          <w:sz w:val="20"/>
          <w:szCs w:val="20"/>
        </w:rPr>
        <w:t xml:space="preserve">21 </w:t>
      </w:r>
    </w:p>
    <w:p w:rsidR="00000000" w:rsidRDefault="00E3336F">
      <w:pPr>
        <w:divId w:val="1820920579"/>
        <w:rPr>
          <w:rFonts w:eastAsia="Times New Roman"/>
          <w:sz w:val="20"/>
          <w:szCs w:val="20"/>
        </w:rPr>
      </w:pPr>
      <w:r>
        <w:rPr>
          <w:rFonts w:eastAsia="Times New Roman"/>
          <w:sz w:val="20"/>
          <w:szCs w:val="20"/>
        </w:rPr>
        <w:pict>
          <v:rect id="_x0000_i1049" style="width:415.3pt;height:1.5pt" o:hralign="center" o:hrstd="t" o:hrnoshade="t" o:hr="t" fillcolor="black" stroked="f"/>
        </w:pict>
      </w:r>
    </w:p>
    <w:p w:rsidR="00000000" w:rsidRDefault="00E3336F">
      <w:pPr>
        <w:divId w:val="63094415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35073531"/>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rStyle w:val="a6"/>
          <w:sz w:val="20"/>
          <w:szCs w:val="20"/>
        </w:rPr>
        <w:t>21.</w:t>
      </w:r>
      <w:r>
        <w:rPr>
          <w:sz w:val="20"/>
          <w:szCs w:val="20"/>
        </w:rPr>
        <w:t xml:space="preserve"> </w:t>
      </w:r>
      <w:r>
        <w:rPr>
          <w:sz w:val="20"/>
          <w:szCs w:val="20"/>
          <w:u w:val="single"/>
        </w:rPr>
        <w:t>Earnings Per Share</w:t>
      </w:r>
    </w:p>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The following table sets forth the reconciliation of earnings and the weighte</w:t>
      </w:r>
      <w:r>
        <w:rPr>
          <w:sz w:val="20"/>
          <w:szCs w:val="20"/>
        </w:rPr>
        <w:t>d-average number of shares used in the calculation of basic and diluted earnings per share (amounts presented in thousands except per share data):</w:t>
      </w:r>
    </w:p>
    <w:p w:rsidR="00000000" w:rsidRDefault="00E3336F">
      <w:pPr>
        <w:pStyle w:val="a3"/>
        <w:spacing w:before="0" w:beforeAutospacing="0" w:after="0" w:afterAutospacing="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096"/>
        <w:gridCol w:w="72"/>
        <w:gridCol w:w="100"/>
        <w:gridCol w:w="703"/>
        <w:gridCol w:w="72"/>
        <w:gridCol w:w="72"/>
        <w:gridCol w:w="100"/>
        <w:gridCol w:w="703"/>
        <w:gridCol w:w="73"/>
        <w:gridCol w:w="73"/>
        <w:gridCol w:w="100"/>
        <w:gridCol w:w="704"/>
        <w:gridCol w:w="73"/>
        <w:gridCol w:w="73"/>
        <w:gridCol w:w="100"/>
        <w:gridCol w:w="704"/>
        <w:gridCol w:w="73"/>
      </w:tblGrid>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w:t>
            </w:r>
          </w:p>
          <w:p w:rsidR="00000000" w:rsidRDefault="00E3336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w:t>
            </w:r>
          </w:p>
          <w:p w:rsidR="00000000" w:rsidRDefault="00E3336F">
            <w:pPr>
              <w:pStyle w:val="a3"/>
              <w:spacing w:before="0" w:beforeAutospacing="0" w:after="0" w:afterAutospacing="0"/>
              <w:jc w:val="center"/>
              <w:rPr>
                <w:sz w:val="20"/>
                <w:szCs w:val="20"/>
              </w:rPr>
            </w:pPr>
            <w:r>
              <w:rPr>
                <w:b/>
                <w:bCs/>
                <w:sz w:val="20"/>
                <w:szCs w:val="20"/>
              </w:rPr>
              <w:t>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E3336F">
            <w:pPr>
              <w:pStyle w:val="a3"/>
              <w:spacing w:before="0" w:beforeAutospacing="0" w:after="0" w:afterAutospacing="0"/>
              <w:ind w:left="180" w:hanging="18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51,647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501,385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156,844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743,316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hanging="180"/>
              <w:rPr>
                <w:sz w:val="20"/>
                <w:szCs w:val="20"/>
              </w:rPr>
            </w:pPr>
            <w:r>
              <w:rPr>
                <w:sz w:val="20"/>
                <w:szCs w:val="20"/>
              </w:rPr>
              <w:t>Earnings attributable to participating securities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(582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(4,078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(1,581</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(5,749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Net income available to the Company’s common shareholders for basic earnings per share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51,065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497,307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155,263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737,567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hanging="180"/>
              <w:rPr>
                <w:sz w:val="20"/>
                <w:szCs w:val="20"/>
              </w:rPr>
            </w:pPr>
            <w:r>
              <w:rPr>
                <w:sz w:val="20"/>
                <w:szCs w:val="20"/>
              </w:rPr>
              <w:t>Distributions on convertible units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3,009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Net income available to the Company’s common shareholders for diluted earnings per share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51,065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497,349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155,263</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740,576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Weighted average common shares outstanding – basic</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615,832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546,842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615,417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469,885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hanging="180"/>
              <w:rPr>
                <w:sz w:val="20"/>
                <w:szCs w:val="20"/>
              </w:rPr>
            </w:pPr>
            <w:r>
              <w:rPr>
                <w:sz w:val="20"/>
                <w:szCs w:val="20"/>
              </w:rPr>
              <w:t>Effect of dilutive securities (1):</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rPr>
                <w:sz w:val="20"/>
                <w:szCs w:val="20"/>
              </w:rPr>
            </w:pPr>
            <w:r>
              <w:rPr>
                <w:sz w:val="20"/>
                <w:szCs w:val="20"/>
              </w:rPr>
              <w:t>Equity awards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1,718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2,392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1,837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rPr>
                <w:sz w:val="20"/>
                <w:szCs w:val="20"/>
              </w:rPr>
            </w:pPr>
            <w:r>
              <w:rPr>
                <w:sz w:val="20"/>
                <w:szCs w:val="20"/>
              </w:rPr>
              <w:t>Assumed conversion of convertible units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206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2,730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Weighted average common shares outstanding – diluted</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618,018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548,766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617,856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474,452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0.08</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0.25</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0.08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rPr>
          <w:sz w:val="20"/>
          <w:szCs w:val="20"/>
        </w:rPr>
      </w:pPr>
      <w:r>
        <w:rPr>
          <w:sz w:val="20"/>
          <w:szCs w:val="20"/>
        </w:rPr>
        <w:t> </w:t>
      </w:r>
    </w:p>
    <w:tbl>
      <w:tblPr>
        <w:tblW w:w="4850" w:type="pct"/>
        <w:tblCellSpacing w:w="0" w:type="dxa"/>
        <w:tblCellMar>
          <w:left w:w="0" w:type="dxa"/>
          <w:right w:w="0" w:type="dxa"/>
        </w:tblCellMar>
        <w:tblLook w:val="04A0" w:firstRow="1" w:lastRow="0" w:firstColumn="1" w:lastColumn="0" w:noHBand="0" w:noVBand="1"/>
      </w:tblPr>
      <w:tblGrid>
        <w:gridCol w:w="280"/>
        <w:gridCol w:w="360"/>
        <w:gridCol w:w="7417"/>
      </w:tblGrid>
      <w:tr w:rsidR="00000000">
        <w:trPr>
          <w:tblCellSpacing w:w="0" w:type="dxa"/>
        </w:trPr>
        <w:tc>
          <w:tcPr>
            <w:tcW w:w="28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r>
              <w:rPr>
                <w:rStyle w:val="a6"/>
                <w:sz w:val="20"/>
                <w:szCs w:val="20"/>
              </w:rPr>
              <w:t>1</w:t>
            </w: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 xml:space="preserve">The effect of the assumed conversion of certain convertible units had an anti-dilutive effect upon the calculation of Net income available to the Company’s common shareholders per share. Accordingly, the impact of such conversions has </w:t>
            </w:r>
            <w:r>
              <w:rPr>
                <w:rStyle w:val="a6"/>
                <w:sz w:val="20"/>
                <w:szCs w:val="20"/>
              </w:rPr>
              <w:t>not</w:t>
            </w:r>
            <w:r>
              <w:rPr>
                <w:sz w:val="20"/>
                <w:szCs w:val="20"/>
              </w:rPr>
              <w:t xml:space="preserve"> been included in </w:t>
            </w:r>
            <w:r>
              <w:rPr>
                <w:sz w:val="20"/>
                <w:szCs w:val="20"/>
              </w:rPr>
              <w:t xml:space="preserve">the determination of diluted earnings per share calculations. Additionally, there were 0.3 million and 0.5 million stock options that were </w:t>
            </w:r>
            <w:r>
              <w:rPr>
                <w:rStyle w:val="a6"/>
                <w:sz w:val="20"/>
                <w:szCs w:val="20"/>
              </w:rPr>
              <w:t>not</w:t>
            </w:r>
            <w:r>
              <w:rPr>
                <w:sz w:val="20"/>
                <w:szCs w:val="20"/>
              </w:rPr>
              <w:t xml:space="preserve"> dilutive as of </w:t>
            </w:r>
            <w:r>
              <w:rPr>
                <w:rStyle w:val="a6"/>
                <w:sz w:val="20"/>
                <w:szCs w:val="20"/>
              </w:rPr>
              <w:t xml:space="preserve">September 30, 2022 </w:t>
            </w:r>
            <w:r>
              <w:rPr>
                <w:sz w:val="20"/>
                <w:szCs w:val="20"/>
              </w:rPr>
              <w:t xml:space="preserve">and </w:t>
            </w:r>
            <w:r>
              <w:rPr>
                <w:rStyle w:val="a6"/>
                <w:sz w:val="20"/>
                <w:szCs w:val="20"/>
              </w:rPr>
              <w:t>2021,</w:t>
            </w:r>
            <w:r>
              <w:rPr>
                <w:sz w:val="20"/>
                <w:szCs w:val="20"/>
              </w:rPr>
              <w:t xml:space="preserve"> respectively.</w:t>
            </w:r>
          </w:p>
        </w:tc>
      </w:tr>
    </w:tbl>
    <w:p w:rsidR="00000000" w:rsidRDefault="00E3336F">
      <w:pPr>
        <w:pStyle w:val="a3"/>
        <w:spacing w:before="0" w:beforeAutospacing="0" w:after="0" w:afterAutospacing="0"/>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xml:space="preserve">The Company's unvested restricted share awards contain non-forfeitable rights to distributions or distribution equivalents. The impact of the unvested restricted share awards on earnings per share has been calculated using the </w:t>
      </w:r>
      <w:r>
        <w:rPr>
          <w:rStyle w:val="a6"/>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jc w:val="center"/>
        <w:divId w:val="169569664"/>
        <w:rPr>
          <w:rFonts w:eastAsia="Times New Roman"/>
          <w:sz w:val="20"/>
          <w:szCs w:val="20"/>
        </w:rPr>
      </w:pPr>
      <w:r>
        <w:rPr>
          <w:rFonts w:eastAsia="Times New Roman"/>
          <w:sz w:val="20"/>
          <w:szCs w:val="20"/>
        </w:rPr>
        <w:t xml:space="preserve">22 </w:t>
      </w:r>
    </w:p>
    <w:p w:rsidR="00000000" w:rsidRDefault="00E3336F">
      <w:pPr>
        <w:divId w:val="1530609308"/>
        <w:rPr>
          <w:rFonts w:eastAsia="Times New Roman"/>
          <w:sz w:val="20"/>
          <w:szCs w:val="20"/>
        </w:rPr>
      </w:pPr>
      <w:r>
        <w:rPr>
          <w:rFonts w:eastAsia="Times New Roman"/>
          <w:sz w:val="20"/>
          <w:szCs w:val="20"/>
        </w:rPr>
        <w:pict>
          <v:rect id="_x0000_i1050" style="width:415.3pt;height:1.5pt" o:hralign="center" o:hrstd="t" o:hrnoshade="t" o:hr="t" fillcolor="black" stroked="f"/>
        </w:pict>
      </w:r>
    </w:p>
    <w:p w:rsidR="00000000" w:rsidRDefault="00E3336F">
      <w:pPr>
        <w:divId w:val="1587302377"/>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rPr>
          <w:sz w:val="20"/>
          <w:szCs w:val="20"/>
        </w:rPr>
      </w:pPr>
      <w:r>
        <w:rPr>
          <w:sz w:val="20"/>
          <w:szCs w:val="20"/>
        </w:rPr>
        <w:t> </w:t>
      </w:r>
    </w:p>
    <w:p w:rsidR="00000000" w:rsidRDefault="00E3336F">
      <w:pPr>
        <w:divId w:val="1862163958"/>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jc w:val="both"/>
        <w:rPr>
          <w:sz w:val="20"/>
          <w:szCs w:val="20"/>
        </w:rPr>
      </w:pPr>
      <w:r>
        <w:rPr>
          <w:rStyle w:val="a6"/>
          <w:sz w:val="20"/>
          <w:szCs w:val="20"/>
        </w:rPr>
        <w:t>22.</w:t>
      </w:r>
      <w:r>
        <w:rPr>
          <w:sz w:val="20"/>
          <w:szCs w:val="20"/>
        </w:rPr>
        <w:t xml:space="preserve"> </w:t>
      </w:r>
      <w:r>
        <w:rPr>
          <w:sz w:val="20"/>
          <w:szCs w:val="20"/>
          <w:u w:val="single"/>
        </w:rPr>
        <w:t>Subsequent Event</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ind w:left="160"/>
        <w:jc w:val="both"/>
        <w:rPr>
          <w:sz w:val="20"/>
          <w:szCs w:val="20"/>
        </w:rPr>
      </w:pPr>
      <w:r>
        <w:rPr>
          <w:sz w:val="20"/>
          <w:szCs w:val="20"/>
        </w:rPr>
        <w:t xml:space="preserve">As of </w:t>
      </w:r>
      <w:r>
        <w:rPr>
          <w:rStyle w:val="a6"/>
          <w:sz w:val="20"/>
          <w:szCs w:val="20"/>
        </w:rPr>
        <w:t xml:space="preserve">September 30, 2022, </w:t>
      </w:r>
      <w:r>
        <w:rPr>
          <w:sz w:val="20"/>
          <w:szCs w:val="20"/>
        </w:rPr>
        <w:t>the Company held 39.8 million shares in Albertsons Companies, Inc</w:t>
      </w:r>
      <w:r>
        <w:rPr>
          <w:sz w:val="20"/>
          <w:szCs w:val="20"/>
        </w:rPr>
        <w:t xml:space="preserve">. (“ACI”) with a fair value of $990.4 million.  On </w:t>
      </w:r>
      <w:r>
        <w:rPr>
          <w:rStyle w:val="a6"/>
          <w:sz w:val="20"/>
          <w:szCs w:val="20"/>
        </w:rPr>
        <w:t xml:space="preserve">October 14, 2022, </w:t>
      </w:r>
      <w:r>
        <w:rPr>
          <w:sz w:val="20"/>
          <w:szCs w:val="20"/>
        </w:rPr>
        <w:t>The Kroger Co. (“Kroger”) and ACI announced a definitive merger agreement (“ACI Merger”), with Kroger continuing as the surviving public company. In connection with the ACI Merger, ACI an</w:t>
      </w:r>
      <w:r>
        <w:rPr>
          <w:sz w:val="20"/>
          <w:szCs w:val="20"/>
        </w:rPr>
        <w:t xml:space="preserve">nounced a $6.85 per share special cash dividend payable on </w:t>
      </w:r>
      <w:r>
        <w:rPr>
          <w:rStyle w:val="a6"/>
          <w:sz w:val="20"/>
          <w:szCs w:val="20"/>
        </w:rPr>
        <w:t xml:space="preserve">November 7, 2022 </w:t>
      </w:r>
      <w:r>
        <w:rPr>
          <w:sz w:val="20"/>
          <w:szCs w:val="20"/>
        </w:rPr>
        <w:t xml:space="preserve">to ACI shareholders of record as of the close of business on </w:t>
      </w:r>
      <w:r>
        <w:rPr>
          <w:rStyle w:val="a6"/>
          <w:sz w:val="20"/>
          <w:szCs w:val="20"/>
        </w:rPr>
        <w:t xml:space="preserve">October 24, 2022.  </w:t>
      </w:r>
      <w:r>
        <w:rPr>
          <w:sz w:val="20"/>
          <w:szCs w:val="20"/>
        </w:rPr>
        <w:t xml:space="preserve">Subsequent to the ACI Merger announcement, in </w:t>
      </w:r>
      <w:r>
        <w:rPr>
          <w:rStyle w:val="a6"/>
          <w:sz w:val="20"/>
          <w:szCs w:val="20"/>
        </w:rPr>
        <w:t xml:space="preserve">October 2022, </w:t>
      </w:r>
      <w:r>
        <w:rPr>
          <w:sz w:val="20"/>
          <w:szCs w:val="20"/>
        </w:rPr>
        <w:t xml:space="preserve">the Company sold 11.5 </w:t>
      </w:r>
      <w:r>
        <w:rPr>
          <w:sz w:val="20"/>
          <w:szCs w:val="20"/>
        </w:rPr>
        <w:t xml:space="preserve">million of its shares in ACI, generating net proceeds of approximately $301.1 million. The Company still retains 28.3 million shares of ACI, of which 28.0 million shares are subject to certain contractual lock-up provisions that expire in </w:t>
      </w:r>
      <w:r>
        <w:rPr>
          <w:rStyle w:val="a6"/>
          <w:sz w:val="20"/>
          <w:szCs w:val="20"/>
        </w:rPr>
        <w:t xml:space="preserve">May 2023.  </w:t>
      </w:r>
      <w:r>
        <w:rPr>
          <w:sz w:val="20"/>
          <w:szCs w:val="20"/>
        </w:rPr>
        <w:t>As a r</w:t>
      </w:r>
      <w:r>
        <w:rPr>
          <w:sz w:val="20"/>
          <w:szCs w:val="20"/>
        </w:rPr>
        <w:t>esult of the anticipated special cash dividend from ACI (estimated to be $194.1 million to the Company), the Company is expecting to make a special dividend in connection with maintaining compliance with its REIT distribution requirements. A special divide</w:t>
      </w:r>
      <w:r>
        <w:rPr>
          <w:sz w:val="20"/>
          <w:szCs w:val="20"/>
        </w:rPr>
        <w:t xml:space="preserve">nd by the Company </w:t>
      </w:r>
      <w:r>
        <w:rPr>
          <w:rStyle w:val="a6"/>
          <w:sz w:val="20"/>
          <w:szCs w:val="20"/>
        </w:rPr>
        <w:t xml:space="preserve">may </w:t>
      </w:r>
      <w:r>
        <w:rPr>
          <w:sz w:val="20"/>
          <w:szCs w:val="20"/>
        </w:rPr>
        <w:t>take the form of cash or some combination of cash and the Company's common stock. The Company’s determination regarding any such special dividend and the form thereof will be announced by year end.</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pStyle w:val="a3"/>
        <w:spacing w:before="0" w:beforeAutospacing="0" w:after="0" w:afterAutospacing="0"/>
        <w:jc w:val="both"/>
        <w:rPr>
          <w:sz w:val="20"/>
          <w:szCs w:val="20"/>
        </w:rPr>
      </w:pPr>
      <w:r>
        <w:rPr>
          <w:sz w:val="20"/>
          <w:szCs w:val="20"/>
        </w:rPr>
        <w:t> </w:t>
      </w:r>
    </w:p>
    <w:p w:rsidR="00000000" w:rsidRDefault="00E3336F">
      <w:pPr>
        <w:jc w:val="center"/>
        <w:divId w:val="498084283"/>
        <w:rPr>
          <w:rFonts w:eastAsia="Times New Roman"/>
          <w:sz w:val="20"/>
          <w:szCs w:val="20"/>
        </w:rPr>
      </w:pPr>
      <w:r>
        <w:rPr>
          <w:rFonts w:eastAsia="Times New Roman"/>
          <w:sz w:val="20"/>
          <w:szCs w:val="20"/>
        </w:rPr>
        <w:t xml:space="preserve">23 </w:t>
      </w:r>
    </w:p>
    <w:p w:rsidR="00000000" w:rsidRDefault="00E3336F">
      <w:pPr>
        <w:divId w:val="498084283"/>
        <w:rPr>
          <w:rFonts w:eastAsia="Times New Roman"/>
          <w:sz w:val="20"/>
          <w:szCs w:val="20"/>
        </w:rPr>
      </w:pPr>
      <w:r>
        <w:rPr>
          <w:rFonts w:eastAsia="Times New Roman"/>
          <w:sz w:val="20"/>
          <w:szCs w:val="20"/>
        </w:rPr>
        <w:pict>
          <v:rect id="_x0000_i1051" style="width:415.3pt;height:1.5pt" o:hralign="center" o:hrstd="t" o:hrnoshade="t" o:hr="t" fillcolor="black" stroked="f"/>
        </w:pict>
      </w:r>
    </w:p>
    <w:p w:rsidR="00000000" w:rsidRDefault="00E3336F">
      <w:pPr>
        <w:divId w:val="11987371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divId w:val="1848668702"/>
        <w:rPr>
          <w:rFonts w:eastAsia="Times New Roman"/>
          <w:sz w:val="20"/>
          <w:szCs w:val="20"/>
        </w:rPr>
      </w:pPr>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2. Management's Discussion and Analysis of Financial Condition and Results of Operations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u w:val="single"/>
        </w:rPr>
        <w:t>Forward-Looking Statements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This Quarterly Report on Form 10-Q, together with other statements and information publicly disseminated by Kimco Realty Corporation (the “Company”) contains certain forward-looking statements within the meaning of Section 27A of the Securities Act of 1933</w:t>
      </w:r>
      <w:r>
        <w:rPr>
          <w:sz w:val="20"/>
          <w:szCs w:val="20"/>
        </w:rPr>
        <w:t xml:space="preserve">, as amended, and Section 21E of the Securities Exchange Act of 1934, as amended. The Company intends such forward-looking statements to be covered by the safe harbor provisions for forward-looking statements contained in the Private Securities Litigation </w:t>
      </w:r>
      <w:r>
        <w:rPr>
          <w:sz w:val="20"/>
          <w:szCs w:val="20"/>
        </w:rPr>
        <w:t>Reform Act of 1995 and includes this statement for purposes of complying with the safe harbor provisions. Forward-looking statements, which are based on certain assumptions and describe the Company’s future plans, strategies and expectations, are generally</w:t>
      </w:r>
      <w:r>
        <w:rPr>
          <w:sz w:val="20"/>
          <w:szCs w:val="20"/>
        </w:rPr>
        <w:t xml:space="preserve"> identifiable by use of the words “believe,” “expect,” “intend,” “commit,” “anticipate,” “estimate,” “project,” “will,” “target,” “forecast” or similar expressions. You should not rely on forward-looking statements since they involve known and unknown risk</w:t>
      </w:r>
      <w:r>
        <w:rPr>
          <w:sz w:val="20"/>
          <w:szCs w:val="20"/>
        </w:rPr>
        <w:t>s, uncertainties and other factors which, in some cases, are beyond the Company’s control and could materially affect actual results, performances or achievements. Factors which may cause actual results to differ materially from current expectations includ</w:t>
      </w:r>
      <w:r>
        <w:rPr>
          <w:sz w:val="20"/>
          <w:szCs w:val="20"/>
        </w:rPr>
        <w:t>e, but are not limited to, (i) general adverse economic and local real estate conditions, (ii) the inability of major tenants to continue paying their rent obligations due to bankruptcy, insolvency or a general downturn in their business, (iii) the reducti</w:t>
      </w:r>
      <w:r>
        <w:rPr>
          <w:sz w:val="20"/>
          <w:szCs w:val="20"/>
        </w:rPr>
        <w:t>on in the Company’s income in the event of multiple lease terminations by tenants or a failure of multiple tenants to occupy their premises in a shopping center, (iv) the availability of suitable acquisition, disposition, development and redevelopment oppo</w:t>
      </w:r>
      <w:r>
        <w:rPr>
          <w:sz w:val="20"/>
          <w:szCs w:val="20"/>
        </w:rPr>
        <w:t>rtunities, and risks related to acquisitions not performing in accordance with our expectations, (v) the Company’s ability to raise capital by selling its assets, (vi) increases in operating costs due to inflation and supply chain issues, (vii) risks relat</w:t>
      </w:r>
      <w:r>
        <w:rPr>
          <w:sz w:val="20"/>
          <w:szCs w:val="20"/>
        </w:rPr>
        <w:t xml:space="preserve">ed to future opportunities and plans for the combined company, including the uncertainty of expected future financial performance and results of the combined company following the merger between Kimco and Weingarten Realty Investors (the “Merger”), (viii) </w:t>
      </w:r>
      <w:r>
        <w:rPr>
          <w:sz w:val="20"/>
          <w:szCs w:val="20"/>
        </w:rPr>
        <w:t>the possibility that, if the Company does not achieve the perceived benefits of the Merger as rapidly or to the extent anticipated by financial analysts or investors, the market price of the Company’s common stock could decline, (ix) changes in governmenta</w:t>
      </w:r>
      <w:r>
        <w:rPr>
          <w:sz w:val="20"/>
          <w:szCs w:val="20"/>
        </w:rPr>
        <w:t>l laws and regulations, including, but not limited, to changes in data privacy, environmental (including climate change), safety and health laws, and management’s ability to estimate the impact of such changes, (x) valuation and risks related to the Compan</w:t>
      </w:r>
      <w:r>
        <w:rPr>
          <w:sz w:val="20"/>
          <w:szCs w:val="20"/>
        </w:rPr>
        <w:t>y’s joint venture, preferred equity investments and other investments, (xi) valuation of marketable securities and other investments, including the shares of Albertsons Companies, Inc. common stock held by the Company, (xii) impairment charges, (xiii) pand</w:t>
      </w:r>
      <w:r>
        <w:rPr>
          <w:sz w:val="20"/>
          <w:szCs w:val="20"/>
        </w:rPr>
        <w:t>emics or other health crises, such as coronavirus disease 2019 (“COVID-19”), (xiv) financing risks, such as the inability to obtain equity, debt or other sources of financing or refinancing on favorable terms to the Company, (xv) the level and volatility o</w:t>
      </w:r>
      <w:r>
        <w:rPr>
          <w:sz w:val="20"/>
          <w:szCs w:val="20"/>
        </w:rPr>
        <w:t>f interest rates and management’s ability to estimate the impact thereof, (xvi) changes in the dividend policy for the Company’s common and preferred stock and the Company’s ability to pay dividends at current levels, (xvii) unanticipated changes in the Co</w:t>
      </w:r>
      <w:r>
        <w:rPr>
          <w:sz w:val="20"/>
          <w:szCs w:val="20"/>
        </w:rPr>
        <w:t>mpany’s intention or ability to prepay certain debt prior to maturity and/or hold certain securities until maturity, and (xviii) the other risks and uncertainties identified under Item 1A, “Risk Factors” in our Annual Report on Form 10-K for the year ended</w:t>
      </w:r>
      <w:r>
        <w:rPr>
          <w:sz w:val="20"/>
          <w:szCs w:val="20"/>
        </w:rPr>
        <w:t xml:space="preserve"> December 31, 2021. Accordingly, there is no assurance that the Company’s expectations will be realized. The Company disclaims any intention or obligation to update the forward-looking statements, whether as a result of new information, future events or ot</w:t>
      </w:r>
      <w:r>
        <w:rPr>
          <w:sz w:val="20"/>
          <w:szCs w:val="20"/>
        </w:rPr>
        <w:t>herwise. You are advised to refer to any further disclosures the Company makes in the Current Reports on Form 8-K that the Company files with the Securities and Exchange Commission (“SEC”).</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following discussion should be read in conjunction with the </w:t>
      </w:r>
      <w:r>
        <w:rPr>
          <w:sz w:val="20"/>
          <w:szCs w:val="20"/>
        </w:rPr>
        <w:t>accompanying Condensed Consolidated Financial Statements and Notes thereto. These unaudited financial statements include all adjustments which are, in the opinion of management, necessary to reflect a fair statement of the results for the interim periods p</w:t>
      </w:r>
      <w:r>
        <w:rPr>
          <w:sz w:val="20"/>
          <w:szCs w:val="20"/>
        </w:rPr>
        <w:t>resented, and all such adjustments are of a normal recurring nature.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Executive Overview</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Kimco Realty Corporation, a Maryland corporation, is North America’s largest publicly traded owner and operator of open-air, grocery-anchored shopping centers, incl</w:t>
      </w:r>
      <w:r>
        <w:rPr>
          <w:sz w:val="20"/>
          <w:szCs w:val="20"/>
        </w:rPr>
        <w:t>uding mixed-use assets. The terms “Kimco,” the “Company,” “we,” “our” and “us” each refers to Kimco Realty Corporation and our subsidiaries, unless the context indicates otherwise. The Company’s mission is to create destinations for everyday living that in</w:t>
      </w:r>
      <w:r>
        <w:rPr>
          <w:sz w:val="20"/>
          <w:szCs w:val="20"/>
        </w:rPr>
        <w:t>spire a sense of community and deliver value to our many stakeholders.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Company is a self-administered real estate investment trust (“REIT”) and has owned and operated open-air shopping centers for over 60 years. The Company has not engaged, nor does </w:t>
      </w:r>
      <w:r>
        <w:rPr>
          <w:sz w:val="20"/>
          <w:szCs w:val="20"/>
        </w:rPr>
        <w:t>it expect to retain, any REIT advisors in connection with the operation of its properties. As of September 30, 2022, the Company had interests in 526 U.S. shopping center properties, aggregating 90.8 million square feet of gross leasable area (“GLA”), loca</w:t>
      </w:r>
      <w:r>
        <w:rPr>
          <w:sz w:val="20"/>
          <w:szCs w:val="20"/>
        </w:rPr>
        <w:t>ted in 28 states. In addition, the Company had 24 other property interests, primarily through the Company’s preferred equity investments and other investments, totaling 5.7 million square feet of GLA. The Company’s ownership interests in real estate consis</w:t>
      </w:r>
      <w:r>
        <w:rPr>
          <w:sz w:val="20"/>
          <w:szCs w:val="20"/>
        </w:rPr>
        <w:t>t of its consolidated portfolio and portfolios where the Company owns an economic interest, such as properties in the Company’s investment real estate management programs, where the Company partners with institutional investors and also retains management.</w:t>
      </w:r>
      <w:r>
        <w:rPr>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primary business objective is to be the premier owner and operator of open-air, grocery-anchored shopping centers, including mixed-use assets, in the U.S. The Company believes it can achieve this objective by:</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increasing the value of its existing portfolio of properties and generating higher levels of portfolio growth;</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294600997"/>
        <w:rPr>
          <w:rFonts w:eastAsia="Times New Roman"/>
          <w:sz w:val="20"/>
          <w:szCs w:val="20"/>
        </w:rPr>
      </w:pPr>
      <w:r>
        <w:rPr>
          <w:rFonts w:eastAsia="Times New Roman"/>
          <w:sz w:val="20"/>
          <w:szCs w:val="20"/>
        </w:rPr>
        <w:t xml:space="preserve">24 </w:t>
      </w:r>
    </w:p>
    <w:p w:rsidR="00000000" w:rsidRDefault="00E3336F">
      <w:pPr>
        <w:divId w:val="1076047353"/>
        <w:rPr>
          <w:rFonts w:eastAsia="Times New Roman"/>
          <w:sz w:val="20"/>
          <w:szCs w:val="20"/>
        </w:rPr>
      </w:pPr>
      <w:r>
        <w:rPr>
          <w:rFonts w:eastAsia="Times New Roman"/>
          <w:sz w:val="20"/>
          <w:szCs w:val="20"/>
        </w:rPr>
        <w:pict>
          <v:rect id="_x0000_i1052" style="width:415.3pt;height:1.5pt" o:hralign="center" o:hrstd="t" o:hrnoshade="t" o:hr="t" fillcolor="black" stroked="f"/>
        </w:pict>
      </w:r>
    </w:p>
    <w:p w:rsidR="00000000" w:rsidRDefault="00E3336F">
      <w:pPr>
        <w:divId w:val="13374172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increasing cash flows for reinvestment and/or for distribution to shareholders while maintaining conservative payout ratios;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improving debt metrics and upgraded unsecured debt ratings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continuing growth in desirable demographic areas with successful retailers, primarily focused on grocery anchors;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rPr>
                <w:sz w:val="20"/>
                <w:szCs w:val="20"/>
              </w:rPr>
            </w:pPr>
            <w:r>
              <w:rPr>
                <w:sz w:val="20"/>
                <w:szCs w:val="20"/>
              </w:rPr>
              <w:t>increasing the number of entitlements for residential use.</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u w:val="single"/>
        </w:rPr>
        <w:t>Weingarten Merger</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On August 3, 2021, Weingarten Realty Investors (“W</w:t>
      </w:r>
      <w:r>
        <w:rPr>
          <w:sz w:val="20"/>
          <w:szCs w:val="20"/>
        </w:rPr>
        <w:t>eingarten”) merged with and into the Company, with the Company continuing as the surviving public company. The Merger brought together two industry-leading retail real estate platforms with highly complementary portfolios and created the preeminent open-ai</w:t>
      </w:r>
      <w:r>
        <w:rPr>
          <w:sz w:val="20"/>
          <w:szCs w:val="20"/>
        </w:rPr>
        <w:t xml:space="preserve">r shopping center and mixed-use real estate owner in the U.S. As a result of the Merger, the Company acquired 149 properties, including 30 held through joint venture programs. The increased scale in targeted growth markets, coupled with a broader pipeline </w:t>
      </w:r>
      <w:r>
        <w:rPr>
          <w:sz w:val="20"/>
          <w:szCs w:val="20"/>
        </w:rPr>
        <w:t>of redevelopment opportunities, has positioned the combined company to create significant value for its shareholders.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u w:val="single"/>
        </w:rPr>
        <w:t xml:space="preserve">Economic Conditions and the COVID-19 Pandemic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economy continues to face several issues including the lack of qualified employees,</w:t>
      </w:r>
      <w:r>
        <w:rPr>
          <w:sz w:val="20"/>
          <w:szCs w:val="20"/>
        </w:rPr>
        <w:t xml:space="preserve"> inflation risk, supply chain issues and new COVID-19 variants, which could impact the Company and its tenants. In response to the rising rate of inflation the Federal Reserve has steadily increased interest rates, and may continue to increase interest rat</w:t>
      </w:r>
      <w:r>
        <w:rPr>
          <w:sz w:val="20"/>
          <w:szCs w:val="20"/>
        </w:rPr>
        <w:t>es, until the rate of inflation begins to decrease. These increases in interest rates could adversely impact the business and financial results of the Company and its tenants. In addition to the rising rate of inflation, slower economic growth and the pote</w:t>
      </w:r>
      <w:r>
        <w:rPr>
          <w:sz w:val="20"/>
          <w:szCs w:val="20"/>
        </w:rPr>
        <w:t>ntial for a recession could have an adverse effect on the Company and its tenants. This could negatively affect the overall demand for retail space, including the demand for leasable space in the Company’s properties. As a result, the Company could feel pr</w:t>
      </w:r>
      <w:r>
        <w:rPr>
          <w:sz w:val="20"/>
          <w:szCs w:val="20"/>
        </w:rPr>
        <w:t>icing pressure on rents that it is able to charge to new or renewing tenants, such that future rents and rent spreads could be negatively impacted.</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Any of these events could materially adversely impact the Company’s business, financial condition, results</w:t>
      </w:r>
      <w:r>
        <w:rPr>
          <w:sz w:val="20"/>
          <w:szCs w:val="20"/>
        </w:rPr>
        <w:t xml:space="preserve"> of operations or stock price. The Company continues to monitor economic, financial, and social conditions, including the effects of the COVID-19 pandemic, and will assess its asset portfolio for any impairment indicators. If the Company determines that an</w:t>
      </w:r>
      <w:r>
        <w:rPr>
          <w:sz w:val="20"/>
          <w:szCs w:val="20"/>
        </w:rPr>
        <w:t>y of its assets are impaired, the Company would be required to take impairment charges, and such amounts could be material. The Company did not incur any impairment charges during the nine months ended September 30, 2022, relating to changes in economic co</w:t>
      </w:r>
      <w:r>
        <w:rPr>
          <w:sz w:val="20"/>
          <w:szCs w:val="20"/>
        </w:rPr>
        <w:t>nditions or COVID-19.</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Effects of Inflation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Many of the Company's long-term leases contain provisions designed to mitigate the adverse impact of inflation. Such provisions include clauses enabling the Company to receive payment of additional rent calcul</w:t>
      </w:r>
      <w:r>
        <w:rPr>
          <w:sz w:val="20"/>
          <w:szCs w:val="20"/>
        </w:rPr>
        <w:t>ated as a percentage of tenants' gross sales above pre-determined thresholds, which generally increase as prices rise, and/or as a result of escalation clauses, which generally increase rental rates during the terms of the leases. Such escalation clauses o</w:t>
      </w:r>
      <w:r>
        <w:rPr>
          <w:sz w:val="20"/>
          <w:szCs w:val="20"/>
        </w:rPr>
        <w:t>ften include increases based upon changes in the consumer price index or similar inflation indices.  In addition, many of the Company's leases are for terms of less than 10 years, which permits the Company to seek to increase rents to market rates upon ren</w:t>
      </w:r>
      <w:r>
        <w:rPr>
          <w:sz w:val="20"/>
          <w:szCs w:val="20"/>
        </w:rPr>
        <w:t>ewal. To assist in partially mitigating the Company's exposure to increases in costs and operating expenses, including common area maintenance costs, real estate taxes and insurance, resulting from inflation the Company’s leases include provisions that eit</w:t>
      </w:r>
      <w:r>
        <w:rPr>
          <w:sz w:val="20"/>
          <w:szCs w:val="20"/>
        </w:rPr>
        <w:t>her (i) require the tenant to pay an allocable share of these operating expenses or (ii) contain fixed contractual amounts, which include escalation clauses, to reimburse these operating expenses.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Hurricane Impact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did not incur significant damage to its properties as a result of Hurricane Ian, which primarily hit Florida and South Carolina in September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902786261"/>
        <w:rPr>
          <w:rFonts w:eastAsia="Times New Roman"/>
          <w:sz w:val="20"/>
          <w:szCs w:val="20"/>
        </w:rPr>
      </w:pPr>
      <w:r>
        <w:rPr>
          <w:rFonts w:eastAsia="Times New Roman"/>
          <w:sz w:val="20"/>
          <w:szCs w:val="20"/>
        </w:rPr>
        <w:t xml:space="preserve">25 </w:t>
      </w:r>
    </w:p>
    <w:p w:rsidR="00000000" w:rsidRDefault="00E3336F">
      <w:pPr>
        <w:divId w:val="1902786261"/>
        <w:rPr>
          <w:rFonts w:eastAsia="Times New Roman"/>
          <w:sz w:val="20"/>
          <w:szCs w:val="20"/>
        </w:rPr>
      </w:pPr>
      <w:r>
        <w:rPr>
          <w:rFonts w:eastAsia="Times New Roman"/>
          <w:sz w:val="20"/>
          <w:szCs w:val="20"/>
        </w:rPr>
        <w:pict>
          <v:rect id="_x0000_i1053" style="width:415.3pt;height:1.5pt" o:hralign="center" o:hrstd="t" o:hrnoshade="t" o:hr="t" fillcolor="black" stroked="f"/>
        </w:pict>
      </w:r>
    </w:p>
    <w:p w:rsidR="00000000" w:rsidRDefault="00E3336F">
      <w:pPr>
        <w:divId w:val="103319299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u w:val="single"/>
        </w:rPr>
        <w:t>Results of Operations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Comparison of the three and nine months ended September 30, 2022 and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following table presents the comp</w:t>
      </w:r>
      <w:r>
        <w:rPr>
          <w:sz w:val="20"/>
          <w:szCs w:val="20"/>
        </w:rPr>
        <w:t>arative results from the Company’s Condensed Consolidated Statements of Income for the three and nine months ended September 30, 2022, as compared to the corresponding periods in 2021 (in thousands, except per share data):</w:t>
      </w:r>
    </w:p>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619"/>
        <w:gridCol w:w="50"/>
        <w:gridCol w:w="100"/>
        <w:gridCol w:w="717"/>
        <w:gridCol w:w="67"/>
        <w:gridCol w:w="50"/>
        <w:gridCol w:w="100"/>
        <w:gridCol w:w="717"/>
        <w:gridCol w:w="67"/>
        <w:gridCol w:w="50"/>
        <w:gridCol w:w="100"/>
        <w:gridCol w:w="717"/>
        <w:gridCol w:w="67"/>
        <w:gridCol w:w="50"/>
        <w:gridCol w:w="100"/>
        <w:gridCol w:w="800"/>
        <w:gridCol w:w="67"/>
        <w:gridCol w:w="50"/>
        <w:gridCol w:w="100"/>
        <w:gridCol w:w="717"/>
        <w:gridCol w:w="67"/>
        <w:gridCol w:w="50"/>
        <w:gridCol w:w="100"/>
        <w:gridCol w:w="717"/>
        <w:gridCol w:w="67"/>
      </w:tblGrid>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w:t>
            </w:r>
            <w:r>
              <w:rPr>
                <w:b/>
                <w:bCs/>
                <w:sz w:val="20"/>
                <w:szCs w:val="20"/>
              </w:rPr>
              <w:t xml:space="preserve">r 30, </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10"/>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Nine Months Ended September 30, </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Change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0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429,042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364,694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64,348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1,274,969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929,297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345,672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4,361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3,913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448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12,881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10,634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Rent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(3,703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(3,678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(9,706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(2,148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(55,578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(50,594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(4,984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(165,967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(129,124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(36,843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Operating and maintenance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(71,457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(52,063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(19,394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(210,466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(145,480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(64,986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General and administrative (3)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(29,677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(3,773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(87,606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(12,470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(6,217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(21,758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(20,804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(125,419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(114,238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(11,181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(380,324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(261,687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(118,637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1,846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(19,883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Other income/(expense)</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6,226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6,696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(470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18,851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11,834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7,017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(75,491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457,127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(532,618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(215,194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542,510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(757,704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(52,391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(52,126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(165,876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(146,654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(19,222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(7,658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(7,658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Benefit/(provision) for income taxes,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(314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1,353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(2,897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3,993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26,360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20,025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6,335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94,060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54,095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39,965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6,733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5,194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10,365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5,126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540" w:hanging="180"/>
              <w:rPr>
                <w:sz w:val="20"/>
                <w:szCs w:val="20"/>
              </w:rPr>
            </w:pPr>
            <w:r>
              <w:rPr>
                <w:sz w:val="20"/>
                <w:szCs w:val="20"/>
              </w:rPr>
              <w:t>Net loss/(income) attributable to noncontrolling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1,583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3,048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14,152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(5,369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19,521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540" w:hanging="180"/>
              <w:rPr>
                <w:sz w:val="20"/>
                <w:szCs w:val="20"/>
              </w:rPr>
            </w:pPr>
            <w:r>
              <w:rPr>
                <w:sz w:val="20"/>
                <w:szCs w:val="20"/>
              </w:rPr>
              <w:t>Preferred dividends, net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(6,307</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(6,354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47</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(18,911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(19,062</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151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180" w:hanging="18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51,647</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501,385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(449,738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156,844</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743,316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(586,472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180" w:hanging="180"/>
              <w:rPr>
                <w:sz w:val="20"/>
                <w:szCs w:val="20"/>
              </w:rPr>
            </w:pPr>
            <w:r>
              <w:rPr>
                <w:sz w:val="20"/>
                <w:szCs w:val="20"/>
              </w:rPr>
              <w:t>Net income available to the Company's common shareholders: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Diluted per common share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0.08</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0.91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(0.83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0.25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1.56</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(1.31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w:t>
            </w:r>
          </w:p>
        </w:tc>
      </w:tr>
    </w:tbl>
    <w:p w:rsidR="00000000" w:rsidRDefault="00E3336F">
      <w:pPr>
        <w:pStyle w:val="a3"/>
        <w:spacing w:before="0" w:beforeAutospacing="0" w:after="0" w:afterAutospacing="0"/>
        <w:divId w:val="2082288258"/>
        <w:rPr>
          <w:sz w:val="20"/>
          <w:szCs w:val="20"/>
        </w:rPr>
      </w:pPr>
      <w:r>
        <w:rPr>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1523"/>
        <w:gridCol w:w="1523"/>
        <w:gridCol w:w="4845"/>
      </w:tblGrid>
      <w:tr w:rsidR="00000000">
        <w:trPr>
          <w:divId w:val="2082288258"/>
          <w:tblCellSpacing w:w="0" w:type="dxa"/>
        </w:trPr>
        <w:tc>
          <w:tcPr>
            <w:tcW w:w="360" w:type="dxa"/>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6" w:type="dxa"/>
            <w:hideMark/>
          </w:tcPr>
          <w:p w:rsidR="00000000" w:rsidRDefault="00E3336F">
            <w:pPr>
              <w:pStyle w:val="a3"/>
              <w:spacing w:before="0" w:beforeAutospacing="0" w:after="0" w:afterAutospacing="0"/>
              <w:jc w:val="both"/>
              <w:rPr>
                <w:sz w:val="20"/>
                <w:szCs w:val="20"/>
              </w:rPr>
            </w:pPr>
            <w:r>
              <w:rPr>
                <w:sz w:val="20"/>
                <w:szCs w:val="20"/>
              </w:rPr>
              <w:t>Rent expense primarily relates to ground lease payments for which the Company is the lessee.</w:t>
            </w:r>
          </w:p>
        </w:tc>
      </w:tr>
      <w:tr w:rsidR="00000000">
        <w:trPr>
          <w:divId w:val="2082288258"/>
          <w:tblCellSpacing w:w="0" w:type="dxa"/>
        </w:trPr>
        <w:tc>
          <w:tcPr>
            <w:tcW w:w="360" w:type="dxa"/>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(2)</w:t>
            </w:r>
          </w:p>
        </w:tc>
        <w:tc>
          <w:tcPr>
            <w:tcW w:w="6" w:type="dxa"/>
            <w:hideMark/>
          </w:tcPr>
          <w:p w:rsidR="00000000" w:rsidRDefault="00E3336F">
            <w:pPr>
              <w:pStyle w:val="a3"/>
              <w:spacing w:before="0" w:beforeAutospacing="0" w:after="0" w:afterAutospacing="0"/>
              <w:jc w:val="both"/>
              <w:rPr>
                <w:sz w:val="20"/>
                <w:szCs w:val="20"/>
              </w:rPr>
            </w:pPr>
            <w:r>
              <w:rPr>
                <w:sz w:val="20"/>
                <w:szCs w:val="20"/>
              </w:rPr>
              <w:t>Operating and maintenance expense consists of property related costs including repairs and maintenance costs, roof repair, landscaping, parking lot repair, snow removal, utilities, property insurance costs, security and various other property related expen</w:t>
            </w:r>
            <w:r>
              <w:rPr>
                <w:sz w:val="20"/>
                <w:szCs w:val="20"/>
              </w:rPr>
              <w:t>ses.</w:t>
            </w:r>
          </w:p>
        </w:tc>
      </w:tr>
      <w:tr w:rsidR="00000000">
        <w:trPr>
          <w:divId w:val="2082288258"/>
          <w:tblCellSpacing w:w="0" w:type="dxa"/>
        </w:trPr>
        <w:tc>
          <w:tcPr>
            <w:tcW w:w="360" w:type="dxa"/>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(3)</w:t>
            </w:r>
          </w:p>
        </w:tc>
        <w:tc>
          <w:tcPr>
            <w:tcW w:w="6" w:type="dxa"/>
            <w:hideMark/>
          </w:tcPr>
          <w:p w:rsidR="00000000" w:rsidRDefault="00E3336F">
            <w:pPr>
              <w:pStyle w:val="a3"/>
              <w:spacing w:before="0" w:beforeAutospacing="0" w:after="0" w:afterAutospacing="0"/>
              <w:jc w:val="both"/>
              <w:rPr>
                <w:sz w:val="20"/>
                <w:szCs w:val="20"/>
              </w:rPr>
            </w:pPr>
            <w:r>
              <w:rPr>
                <w:sz w:val="20"/>
                <w:szCs w:val="20"/>
              </w:rPr>
              <w:t>General and administrative expense includes employee-related expenses (including salaries, bonuses, equity awards, benefits, severance costs and payroll taxes), professional fees, office rent, travel and entertainment costs and other company-sp</w:t>
            </w:r>
            <w:r>
              <w:rPr>
                <w:sz w:val="20"/>
                <w:szCs w:val="20"/>
              </w:rPr>
              <w:t>ecific expenses.</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Net income available to the Company’s common shareholders was $51.6 million for the three months ended September 30, 2022, as compared to $501.4 million for the comparable period in 2021. On a diluted per common share basis, net income </w:t>
      </w:r>
      <w:r>
        <w:rPr>
          <w:sz w:val="20"/>
          <w:szCs w:val="20"/>
        </w:rPr>
        <w:t>available to the Company’s common shareholders for the three months ended September 30, 2022 was $0.08 as compared to $0.91 for the comparable period 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Net income available to the Company’s common shareholders was $156.8 million for the nine month</w:t>
      </w:r>
      <w:r>
        <w:rPr>
          <w:sz w:val="20"/>
          <w:szCs w:val="20"/>
        </w:rPr>
        <w:t>s ended September 30, 2022, as compared to $743.3 million for the comparable period in 2021. On a diluted per common share basis, net income available to the Company’s common shareholders for the nine months ended September 30, 2022 was $0.25 as compared t</w:t>
      </w:r>
      <w:r>
        <w:rPr>
          <w:sz w:val="20"/>
          <w:szCs w:val="20"/>
        </w:rPr>
        <w:t>o $1.56 for the comparable period 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following describes the changes of certain line items included on the Company’s Condensed Consolidated Statements of Income that the Company believes changed significantly and affected Net income available t</w:t>
      </w:r>
      <w:r>
        <w:rPr>
          <w:sz w:val="20"/>
          <w:szCs w:val="20"/>
        </w:rPr>
        <w:t>o the Company's common shareholders during the three and nine months ended September 30, 2022, as compared to the corresponding period 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2043244222"/>
        <w:rPr>
          <w:rFonts w:eastAsia="Times New Roman"/>
          <w:sz w:val="20"/>
          <w:szCs w:val="20"/>
        </w:rPr>
      </w:pPr>
      <w:r>
        <w:rPr>
          <w:rFonts w:eastAsia="Times New Roman"/>
          <w:sz w:val="20"/>
          <w:szCs w:val="20"/>
        </w:rPr>
        <w:t xml:space="preserve">26 </w:t>
      </w:r>
    </w:p>
    <w:p w:rsidR="00000000" w:rsidRDefault="00E3336F">
      <w:pPr>
        <w:divId w:val="2032602471"/>
        <w:rPr>
          <w:rFonts w:eastAsia="Times New Roman"/>
          <w:sz w:val="20"/>
          <w:szCs w:val="20"/>
        </w:rPr>
      </w:pPr>
      <w:r>
        <w:rPr>
          <w:rFonts w:eastAsia="Times New Roman"/>
          <w:sz w:val="20"/>
          <w:szCs w:val="20"/>
        </w:rPr>
        <w:pict>
          <v:rect id="_x0000_i1054" style="width:415.3pt;height:1.5pt" o:hralign="center" o:hrstd="t" o:hrnoshade="t" o:hr="t" fillcolor="black" stroked="f"/>
        </w:pict>
      </w:r>
    </w:p>
    <w:p w:rsidR="00000000" w:rsidRDefault="00E3336F">
      <w:pPr>
        <w:divId w:val="1074284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Revenues from rental properties, net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increase in Revenues from rental properties, net of $64.3 million for the three months ended September 30, 2022, as compared to the corresponding period in 2021, is primarily from (i) an increase in revenues of $58.1 million due to properties acquired </w:t>
      </w:r>
      <w:r>
        <w:rPr>
          <w:sz w:val="20"/>
          <w:szCs w:val="20"/>
        </w:rPr>
        <w:t xml:space="preserve">during 2022 and 2021, including the impact of the Merger, (ii) a net increase in revenues from tenants of $18.6 million primarily due to an increase in leasing activity and net growth in the current portfolio and (iii) an increase in lease termination fee </w:t>
      </w:r>
      <w:r>
        <w:rPr>
          <w:sz w:val="20"/>
          <w:szCs w:val="20"/>
        </w:rPr>
        <w:t>income of $2.0 million, partially offset by (iv) a net decrease of $7.6 million due to changes in credit losses from tenants, (v) a decrease in net straight-line rental income of $5.4 million primarily due to changes in reserves and (vi) a decrease in reve</w:t>
      </w:r>
      <w:r>
        <w:rPr>
          <w:sz w:val="20"/>
          <w:szCs w:val="20"/>
        </w:rPr>
        <w:t>nues of $1.4 million due to dispositions during 2022 and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increase in Revenues from rental properties, net of $345.7 million for the nine months ended September 30, 2022, as compared to the corresponding period in 2021, is primarily from (i) an </w:t>
      </w:r>
      <w:r>
        <w:rPr>
          <w:sz w:val="20"/>
          <w:szCs w:val="20"/>
        </w:rPr>
        <w:t>increase in revenues of $318.6 million due to properties acquired during 2022 and 2021, including the impact of the Merger, (ii) a net increase in revenues from tenants of $36.2 million primarily due to an increase in leasing activity and net growth in the</w:t>
      </w:r>
      <w:r>
        <w:rPr>
          <w:sz w:val="20"/>
          <w:szCs w:val="20"/>
        </w:rPr>
        <w:t xml:space="preserve"> current portfolio, (iii) an increase in net straight-line rental income of $4.2 million primarily due to an increase in leasing activity and changes in reserves and (iv) an increase in revenues of $1.7 million due to dispositions during 2022 and 2021, par</w:t>
      </w:r>
      <w:r>
        <w:rPr>
          <w:sz w:val="20"/>
          <w:szCs w:val="20"/>
        </w:rPr>
        <w:t>tially offset by (v) a net decrease of $10.2 million due to changes in credit losses from tenants and (vi) a decrease in lease termination fee income of $4.8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Real estate taxes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Real estate taxes of $5.0 million and $36.8 milli</w:t>
      </w:r>
      <w:r>
        <w:rPr>
          <w:sz w:val="20"/>
          <w:szCs w:val="20"/>
        </w:rPr>
        <w:t>on for the three and nine months ended September 30, 2022, as compared to the corresponding periods in 2021, respectively, is primarily due to properties acquired during 2022 and 2021, including the impact of the Merger.</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Operating and maintenance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w:t>
      </w:r>
      <w:r>
        <w:rPr>
          <w:sz w:val="20"/>
          <w:szCs w:val="20"/>
        </w:rPr>
        <w:t>e increase in Operating and maintenance expense of $19.4 million and $65.0 million for the three and nine months ended September 30, 2022, as compared to the corresponding periods in 2021, respectively, is primarily due to (i) properties acquired during 20</w:t>
      </w:r>
      <w:r>
        <w:rPr>
          <w:sz w:val="20"/>
          <w:szCs w:val="20"/>
        </w:rPr>
        <w:t>22 and 2021, including the impact of the Merger and (ii) increases in repairs and maintenance, utilities and other operating costs throughout the Company’s operating properties.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General and administrative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General and administrative ex</w:t>
      </w:r>
      <w:r>
        <w:rPr>
          <w:sz w:val="20"/>
          <w:szCs w:val="20"/>
        </w:rPr>
        <w:t>pense of $3.8 million for the three months ended September 30, 2022, as compared to the corresponding period in 2021, is primarily due to (i) an increase in employee-related expenses of $2.3 million resulting from additional employees hired in connection w</w:t>
      </w:r>
      <w:r>
        <w:rPr>
          <w:sz w:val="20"/>
          <w:szCs w:val="20"/>
        </w:rPr>
        <w:t>ith the Merger and (ii) an increase in professional fees and corporate expenses of $1.2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increase in General and administrative expense of $12.5 million for the nine months ended September 30, 2022, as compared to the corresponding period in </w:t>
      </w:r>
      <w:r>
        <w:rPr>
          <w:sz w:val="20"/>
          <w:szCs w:val="20"/>
        </w:rPr>
        <w:t>2021, is primarily due to (i) an increase in employee-related expenses of $8.7 million resulting from additional employees hired in connection with the Merger, (ii) an increase in professional fees and corporate expenses of $5.0 million, partially offset b</w:t>
      </w:r>
      <w:r>
        <w:rPr>
          <w:sz w:val="20"/>
          <w:szCs w:val="20"/>
        </w:rPr>
        <w:t>y (iii) a decrease of $1.6 million primarily due to the fluctuations in value of various directors’ deferred stock.</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Impairment charges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and 2021, the Company recognized impairment charges related to adju</w:t>
      </w:r>
      <w:r>
        <w:rPr>
          <w:sz w:val="20"/>
          <w:szCs w:val="20"/>
        </w:rPr>
        <w:t>stments to property carrying values of $21.8 million and $1.0 million, respectively, for which the Company’s estimated fair values were primarily based upon signed contracts or letters of intent from third party offers. These adjustments to property carryi</w:t>
      </w:r>
      <w:r>
        <w:rPr>
          <w:sz w:val="20"/>
          <w:szCs w:val="20"/>
        </w:rPr>
        <w:t>ng values were recognized in connection with the Company’s efforts to market certain properties and management’s assessment as to the likelihood and timing of such potential transactions. Certain of the calculations to determine fair values utilized unobse</w:t>
      </w:r>
      <w:r>
        <w:rPr>
          <w:sz w:val="20"/>
          <w:szCs w:val="20"/>
        </w:rPr>
        <w:t>rvable inputs and, as such, were classified as Level 3 of the FASB’s fair value hierarchy.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Merger charges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2021, the Company incurred costs of $50.2 million associated with the Merger. These charges are primarily comprised of severance costs and professional and legal fees.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Depreciation and amortization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w:t>
      </w:r>
      <w:r>
        <w:rPr>
          <w:sz w:val="20"/>
          <w:szCs w:val="20"/>
        </w:rPr>
        <w:t>ease in Depreciation and amortization of $11.2 million for the three months ended September 30, 2022, as compared to the corresponding period in 2021, is primarily due to (i) an increase of $10.2 million resulting from properties acquired during 2022 and 2</w:t>
      </w:r>
      <w:r>
        <w:rPr>
          <w:sz w:val="20"/>
          <w:szCs w:val="20"/>
        </w:rPr>
        <w:t>021, including the impact of the Merger, and (ii) a net increase of $1.0 million due to write-offs of depreciable assets primarily due to tenant vacates.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067456090"/>
        <w:rPr>
          <w:rFonts w:eastAsia="Times New Roman"/>
          <w:sz w:val="20"/>
          <w:szCs w:val="20"/>
        </w:rPr>
      </w:pPr>
      <w:r>
        <w:rPr>
          <w:rFonts w:eastAsia="Times New Roman"/>
          <w:sz w:val="20"/>
          <w:szCs w:val="20"/>
        </w:rPr>
        <w:t xml:space="preserve">27 </w:t>
      </w:r>
    </w:p>
    <w:p w:rsidR="00000000" w:rsidRDefault="00E3336F">
      <w:pPr>
        <w:divId w:val="658047560"/>
        <w:rPr>
          <w:rFonts w:eastAsia="Times New Roman"/>
          <w:sz w:val="20"/>
          <w:szCs w:val="20"/>
        </w:rPr>
      </w:pPr>
      <w:r>
        <w:rPr>
          <w:rFonts w:eastAsia="Times New Roman"/>
          <w:sz w:val="20"/>
          <w:szCs w:val="20"/>
        </w:rPr>
        <w:pict>
          <v:rect id="_x0000_i1055" style="width:415.3pt;height:1.5pt" o:hralign="center" o:hrstd="t" o:hrnoshade="t" o:hr="t" fillcolor="black" stroked="f"/>
        </w:pict>
      </w:r>
    </w:p>
    <w:p w:rsidR="00000000" w:rsidRDefault="00E3336F">
      <w:pPr>
        <w:divId w:val="2905948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Depreciation and amortization of $118.6 million f</w:t>
      </w:r>
      <w:r>
        <w:rPr>
          <w:sz w:val="20"/>
          <w:szCs w:val="20"/>
        </w:rPr>
        <w:t>or the nine months ended September 30, 2022, as compared to the corresponding period in 2021, is primarily due to (i) an increase of $124.0 million resulting from properties acquired during 2022 and 2021, including the impact of the Merger, and (ii) an inc</w:t>
      </w:r>
      <w:r>
        <w:rPr>
          <w:sz w:val="20"/>
          <w:szCs w:val="20"/>
        </w:rPr>
        <w:t>rease of $1.4 million due to depreciation commencing on certain redevelopment projects that were placed into service during 2022 and 2021, partially offset by (iii) a net decrease of $6.8 million due to write-offs of depreciable assets primarily due to ten</w:t>
      </w:r>
      <w:r>
        <w:rPr>
          <w:sz w:val="20"/>
          <w:szCs w:val="20"/>
        </w:rPr>
        <w:t>ant vacates.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Gain on sale of properties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disposed of eight operating properties and 10 land parcels, in separate transactions, for an aggregate sales price of $172.2 million, which resulted</w:t>
      </w:r>
      <w:r>
        <w:rPr>
          <w:sz w:val="20"/>
          <w:szCs w:val="20"/>
        </w:rPr>
        <w:t xml:space="preserve"> in aggregate gains of $11.0 million. During the nine months ended September 30, 2021, the Company disposed of five operating properties and nine land parcels, in separate transactions, for an aggregate sales price of $156.6 million, which resulted in aggr</w:t>
      </w:r>
      <w:r>
        <w:rPr>
          <w:sz w:val="20"/>
          <w:szCs w:val="20"/>
        </w:rPr>
        <w:t>egate gains of $30.8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Other income, net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Other income, net of $7.0 million for the nine months ended September 30, 2022, as compared to the corresponding period in 2021, is primarily due to (i) a net increase in mortgage and o</w:t>
      </w:r>
      <w:r>
        <w:rPr>
          <w:sz w:val="20"/>
          <w:szCs w:val="20"/>
        </w:rPr>
        <w:t>ther financing income of $4.6 million primarily due to new loans issued during 2022 and 2021, and (ii) $2.4 million in increased dividend income from the shares of Albertsons Companies, Inc. “ACI” common stock held by the Company.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(Loss)/gain on marketab</w:t>
      </w:r>
      <w:r>
        <w:rPr>
          <w:i/>
          <w:iCs/>
          <w:sz w:val="20"/>
          <w:szCs w:val="20"/>
        </w:rPr>
        <w:t xml:space="preserve">le securities, net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change in (Loss)/gain on marketable securities, net of $532.6 million and $757.7 million for the three and nine months ended September 30, 2022, as compared to the corresponding periods in 2021, respectively, is primarily the re</w:t>
      </w:r>
      <w:r>
        <w:rPr>
          <w:sz w:val="20"/>
          <w:szCs w:val="20"/>
        </w:rPr>
        <w:t>sult of mark-to-market fluctuations of the shares of ACI common stock held by the Company.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Interest expense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Interest expense of $19.2 </w:t>
      </w:r>
      <w:r>
        <w:rPr>
          <w:sz w:val="20"/>
          <w:szCs w:val="20"/>
        </w:rPr>
        <w:t xml:space="preserve">million for the nine months ended September 30, 2022, as compared to the corresponding period in 2021, is primarily due (i) increased levels of borrowings resulting from the assumptions of senior unsecured notes and mortgages in connection with the Merger </w:t>
      </w:r>
      <w:r>
        <w:rPr>
          <w:sz w:val="20"/>
          <w:szCs w:val="20"/>
        </w:rPr>
        <w:t>and public debt offerings, partially offset by (ii) the repayment of senior unsecured notes and mortgages during 2022 and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Early extinguishment of debt charges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repaid its $500.0 milli</w:t>
      </w:r>
      <w:r>
        <w:rPr>
          <w:sz w:val="20"/>
          <w:szCs w:val="20"/>
        </w:rPr>
        <w:t>on 3.40% senior unsecured notes, which were scheduled to mature in November 2022. As a result, the Company incurred a prepayment charge of $6.5 million and $0.7 million from the write-off of deferred financing costs during the nine months ended September 3</w:t>
      </w:r>
      <w:r>
        <w:rPr>
          <w:sz w:val="20"/>
          <w:szCs w:val="20"/>
        </w:rPr>
        <w:t>0, 2022.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Benefit/(provision) for income taxes, net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change in Benefit/(provision) for income taxes, net of $4.0 million for the nine months ended September 30, 2022, as compared to the corresponding period in 2021, is primarily due to the sale of</w:t>
      </w:r>
      <w:r>
        <w:rPr>
          <w:sz w:val="20"/>
          <w:szCs w:val="20"/>
        </w:rPr>
        <w:t xml:space="preserve"> properties within the Company’s taxable REIT subsidiaries during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Equity in income of joint ventures, net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Equity in income of joint ventures, net of $6.3 million for the three months ended September 30, 2022, as compared to the</w:t>
      </w:r>
      <w:r>
        <w:rPr>
          <w:sz w:val="20"/>
          <w:szCs w:val="20"/>
        </w:rPr>
        <w:t xml:space="preserve"> corresponding period in 2021, is primarily due to (i) net gains of $8.0 million resulting from the sale of properties within various joint venture investments during 2022, (ii) an increase in equity in income of $0.9 million from ownership interests acqui</w:t>
      </w:r>
      <w:r>
        <w:rPr>
          <w:sz w:val="20"/>
          <w:szCs w:val="20"/>
        </w:rPr>
        <w:t>red in unconsolidated joint ventures in connection with the Merger and (iii) a decrease in impairment charges of $0.7 million recognized during 2022, as compared to the corresponding period in 2021, partially offset by (iv) a net decrease in equity in inco</w:t>
      </w:r>
      <w:r>
        <w:rPr>
          <w:sz w:val="20"/>
          <w:szCs w:val="20"/>
        </w:rPr>
        <w:t>me of $3.3 million resulting primarily from the sale of properties within various joint venture investments during 2022 and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Equity in income of joint ventures, net of $40.0 million for the nine months ended September 30, 2022, as co</w:t>
      </w:r>
      <w:r>
        <w:rPr>
          <w:sz w:val="20"/>
          <w:szCs w:val="20"/>
        </w:rPr>
        <w:t xml:space="preserve">mpared to the corresponding period in 2021, is primarily due to (i) an increase in net gains of $32.9 million resulting from the sale of properties within various joint venture investments during 2022, as compared to the corresponding period in 2021, (ii) </w:t>
      </w:r>
      <w:r>
        <w:rPr>
          <w:sz w:val="20"/>
          <w:szCs w:val="20"/>
        </w:rPr>
        <w:t>an increase in equity in income of $5.7 million from ownership interests acquired in unconsolidated joint ventures in connection with the Merger and (iii) a net increase in equity in income of $2.3 million within various joint venture investments during 20</w:t>
      </w:r>
      <w:r>
        <w:rPr>
          <w:sz w:val="20"/>
          <w:szCs w:val="20"/>
        </w:rPr>
        <w:t>22, as compared to the corresponding period in 2021, primarily resulting from a decrease in credit losses due to collections from tenants, including straight-line rental income, partially offset by (iv) an increase in impairment charges of $1.0 million rec</w:t>
      </w:r>
      <w:r>
        <w:rPr>
          <w:sz w:val="20"/>
          <w:szCs w:val="20"/>
        </w:rPr>
        <w:t>ognized during 2022, as compared to the corresponding period 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81269781"/>
        <w:rPr>
          <w:rFonts w:eastAsia="Times New Roman"/>
          <w:sz w:val="20"/>
          <w:szCs w:val="20"/>
        </w:rPr>
      </w:pPr>
      <w:r>
        <w:rPr>
          <w:rFonts w:eastAsia="Times New Roman"/>
          <w:sz w:val="20"/>
          <w:szCs w:val="20"/>
        </w:rPr>
        <w:t xml:space="preserve">28 </w:t>
      </w:r>
    </w:p>
    <w:p w:rsidR="00000000" w:rsidRDefault="00E3336F">
      <w:pPr>
        <w:divId w:val="850795430"/>
        <w:rPr>
          <w:rFonts w:eastAsia="Times New Roman"/>
          <w:sz w:val="20"/>
          <w:szCs w:val="20"/>
        </w:rPr>
      </w:pPr>
      <w:r>
        <w:rPr>
          <w:rFonts w:eastAsia="Times New Roman"/>
          <w:sz w:val="20"/>
          <w:szCs w:val="20"/>
        </w:rPr>
        <w:pict>
          <v:rect id="_x0000_i1056" style="width:415.3pt;height:1.5pt" o:hralign="center" o:hrstd="t" o:hrnoshade="t" o:hr="t" fillcolor="black" stroked="f"/>
        </w:pict>
      </w:r>
    </w:p>
    <w:p w:rsidR="00000000" w:rsidRDefault="00E3336F">
      <w:pPr>
        <w:divId w:val="15592348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Equity in income of other investments, net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increase in Equity in income of other investments, net of $5.2 million and $5.1 million for the three and nine months ended S</w:t>
      </w:r>
      <w:r>
        <w:rPr>
          <w:sz w:val="20"/>
          <w:szCs w:val="20"/>
        </w:rPr>
        <w:t>eptember 30, 2022, as compared to the corresponding periods in 2021, respectively, is primarily due to profit participation from the sale of properties within the Company’s Preferred Equity Program during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Net loss/(income) attributable to noncontro</w:t>
      </w:r>
      <w:r>
        <w:rPr>
          <w:i/>
          <w:iCs/>
          <w:sz w:val="20"/>
          <w:szCs w:val="20"/>
        </w:rPr>
        <w:t xml:space="preserve">lling interests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change in Net loss/(income) attributable to noncontrolling interests of $3.0 million and $19.5 million for the three and nine months ended September 30, 2022, respectively, as compared to the corresponding periods in 2021, is primarily due to (i) impai</w:t>
      </w:r>
      <w:r>
        <w:rPr>
          <w:sz w:val="20"/>
          <w:szCs w:val="20"/>
        </w:rPr>
        <w:t>rment charges relating to properties within consolidated joint ventures recognized during 2022, partially offset by (ii) an increase in net income attributable to noncontrolling interests primarily related to consolidated joint ventures acquired in the Mer</w:t>
      </w:r>
      <w:r>
        <w:rPr>
          <w:sz w:val="20"/>
          <w:szCs w:val="20"/>
        </w:rPr>
        <w:t>ger.</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Tenant Concentration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Company seeks to reduce its operating and leasing risks through diversification achieved by the geographic distribution of its properties and a large tenant base. As of September 30, 2022, the Company had interests in 526 </w:t>
      </w:r>
      <w:r>
        <w:rPr>
          <w:sz w:val="20"/>
          <w:szCs w:val="20"/>
        </w:rPr>
        <w:t>U.S. shopping center properties, aggregating 90.8 million square feet of gross leasable area (“GLA”), located in 28 states. At September 30, 2022, the Company’s five largest tenants were TJX Companies, The Home Depot, Ross Stores, Albertsons and Amazon/Who</w:t>
      </w:r>
      <w:r>
        <w:rPr>
          <w:sz w:val="20"/>
          <w:szCs w:val="20"/>
        </w:rPr>
        <w:t>le Foods, which represented 3.7%, 2.2%, 1.9%, 1.9% and 1.9%, respectively, of the Company’s annualized base rental revenues, including the proportionate share of base rental revenues from properties in which the Company has less than a 100% economic intere</w:t>
      </w:r>
      <w:r>
        <w:rPr>
          <w:sz w:val="20"/>
          <w:szCs w:val="20"/>
        </w:rPr>
        <w:t>st.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Liquidity and Capital Resources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capital resources include accessing the public debt and equity capital markets, unsecured term loans, mortgages and construction loan financing, marketable securities (including shares of ACI common sto</w:t>
      </w:r>
      <w:r>
        <w:rPr>
          <w:sz w:val="20"/>
          <w:szCs w:val="20"/>
        </w:rPr>
        <w:t>ck held by the Company) and immediate access to the Company’s unsecured revolving credit facility (the “Credit Facility”) with bank commitments of $2.0 billion which can be increased to $2.75 billion through an accordion feature.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Company anticipates </w:t>
      </w:r>
      <w:r>
        <w:rPr>
          <w:sz w:val="20"/>
          <w:szCs w:val="20"/>
        </w:rPr>
        <w:t>that cash on hand, net cash flow provided by operating activities, borrowings under its Credit Facility and the issuance of equity, public debt, as well as other debt and equity alternatives, and the sale of marketable equity securities, will provide the n</w:t>
      </w:r>
      <w:r>
        <w:rPr>
          <w:sz w:val="20"/>
          <w:szCs w:val="20"/>
        </w:rPr>
        <w:t>ecessary capital required by the Company. The Company will continue to evaluate its capital requirements for both its short-term and long-term liquidity needs, which could be affected by various risks and uncertainties, including, but not limited to, the e</w:t>
      </w:r>
      <w:r>
        <w:rPr>
          <w:sz w:val="20"/>
          <w:szCs w:val="20"/>
        </w:rPr>
        <w:t>ffects of the current inflationary environment, rising interest rates, the COVID-19 pandemic, and other risks detailed in Part I, Item 1A. Risk Factors of our 10-K.</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cash flow activities are summarized as follows (in thousands): </w:t>
      </w:r>
    </w:p>
    <w:p w:rsidR="00000000" w:rsidRDefault="00E3336F">
      <w:pPr>
        <w:pStyle w:val="a3"/>
        <w:spacing w:before="0" w:beforeAutospacing="0" w:after="0" w:afterAutospacing="0"/>
        <w:divId w:val="2082288258"/>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4508"/>
        <w:gridCol w:w="61"/>
        <w:gridCol w:w="100"/>
        <w:gridCol w:w="1049"/>
        <w:gridCol w:w="67"/>
        <w:gridCol w:w="57"/>
        <w:gridCol w:w="100"/>
        <w:gridCol w:w="1051"/>
        <w:gridCol w:w="67"/>
      </w:tblGrid>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Nine </w:t>
            </w:r>
            <w:r>
              <w:rPr>
                <w:b/>
                <w:bCs/>
                <w:sz w:val="20"/>
                <w:szCs w:val="20"/>
              </w:rPr>
              <w:t>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2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Cash, cash equivalents and restricted cash, beginning of the period</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334,663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293,188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Net cash flow provided by operating activities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705,756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417,270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Net cash flow used for investing activities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(219,602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(357,763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Net cash flow (used for)/provided by financing activities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(697,286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130,776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Net change in cash, cash equivalents and restricted cash</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(211,132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190,283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Cash, cash equivalents and restricted cash, end of the period</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123,531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7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483,471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u w:val="single"/>
        </w:rPr>
        <w:t>Operating Activities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Net cash flow provided by operating activities for the nine months ended September 30, 2022 was $705.8 million, as compared to $417.3 million for the comparable period in 2021. The increase of $288.5 million is primarily attributable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additional ope</w:t>
            </w:r>
            <w:r>
              <w:rPr>
                <w:sz w:val="20"/>
                <w:szCs w:val="20"/>
              </w:rPr>
              <w:t>rating cash flow generated by operating properties acquired during 2022 and 2021, including those acquired from the Merger;</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new leasing, expansion and re-tenanting of core portfolio properties;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an increase in distributions from the Company’s joint ventures programs, partially offset by</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changes in assets and liabilities due to timing of receipts and payments;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the disposition of operating properties in 2022 and 2021.</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u w:val="single"/>
        </w:rPr>
        <w:t>Investing Activities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Net cash flow used for investing activities was $219.6 million for the nine months ended September 30, 2022, as compared to $357.8 million for the comparable period </w:t>
      </w:r>
      <w:r>
        <w:rPr>
          <w:sz w:val="20"/>
          <w:szCs w:val="20"/>
        </w:rPr>
        <w:t>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870731197"/>
        <w:rPr>
          <w:rFonts w:eastAsia="Times New Roman"/>
          <w:sz w:val="20"/>
          <w:szCs w:val="20"/>
        </w:rPr>
      </w:pPr>
      <w:r>
        <w:rPr>
          <w:rFonts w:eastAsia="Times New Roman"/>
          <w:sz w:val="20"/>
          <w:szCs w:val="20"/>
        </w:rPr>
        <w:t xml:space="preserve">29 </w:t>
      </w:r>
    </w:p>
    <w:p w:rsidR="00000000" w:rsidRDefault="00E3336F">
      <w:pPr>
        <w:divId w:val="546527469"/>
        <w:rPr>
          <w:rFonts w:eastAsia="Times New Roman"/>
          <w:sz w:val="20"/>
          <w:szCs w:val="20"/>
        </w:rPr>
      </w:pPr>
      <w:r>
        <w:rPr>
          <w:rFonts w:eastAsia="Times New Roman"/>
          <w:sz w:val="20"/>
          <w:szCs w:val="20"/>
        </w:rPr>
        <w:pict>
          <v:rect id="_x0000_i1057" style="width:415.3pt;height:1.5pt" o:hralign="center" o:hrstd="t" o:hrnoshade="t" o:hr="t" fillcolor="black" stroked="f"/>
        </w:pict>
      </w:r>
    </w:p>
    <w:p w:rsidR="00000000" w:rsidRDefault="00E3336F">
      <w:pPr>
        <w:divId w:val="206983793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Investing activities during the nine months ended September 30, 2022 primarily consisted of:</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sz w:val="20"/>
          <w:szCs w:val="20"/>
        </w:rPr>
        <w:t>Cash i</w:t>
      </w:r>
      <w:r>
        <w:rPr>
          <w:sz w:val="20"/>
          <w:szCs w:val="20"/>
        </w:rPr>
        <w:t>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$146.2 million in proceeds from the sale of eight operating properties and 10 land parcels;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$61.0 million in reimbursements of investments in and advances to real estate joint ventures and other investments, primarily due to the sale of p</w:t>
            </w:r>
            <w:r>
              <w:rPr>
                <w:sz w:val="20"/>
                <w:szCs w:val="20"/>
              </w:rPr>
              <w:t>roperties within these portfolios;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$38.2 million for collection of mortgage receivables.</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$161.2 million for the acquisition of two operating properties and five parcels;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$128.6 million for improvements to operating real estate primarily related to re-tenanting, tenant improvements and the Company’s active redevelopment pipeline;</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$9</w:t>
            </w:r>
            <w:r>
              <w:rPr>
                <w:sz w:val="20"/>
                <w:szCs w:val="20"/>
              </w:rPr>
              <w:t>3.2 million for investments in and advances to real estate joint ventures, primarily related to partner buyouts and a redevelopment project within the Company’s joint venture portfolio, and investments in other investments, primarily related to funding com</w:t>
            </w:r>
            <w:r>
              <w:rPr>
                <w:sz w:val="20"/>
                <w:szCs w:val="20"/>
              </w:rPr>
              <w:t>mitments for certain investments;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$75.1 million for investment in other financing receivables relating to five loans;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$4.5 million for investment in cost method investment; and</w:t>
            </w:r>
          </w:p>
        </w:tc>
      </w:tr>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rPr>
                <w:rFonts w:eastAsia="Times New Roman"/>
                <w:sz w:val="20"/>
                <w:szCs w:val="20"/>
              </w:rPr>
            </w:pPr>
            <w:r>
              <w:rPr>
                <w:rFonts w:eastAsia="Times New Roman"/>
                <w:sz w:val="20"/>
                <w:szCs w:val="20"/>
              </w:rPr>
              <w:t>●</w:t>
            </w:r>
          </w:p>
        </w:tc>
        <w:tc>
          <w:tcPr>
            <w:tcW w:w="0" w:type="auto"/>
            <w:hideMark/>
          </w:tcPr>
          <w:p w:rsidR="00000000" w:rsidRDefault="00E3336F">
            <w:pPr>
              <w:rPr>
                <w:rFonts w:eastAsia="Times New Roman"/>
                <w:sz w:val="20"/>
                <w:szCs w:val="20"/>
              </w:rPr>
            </w:pPr>
            <w:r>
              <w:rPr>
                <w:rFonts w:eastAsia="Times New Roman"/>
                <w:sz w:val="20"/>
                <w:szCs w:val="20"/>
              </w:rPr>
              <w:t>$3.3 million for investment in marketable securities.</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Investing activities during the nine months ended September 30, 2021 primarily consisted of:</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$154.0 million in proceeds from the sale of five consolidated properties and nine parcels;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$57.5 million in reimbursements of investments in and advances to real estate joint ventures and other investments;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$3.7 million in collection of mor</w:t>
            </w:r>
            <w:r>
              <w:rPr>
                <w:sz w:val="20"/>
                <w:szCs w:val="20"/>
              </w:rPr>
              <w:t>tgage and other financing receivables.</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$264.0 million net cash consideration paid in conjunction with the Merger;</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$112.8 million for improvements to operating real estate primarily related to the Company’s active redevelopment pipeline;</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$102.7 million for the acquisition of two consolidated operating properties;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$67.1 million for investments in and advances to real estate joint ventures, primarily related to a redevelopment project within the Company’s joint venture portfolio, and i</w:t>
            </w:r>
            <w:r>
              <w:rPr>
                <w:sz w:val="20"/>
                <w:szCs w:val="20"/>
              </w:rPr>
              <w:t>nvestments in other investments, primarily related to the Company’s investment in a new preferred equity investment located in San Antonio, TX;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$26.9 million for investment in other financing receivables.</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Acquisition of Operating Real Estate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and 2021, the Company expended $161.2 million and $366.7 million, respectively, towards the acquisition of operating real estate properties, including the Merger in 2021. The Company anticipates spending appr</w:t>
      </w:r>
      <w:r>
        <w:rPr>
          <w:sz w:val="20"/>
          <w:szCs w:val="20"/>
        </w:rPr>
        <w:t>oximately $130.0 million to $160.0 million towards the acquisition of operating properties for the remainder of 2022. The Company intends to fund these acquisitions with cash on hand, cash flow from operating activities, proceeds from property dispositions</w:t>
      </w:r>
      <w:r>
        <w:rPr>
          <w:sz w:val="20"/>
          <w:szCs w:val="20"/>
        </w:rPr>
        <w:t>, proceeds from the sale of marketable securities and/or availability under its Credit Facility.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Improvements to Operating Real Estate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and 2021, the Company expended $128.6 million and $112.8 million, r</w:t>
      </w:r>
      <w:r>
        <w:rPr>
          <w:sz w:val="20"/>
          <w:szCs w:val="20"/>
        </w:rPr>
        <w:t>espectively, towards improvements to operating real estate. These amounts consist of the following (in thousands):</w:t>
      </w:r>
    </w:p>
    <w:p w:rsidR="00000000" w:rsidRDefault="00E3336F">
      <w:pPr>
        <w:pStyle w:val="a3"/>
        <w:spacing w:before="0" w:beforeAutospacing="0" w:after="0" w:afterAutospacing="0"/>
        <w:divId w:val="2082288258"/>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4926"/>
        <w:gridCol w:w="67"/>
        <w:gridCol w:w="100"/>
        <w:gridCol w:w="1039"/>
        <w:gridCol w:w="67"/>
        <w:gridCol w:w="68"/>
        <w:gridCol w:w="100"/>
        <w:gridCol w:w="1040"/>
        <w:gridCol w:w="68"/>
      </w:tblGrid>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3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Redevelopment and renovations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70,121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71,786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58,471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41,006</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Total improvements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128,592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112,792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 portfolio which it believes w</w:t>
      </w:r>
      <w:r>
        <w:rPr>
          <w:sz w:val="20"/>
          <w:szCs w:val="20"/>
        </w:rPr>
        <w:t>ill increase the overall value by bringing in new tenants and improving the assets’ value. The Company anticipates its capital commitment toward these redevelopment projects and re-tenanting efforts for the remainder of 2022 will be approximately $50.0 mil</w:t>
      </w:r>
      <w:r>
        <w:rPr>
          <w:sz w:val="20"/>
          <w:szCs w:val="20"/>
        </w:rPr>
        <w:t>lion to $75.0 million. The funding of these capital requirements will be provided by cash on hand, proceeds from property dispositions, proceeds from the sale of marketable securities, net cash flow provided by operating activities and/or availability unde</w:t>
      </w:r>
      <w:r>
        <w:rPr>
          <w:sz w:val="20"/>
          <w:szCs w:val="20"/>
        </w:rPr>
        <w:t>r the Company’s Credit Facility.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566108689"/>
        <w:rPr>
          <w:rFonts w:eastAsia="Times New Roman"/>
          <w:sz w:val="20"/>
          <w:szCs w:val="20"/>
        </w:rPr>
      </w:pPr>
      <w:r>
        <w:rPr>
          <w:rFonts w:eastAsia="Times New Roman"/>
          <w:sz w:val="20"/>
          <w:szCs w:val="20"/>
        </w:rPr>
        <w:t xml:space="preserve">30 </w:t>
      </w:r>
    </w:p>
    <w:p w:rsidR="00000000" w:rsidRDefault="00E3336F">
      <w:pPr>
        <w:divId w:val="1504784593"/>
        <w:rPr>
          <w:rFonts w:eastAsia="Times New Roman"/>
          <w:sz w:val="20"/>
          <w:szCs w:val="20"/>
        </w:rPr>
      </w:pPr>
      <w:r>
        <w:rPr>
          <w:rFonts w:eastAsia="Times New Roman"/>
          <w:sz w:val="20"/>
          <w:szCs w:val="20"/>
        </w:rPr>
        <w:pict>
          <v:rect id="_x0000_i1058" style="width:415.3pt;height:1.5pt" o:hralign="center" o:hrstd="t" o:hrnoshade="t" o:hr="t" fillcolor="black" stroked="f"/>
        </w:pict>
      </w:r>
    </w:p>
    <w:p w:rsidR="00000000" w:rsidRDefault="00E3336F">
      <w:pPr>
        <w:divId w:val="15869347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u w:val="single"/>
        </w:rPr>
        <w:t>Financing Activities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Net cash flow used for financing activities was $697.3 million for the nine months ended September 30, 2022, as compared to net cash flow provided by financing activities of $130.8 million for the comparable period in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360"/>
        <w:jc w:val="both"/>
        <w:divId w:val="2082288258"/>
        <w:rPr>
          <w:sz w:val="20"/>
          <w:szCs w:val="20"/>
        </w:rPr>
      </w:pPr>
      <w:r>
        <w:rPr>
          <w:sz w:val="20"/>
          <w:szCs w:val="20"/>
        </w:rPr>
        <w:t>Financing activities during th</w:t>
      </w:r>
      <w:r>
        <w:rPr>
          <w:sz w:val="20"/>
          <w:szCs w:val="20"/>
        </w:rPr>
        <w:t>e nine months ended September 30, 2022 primarily consisted of:</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$1.3 billion in proceeds from issuance of the Company’s $600.0 million 3.20% unsecured notes due 2032 and $650.0 million 4.60% senior unsecured notes due 2033;</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 xml:space="preserve">$128.0 </w:t>
            </w:r>
            <w:r>
              <w:rPr>
                <w:sz w:val="20"/>
                <w:szCs w:val="20"/>
              </w:rPr>
              <w:t>million in proceeds from borrowings under the Company’s unsecured revolving credit facility;</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$19.0 million in proceeds from a mortgage loan financing;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$14.9 million in proceeds from issuance of stock.</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$1.4 billion for repayment of four separate senior unsecured notes, which had maturity dates ranging from November 2022 to June 2023;</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$396.2 million of dividends paid;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$165.2 million in principal payment on debt, including normal amortization of rental property debt;</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$59.4 million in redemption/distribution of noncontrolling interests;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$19.3 million in financing origination costs, in connection with the issua</w:t>
            </w:r>
            <w:r>
              <w:rPr>
                <w:sz w:val="20"/>
                <w:szCs w:val="20"/>
              </w:rPr>
              <w:t>nce of senior unsecured notes;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$13.5 million in shares repurchased for employee tax withholding on equity awards;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$7.0 million for payment of early extinguishment of debt charges;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$3.4 million for repurchase of preferred stock.</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360"/>
        <w:jc w:val="both"/>
        <w:divId w:val="2082288258"/>
        <w:rPr>
          <w:sz w:val="20"/>
          <w:szCs w:val="20"/>
        </w:rPr>
      </w:pPr>
      <w:r>
        <w:rPr>
          <w:sz w:val="20"/>
          <w:szCs w:val="20"/>
        </w:rPr>
        <w:t>Financing activities during the nine months ended September 30, 2021 primarily consisted of:</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$500.0 million in proceeds from issuance of 2.25% unsecured notes due 2031;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$79.4 million in proceeds from issuance of common stock, primarily related to the Company’s at-the-market continuous offering program.</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540"/>
        <w:jc w:val="both"/>
        <w:divId w:val="2082288258"/>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$271.0 million of dividends paid;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$143.7 million in principal payment on debt, including norm</w:t>
            </w:r>
            <w:r>
              <w:rPr>
                <w:sz w:val="20"/>
                <w:szCs w:val="20"/>
              </w:rPr>
              <w:t>al amortization of rental property debt;</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$20.8 million in shares repurchased for employee tax withholding on equity awards;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$7.6 million in redemption/distribution of noncontrolling interests; and</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divId w:val="2082288258"/>
          <w:tblCellSpacing w:w="0" w:type="dxa"/>
        </w:trPr>
        <w:tc>
          <w:tcPr>
            <w:tcW w:w="72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w:t>
            </w:r>
          </w:p>
        </w:tc>
        <w:tc>
          <w:tcPr>
            <w:tcW w:w="0" w:type="auto"/>
            <w:hideMark/>
          </w:tcPr>
          <w:p w:rsidR="00000000" w:rsidRDefault="00E3336F">
            <w:pPr>
              <w:pStyle w:val="a3"/>
              <w:spacing w:before="0" w:beforeAutospacing="0" w:after="0" w:afterAutospacing="0"/>
              <w:jc w:val="both"/>
              <w:rPr>
                <w:sz w:val="20"/>
                <w:szCs w:val="20"/>
              </w:rPr>
            </w:pPr>
            <w:r>
              <w:rPr>
                <w:sz w:val="20"/>
                <w:szCs w:val="20"/>
              </w:rPr>
              <w:t>$7.0 million in financing origination costs, in connection with the Company’s issuance of $500.0 million of senior unsecured notes due 2031.</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continually evaluates</w:t>
      </w:r>
      <w:r>
        <w:rPr>
          <w:sz w:val="20"/>
          <w:szCs w:val="20"/>
        </w:rPr>
        <w:t xml:space="preserve"> its debt maturities, and, based on management’s current assessment, believes it has viable financing and refinancing alternatives that will not materially adversely impact its expected financial results. As of September 30, 2022, the Company had consolida</w:t>
      </w:r>
      <w:r>
        <w:rPr>
          <w:sz w:val="20"/>
          <w:szCs w:val="20"/>
        </w:rPr>
        <w:t>ted floating rate debt totaling $146.6 million, excluding deferred financing costs of $3.0 million. The Company continues to pursue borrowing opportunities with large commercial U.S. and global banks, select life insurance companies and certain regional an</w:t>
      </w:r>
      <w:r>
        <w:rPr>
          <w:sz w:val="20"/>
          <w:szCs w:val="20"/>
        </w:rPr>
        <w:t>d local banks.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There are no debt maturities for the remainder of 2022. The Company intends to maintain strong debt service coverage and fixed charge coverage ratios as part of its commitment to maintain or improve its unsecured debt ratings. The Company</w:t>
      </w:r>
      <w:r>
        <w:rPr>
          <w:sz w:val="20"/>
          <w:szCs w:val="20"/>
        </w:rPr>
        <w:t xml:space="preserve"> may, from time to time, seek to obtain funds through additional common and preferred equity offerings, unsecured debt financings and/or mortgage/construction loan financings and other capital alternatives.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Since the completion of the Company’s IPO in 19</w:t>
      </w:r>
      <w:r>
        <w:rPr>
          <w:sz w:val="20"/>
          <w:szCs w:val="20"/>
        </w:rPr>
        <w:t>91, the Company has utilized the public debt and equity markets as its principal source of capital for its expansion needs. Since the IPO, the Company has completed additional offerings of its public unsecured debt and equity, raising in the aggregate over</w:t>
      </w:r>
      <w:r>
        <w:rPr>
          <w:sz w:val="20"/>
          <w:szCs w:val="20"/>
        </w:rPr>
        <w:t xml:space="preserve"> $17.4 billion. Proceeds from public capital market activities have been used for the purposes of, among other things, repaying indebtedness, acquiring interests in open-air, grocery anchored shopping centers and mixed-use assets, expanding and improving p</w:t>
      </w:r>
      <w:r>
        <w:rPr>
          <w:sz w:val="20"/>
          <w:szCs w:val="20"/>
        </w:rPr>
        <w:t>roperties in the portfolio and other investments.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375280370"/>
        <w:rPr>
          <w:rFonts w:eastAsia="Times New Roman"/>
          <w:sz w:val="20"/>
          <w:szCs w:val="20"/>
        </w:rPr>
      </w:pPr>
      <w:r>
        <w:rPr>
          <w:rFonts w:eastAsia="Times New Roman"/>
          <w:sz w:val="20"/>
          <w:szCs w:val="20"/>
        </w:rPr>
        <w:t xml:space="preserve">31 </w:t>
      </w:r>
    </w:p>
    <w:p w:rsidR="00000000" w:rsidRDefault="00E3336F">
      <w:pPr>
        <w:divId w:val="1552618937"/>
        <w:rPr>
          <w:rFonts w:eastAsia="Times New Roman"/>
          <w:sz w:val="20"/>
          <w:szCs w:val="20"/>
        </w:rPr>
      </w:pPr>
      <w:r>
        <w:rPr>
          <w:rFonts w:eastAsia="Times New Roman"/>
          <w:sz w:val="20"/>
          <w:szCs w:val="20"/>
        </w:rPr>
        <w:pict>
          <v:rect id="_x0000_i1059" style="width:415.3pt;height:1.5pt" o:hralign="center" o:hrstd="t" o:hrnoshade="t" o:hr="t" fillcolor="black" stroked="f"/>
        </w:pict>
      </w:r>
    </w:p>
    <w:p w:rsidR="00000000" w:rsidRDefault="00E3336F">
      <w:pPr>
        <w:divId w:val="84070699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During August 2021, the Company filed a shelf registration statement on Form S-3, which is effective for a term of three years, for the future unlimited offerings, from time to time, of debt securities, preferred stock, depositary shares, common stock and </w:t>
      </w:r>
      <w:r>
        <w:rPr>
          <w:sz w:val="20"/>
          <w:szCs w:val="20"/>
        </w:rPr>
        <w:t>common stock warrants. The Company, pursuant to this shelf registration statement may, from time to time, offer for sale its senior unsecured debt securities for any general corporate purposes, including (i) funding specific liquidity requirements in its b</w:t>
      </w:r>
      <w:r>
        <w:rPr>
          <w:sz w:val="20"/>
          <w:szCs w:val="20"/>
        </w:rPr>
        <w:t>usiness, including property acquisitions and development and redevelopment costs and (ii) managing the Company’s debt maturities.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Preferred Stock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The Company’s Board of Director’s authorized the repurchase of up to 900,000 depositary shares of Class </w:t>
      </w:r>
      <w:r>
        <w:rPr>
          <w:sz w:val="20"/>
          <w:szCs w:val="20"/>
        </w:rPr>
        <w:t>L preferred stock and 1,058,000 depositary shares of Class M preferred stock representing up to 1,958 shares the Company’s preferred stock, par value $1.00 per share, through December 31, 2022. During the nine months ended September 30, 2022, the Company r</w:t>
      </w:r>
      <w:r>
        <w:rPr>
          <w:sz w:val="20"/>
          <w:szCs w:val="20"/>
        </w:rPr>
        <w:t>epurchased the following preferred stock:</w:t>
      </w:r>
    </w:p>
    <w:p w:rsidR="00000000" w:rsidRDefault="00E3336F">
      <w:pPr>
        <w:pStyle w:val="a3"/>
        <w:spacing w:before="0" w:beforeAutospacing="0" w:after="0" w:afterAutospacing="0"/>
        <w:divId w:val="2082288258"/>
        <w:rPr>
          <w:sz w:val="20"/>
          <w:szCs w:val="20"/>
        </w:rPr>
      </w:pPr>
      <w:r>
        <w:rPr>
          <w:sz w:val="20"/>
          <w:szCs w:val="20"/>
        </w:rPr>
        <w:t> </w:t>
      </w:r>
    </w:p>
    <w:tbl>
      <w:tblPr>
        <w:tblW w:w="4250" w:type="pct"/>
        <w:tblCellSpacing w:w="0" w:type="dxa"/>
        <w:tblInd w:w="1080" w:type="dxa"/>
        <w:tblCellMar>
          <w:left w:w="0" w:type="dxa"/>
          <w:right w:w="0" w:type="dxa"/>
        </w:tblCellMar>
        <w:tblLook w:val="04A0" w:firstRow="1" w:lastRow="0" w:firstColumn="1" w:lastColumn="0" w:noHBand="0" w:noVBand="1"/>
      </w:tblPr>
      <w:tblGrid>
        <w:gridCol w:w="2254"/>
        <w:gridCol w:w="67"/>
        <w:gridCol w:w="67"/>
        <w:gridCol w:w="2185"/>
        <w:gridCol w:w="67"/>
        <w:gridCol w:w="67"/>
        <w:gridCol w:w="101"/>
        <w:gridCol w:w="2185"/>
        <w:gridCol w:w="67"/>
      </w:tblGrid>
      <w:tr w:rsidR="00000000">
        <w:trPr>
          <w:divId w:val="2082288258"/>
          <w:tblCellSpacing w:w="0" w:type="dxa"/>
        </w:trPr>
        <w:tc>
          <w:tcPr>
            <w:tcW w:w="16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Class of Preferred Stock</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Depositary Shares Repurchased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Purchase Price (in millions)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6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Class L</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54,508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5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6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Class M</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90,760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5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Common Stock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August 2021, the Company established an at-the-market continuous offering program (the “ATM program”) pursuant to which the Company may offer and sell from time-to-time shares of its common stock, par value $0.01 per share, with an aggregate gross s</w:t>
      </w:r>
      <w:r>
        <w:rPr>
          <w:sz w:val="20"/>
          <w:szCs w:val="20"/>
        </w:rPr>
        <w:t>ales price of up to $500.0 million through a consortium of banks acting as sales agents. Sales of the shares of common stock may be made, as needed, from time to time in “at the market” offerings as defined in Rule 415 of the Securities Act of 1933, includ</w:t>
      </w:r>
      <w:r>
        <w:rPr>
          <w:sz w:val="20"/>
          <w:szCs w:val="20"/>
        </w:rPr>
        <w:t>ing by means of ordinary brokers’ transactions on the New York Stock Exchange or otherwise (i) at market prices prevailing at the time of sale, (ii) at prices related to prevailing market prices or (iii) as otherwise agreed to with the applicable sales age</w:t>
      </w:r>
      <w:r>
        <w:rPr>
          <w:sz w:val="20"/>
          <w:szCs w:val="20"/>
        </w:rPr>
        <w:t>nt. In addition, the Company may from time to time enter into separate forward sale agreements with one or more banks. During the nine months ended September 30, 2022, the Company issued 450,000 shares and received net proceeds after commissions of $11.3 m</w:t>
      </w:r>
      <w:r>
        <w:rPr>
          <w:sz w:val="20"/>
          <w:szCs w:val="20"/>
        </w:rPr>
        <w:t>illion. As of September 30, 2022, the Company had $411.0 million available under this ATM program.</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a common share repurchase program, which is scheduled to expire on February 29, 2024. Under this program, the Company may repurchase shares</w:t>
      </w:r>
      <w:r>
        <w:rPr>
          <w:sz w:val="20"/>
          <w:szCs w:val="20"/>
        </w:rPr>
        <w:t xml:space="preserve"> of its common stock, par value $0.01 per share, with an aggregate gross purchase price of up to $300.0 million. The Company did not repurchase any shares under the common share repurchase program during the nine months ended September 30, 2022. As of Sept</w:t>
      </w:r>
      <w:r>
        <w:rPr>
          <w:sz w:val="20"/>
          <w:szCs w:val="20"/>
        </w:rPr>
        <w:t>ember 30, 2022, the Company had $224.9 million available under this common share repurchase program.</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Senior Unsecured Notes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issued the following series of senior unsecured notes (dollars in</w:t>
      </w:r>
      <w:r>
        <w:rPr>
          <w:sz w:val="20"/>
          <w:szCs w:val="20"/>
        </w:rPr>
        <w:t xml:space="preserve"> millions):</w:t>
      </w:r>
    </w:p>
    <w:p w:rsidR="00000000" w:rsidRDefault="00E3336F">
      <w:pPr>
        <w:pStyle w:val="a3"/>
        <w:spacing w:before="0" w:beforeAutospacing="0" w:after="0" w:afterAutospacing="0"/>
        <w:divId w:val="2082288258"/>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1791"/>
        <w:gridCol w:w="72"/>
        <w:gridCol w:w="101"/>
        <w:gridCol w:w="1716"/>
        <w:gridCol w:w="72"/>
        <w:gridCol w:w="72"/>
        <w:gridCol w:w="72"/>
        <w:gridCol w:w="1716"/>
        <w:gridCol w:w="73"/>
        <w:gridCol w:w="73"/>
        <w:gridCol w:w="1717"/>
      </w:tblGrid>
      <w:tr w:rsidR="00000000">
        <w:trPr>
          <w:divId w:val="2082288258"/>
          <w:tblCellSpacing w:w="0" w:type="dxa"/>
        </w:trPr>
        <w:tc>
          <w:tcPr>
            <w:tcW w:w="12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Date Issued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Amount Issued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Maturity Date</w:t>
            </w:r>
          </w:p>
        </w:tc>
      </w:tr>
      <w:tr w:rsidR="00000000">
        <w:trPr>
          <w:divId w:val="2082288258"/>
          <w:tblCellSpacing w:w="0" w:type="dxa"/>
        </w:trPr>
        <w:tc>
          <w:tcPr>
            <w:tcW w:w="12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Aug-22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4.600%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Feb-33</w:t>
            </w:r>
          </w:p>
        </w:tc>
      </w:tr>
      <w:tr w:rsidR="00000000">
        <w:trPr>
          <w:divId w:val="2082288258"/>
          <w:tblCellSpacing w:w="0" w:type="dxa"/>
        </w:trPr>
        <w:tc>
          <w:tcPr>
            <w:tcW w:w="12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Feb-22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600.0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3.200%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Apr-32</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fully repaid the following senior unsecured notes (dollars in millions):</w:t>
      </w:r>
    </w:p>
    <w:p w:rsidR="00000000" w:rsidRDefault="00E3336F">
      <w:pPr>
        <w:pStyle w:val="a3"/>
        <w:spacing w:before="0" w:beforeAutospacing="0" w:after="0" w:afterAutospacing="0"/>
        <w:divId w:val="2082288258"/>
        <w:rPr>
          <w:sz w:val="20"/>
          <w:szCs w:val="20"/>
        </w:rPr>
      </w:pPr>
      <w:r>
        <w:rPr>
          <w:sz w:val="20"/>
          <w:szCs w:val="20"/>
        </w:rPr>
        <w:t> </w:t>
      </w:r>
    </w:p>
    <w:tbl>
      <w:tblPr>
        <w:tblW w:w="4500" w:type="pct"/>
        <w:tblCellSpacing w:w="0" w:type="dxa"/>
        <w:tblInd w:w="540" w:type="dxa"/>
        <w:tblCellMar>
          <w:left w:w="0" w:type="dxa"/>
          <w:right w:w="0" w:type="dxa"/>
        </w:tblCellMar>
        <w:tblLook w:val="04A0" w:firstRow="1" w:lastRow="0" w:firstColumn="1" w:lastColumn="0" w:noHBand="0" w:noVBand="1"/>
      </w:tblPr>
      <w:tblGrid>
        <w:gridCol w:w="1791"/>
        <w:gridCol w:w="72"/>
        <w:gridCol w:w="101"/>
        <w:gridCol w:w="1716"/>
        <w:gridCol w:w="72"/>
        <w:gridCol w:w="72"/>
        <w:gridCol w:w="72"/>
        <w:gridCol w:w="1716"/>
        <w:gridCol w:w="73"/>
        <w:gridCol w:w="73"/>
        <w:gridCol w:w="1717"/>
      </w:tblGrid>
      <w:tr w:rsidR="00000000">
        <w:trPr>
          <w:divId w:val="2082288258"/>
          <w:tblCellSpacing w:w="0" w:type="dxa"/>
        </w:trPr>
        <w:tc>
          <w:tcPr>
            <w:tcW w:w="12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Date Paid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Amount Repaid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Maturity Date</w:t>
            </w:r>
          </w:p>
        </w:tc>
      </w:tr>
      <w:tr w:rsidR="00000000">
        <w:trPr>
          <w:divId w:val="2082288258"/>
          <w:tblCellSpacing w:w="0" w:type="dxa"/>
        </w:trPr>
        <w:tc>
          <w:tcPr>
            <w:tcW w:w="12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Sep-22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299.7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Apr-23</w:t>
            </w:r>
          </w:p>
        </w:tc>
      </w:tr>
      <w:tr w:rsidR="00000000">
        <w:trPr>
          <w:divId w:val="2082288258"/>
          <w:tblCellSpacing w:w="0" w:type="dxa"/>
        </w:trPr>
        <w:tc>
          <w:tcPr>
            <w:tcW w:w="12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Sep-22 (1) (2)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350.0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3.125%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Jun-23</w:t>
            </w:r>
          </w:p>
        </w:tc>
      </w:tr>
      <w:tr w:rsidR="00000000">
        <w:trPr>
          <w:divId w:val="2082288258"/>
          <w:tblCellSpacing w:w="0" w:type="dxa"/>
        </w:trPr>
        <w:tc>
          <w:tcPr>
            <w:tcW w:w="12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Sep-22 (1)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299.4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3.375%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Oct-22</w:t>
            </w:r>
          </w:p>
        </w:tc>
      </w:tr>
      <w:tr w:rsidR="00000000">
        <w:trPr>
          <w:divId w:val="2082288258"/>
          <w:tblCellSpacing w:w="0" w:type="dxa"/>
        </w:trPr>
        <w:tc>
          <w:tcPr>
            <w:tcW w:w="12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Mar-22 (3)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500.0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3.400%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Nov-22</w:t>
            </w:r>
          </w:p>
        </w:tc>
      </w:tr>
    </w:tbl>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082288258"/>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0" w:type="auto"/>
            <w:hideMark/>
          </w:tcPr>
          <w:p w:rsidR="00000000" w:rsidRDefault="00E3336F">
            <w:pPr>
              <w:pStyle w:val="a3"/>
              <w:spacing w:before="0" w:beforeAutospacing="0" w:after="0" w:afterAutospacing="0"/>
              <w:rPr>
                <w:sz w:val="20"/>
                <w:szCs w:val="20"/>
              </w:rPr>
            </w:pPr>
            <w:r>
              <w:rPr>
                <w:sz w:val="20"/>
                <w:szCs w:val="20"/>
              </w:rPr>
              <w:t>There were no prepayment charges associated with this early repayment.</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082288258"/>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(2)</w:t>
            </w:r>
          </w:p>
        </w:tc>
        <w:tc>
          <w:tcPr>
            <w:tcW w:w="0" w:type="auto"/>
            <w:hideMark/>
          </w:tcPr>
          <w:p w:rsidR="00000000" w:rsidRDefault="00E3336F">
            <w:pPr>
              <w:pStyle w:val="a3"/>
              <w:spacing w:before="0" w:beforeAutospacing="0" w:after="0" w:afterAutospacing="0"/>
              <w:rPr>
                <w:sz w:val="20"/>
                <w:szCs w:val="20"/>
              </w:rPr>
            </w:pPr>
            <w:r>
              <w:rPr>
                <w:sz w:val="20"/>
                <w:szCs w:val="20"/>
              </w:rPr>
              <w:t>Includes partial repayments during May and June 2022.</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divId w:val="2082288258"/>
          <w:tblCellSpacing w:w="0" w:type="dxa"/>
        </w:trPr>
        <w:tc>
          <w:tcPr>
            <w:tcW w:w="36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(3)</w:t>
            </w:r>
          </w:p>
        </w:tc>
        <w:tc>
          <w:tcPr>
            <w:tcW w:w="0" w:type="auto"/>
            <w:hideMark/>
          </w:tcPr>
          <w:p w:rsidR="00000000" w:rsidRDefault="00E3336F">
            <w:pPr>
              <w:pStyle w:val="a3"/>
              <w:spacing w:before="0" w:beforeAutospacing="0" w:after="0" w:afterAutospacing="0"/>
              <w:rPr>
                <w:sz w:val="20"/>
                <w:szCs w:val="20"/>
              </w:rPr>
            </w:pPr>
            <w:r>
              <w:rPr>
                <w:sz w:val="20"/>
                <w:szCs w:val="20"/>
              </w:rPr>
              <w:t>The Company incurred a prepayment charge of $6.5 million and $0.7 million in write-off of deferred financing costs resulting from this early repayment, which are included in Early extinguishment of debt charges on the Company's Condensed Consolidated State</w:t>
            </w:r>
            <w:r>
              <w:rPr>
                <w:sz w:val="20"/>
                <w:szCs w:val="20"/>
              </w:rPr>
              <w:t>ments of Income.</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indenture governing its senior unsecured notes contains the following covenants, all of which the Company is compliant with:</w:t>
      </w:r>
    </w:p>
    <w:p w:rsidR="00000000" w:rsidRDefault="00E3336F">
      <w:pPr>
        <w:pStyle w:val="a3"/>
        <w:spacing w:before="0" w:beforeAutospacing="0" w:after="0" w:afterAutospacing="0"/>
        <w:divId w:val="2082288258"/>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4892"/>
        <w:gridCol w:w="79"/>
        <w:gridCol w:w="1184"/>
        <w:gridCol w:w="79"/>
        <w:gridCol w:w="1578"/>
        <w:gridCol w:w="79"/>
      </w:tblGrid>
      <w:tr w:rsidR="00000000">
        <w:trPr>
          <w:divId w:val="2082288258"/>
          <w:tblCellSpacing w:w="0" w:type="dxa"/>
        </w:trPr>
        <w:tc>
          <w:tcPr>
            <w:tcW w:w="31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Consolidated Indebtedness to Total Assets</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&lt;40%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&gt;1.50x</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4.2x</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2.5x</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2000844676"/>
        <w:rPr>
          <w:rFonts w:eastAsia="Times New Roman"/>
          <w:sz w:val="20"/>
          <w:szCs w:val="20"/>
        </w:rPr>
      </w:pPr>
      <w:r>
        <w:rPr>
          <w:rFonts w:eastAsia="Times New Roman"/>
          <w:sz w:val="20"/>
          <w:szCs w:val="20"/>
        </w:rPr>
        <w:t xml:space="preserve">32 </w:t>
      </w:r>
    </w:p>
    <w:p w:rsidR="00000000" w:rsidRDefault="00E3336F">
      <w:pPr>
        <w:divId w:val="1887794115"/>
        <w:rPr>
          <w:rFonts w:eastAsia="Times New Roman"/>
          <w:sz w:val="20"/>
          <w:szCs w:val="20"/>
        </w:rPr>
      </w:pPr>
      <w:r>
        <w:rPr>
          <w:rFonts w:eastAsia="Times New Roman"/>
          <w:sz w:val="20"/>
          <w:szCs w:val="20"/>
        </w:rPr>
        <w:pict>
          <v:rect id="_x0000_i1060" style="width:415.3pt;height:1.5pt" o:hralign="center" o:hrstd="t" o:hrnoshade="t" o:hr="t" fillcolor="black" stroked="f"/>
        </w:pict>
      </w:r>
    </w:p>
    <w:p w:rsidR="00000000" w:rsidRDefault="00E3336F">
      <w:pPr>
        <w:divId w:val="569004324"/>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w:t>
      </w:r>
      <w:r>
        <w:rPr>
          <w:sz w:val="20"/>
          <w:szCs w:val="20"/>
        </w:rPr>
        <w:t>dated June 2, 2006; the Fourth Supplemental Indenture dated April 26, 2007; the Fifth Supplemental Indenture dated as of September 24, 2009; the Sixth Supplemental Indenture dated as of May 23, 2013; and the Seventh Supplemental Indenture dated as of April</w:t>
      </w:r>
      <w:r>
        <w:rPr>
          <w:sz w:val="20"/>
          <w:szCs w:val="20"/>
        </w:rPr>
        <w:t xml:space="preserve"> 24, 2014, each as filed with the SEC. In connection with the Merger, the Company assumed senior unsecured notes which have covenants that are similar to the Company’s existing debt covenants for its senior unsecured notes. Please refer to the form Indentu</w:t>
      </w:r>
      <w:r>
        <w:rPr>
          <w:sz w:val="20"/>
          <w:szCs w:val="20"/>
        </w:rPr>
        <w:t>re included in Weingarten’s Registration Statement on Form S-3, filed with the Securities and Exchange Commission on February 10, 1995, the First Supplemental Indenture, dated as of August 2, 2006 filed with Weingarten’s Current Report on Form 8-K dated Au</w:t>
      </w:r>
      <w:r>
        <w:rPr>
          <w:sz w:val="20"/>
          <w:szCs w:val="20"/>
        </w:rPr>
        <w:t>gust 2, 2006, and the Second Supplemental Indenture, dated as of October 9, 2012 filed with Weingarten’s Current Report on Form 8-K dated October 9, 2012. See the Exhibits Index to our Annual Report on Form 10-K for the year ended December 31, 2021 for spe</w:t>
      </w:r>
      <w:r>
        <w:rPr>
          <w:sz w:val="20"/>
          <w:szCs w:val="20"/>
        </w:rPr>
        <w:t>cific filing information.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Credit Facility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a $2.0 billion unsecured revolving credit facility (the “Credit Facility”) with a group of banks which is scheduled to expire in March 2024, with two additional six-month options to extend the</w:t>
      </w:r>
      <w:r>
        <w:rPr>
          <w:sz w:val="20"/>
          <w:szCs w:val="20"/>
        </w:rPr>
        <w:t xml:space="preserve"> maturity date, at the Company’s discretion, to March 2025. The Credit Facility is a green credit facility tied to sustainability metric targets, as described in the agreement. In July 2022, the Company amended the Credit Facility to (i) replace LIBOR borr</w:t>
      </w:r>
      <w:r>
        <w:rPr>
          <w:sz w:val="20"/>
          <w:szCs w:val="20"/>
        </w:rPr>
        <w:t xml:space="preserve">owings with Secured Overnight Financing Rate (“SOFR”) borrowings, (ii) supplement the sustainability grid with an additional one basis point reduction of applicable margin if certain criteria as defined in the Credit Facility are met, (iii) add a leverage </w:t>
      </w:r>
      <w:r>
        <w:rPr>
          <w:sz w:val="20"/>
          <w:szCs w:val="20"/>
        </w:rPr>
        <w:t>metric test which, if met, reduces the applicable margin by five basis points and (iv) obtain pre-approval of a possible organizational conversion to an UPREIT structure. The Company achieved such sustainability metric targets, which effectively reduced th</w:t>
      </w:r>
      <w:r>
        <w:rPr>
          <w:sz w:val="20"/>
          <w:szCs w:val="20"/>
        </w:rPr>
        <w:t>e rate on the Credit Facility by two basis points. The Credit Facility, which accrues interest at a rate of Adjusted Term SOFR, as defined in the terms of the Credit Facility, plus 75.5 basis points (3.85% as of September 30, 2022), can be increased to $2.</w:t>
      </w:r>
      <w:r>
        <w:rPr>
          <w:sz w:val="20"/>
          <w:szCs w:val="20"/>
        </w:rPr>
        <w:t>75 billion through an accordion feature. Pursuant to the terms of the Credit Facility, the Company, among other things, is subject to covenants requiring the maintenance of (i) maximum indebtedness ratios and (ii) minimum interest and fixed charge coverage</w:t>
      </w:r>
      <w:r>
        <w:rPr>
          <w:sz w:val="20"/>
          <w:szCs w:val="20"/>
        </w:rPr>
        <w:t xml:space="preserve"> ratios. As of September 30, 2022, the Credit Facility had an outstanding balance of $128.0 million and appropriations for letters of credit of $1.2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Pursuant to the terms of the Credit Facility, the Company, among other things, is subject to maintenance of various covenants. The Company is currently in compliance with these covenants. The financial covenants for the Credit Facility are as follows:</w:t>
      </w:r>
    </w:p>
    <w:p w:rsidR="00000000" w:rsidRDefault="00E3336F">
      <w:pPr>
        <w:pStyle w:val="a3"/>
        <w:spacing w:before="0" w:beforeAutospacing="0" w:after="0" w:afterAutospacing="0"/>
        <w:divId w:val="2082288258"/>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4892"/>
        <w:gridCol w:w="79"/>
        <w:gridCol w:w="1184"/>
        <w:gridCol w:w="79"/>
        <w:gridCol w:w="1578"/>
        <w:gridCol w:w="79"/>
      </w:tblGrid>
      <w:tr w:rsidR="00000000">
        <w:trPr>
          <w:divId w:val="2082288258"/>
          <w:tblCellSpacing w:w="0" w:type="dxa"/>
        </w:trPr>
        <w:tc>
          <w:tcPr>
            <w:tcW w:w="31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Co</w:t>
            </w:r>
            <w:r>
              <w:rPr>
                <w:b/>
                <w:bCs/>
                <w:sz w:val="20"/>
                <w:szCs w:val="20"/>
              </w:rPr>
              <w:t>venant</w:t>
            </w:r>
          </w:p>
        </w:tc>
        <w:tc>
          <w:tcPr>
            <w:tcW w:w="50" w:type="pct"/>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Must Be</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10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As of September 30, 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Total Indebtedness to Gross Asset Value (“GAV”)</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&lt;60%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&lt;35%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&gt;1.75x</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4.6x</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31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rsidR="00000000" w:rsidRDefault="00E3336F">
            <w:pPr>
              <w:jc w:val="cente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&gt;1.50x</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10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4.1x</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For a full description of the Credit Facility’s covenants, refer to Amendment No. 2 dated July 12, 2022 to Amended and Restated Credit Agreement, dated February 27, 2020, filed as Exhibit 10.1 to the Company’s Quarterly Report on Form 10-Q dated July 29, 2</w:t>
      </w:r>
      <w:r>
        <w:rPr>
          <w:sz w:val="20"/>
          <w:szCs w:val="20"/>
        </w:rPr>
        <w:t>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Mortgages Payable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(i) obtained a $19.0 million mortgage relating to a consolidated joint venture operating property and (ii) repaid $158.4 million of mortgage debt (including fair market value adjustment of $0.5 m</w:t>
      </w:r>
      <w:r>
        <w:rPr>
          <w:sz w:val="20"/>
          <w:szCs w:val="20"/>
        </w:rPr>
        <w:t>illion) that encumbered 11 operating properties.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 addition to the public equity and debt markets as capital sources, the Company may, from time to time, obtain mortgage financing on selected properties to partially fund the capital needs of its real es</w:t>
      </w:r>
      <w:r>
        <w:rPr>
          <w:sz w:val="20"/>
          <w:szCs w:val="20"/>
        </w:rPr>
        <w:t>tate re-development and re-tenanting projects. As of September 30, 2022, the Company had over 485 unencumbered property interests in its portfolio.</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Other </w:t>
      </w:r>
      <w:r>
        <w:rPr>
          <w:sz w:val="20"/>
          <w:szCs w:val="20"/>
        </w:rPr>
        <w:t>–</w:t>
      </w:r>
      <w:r>
        <w:rPr>
          <w:i/>
          <w:iCs/>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left="-20"/>
        <w:jc w:val="both"/>
        <w:divId w:val="2082288258"/>
        <w:rPr>
          <w:sz w:val="20"/>
          <w:szCs w:val="20"/>
        </w:rPr>
      </w:pPr>
      <w:r>
        <w:rPr>
          <w:sz w:val="20"/>
          <w:szCs w:val="20"/>
        </w:rPr>
        <w:t>As of September 30, 2022, the Company held 39.8 million shares in Albertsons Companies, Inc. (“</w:t>
      </w:r>
      <w:r>
        <w:rPr>
          <w:sz w:val="20"/>
          <w:szCs w:val="20"/>
        </w:rPr>
        <w:t>ACI”) with a fair value of $990.4 million.  On October 14, 2022, The Kroger Co. (“Kroger”) and ACI announced a definitive merger agreement (“ACI Merger”), with Kroger continuing as the surviving public company. In connection with the ACI Merger, ACI announ</w:t>
      </w:r>
      <w:r>
        <w:rPr>
          <w:sz w:val="20"/>
          <w:szCs w:val="20"/>
        </w:rPr>
        <w:t xml:space="preserve">ced a $6.85 per share special cash dividend payable on November 7, 2022 to ACI shareholders of record as of the close of business on October 24, 2022.  Subsequent to the ACI Merger announcement, in October 2022, the Company sold 11.5 million of its shares </w:t>
      </w:r>
      <w:r>
        <w:rPr>
          <w:sz w:val="20"/>
          <w:szCs w:val="20"/>
        </w:rPr>
        <w:t>in ACI, generating net proceeds of approximately $301.1 million. The Company still retains 28.3 million shares of ACI, of which 28.0 million shares are subject to certain contractual lock-up provisions that expire in May 2023.  As a result of the anticipat</w:t>
      </w:r>
      <w:r>
        <w:rPr>
          <w:sz w:val="20"/>
          <w:szCs w:val="20"/>
        </w:rPr>
        <w:t xml:space="preserve">ed special cash dividend from ACI (estimated to be $194.1 million to the Company), the Company is expecting to make a special dividend in connection with maintaining compliance with its REIT distribution requirements. A special dividend by the Company may </w:t>
      </w:r>
      <w:r>
        <w:rPr>
          <w:sz w:val="20"/>
          <w:szCs w:val="20"/>
        </w:rPr>
        <w:t>take the form of cash or some combination of cash and the Company's common stock. The Company’s determination regarding any such special dividend and the form thereof will be made and announced by year end.</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815565379"/>
        <w:rPr>
          <w:rFonts w:eastAsia="Times New Roman"/>
          <w:sz w:val="20"/>
          <w:szCs w:val="20"/>
        </w:rPr>
      </w:pPr>
      <w:r>
        <w:rPr>
          <w:rFonts w:eastAsia="Times New Roman"/>
          <w:sz w:val="20"/>
          <w:szCs w:val="20"/>
        </w:rPr>
        <w:t xml:space="preserve">33 </w:t>
      </w:r>
    </w:p>
    <w:p w:rsidR="00000000" w:rsidRDefault="00E3336F">
      <w:pPr>
        <w:divId w:val="1271355332"/>
        <w:rPr>
          <w:rFonts w:eastAsia="Times New Roman"/>
          <w:sz w:val="20"/>
          <w:szCs w:val="20"/>
        </w:rPr>
      </w:pPr>
      <w:r>
        <w:rPr>
          <w:rFonts w:eastAsia="Times New Roman"/>
          <w:sz w:val="20"/>
          <w:szCs w:val="20"/>
        </w:rPr>
        <w:pict>
          <v:rect id="_x0000_i1061" style="width:415.3pt;height:1.5pt" o:hralign="center" o:hrstd="t" o:hrnoshade="t" o:hr="t" fillcolor="black" stroked="f"/>
        </w:pict>
      </w:r>
    </w:p>
    <w:p w:rsidR="00000000" w:rsidRDefault="00E3336F">
      <w:pPr>
        <w:divId w:val="56853592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issued letters of credi</w:t>
      </w:r>
      <w:r>
        <w:rPr>
          <w:sz w:val="20"/>
          <w:szCs w:val="20"/>
        </w:rPr>
        <w:t>t in connection with the completion and repayment guarantees primarily on certain of the Company’s redevelopment projects and guaranty of payment related to the Company’s insurance program. At September 30, 2022, these letters of credit aggregated $44.2 mi</w:t>
      </w:r>
      <w:r>
        <w:rPr>
          <w:sz w:val="20"/>
          <w:szCs w:val="20"/>
        </w:rPr>
        <w:t>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an investment with a funding commitment of $27.5 million, of which $13.1 million has been funded as of September 30,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 connection with the construction of its development and redevelopment projects and related infrastructu</w:t>
      </w:r>
      <w:r>
        <w:rPr>
          <w:sz w:val="20"/>
          <w:szCs w:val="20"/>
        </w:rPr>
        <w:t>re, certain public agencies require posting of performance and surety bonds to guarantee that the Company’s obligations are satisfied. These bonds expire upon the completion of the improvements and infrastructure. As of September 30, 2022, there were $18.5</w:t>
      </w:r>
      <w:r>
        <w:rPr>
          <w:sz w:val="20"/>
          <w:szCs w:val="20"/>
        </w:rPr>
        <w:t xml:space="preserve"> million in performance and surety bonds outstanding.</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 connection with the Merger, the Company now provides a guaranty for the payment of any debt service shortfalls on the Sheridan Redevelopment Agency issued Series A bonds which are tax increment rev</w:t>
      </w:r>
      <w:r>
        <w:rPr>
          <w:sz w:val="20"/>
          <w:szCs w:val="20"/>
        </w:rPr>
        <w:t xml:space="preserve">enue bonds issued in connection with a development project in Sheridan, Colorado. These tax increment revenue bonds have a balance of $49.7 million outstanding at September 30, 2022. The bonds are to be repaid with incremental sales and property taxes and </w:t>
      </w:r>
      <w:r>
        <w:rPr>
          <w:sz w:val="20"/>
          <w:szCs w:val="20"/>
        </w:rPr>
        <w:t>a public improvement fee ("PIF") to be assessed on current and future retail sales and, to the extent necessary, any amounts we may have to provide under a guaranty. The revenue generated from incremental sales, property taxes and PIF have satisfied the de</w:t>
      </w:r>
      <w:r>
        <w:rPr>
          <w:sz w:val="20"/>
          <w:szCs w:val="20"/>
        </w:rPr>
        <w:t>bt service requirements to date. The incremental taxes and PIF are to remain intact until the earlier of the payment of the bond liability in full or 2040.</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i/>
          <w:iCs/>
          <w:sz w:val="20"/>
          <w:szCs w:val="20"/>
        </w:rPr>
        <w:t xml:space="preserve">Dividends </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In connection with its intention to continue to qualify as a REIT for U.S. federal income tax purposes, the Company expects to continue paying regular dividends to its stockholders. These dividends will be paid from operating cash flows. The Company’s Boar</w:t>
      </w:r>
      <w:r>
        <w:rPr>
          <w:sz w:val="20"/>
          <w:szCs w:val="20"/>
        </w:rPr>
        <w:t>d of Directors will continue to evaluate the Company’s dividend policy on a quarterly basis as they monitor sources of capital and evaluate the impact of the economy and capital markets availability on operating fundamentals. Since cash used to pay dividen</w:t>
      </w:r>
      <w:r>
        <w:rPr>
          <w:sz w:val="20"/>
          <w:szCs w:val="20"/>
        </w:rPr>
        <w:t>ds reduces amounts available for capital investment, the Company generally intends to maintain a dividend payout ratio that reserves such amounts as it considers necessary for the expansion and renovation of shopping centers in its portfolio, debt reductio</w:t>
      </w:r>
      <w:r>
        <w:rPr>
          <w:sz w:val="20"/>
          <w:szCs w:val="20"/>
        </w:rPr>
        <w:t>n, the acquisition of interests in new properties and other investments as suitable opportunities arise and such other factors as the Board of Directors considers appropriate. Cash dividends paid for common and preferred issuances of stock for the nine mon</w:t>
      </w:r>
      <w:r>
        <w:rPr>
          <w:sz w:val="20"/>
          <w:szCs w:val="20"/>
        </w:rPr>
        <w:t>ths ended September 30, 2022 and 2021 were $396.2 million and $271.0 million, respectively.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Although the Company receives substantially all of its rental payments on a monthly basis, it generally intends to continue paying dividends quarterly. Amounts ac</w:t>
      </w:r>
      <w:r>
        <w:rPr>
          <w:sz w:val="20"/>
          <w:szCs w:val="20"/>
        </w:rPr>
        <w:t>cumulated in advance of each quarterly distribution will be invested by the Company in short-term money market or other suitable instruments. The Company’s objective is to establish a dividend level that maintains compliance with the Company’s REIT taxable</w:t>
      </w:r>
      <w:r>
        <w:rPr>
          <w:sz w:val="20"/>
          <w:szCs w:val="20"/>
        </w:rPr>
        <w:t xml:space="preserve"> income distribution requirements. On July 26, 2022, the Company’s Board of Directors declared a quarterly dividend with respect to the Company’s classes of cumulative redeemable preferred shares (Classes L and M) which were paid on October 17, 2022 to sha</w:t>
      </w:r>
      <w:r>
        <w:rPr>
          <w:sz w:val="20"/>
          <w:szCs w:val="20"/>
        </w:rPr>
        <w:t>reholders of record on October 3, 2022. In addition, the Company’s Board of Directors declared a quarterly cash dividend of $0.22 per common share, which was paid on September 23, 2022 to shareholders of record on September 9,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On October 25, 2022, </w:t>
      </w:r>
      <w:r>
        <w:rPr>
          <w:sz w:val="20"/>
          <w:szCs w:val="20"/>
        </w:rPr>
        <w:t>the Company’s Board of Directors declared quarterly dividends with respect to the Company’s classes of cumulative redeemable preferred shares (Classes L and M), which are scheduled to be paid on January 17, 2023, to shareholders of record on December 30, 2</w:t>
      </w:r>
      <w:r>
        <w:rPr>
          <w:sz w:val="20"/>
          <w:szCs w:val="20"/>
        </w:rPr>
        <w:t xml:space="preserve">022. Additionally, on October 25, 2022, the Company’s Board of Directors declared a quarterly cash dividend of $0.23 per common share, representing a 4.5% increase from the prior quarterly dividend of $0.22, payable on December 23, 2022 to shareholders of </w:t>
      </w:r>
      <w:r>
        <w:rPr>
          <w:sz w:val="20"/>
          <w:szCs w:val="20"/>
        </w:rPr>
        <w:t>record on December 9,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Funds From Operations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Funds From Operations (“FFO”) is a supplemental non-GAAP financial measure utilized to evaluate the operating performance of real estate companies. NAREIT defines FFO as net income/(loss) available to t</w:t>
      </w:r>
      <w:r>
        <w:rPr>
          <w:sz w:val="20"/>
          <w:szCs w:val="20"/>
        </w:rPr>
        <w:t xml:space="preserve">he Company’s common shareholders computed in accordance with generally accepted accounting principles in the United States (“GAAP”), excluding (i) depreciation and amortization related to real estate, (ii) gains or losses from sales of certain real estate </w:t>
      </w:r>
      <w:r>
        <w:rPr>
          <w:sz w:val="20"/>
          <w:szCs w:val="20"/>
        </w:rPr>
        <w:t>assets, (iii) gains and losses from change in control, (iv) impairment write-downs of certain real estate assets and investments in entities when the impairment is directly attributable to decreases in the value of depreciable real estate held by the entit</w:t>
      </w:r>
      <w:r>
        <w:rPr>
          <w:sz w:val="20"/>
          <w:szCs w:val="20"/>
        </w:rPr>
        <w:t>y and (v) after adjustments for unconsolidated partnerships and joint ventures calculated to reflect FFO on the same basis. The Company also made an election, per the NAREIT Funds From Operations White Paper-2018 Restatement, to exclude from its calculatio</w:t>
      </w:r>
      <w:r>
        <w:rPr>
          <w:sz w:val="20"/>
          <w:szCs w:val="20"/>
        </w:rPr>
        <w:t>n of FFO (i) gains and losses on the sale of assets and impairments of assets incidental to its main business and (ii) mark-to-market changes in the value of its equity securities. As such, the Company does not include gains/impairments on land parcels, ga</w:t>
      </w:r>
      <w:r>
        <w:rPr>
          <w:sz w:val="20"/>
          <w:szCs w:val="20"/>
        </w:rPr>
        <w:t>ins/losses (realized or unrealized) from marketable securities, allowance for credit losses on mortgage receivables or gains/impairments on preferred equity participations in NAREIT defined FFO.</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304941137"/>
        <w:rPr>
          <w:rFonts w:eastAsia="Times New Roman"/>
          <w:sz w:val="20"/>
          <w:szCs w:val="20"/>
        </w:rPr>
      </w:pPr>
      <w:r>
        <w:rPr>
          <w:rFonts w:eastAsia="Times New Roman"/>
          <w:sz w:val="20"/>
          <w:szCs w:val="20"/>
        </w:rPr>
        <w:t xml:space="preserve">34 </w:t>
      </w:r>
    </w:p>
    <w:p w:rsidR="00000000" w:rsidRDefault="00E3336F">
      <w:pPr>
        <w:divId w:val="1454710774"/>
        <w:rPr>
          <w:rFonts w:eastAsia="Times New Roman"/>
          <w:sz w:val="20"/>
          <w:szCs w:val="20"/>
        </w:rPr>
      </w:pPr>
      <w:r>
        <w:rPr>
          <w:rFonts w:eastAsia="Times New Roman"/>
          <w:sz w:val="20"/>
          <w:szCs w:val="20"/>
        </w:rPr>
        <w:pict>
          <v:rect id="_x0000_i1062" style="width:415.3pt;height:1.5pt" o:hralign="center" o:hrstd="t" o:hrnoshade="t" o:hr="t" fillcolor="black" stroked="f"/>
        </w:pict>
      </w:r>
    </w:p>
    <w:p w:rsidR="00000000" w:rsidRDefault="00E3336F">
      <w:pPr>
        <w:divId w:val="3470307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presents FFO available to the Company’s</w:t>
      </w:r>
      <w:r>
        <w:rPr>
          <w:sz w:val="20"/>
          <w:szCs w:val="20"/>
        </w:rPr>
        <w:t xml:space="preserve"> common shareholders as it considers it an important supplemental measure of our operating performance and believes it is frequently used by securities analysts, investors and other interested parties in the evaluation of REITs, many of which present FFO a</w:t>
      </w:r>
      <w:r>
        <w:rPr>
          <w:sz w:val="20"/>
          <w:szCs w:val="20"/>
        </w:rPr>
        <w:t>vailable to the Company’s common shareholders when reporting results. Comparison of our presentation of FFO available to the Company’s common shareholders to similarly titled measures for other REITs may not necessarily be meaningful due to possible differ</w:t>
      </w:r>
      <w:r>
        <w:rPr>
          <w:sz w:val="20"/>
          <w:szCs w:val="20"/>
        </w:rPr>
        <w:t>ences in the application of the NAREIT definition used by such REITs.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FFO is a supplemental non-GAAP financial measure of real estate companies’ operating performances, which does not represent cash generated from operating activities in accordance with </w:t>
      </w:r>
      <w:r>
        <w:rPr>
          <w:sz w:val="20"/>
          <w:szCs w:val="20"/>
        </w:rPr>
        <w:t>GAAP and therefore, should not be considered an alternative for net income or cash flows from operations as a measure of liquidity.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reconciliation of Net income available to the Company’s common shareholders to FFO available to the Company</w:t>
      </w:r>
      <w:r>
        <w:rPr>
          <w:sz w:val="20"/>
          <w:szCs w:val="20"/>
        </w:rPr>
        <w:t>’s common shareholders is reflected in the table below (in thousands, except per share data).</w:t>
      </w:r>
    </w:p>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1"/>
        <w:gridCol w:w="77"/>
        <w:gridCol w:w="100"/>
        <w:gridCol w:w="825"/>
        <w:gridCol w:w="77"/>
        <w:gridCol w:w="78"/>
        <w:gridCol w:w="100"/>
        <w:gridCol w:w="826"/>
        <w:gridCol w:w="78"/>
        <w:gridCol w:w="78"/>
        <w:gridCol w:w="100"/>
        <w:gridCol w:w="826"/>
        <w:gridCol w:w="78"/>
        <w:gridCol w:w="78"/>
        <w:gridCol w:w="100"/>
        <w:gridCol w:w="826"/>
        <w:gridCol w:w="78"/>
      </w:tblGrid>
      <w:tr w:rsidR="00000000">
        <w:trPr>
          <w:divId w:val="2082288258"/>
          <w:tblCellSpacing w:w="0" w:type="dxa"/>
        </w:trPr>
        <w:tc>
          <w:tcPr>
            <w:tcW w:w="24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 xml:space="preserve">51,647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501,385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 xml:space="preserve">156,844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743,316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Gain on sale of properties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(7,998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(38,182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(5,283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124,478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113,404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377,611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259,298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16,667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15,365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50,168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35,605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Impairment charges (including real estate joint ventures)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7,735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2,041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25,668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3,213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Profit participation from other investments,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2,380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(11,009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1,229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Loss/(gain) on marketable securities,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(457,127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215,194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(542,510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(Benefit)/provision for income taxes, net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(235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2,177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Noncontrolling interests (1)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(4,144</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(1,805</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(23,603</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551</w:t>
            </w:r>
          </w:p>
        </w:tc>
        <w:tc>
          <w:tcPr>
            <w:tcW w:w="50" w:type="pct"/>
            <w:shd w:val="clear" w:color="auto" w:fill="FFFF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rPr>
              <w:t>FFO available to the Company</w:t>
            </w:r>
            <w:r>
              <w:rPr>
                <w:sz w:val="20"/>
                <w:szCs w:val="20"/>
              </w:rPr>
              <w:t>’</w:t>
            </w:r>
            <w:r>
              <w:rPr>
                <w:b/>
                <w:bCs/>
                <w:sz w:val="20"/>
                <w:szCs w:val="20"/>
              </w:rPr>
              <w:t>s common shareholders (3)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254,470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173,703</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 xml:space="preserve">741,498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466,755</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Weighted average shares outstanding for FFO calculations: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Basic</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615,832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546,842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615,417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469,885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ind w:left="180"/>
              <w:rPr>
                <w:sz w:val="20"/>
                <w:szCs w:val="20"/>
              </w:rPr>
            </w:pPr>
            <w:r>
              <w:rPr>
                <w:sz w:val="20"/>
                <w:szCs w:val="20"/>
              </w:rPr>
              <w:t>Units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2,626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2,498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2,642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2,133</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1,718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2,392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1,837</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Diluted (2)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620,523</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551,186</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620,307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sz w:val="20"/>
                <w:szCs w:val="20"/>
              </w:rPr>
              <w:t>474,364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FFFFFF"/>
            <w:vAlign w:val="bottom"/>
            <w:hideMark/>
          </w:tcPr>
          <w:p w:rsidR="00000000" w:rsidRDefault="00E3336F">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basic</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0.41</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0.32</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1.20</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0.99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rPr>
              <w:t xml:space="preserve">FFO per common share </w:t>
            </w:r>
            <w:r>
              <w:rPr>
                <w:sz w:val="20"/>
                <w:szCs w:val="20"/>
              </w:rPr>
              <w:t>–</w:t>
            </w:r>
            <w:r>
              <w:rPr>
                <w:b/>
                <w:bCs/>
                <w:sz w:val="20"/>
                <w:szCs w:val="20"/>
              </w:rPr>
              <w:t xml:space="preserve"> diluted (2)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0.41</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0.32</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1.20</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0.99</w:t>
            </w:r>
          </w:p>
        </w:tc>
        <w:tc>
          <w:tcPr>
            <w:tcW w:w="50" w:type="pct"/>
            <w:shd w:val="clear" w:color="auto" w:fill="CCEE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121"/>
        <w:gridCol w:w="6185"/>
      </w:tblGrid>
      <w:tr w:rsidR="00000000">
        <w:trPr>
          <w:divId w:val="2082288258"/>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6" w:type="dxa"/>
            <w:hideMark/>
          </w:tcPr>
          <w:p w:rsidR="00000000" w:rsidRDefault="00E3336F">
            <w:pPr>
              <w:pStyle w:val="a3"/>
              <w:spacing w:before="0" w:beforeAutospacing="0" w:after="0" w:afterAutospacing="0"/>
              <w:jc w:val="both"/>
              <w:rPr>
                <w:sz w:val="20"/>
                <w:szCs w:val="20"/>
              </w:rPr>
            </w:pPr>
            <w:r>
              <w:rPr>
                <w:sz w:val="20"/>
                <w:szCs w:val="20"/>
              </w:rPr>
              <w:t>Related to gains, impairments, and depreciation on properties, where applicable.</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2033"/>
        <w:gridCol w:w="6273"/>
      </w:tblGrid>
      <w:tr w:rsidR="00000000">
        <w:trPr>
          <w:divId w:val="2082288258"/>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(2)</w:t>
            </w:r>
          </w:p>
        </w:tc>
        <w:tc>
          <w:tcPr>
            <w:tcW w:w="6" w:type="dxa"/>
            <w:hideMark/>
          </w:tcPr>
          <w:p w:rsidR="00000000" w:rsidRDefault="00E3336F">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$560 and $435 for the three months ended September 30, 2022 and 2021, respectively. FFO available to the company’s common shareholders would be increased by $1,486 and $630 for the nine months ended September 30, 2022 and 2021, respectivel</w:t>
            </w:r>
            <w:r>
              <w:rPr>
                <w:sz w:val="20"/>
                <w:szCs w:val="20"/>
              </w:rPr>
              <w:t xml:space="preserve">y. The effect of other certain convertible units would have an anti-dilutive effect upon the calculation of FFO available to the Company’s common shareholders per share. Accordingly, the impact of such conversion has not been included in the determination </w:t>
            </w:r>
            <w:r>
              <w:rPr>
                <w:sz w:val="20"/>
                <w:szCs w:val="20"/>
              </w:rPr>
              <w:t>of diluted FFO per share calculations.</w:t>
            </w:r>
          </w:p>
        </w:tc>
      </w:tr>
    </w:tbl>
    <w:p w:rsidR="00000000" w:rsidRDefault="00E3336F">
      <w:pPr>
        <w:divId w:val="2082288258"/>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1876"/>
        <w:gridCol w:w="6430"/>
      </w:tblGrid>
      <w:tr w:rsidR="00000000">
        <w:trPr>
          <w:divId w:val="2082288258"/>
          <w:tblCellSpacing w:w="0" w:type="dxa"/>
        </w:trPr>
        <w:tc>
          <w:tcPr>
            <w:tcW w:w="360" w:type="dxa"/>
            <w:hideMark/>
          </w:tcPr>
          <w:p w:rsidR="00000000" w:rsidRDefault="00E3336F">
            <w:pPr>
              <w:pStyle w:val="a3"/>
              <w:spacing w:before="0" w:beforeAutospacing="0" w:after="0" w:afterAutospacing="0"/>
              <w:rPr>
                <w:sz w:val="20"/>
                <w:szCs w:val="20"/>
              </w:rPr>
            </w:pPr>
            <w:r>
              <w:rPr>
                <w:sz w:val="20"/>
                <w:szCs w:val="20"/>
              </w:rPr>
              <w:t>(3)</w:t>
            </w:r>
          </w:p>
        </w:tc>
        <w:tc>
          <w:tcPr>
            <w:tcW w:w="6" w:type="dxa"/>
            <w:hideMark/>
          </w:tcPr>
          <w:p w:rsidR="00000000" w:rsidRDefault="00E3336F">
            <w:pPr>
              <w:pStyle w:val="a3"/>
              <w:spacing w:before="0" w:beforeAutospacing="0" w:after="0" w:afterAutospacing="0"/>
              <w:jc w:val="both"/>
              <w:rPr>
                <w:sz w:val="20"/>
                <w:szCs w:val="20"/>
              </w:rPr>
            </w:pPr>
            <w:r>
              <w:rPr>
                <w:sz w:val="20"/>
                <w:szCs w:val="20"/>
              </w:rPr>
              <w:t>Includes Early extinguishment of debt charges of $0.4 million and $7.7 million recognized during the three and nine months ended September 30, 2022, respectively. Includes Merger charges of $47.0 million and $50</w:t>
            </w:r>
            <w:r>
              <w:rPr>
                <w:sz w:val="20"/>
                <w:szCs w:val="20"/>
              </w:rPr>
              <w:t>.2 million recognized during the three and nine months ended September 30, 2021, respectively, in connection with the Merger.</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Same Property Net Operating Income (“Same property NOI”)</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Same property NOI is a supplemental non-GAAP financial measure of re</w:t>
      </w:r>
      <w:r>
        <w:rPr>
          <w:sz w:val="20"/>
          <w:szCs w:val="20"/>
        </w:rPr>
        <w:t>al estate companies’ operating performance and should not be considered an alternative to net income in accordance with GAAP or cash flows from operations as a measure of liquidity. The Company considers Same property NOI as an important operating performa</w:t>
      </w:r>
      <w:r>
        <w:rPr>
          <w:sz w:val="20"/>
          <w:szCs w:val="20"/>
        </w:rPr>
        <w:t xml:space="preserve">nce measure because it is frequently used by securities analysts and investors to measure only the net operating income of properties that have been owned by the Company for the entire current and prior year reporting periods. It excludes properties under </w:t>
      </w:r>
      <w:r>
        <w:rPr>
          <w:sz w:val="20"/>
          <w:szCs w:val="20"/>
        </w:rPr>
        <w:t>redevelopment, development and pending stabilization; properties are deemed stabilized at the earlier of (i) reaching 90% leased or (ii) one year following a project’s inclusion in operating real estate. Same property NOI assists in eliminating disparities</w:t>
      </w:r>
      <w:r>
        <w:rPr>
          <w:sz w:val="20"/>
          <w:szCs w:val="20"/>
        </w:rPr>
        <w:t xml:space="preserve"> in net income due to the development, acquisition or disposition of properties during the particular period presented, and thus provides a more consistent performance measure for the comparison of the Company's properties.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 xml:space="preserve">For the three and nine months </w:t>
      </w:r>
      <w:r>
        <w:rPr>
          <w:sz w:val="20"/>
          <w:szCs w:val="20"/>
        </w:rPr>
        <w:t>ended September 30, 2022 and 2021, the Company included Same property NOI from the Weingarten properties acquired through the Merger, as the Company owned these properties for the full three and nine months ended September 30, 2022. The amount of the adjus</w:t>
      </w:r>
      <w:r>
        <w:rPr>
          <w:sz w:val="20"/>
          <w:szCs w:val="20"/>
        </w:rPr>
        <w:t xml:space="preserve">tment relating to Weingarten Same property NOI for the three and nine months ended September 30, 2021, included in the table below, represents the Same property NOI from Weingarten properties prior to the Merger, which is not included in the Company's Net </w:t>
      </w:r>
      <w:r>
        <w:rPr>
          <w:sz w:val="20"/>
          <w:szCs w:val="20"/>
        </w:rPr>
        <w:t>income available to the Company’s common shareholders for the corresponding period.</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941328380"/>
        <w:rPr>
          <w:rFonts w:eastAsia="Times New Roman"/>
          <w:sz w:val="20"/>
          <w:szCs w:val="20"/>
        </w:rPr>
      </w:pPr>
      <w:r>
        <w:rPr>
          <w:rFonts w:eastAsia="Times New Roman"/>
          <w:sz w:val="20"/>
          <w:szCs w:val="20"/>
        </w:rPr>
        <w:t xml:space="preserve">35 </w:t>
      </w:r>
    </w:p>
    <w:p w:rsidR="00000000" w:rsidRDefault="00E3336F">
      <w:pPr>
        <w:divId w:val="1627275666"/>
        <w:rPr>
          <w:rFonts w:eastAsia="Times New Roman"/>
          <w:sz w:val="20"/>
          <w:szCs w:val="20"/>
        </w:rPr>
      </w:pPr>
      <w:r>
        <w:rPr>
          <w:rFonts w:eastAsia="Times New Roman"/>
          <w:sz w:val="20"/>
          <w:szCs w:val="20"/>
        </w:rPr>
        <w:pict>
          <v:rect id="_x0000_i1063" style="width:415.3pt;height:1.5pt" o:hralign="center" o:hrstd="t" o:hrnoshade="t" o:hr="t" fillcolor="black" stroked="f"/>
        </w:pict>
      </w:r>
    </w:p>
    <w:p w:rsidR="00000000" w:rsidRDefault="00E3336F">
      <w:pPr>
        <w:divId w:val="1564371911"/>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Same property NOI is calculated using revenues from rental properties (excluding straight-line rent adjustments, lease termination fees, TIFs and amortization of above/below market rents) less charges for bad debt, operating and maintenance expense,</w:t>
      </w:r>
      <w:r>
        <w:rPr>
          <w:sz w:val="20"/>
          <w:szCs w:val="20"/>
        </w:rPr>
        <w:t xml:space="preserve"> real estate taxes and rent expense plus the Company’s proportionate share of Same property NOI from unconsolidated real estate joint ventures, calculated on the same basis. The Company’s method of calculating Same property NOI available to the Company’s c</w:t>
      </w:r>
      <w:r>
        <w:rPr>
          <w:sz w:val="20"/>
          <w:szCs w:val="20"/>
        </w:rPr>
        <w:t>ommon shareholders may differ from methods used by other REITs and, accordingly, may not be comparable to such other REITs.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following is a reconciliation of Net income available to the Company’s common shareholders to Same property NOI (in thousands)</w:t>
      </w:r>
      <w:r>
        <w:rPr>
          <w:sz w:val="20"/>
          <w:szCs w:val="20"/>
        </w:rPr>
        <w:t>:</w:t>
      </w:r>
    </w:p>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81"/>
        <w:gridCol w:w="77"/>
        <w:gridCol w:w="100"/>
        <w:gridCol w:w="825"/>
        <w:gridCol w:w="77"/>
        <w:gridCol w:w="78"/>
        <w:gridCol w:w="100"/>
        <w:gridCol w:w="826"/>
        <w:gridCol w:w="78"/>
        <w:gridCol w:w="78"/>
        <w:gridCol w:w="100"/>
        <w:gridCol w:w="826"/>
        <w:gridCol w:w="78"/>
        <w:gridCol w:w="78"/>
        <w:gridCol w:w="100"/>
        <w:gridCol w:w="826"/>
        <w:gridCol w:w="78"/>
      </w:tblGrid>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24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rPr>
              <w:t>Net income available to the Company</w:t>
            </w:r>
            <w:r>
              <w:rPr>
                <w:sz w:val="20"/>
                <w:szCs w:val="20"/>
              </w:rPr>
              <w:t>’</w:t>
            </w:r>
            <w:r>
              <w:rPr>
                <w:b/>
                <w:bCs/>
                <w:sz w:val="20"/>
                <w:szCs w:val="20"/>
              </w:rPr>
              <w:t>s common shareholders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 xml:space="preserve">51,647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501,385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 xml:space="preserve">156,844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b/>
                <w:bCs/>
                <w:sz w:val="20"/>
                <w:szCs w:val="20"/>
              </w:rPr>
              <w:t>$</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b/>
                <w:bCs/>
                <w:sz w:val="20"/>
                <w:szCs w:val="20"/>
              </w:rPr>
              <w:t>743,316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(4,361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(3,913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(12,881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(10,634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29,677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25,904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87,606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75,136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7,067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850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21,758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954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Merger charges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46,998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50,191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125,419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114,238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380,324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261,687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Gain on sale of properties</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(3,821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(1,975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(10,958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(30,841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Interest and other expense,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46,593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45,430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154,683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134,820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Loss/(gain) on marketable securities,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75,491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(457,127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215,194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(542,510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(Benefit)/provision for income taxes,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(1,039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314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(1,096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2,897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Equity in income of other investments,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(6,733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(1,539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(15,491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(10,365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Net (loss)/income attributable to noncontrolling interests</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(1,583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(14,152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5,369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Preferred dividends, net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6,307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6,354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18,911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19,062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Weingarten same property NOI (1)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36,311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252,651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rPr>
                <w:sz w:val="20"/>
                <w:szCs w:val="20"/>
              </w:rPr>
            </w:pPr>
            <w:r>
              <w:rPr>
                <w:sz w:val="20"/>
                <w:szCs w:val="20"/>
              </w:rPr>
              <w:t>Non same property net operating income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(21,099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(24,658</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(61,601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(91,523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rPr>
                <w:sz w:val="20"/>
                <w:szCs w:val="20"/>
              </w:rPr>
            </w:pPr>
            <w:r>
              <w:rPr>
                <w:sz w:val="20"/>
                <w:szCs w:val="20"/>
              </w:rPr>
              <w:t>Non-operational expense from joint ventures, net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14,754</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18,658</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31,580</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45,226</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318,319</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 xml:space="preserve">308,695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 xml:space="preserve">950,721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5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 xml:space="preserve">905,436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
        <w:gridCol w:w="360"/>
        <w:gridCol w:w="7846"/>
      </w:tblGrid>
      <w:tr w:rsidR="00000000">
        <w:trPr>
          <w:divId w:val="2082288258"/>
          <w:tblCellSpacing w:w="0" w:type="dxa"/>
        </w:trPr>
        <w:tc>
          <w:tcPr>
            <w:tcW w:w="100" w:type="dxa"/>
            <w:vAlign w:val="center"/>
            <w:hideMark/>
          </w:tcPr>
          <w:p w:rsidR="00000000" w:rsidRDefault="00E3336F">
            <w:pPr>
              <w:rPr>
                <w:rFonts w:eastAsia="Times New Roman"/>
                <w:sz w:val="20"/>
                <w:szCs w:val="20"/>
              </w:rPr>
            </w:pPr>
            <w:r>
              <w:rPr>
                <w:rFonts w:eastAsia="Times New Roman"/>
                <w:sz w:val="20"/>
                <w:szCs w:val="20"/>
              </w:rPr>
              <w:t> </w:t>
            </w:r>
          </w:p>
        </w:tc>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0" w:type="auto"/>
            <w:hideMark/>
          </w:tcPr>
          <w:p w:rsidR="00000000" w:rsidRDefault="00E3336F">
            <w:pPr>
              <w:pStyle w:val="a3"/>
              <w:spacing w:before="0" w:beforeAutospacing="0" w:after="0" w:afterAutospacing="0"/>
              <w:jc w:val="both"/>
              <w:rPr>
                <w:sz w:val="20"/>
                <w:szCs w:val="20"/>
              </w:rPr>
            </w:pPr>
            <w:r>
              <w:rPr>
                <w:sz w:val="20"/>
                <w:szCs w:val="20"/>
              </w:rPr>
              <w:t>Amounts for the three and nine months ended September 30, 2021, represent the Same property NOI from Weingarten properties, not included in the Company's Net income available to the Company's common shareholders for the same period.</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Same property NOI in</w:t>
      </w:r>
      <w:r>
        <w:rPr>
          <w:sz w:val="20"/>
          <w:szCs w:val="20"/>
        </w:rPr>
        <w:t>creased by $9.6 million or 3.1% for the three months ended September 30, 2022, as compared to the corresponding period in 2021. This increase is primarily the result of (i) an increase in net operating income of $20.1 million primarily related to an increa</w:t>
      </w:r>
      <w:r>
        <w:rPr>
          <w:sz w:val="20"/>
          <w:szCs w:val="20"/>
        </w:rPr>
        <w:t>se in rental revenue driven by strong leasing activity and a decrease in tenant rent abatements and vacancies as a result of the COVID-19 pandemic, partially offset by (ii) a change in credit loss from tenants of $10.7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Same property NOI increase</w:t>
      </w:r>
      <w:r>
        <w:rPr>
          <w:sz w:val="20"/>
          <w:szCs w:val="20"/>
        </w:rPr>
        <w:t xml:space="preserve">d by $45.3 million or 5.0% for the nine months ended September 30, 2022, as compared to the corresponding period in 2021. This increase is primarily the result of (i) an increase in net operating income of $61.9 million primarily related to an increase in </w:t>
      </w:r>
      <w:r>
        <w:rPr>
          <w:sz w:val="20"/>
          <w:szCs w:val="20"/>
        </w:rPr>
        <w:t>rental revenue driven by strong leasing activity and a decrease in tenant rent abatements and vacancies as a result of the COVID-19 pandemic, partially offset by (ii) a change in credit loss from tenants of $16.6 million.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Leasing Activity</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w:t>
      </w:r>
      <w:r>
        <w:rPr>
          <w:sz w:val="20"/>
          <w:szCs w:val="20"/>
        </w:rPr>
        <w:t xml:space="preserve">ne months ended September 30, 2022, the Company executed 1,294 leases totaling over 8.3 million square feet in the Company’s consolidated operating portfolio comprised of 397 new leases and 897 renewals and options. The leasing costs associated with these </w:t>
      </w:r>
      <w:r>
        <w:rPr>
          <w:sz w:val="20"/>
          <w:szCs w:val="20"/>
        </w:rPr>
        <w:t>new leases are estimated to aggregate $81.9 million or $41.19 per square foot. These costs include $17.6 million of tenant improvements and $64.3 million of external leasing commissions. The average rent per square foot for (i) new leases was $21.71 and (i</w:t>
      </w:r>
      <w:r>
        <w:rPr>
          <w:sz w:val="20"/>
          <w:szCs w:val="20"/>
        </w:rPr>
        <w:t>i) renewals and options was $17.91.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Tenant Lease Expirations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At September 30, 2022, the Company has a total of 8,181 leases in its consolidated operating portfolio. The following table sets forth the aggregate lease expirations for each of the next ten</w:t>
      </w:r>
      <w:r>
        <w:rPr>
          <w:sz w:val="20"/>
          <w:szCs w:val="20"/>
        </w:rPr>
        <w:t xml:space="preserve"> years, assuming no renewal options are exercised. For purposes of the table, the Total Annual Base Rent Expiring represents annualized rental revenue, excluding the impact of straight-line rent, for each lease that expires during the respective year. Amou</w:t>
      </w:r>
      <w:r>
        <w:rPr>
          <w:sz w:val="20"/>
          <w:szCs w:val="20"/>
        </w:rPr>
        <w:t>nts in thousands, except for number of lease data:</w:t>
      </w:r>
    </w:p>
    <w:p w:rsidR="00000000" w:rsidRDefault="00E3336F">
      <w:pPr>
        <w:pStyle w:val="a3"/>
        <w:spacing w:before="0" w:beforeAutospacing="0" w:after="0" w:afterAutospacing="0"/>
        <w:divId w:val="2082288258"/>
        <w:rPr>
          <w:sz w:val="20"/>
          <w:szCs w:val="20"/>
        </w:rPr>
      </w:pPr>
      <w:r>
        <w:rPr>
          <w:sz w:val="20"/>
          <w:szCs w:val="20"/>
        </w:rPr>
        <w:t> </w:t>
      </w:r>
    </w:p>
    <w:tbl>
      <w:tblPr>
        <w:tblW w:w="4250" w:type="pct"/>
        <w:tblCellSpacing w:w="0" w:type="dxa"/>
        <w:tblInd w:w="900" w:type="dxa"/>
        <w:tblCellMar>
          <w:left w:w="0" w:type="dxa"/>
          <w:right w:w="0" w:type="dxa"/>
        </w:tblCellMar>
        <w:tblLook w:val="04A0" w:firstRow="1" w:lastRow="0" w:firstColumn="1" w:lastColumn="0" w:noHBand="0" w:noVBand="1"/>
      </w:tblPr>
      <w:tblGrid>
        <w:gridCol w:w="1145"/>
        <w:gridCol w:w="80"/>
        <w:gridCol w:w="80"/>
        <w:gridCol w:w="80"/>
        <w:gridCol w:w="1145"/>
        <w:gridCol w:w="80"/>
        <w:gridCol w:w="80"/>
        <w:gridCol w:w="80"/>
        <w:gridCol w:w="1146"/>
        <w:gridCol w:w="81"/>
        <w:gridCol w:w="81"/>
        <w:gridCol w:w="280"/>
        <w:gridCol w:w="1146"/>
        <w:gridCol w:w="81"/>
        <w:gridCol w:w="81"/>
        <w:gridCol w:w="81"/>
        <w:gridCol w:w="1146"/>
        <w:gridCol w:w="167"/>
      </w:tblGrid>
      <w:tr w:rsidR="00000000">
        <w:trPr>
          <w:divId w:val="2082288258"/>
          <w:tblCellSpacing w:w="0" w:type="dxa"/>
        </w:trPr>
        <w:tc>
          <w:tcPr>
            <w:tcW w:w="0" w:type="auto"/>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Year Ending </w:t>
            </w:r>
          </w:p>
          <w:p w:rsidR="00000000" w:rsidRDefault="00E3336F">
            <w:pPr>
              <w:pStyle w:val="a3"/>
              <w:spacing w:before="0" w:beforeAutospacing="0" w:after="0" w:afterAutospacing="0"/>
              <w:jc w:val="center"/>
              <w:rPr>
                <w:sz w:val="20"/>
                <w:szCs w:val="20"/>
              </w:rPr>
            </w:pPr>
            <w:r>
              <w:rPr>
                <w:b/>
                <w:bCs/>
                <w:sz w:val="20"/>
                <w:szCs w:val="20"/>
              </w:rPr>
              <w:t>December 31,</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Number of Leases</w:t>
            </w:r>
          </w:p>
          <w:p w:rsidR="00000000" w:rsidRDefault="00E3336F">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Square Feet </w:t>
            </w:r>
          </w:p>
          <w:p w:rsidR="00000000" w:rsidRDefault="00E3336F">
            <w:pPr>
              <w:pStyle w:val="a3"/>
              <w:spacing w:before="0" w:beforeAutospacing="0" w:after="0" w:afterAutospacing="0"/>
              <w:jc w:val="center"/>
              <w:rPr>
                <w:sz w:val="20"/>
                <w:szCs w:val="20"/>
              </w:rPr>
            </w:pPr>
            <w:r>
              <w:rPr>
                <w:b/>
                <w:bCs/>
                <w:sz w:val="20"/>
                <w:szCs w:val="20"/>
              </w:rPr>
              <w:t>Expiring</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Total Annual Base </w:t>
            </w:r>
          </w:p>
          <w:p w:rsidR="00000000" w:rsidRDefault="00E3336F">
            <w:pPr>
              <w:pStyle w:val="a3"/>
              <w:spacing w:before="0" w:beforeAutospacing="0" w:after="0" w:afterAutospacing="0"/>
              <w:jc w:val="center"/>
              <w:rPr>
                <w:sz w:val="20"/>
                <w:szCs w:val="20"/>
              </w:rPr>
            </w:pPr>
            <w:r>
              <w:rPr>
                <w:b/>
                <w:bCs/>
                <w:sz w:val="20"/>
                <w:szCs w:val="20"/>
              </w:rPr>
              <w:t>Rent Expiring</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 of Gross </w:t>
            </w:r>
          </w:p>
          <w:p w:rsidR="00000000" w:rsidRDefault="00E3336F">
            <w:pPr>
              <w:pStyle w:val="a3"/>
              <w:spacing w:before="0" w:beforeAutospacing="0" w:after="0" w:afterAutospacing="0"/>
              <w:jc w:val="center"/>
              <w:rPr>
                <w:sz w:val="20"/>
                <w:szCs w:val="20"/>
              </w:rPr>
            </w:pPr>
            <w:r>
              <w:rPr>
                <w:b/>
                <w:bCs/>
                <w:sz w:val="20"/>
                <w:szCs w:val="20"/>
              </w:rPr>
              <w:t>Annual Rent</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600" w:type="pct"/>
            <w:shd w:val="clear" w:color="auto" w:fill="CCEEFF"/>
            <w:vAlign w:val="bottom"/>
            <w:hideMark/>
          </w:tcPr>
          <w:p w:rsidR="00000000" w:rsidRDefault="00E3336F">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163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365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10,364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0.8</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2022</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419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10,184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0.8</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2023</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1,038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5,905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111,424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9.1</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2024</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1,182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7,731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146,415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2025</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1,130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8,178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151,494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12.4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2026</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1,037</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9,431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155,054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12.7</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2027</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1,078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9,787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167,275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13.7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2028</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646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6,931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122,355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2029</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414</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3,758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70,089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5.7</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2030</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312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2,474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55,472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4.5</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2031</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332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2,409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53,999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ind w:left="180"/>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r>
      <w:tr w:rsidR="00000000">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ind w:left="360" w:hanging="180"/>
              <w:jc w:val="center"/>
              <w:rPr>
                <w:sz w:val="20"/>
                <w:szCs w:val="20"/>
              </w:rPr>
            </w:pPr>
            <w:r>
              <w:rPr>
                <w:sz w:val="20"/>
                <w:szCs w:val="20"/>
              </w:rPr>
              <w:t>2032</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376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2,654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ind w:left="180"/>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53,671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ind w:left="180"/>
              <w:jc w:val="right"/>
              <w:rPr>
                <w:rFonts w:eastAsia="Times New Roman"/>
                <w:sz w:val="20"/>
                <w:szCs w:val="20"/>
              </w:rPr>
            </w:pPr>
            <w:r>
              <w:rPr>
                <w:rFonts w:eastAsia="Times New Roman"/>
                <w:sz w:val="20"/>
                <w:szCs w:val="20"/>
              </w:rPr>
              <w:t>4.4</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r>
    </w:tbl>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319"/>
        <w:gridCol w:w="1659"/>
        <w:gridCol w:w="3328"/>
      </w:tblGrid>
      <w:tr w:rsidR="00000000">
        <w:trPr>
          <w:divId w:val="2082288258"/>
          <w:tblCellSpacing w:w="0" w:type="dxa"/>
        </w:trPr>
        <w:tc>
          <w:tcPr>
            <w:tcW w:w="720" w:type="dxa"/>
            <w:hideMark/>
          </w:tcPr>
          <w:p w:rsidR="00000000" w:rsidRDefault="00E3336F">
            <w:pPr>
              <w:rPr>
                <w:rFonts w:eastAsia="Times New Roman"/>
              </w:rPr>
            </w:pPr>
            <w:r>
              <w:rPr>
                <w:rFonts w:eastAsia="Times New Roman"/>
              </w:rPr>
              <w:t> </w:t>
            </w:r>
          </w:p>
        </w:tc>
        <w:tc>
          <w:tcPr>
            <w:tcW w:w="360" w:type="dxa"/>
            <w:hideMark/>
          </w:tcPr>
          <w:p w:rsidR="00000000" w:rsidRDefault="00E3336F">
            <w:pPr>
              <w:pStyle w:val="a3"/>
              <w:spacing w:before="0" w:beforeAutospacing="0" w:after="0" w:afterAutospacing="0"/>
              <w:rPr>
                <w:sz w:val="20"/>
                <w:szCs w:val="20"/>
              </w:rPr>
            </w:pPr>
            <w:r>
              <w:rPr>
                <w:sz w:val="20"/>
                <w:szCs w:val="20"/>
              </w:rPr>
              <w:t>(1)</w:t>
            </w:r>
          </w:p>
        </w:tc>
        <w:tc>
          <w:tcPr>
            <w:tcW w:w="6" w:type="dxa"/>
            <w:hideMark/>
          </w:tcPr>
          <w:p w:rsidR="00000000" w:rsidRDefault="00E3336F">
            <w:pPr>
              <w:pStyle w:val="a3"/>
              <w:spacing w:before="0" w:beforeAutospacing="0" w:after="0" w:afterAutospacing="0"/>
              <w:rPr>
                <w:sz w:val="20"/>
                <w:szCs w:val="20"/>
              </w:rPr>
            </w:pPr>
            <w:r>
              <w:rPr>
                <w:sz w:val="20"/>
                <w:szCs w:val="20"/>
              </w:rPr>
              <w:t>Leases currently under month-to-month lease or in process of renewal.</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63010310"/>
        <w:rPr>
          <w:rFonts w:eastAsia="Times New Roman"/>
          <w:sz w:val="20"/>
          <w:szCs w:val="20"/>
        </w:rPr>
      </w:pPr>
      <w:r>
        <w:rPr>
          <w:rFonts w:eastAsia="Times New Roman"/>
          <w:sz w:val="20"/>
          <w:szCs w:val="20"/>
        </w:rPr>
        <w:t xml:space="preserve">36 </w:t>
      </w:r>
    </w:p>
    <w:p w:rsidR="00000000" w:rsidRDefault="00E3336F">
      <w:pPr>
        <w:divId w:val="185797911"/>
        <w:rPr>
          <w:rFonts w:eastAsia="Times New Roman"/>
          <w:sz w:val="20"/>
          <w:szCs w:val="20"/>
        </w:rPr>
      </w:pPr>
      <w:r>
        <w:rPr>
          <w:rFonts w:eastAsia="Times New Roman"/>
          <w:sz w:val="20"/>
          <w:szCs w:val="20"/>
        </w:rPr>
        <w:pict>
          <v:rect id="_x0000_i1064" style="width:415.3pt;height:1.5pt" o:hralign="center" o:hrstd="t" o:hrnoshade="t" o:hr="t" fillcolor="black" stroked="f"/>
        </w:pict>
      </w:r>
    </w:p>
    <w:p w:rsidR="00000000" w:rsidRDefault="00E3336F">
      <w:pPr>
        <w:divId w:val="7868925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w:t>
      </w:r>
      <w:r>
        <w:rPr>
          <w:b/>
          <w:bCs/>
          <w:sz w:val="20"/>
          <w:szCs w:val="20"/>
        </w:rPr>
        <w:t>m 3. Quantitative and Qualitative Disclosures About Market Risk.</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primary market risk exposure is interest rate risk. The Company periodically evaluates its exposure to short-term interest rates and will, from time-to-time, enter into intere</w:t>
      </w:r>
      <w:r>
        <w:rPr>
          <w:sz w:val="20"/>
          <w:szCs w:val="20"/>
        </w:rPr>
        <w:t>st rate protection agreements which mitigate, but do not eliminate, the effect of changes in interest rates on its floating-rate debt. The Company has not entered, and does not plan to enter, into any derivative financial instruments for trading or specula</w:t>
      </w:r>
      <w:r>
        <w:rPr>
          <w:sz w:val="20"/>
          <w:szCs w:val="20"/>
        </w:rPr>
        <w:t>tive purposes. The following table presents the Company’s aggregate fixed rate and variable rate debt obligations outstanding, including fair market value adjustments and unamortized deferred financing costs, as of September 30, 2022, with corresponding we</w:t>
      </w:r>
      <w:r>
        <w:rPr>
          <w:sz w:val="20"/>
          <w:szCs w:val="20"/>
        </w:rPr>
        <w:t>ighted-average interest rates sorted by maturity date. The table does not include extension options where available (amounts in millions).</w:t>
      </w:r>
    </w:p>
    <w:p w:rsidR="00000000" w:rsidRDefault="00E3336F">
      <w:pPr>
        <w:pStyle w:val="a3"/>
        <w:spacing w:before="0" w:beforeAutospacing="0" w:after="0" w:afterAutospacing="0"/>
        <w:jc w:val="both"/>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trPr>
          <w:divId w:val="2082288258"/>
          <w:tblCellSpacing w:w="0" w:type="dxa"/>
        </w:trPr>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2024</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2025</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2026</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0" w:type="auto"/>
            <w:vAlign w:val="bottom"/>
            <w:hideMark/>
          </w:tcPr>
          <w:p w:rsidR="00000000" w:rsidRDefault="00E3336F">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1000" w:type="pct"/>
            <w:shd w:val="clear" w:color="auto" w:fill="CCEEFF"/>
            <w:vAlign w:val="bottom"/>
            <w:hideMark/>
          </w:tcPr>
          <w:p w:rsidR="00000000" w:rsidRDefault="00E3336F">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b/>
                <w:bCs/>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53.5</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212.4</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282.2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246.1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6.75</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3.50</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4.27</w:t>
            </w:r>
          </w:p>
        </w:tc>
        <w:tc>
          <w:tcPr>
            <w:tcW w:w="50" w:type="pct"/>
            <w:shd w:val="clear" w:color="auto" w:fill="CCEEFF"/>
            <w:vAlign w:val="bottom"/>
            <w:hideMark/>
          </w:tcPr>
          <w:p w:rsidR="00000000" w:rsidRDefault="00E3336F">
            <w:pPr>
              <w:pStyle w:val="a3"/>
              <w:spacing w:before="0" w:beforeAutospacing="0" w:after="0" w:afterAutospacing="0"/>
              <w:jc w:val="right"/>
              <w:rPr>
                <w:sz w:val="20"/>
                <w:szCs w:val="20"/>
              </w:rPr>
            </w:pPr>
            <w:r>
              <w:rPr>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4.12</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Variable Rate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18.5</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18.0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3.81</w:t>
            </w:r>
          </w:p>
        </w:tc>
        <w:tc>
          <w:tcPr>
            <w:tcW w:w="50" w:type="pct"/>
            <w:shd w:val="clear" w:color="auto" w:fill="FFFFFF"/>
            <w:vAlign w:val="bottom"/>
            <w:hideMark/>
          </w:tcPr>
          <w:p w:rsidR="00000000" w:rsidRDefault="00E3336F">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3.81</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656.2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754.1</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786.2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4,587.8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6,784.3</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5,742.8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3.37</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3.48</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3.06</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3.53</w:t>
            </w:r>
          </w:p>
        </w:tc>
        <w:tc>
          <w:tcPr>
            <w:tcW w:w="50" w:type="pct"/>
            <w:shd w:val="clear" w:color="auto" w:fill="FFFFFF"/>
            <w:vAlign w:val="bottom"/>
            <w:hideMark/>
          </w:tcPr>
          <w:p w:rsidR="00000000" w:rsidRDefault="00E3336F">
            <w:pPr>
              <w:pStyle w:val="a3"/>
              <w:spacing w:before="0" w:beforeAutospacing="0" w:after="0" w:afterAutospacing="0"/>
              <w:jc w:val="right"/>
              <w:rPr>
                <w:sz w:val="20"/>
                <w:szCs w:val="20"/>
              </w:rPr>
            </w:pPr>
            <w:r>
              <w:rPr>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3.45</w:t>
            </w:r>
          </w:p>
        </w:tc>
        <w:tc>
          <w:tcPr>
            <w:tcW w:w="50" w:type="pct"/>
            <w:shd w:val="clear" w:color="auto" w:fill="FFFFFF"/>
            <w:vAlign w:val="bottom"/>
            <w:hideMark/>
          </w:tcPr>
          <w:p w:rsidR="00000000" w:rsidRDefault="00E3336F">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FFFFFF"/>
            <w:vAlign w:val="bottom"/>
            <w:hideMark/>
          </w:tcPr>
          <w:p w:rsidR="00000000" w:rsidRDefault="00E3336F">
            <w:pPr>
              <w:pStyle w:val="a3"/>
              <w:spacing w:before="0" w:beforeAutospacing="0" w:after="0" w:afterAutospacing="0"/>
              <w:rPr>
                <w:sz w:val="20"/>
                <w:szCs w:val="20"/>
              </w:rPr>
            </w:pPr>
            <w:r>
              <w:rPr>
                <w:sz w:val="20"/>
                <w:szCs w:val="20"/>
              </w:rPr>
              <w:t>Variable Rate</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125.1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125.1</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126.6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E3336F">
        <w:trPr>
          <w:divId w:val="2082288258"/>
          <w:tblCellSpacing w:w="0" w:type="dxa"/>
        </w:trPr>
        <w:tc>
          <w:tcPr>
            <w:tcW w:w="0" w:type="auto"/>
            <w:shd w:val="clear" w:color="auto" w:fill="CCEEFF"/>
            <w:vAlign w:val="bottom"/>
            <w:hideMark/>
          </w:tcPr>
          <w:p w:rsidR="00000000" w:rsidRDefault="00E3336F">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3.85</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3.85</w:t>
            </w:r>
          </w:p>
        </w:tc>
        <w:tc>
          <w:tcPr>
            <w:tcW w:w="50" w:type="pct"/>
            <w:shd w:val="clear" w:color="auto" w:fill="CCEEFF"/>
            <w:vAlign w:val="bottom"/>
            <w:hideMark/>
          </w:tcPr>
          <w:p w:rsidR="00000000" w:rsidRDefault="00E3336F">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Based on the Company’</w:t>
      </w:r>
      <w:r>
        <w:rPr>
          <w:sz w:val="20"/>
          <w:szCs w:val="20"/>
        </w:rPr>
        <w:t>s variable-rate debt balances, interest expense would have increased by $1.1 million for the nine months ended September 30, 2022 if short-term interest rates were 1.0% higher.</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4.</w:t>
      </w:r>
      <w:r>
        <w:rPr>
          <w:sz w:val="20"/>
          <w:szCs w:val="20"/>
        </w:rPr>
        <w:t> </w:t>
      </w:r>
      <w:r>
        <w:rPr>
          <w:b/>
          <w:bCs/>
          <w:sz w:val="20"/>
          <w:szCs w:val="20"/>
        </w:rPr>
        <w:t>Controls and Procedures.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management, with the participation of the Company’s Chief Executive Officer and Chief Financial Officer, has evaluated the effectiveness of the Company’s disclosure controls and procedures (as such term is defined i</w:t>
      </w:r>
      <w:r>
        <w:rPr>
          <w:sz w:val="20"/>
          <w:szCs w:val="20"/>
        </w:rPr>
        <w:t>n Rules 13a-15(e) and 15d-15(e) under the Securities Exchange Act of 1934, as amended (the “Exchange Act”)) as of the end of the period covered by this report. Based on such evaluation, the Company’s Chief Executive Officer and Chief Financial Officer have</w:t>
      </w:r>
      <w:r>
        <w:rPr>
          <w:sz w:val="20"/>
          <w:szCs w:val="20"/>
        </w:rPr>
        <w:t xml:space="preserve"> concluded that, as of the end of such period, the Company’s disclosure controls and procedures are effective.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There have not been any changes in the Company’s internal control over financial reporting during the fiscal quarter to which this report relat</w:t>
      </w:r>
      <w:r>
        <w:rPr>
          <w:sz w:val="20"/>
          <w:szCs w:val="20"/>
        </w:rPr>
        <w:t>es that have materially affected, or are reasonably likely to materially affect, the Company’s internal control over financial reporting.</w:t>
      </w:r>
    </w:p>
    <w:p w:rsidR="00000000" w:rsidRDefault="00E3336F">
      <w:pPr>
        <w:pStyle w:val="a3"/>
        <w:spacing w:before="0" w:beforeAutospacing="0" w:after="0" w:afterAutospacing="0"/>
        <w:jc w:val="both"/>
        <w:divId w:val="2082288258"/>
        <w:rPr>
          <w:sz w:val="20"/>
          <w:szCs w:val="20"/>
        </w:rPr>
      </w:pPr>
      <w:r>
        <w:rPr>
          <w:sz w:val="20"/>
          <w:szCs w:val="20"/>
        </w:rPr>
        <w:t> </w:t>
      </w:r>
    </w:p>
    <w:p w:rsidR="00000000" w:rsidRDefault="00E3336F">
      <w:pPr>
        <w:jc w:val="center"/>
        <w:divId w:val="2075816447"/>
        <w:rPr>
          <w:rFonts w:eastAsia="Times New Roman"/>
          <w:sz w:val="20"/>
          <w:szCs w:val="20"/>
        </w:rPr>
      </w:pPr>
      <w:r>
        <w:rPr>
          <w:rFonts w:eastAsia="Times New Roman"/>
          <w:sz w:val="20"/>
          <w:szCs w:val="20"/>
        </w:rPr>
        <w:t xml:space="preserve">37 </w:t>
      </w:r>
    </w:p>
    <w:p w:rsidR="00000000" w:rsidRDefault="00E3336F">
      <w:pPr>
        <w:divId w:val="2075816447"/>
        <w:rPr>
          <w:rFonts w:eastAsia="Times New Roman"/>
          <w:sz w:val="20"/>
          <w:szCs w:val="20"/>
        </w:rPr>
      </w:pPr>
      <w:r>
        <w:rPr>
          <w:rFonts w:eastAsia="Times New Roman"/>
          <w:sz w:val="20"/>
          <w:szCs w:val="20"/>
        </w:rPr>
        <w:pict>
          <v:rect id="_x0000_i1065" style="width:415.3pt;height:1.5pt" o:hralign="center" o:hrstd="t" o:hrnoshade="t" o:hr="t" fillcolor="black" stroked="f"/>
        </w:pict>
      </w:r>
    </w:p>
    <w:p w:rsidR="00000000" w:rsidRDefault="00E3336F">
      <w:pPr>
        <w:divId w:val="121215411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center"/>
        <w:divId w:val="2082288258"/>
        <w:rPr>
          <w:sz w:val="20"/>
          <w:szCs w:val="20"/>
        </w:rPr>
      </w:pPr>
      <w:r>
        <w:rPr>
          <w:b/>
          <w:bCs/>
          <w:sz w:val="20"/>
          <w:szCs w:val="20"/>
        </w:rPr>
        <w:t>PART II</w:t>
      </w:r>
    </w:p>
    <w:p w:rsidR="00000000" w:rsidRDefault="00E3336F">
      <w:pPr>
        <w:pStyle w:val="a3"/>
        <w:spacing w:before="0" w:beforeAutospacing="0" w:after="0" w:afterAutospacing="0"/>
        <w:jc w:val="center"/>
        <w:divId w:val="2082288258"/>
        <w:rPr>
          <w:sz w:val="20"/>
          <w:szCs w:val="20"/>
        </w:rPr>
      </w:pPr>
      <w:r>
        <w:rPr>
          <w:b/>
          <w:bCs/>
          <w:sz w:val="20"/>
          <w:szCs w:val="20"/>
        </w:rPr>
        <w:t>OTHER INFORMATION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1.</w:t>
      </w:r>
      <w:r>
        <w:rPr>
          <w:sz w:val="20"/>
          <w:szCs w:val="20"/>
        </w:rPr>
        <w:t> </w:t>
      </w:r>
      <w:r>
        <w:rPr>
          <w:b/>
          <w:bCs/>
          <w:sz w:val="20"/>
          <w:szCs w:val="20"/>
        </w:rPr>
        <w:t>Legal Proceedings.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following information supplements and amends our discussion set</w:t>
      </w:r>
      <w:r>
        <w:rPr>
          <w:sz w:val="20"/>
          <w:szCs w:val="20"/>
        </w:rPr>
        <w:t xml:space="preserve"> forth under Part I, Item 3 "Legal Proceedings" in our Annual Report on Form 10-K for the fiscal year ended December 31, 2021.</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is not presently involved in any litigation nor, to its knowledge, is any litigation threatened against the Company</w:t>
      </w:r>
      <w:r>
        <w:rPr>
          <w:sz w:val="20"/>
          <w:szCs w:val="20"/>
        </w:rPr>
        <w:t xml:space="preserve"> or its subsidiaries that, in management's opinion, would result in any material adverse effect on the Company's ownership, management or operation of its properties taken as a whole, or which is not covered by the Company's liability insurance.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1A.</w:t>
      </w:r>
      <w:r>
        <w:rPr>
          <w:sz w:val="20"/>
          <w:szCs w:val="20"/>
        </w:rPr>
        <w:t> </w:t>
      </w:r>
      <w:r>
        <w:rPr>
          <w:b/>
          <w:bCs/>
          <w:sz w:val="20"/>
          <w:szCs w:val="20"/>
        </w:rPr>
        <w:t>Risk Factors.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There are no material changes to our risk factors as previously disclosed in Part I, Item 1A of our Annual Report on Form 10-K for the year ended December 31, 2021.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2. Unregistered Sales of Equity Securities and Use of Proceeds.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u w:val="single"/>
        </w:rPr>
        <w:t>Issuer Purchases of Equity Securities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Company’s Board of Director’s authorized the repurchase of up to 900,000 depositary shares of Class L preferred stock and 1,058,000 depositar</w:t>
      </w:r>
      <w:r>
        <w:rPr>
          <w:sz w:val="20"/>
          <w:szCs w:val="20"/>
        </w:rPr>
        <w:t>y shares of Class M preferred stock representing up to an aggregate of 1,958 shares of the Company’s preferred stock, par value $1.00 per share, through December 31, 2022. The Company did not repurchase any Class L depositary shares or Class M depositary s</w:t>
      </w:r>
      <w:r>
        <w:rPr>
          <w:sz w:val="20"/>
          <w:szCs w:val="20"/>
        </w:rPr>
        <w:t>hares during the three months ended September 30, 2022.</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The Company has a common share repurchase program, which is scheduled to expire on February 29, 2024. Under this program, the Company may repurchase shares of its common stock, par value $0.01 per s</w:t>
      </w:r>
      <w:r>
        <w:rPr>
          <w:sz w:val="20"/>
          <w:szCs w:val="20"/>
        </w:rPr>
        <w:t>hare, with an aggregate gross purchase price of up to $300.0 million. The Company did not repurchase any shares under the common share repurchase program during the nine months ended September 30, 2022. As of September 30, 2022, the Company had $224.9 mill</w:t>
      </w:r>
      <w:r>
        <w:rPr>
          <w:sz w:val="20"/>
          <w:szCs w:val="20"/>
        </w:rPr>
        <w:t>ion available under this common share repurchase program.</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During the nine months ended September 30, 2022, the Company repurchased 561,187 shares of the Company’s common stock for an aggregate purchase price of $13.5 million (weighted average price of $2</w:t>
      </w:r>
      <w:r>
        <w:rPr>
          <w:sz w:val="20"/>
          <w:szCs w:val="20"/>
        </w:rPr>
        <w:t>4.14 per share) in connection with common shares surrendered or deemed surrendered to the Company to satisfy statutory minimum tax withholding obligations in connection with equity-based compensation plans.</w:t>
      </w:r>
    </w:p>
    <w:p w:rsidR="00000000" w:rsidRDefault="00E3336F">
      <w:pPr>
        <w:pStyle w:val="a3"/>
        <w:spacing w:before="0" w:beforeAutospacing="0" w:after="0" w:afterAutospacing="0"/>
        <w:jc w:val="both"/>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489"/>
        <w:gridCol w:w="80"/>
        <w:gridCol w:w="80"/>
        <w:gridCol w:w="994"/>
        <w:gridCol w:w="80"/>
        <w:gridCol w:w="81"/>
        <w:gridCol w:w="101"/>
        <w:gridCol w:w="995"/>
        <w:gridCol w:w="81"/>
        <w:gridCol w:w="81"/>
        <w:gridCol w:w="81"/>
        <w:gridCol w:w="1410"/>
        <w:gridCol w:w="81"/>
        <w:gridCol w:w="81"/>
        <w:gridCol w:w="100"/>
        <w:gridCol w:w="1410"/>
        <w:gridCol w:w="81"/>
      </w:tblGrid>
      <w:tr w:rsidR="00000000">
        <w:trPr>
          <w:divId w:val="2082288258"/>
          <w:tblCellSpacing w:w="0" w:type="dxa"/>
        </w:trPr>
        <w:tc>
          <w:tcPr>
            <w:tcW w:w="1500" w:type="pct"/>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Total Number</w:t>
            </w:r>
          </w:p>
          <w:p w:rsidR="00000000" w:rsidRDefault="00E3336F">
            <w:pPr>
              <w:pStyle w:val="a3"/>
              <w:spacing w:before="0" w:beforeAutospacing="0" w:after="0" w:afterAutospacing="0"/>
              <w:jc w:val="center"/>
              <w:rPr>
                <w:sz w:val="20"/>
                <w:szCs w:val="20"/>
              </w:rPr>
            </w:pPr>
            <w:r>
              <w:rPr>
                <w:b/>
                <w:bCs/>
                <w:sz w:val="20"/>
                <w:szCs w:val="20"/>
              </w:rPr>
              <w:t>of Shares</w:t>
            </w:r>
          </w:p>
          <w:p w:rsidR="00000000" w:rsidRDefault="00E3336F">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Average</w:t>
            </w:r>
          </w:p>
          <w:p w:rsidR="00000000" w:rsidRDefault="00E3336F">
            <w:pPr>
              <w:pStyle w:val="a3"/>
              <w:spacing w:before="0" w:beforeAutospacing="0" w:after="0" w:afterAutospacing="0"/>
              <w:jc w:val="center"/>
              <w:rPr>
                <w:sz w:val="20"/>
                <w:szCs w:val="20"/>
              </w:rPr>
            </w:pPr>
            <w:r>
              <w:rPr>
                <w:b/>
                <w:bCs/>
                <w:sz w:val="20"/>
                <w:szCs w:val="20"/>
              </w:rPr>
              <w:t>Price Paid</w:t>
            </w:r>
          </w:p>
          <w:p w:rsidR="00000000" w:rsidRDefault="00E3336F">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Total Number of</w:t>
            </w:r>
          </w:p>
          <w:p w:rsidR="00000000" w:rsidRDefault="00E3336F">
            <w:pPr>
              <w:pStyle w:val="a3"/>
              <w:spacing w:before="0" w:beforeAutospacing="0" w:after="0" w:afterAutospacing="0"/>
              <w:jc w:val="center"/>
              <w:rPr>
                <w:sz w:val="20"/>
                <w:szCs w:val="20"/>
              </w:rPr>
            </w:pPr>
            <w:r>
              <w:rPr>
                <w:b/>
                <w:bCs/>
                <w:sz w:val="20"/>
                <w:szCs w:val="20"/>
              </w:rPr>
              <w:t>Shares Purchased</w:t>
            </w:r>
          </w:p>
          <w:p w:rsidR="00000000" w:rsidRDefault="00E3336F">
            <w:pPr>
              <w:pStyle w:val="a3"/>
              <w:spacing w:before="0" w:beforeAutospacing="0" w:after="0" w:afterAutospacing="0"/>
              <w:jc w:val="center"/>
              <w:rPr>
                <w:sz w:val="20"/>
                <w:szCs w:val="20"/>
              </w:rPr>
            </w:pPr>
            <w:r>
              <w:rPr>
                <w:b/>
                <w:bCs/>
                <w:sz w:val="20"/>
                <w:szCs w:val="20"/>
              </w:rPr>
              <w:t>as Part of Publicly</w:t>
            </w:r>
          </w:p>
          <w:p w:rsidR="00000000" w:rsidRDefault="00E3336F">
            <w:pPr>
              <w:pStyle w:val="a3"/>
              <w:spacing w:before="0" w:beforeAutospacing="0" w:after="0" w:afterAutospacing="0"/>
              <w:jc w:val="center"/>
              <w:rPr>
                <w:sz w:val="20"/>
                <w:szCs w:val="20"/>
              </w:rPr>
            </w:pPr>
            <w:r>
              <w:rPr>
                <w:b/>
                <w:bCs/>
                <w:sz w:val="20"/>
                <w:szCs w:val="20"/>
              </w:rPr>
              <w:t>Announced Plans</w:t>
            </w:r>
          </w:p>
          <w:p w:rsidR="00000000" w:rsidRDefault="00E3336F">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vAlign w:val="bottom"/>
            <w:hideMark/>
          </w:tcPr>
          <w:p w:rsidR="00000000" w:rsidRDefault="00E3336F">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E3336F">
            <w:pPr>
              <w:pStyle w:val="a3"/>
              <w:spacing w:before="0" w:beforeAutospacing="0" w:after="0" w:afterAutospacing="0"/>
              <w:jc w:val="center"/>
              <w:rPr>
                <w:sz w:val="20"/>
                <w:szCs w:val="20"/>
              </w:rPr>
            </w:pPr>
            <w:r>
              <w:rPr>
                <w:b/>
                <w:bCs/>
                <w:sz w:val="20"/>
                <w:szCs w:val="20"/>
              </w:rPr>
              <w:t xml:space="preserve">Approximate Dollar </w:t>
            </w:r>
          </w:p>
          <w:p w:rsidR="00000000" w:rsidRDefault="00E3336F">
            <w:pPr>
              <w:pStyle w:val="a3"/>
              <w:spacing w:before="0" w:beforeAutospacing="0" w:after="0" w:afterAutospacing="0"/>
              <w:jc w:val="center"/>
              <w:rPr>
                <w:sz w:val="20"/>
                <w:szCs w:val="20"/>
              </w:rPr>
            </w:pPr>
            <w:r>
              <w:rPr>
                <w:b/>
                <w:bCs/>
                <w:sz w:val="20"/>
                <w:szCs w:val="20"/>
              </w:rPr>
              <w:t xml:space="preserve">Value of Shares that May </w:t>
            </w:r>
          </w:p>
          <w:p w:rsidR="00000000" w:rsidRDefault="00E3336F">
            <w:pPr>
              <w:pStyle w:val="a3"/>
              <w:spacing w:before="0" w:beforeAutospacing="0" w:after="0" w:afterAutospacing="0"/>
              <w:jc w:val="center"/>
              <w:rPr>
                <w:sz w:val="20"/>
                <w:szCs w:val="20"/>
              </w:rPr>
            </w:pPr>
            <w:r>
              <w:rPr>
                <w:b/>
                <w:bCs/>
                <w:sz w:val="20"/>
                <w:szCs w:val="20"/>
              </w:rPr>
              <w:t>Yet Be Purchased Under</w:t>
            </w:r>
          </w:p>
          <w:p w:rsidR="00000000" w:rsidRDefault="00E3336F">
            <w:pPr>
              <w:pStyle w:val="a3"/>
              <w:spacing w:before="0" w:beforeAutospacing="0" w:after="0" w:afterAutospacing="0"/>
              <w:jc w:val="center"/>
              <w:rPr>
                <w:sz w:val="20"/>
                <w:szCs w:val="20"/>
              </w:rPr>
            </w:pPr>
            <w:r>
              <w:rPr>
                <w:b/>
                <w:bCs/>
                <w:sz w:val="20"/>
                <w:szCs w:val="20"/>
              </w:rPr>
              <w:t>the Plans or Programs</w:t>
            </w:r>
          </w:p>
          <w:p w:rsidR="00000000" w:rsidRDefault="00E3336F">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January 1, 2022 – January 31,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3,157</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24.68</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February 1, 2022 – February 28, 2022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552,640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24.16</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March 1, 2022 – March 31,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April 1, 2022 – April 30, 2022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May 1, 2022 – May 31,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2,520</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23.26</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June 1, 2022 – June 30, 2022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1,570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21.90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July 1, 2022 – July 31, 2022</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FFFFFF"/>
            <w:vAlign w:val="bottom"/>
            <w:hideMark/>
          </w:tcPr>
          <w:p w:rsidR="00000000" w:rsidRDefault="00E3336F">
            <w:pPr>
              <w:pStyle w:val="a3"/>
              <w:spacing w:before="0" w:beforeAutospacing="0" w:after="0" w:afterAutospacing="0"/>
              <w:jc w:val="center"/>
              <w:rPr>
                <w:sz w:val="20"/>
                <w:szCs w:val="20"/>
              </w:rPr>
            </w:pPr>
            <w:r>
              <w:rPr>
                <w:sz w:val="20"/>
                <w:szCs w:val="20"/>
              </w:rPr>
              <w:t>August 1, 2022 – August 31, 2022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1,300</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21.72</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CCEEFF"/>
            <w:vAlign w:val="bottom"/>
            <w:hideMark/>
          </w:tcPr>
          <w:p w:rsidR="00000000" w:rsidRDefault="00E3336F">
            <w:pPr>
              <w:pStyle w:val="a3"/>
              <w:spacing w:before="0" w:beforeAutospacing="0" w:after="0" w:afterAutospacing="0"/>
              <w:jc w:val="center"/>
              <w:rPr>
                <w:sz w:val="20"/>
                <w:szCs w:val="20"/>
              </w:rPr>
            </w:pPr>
            <w:r>
              <w:rPr>
                <w:sz w:val="20"/>
                <w:szCs w:val="20"/>
              </w:rPr>
              <w:t>September 1, 2022 – September 30, 2022</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E3336F">
            <w:pPr>
              <w:rPr>
                <w:rFonts w:eastAsia="Times New Roman"/>
                <w:sz w:val="20"/>
                <w:szCs w:val="20"/>
              </w:rPr>
            </w:pPr>
            <w:r>
              <w:rPr>
                <w:rFonts w:eastAsia="Times New Roman"/>
                <w:sz w:val="20"/>
                <w:szCs w:val="20"/>
              </w:rPr>
              <w:t> </w:t>
            </w:r>
          </w:p>
        </w:tc>
        <w:tc>
          <w:tcPr>
            <w:tcW w:w="850" w:type="pct"/>
            <w:tcBorders>
              <w:bottom w:val="single" w:sz="6" w:space="0" w:color="000000"/>
            </w:tcBorders>
            <w:shd w:val="clear" w:color="auto" w:fill="CCEEFF"/>
            <w:vAlign w:val="bottom"/>
            <w:hideMark/>
          </w:tcPr>
          <w:p w:rsidR="00000000" w:rsidRDefault="00E3336F">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E3336F">
            <w:pPr>
              <w:rPr>
                <w:rFonts w:eastAsia="Times New Roman"/>
                <w:sz w:val="20"/>
                <w:szCs w:val="20"/>
              </w:rPr>
            </w:pPr>
            <w:r>
              <w:rPr>
                <w:rFonts w:eastAsia="Times New Roman"/>
                <w:sz w:val="20"/>
                <w:szCs w:val="20"/>
              </w:rPr>
              <w:t>$</w:t>
            </w:r>
          </w:p>
        </w:tc>
        <w:tc>
          <w:tcPr>
            <w:tcW w:w="850" w:type="pct"/>
            <w:shd w:val="clear" w:color="auto" w:fill="CCEEFF"/>
            <w:vAlign w:val="bottom"/>
            <w:hideMark/>
          </w:tcPr>
          <w:p w:rsidR="00000000" w:rsidRDefault="00E3336F">
            <w:pPr>
              <w:jc w:val="right"/>
              <w:rPr>
                <w:rFonts w:eastAsia="Times New Roman"/>
                <w:sz w:val="20"/>
                <w:szCs w:val="20"/>
              </w:rPr>
            </w:pPr>
            <w:r>
              <w:rPr>
                <w:rFonts w:eastAsia="Times New Roman"/>
                <w:sz w:val="20"/>
                <w:szCs w:val="20"/>
              </w:rPr>
              <w:t>224.9</w:t>
            </w:r>
          </w:p>
        </w:tc>
        <w:tc>
          <w:tcPr>
            <w:tcW w:w="50" w:type="pct"/>
            <w:shd w:val="clear" w:color="auto" w:fill="CCEEFF"/>
            <w:tcMar>
              <w:top w:w="0" w:type="dxa"/>
              <w:left w:w="0" w:type="dxa"/>
              <w:bottom w:w="15" w:type="dxa"/>
              <w:right w:w="0" w:type="dxa"/>
            </w:tcMar>
            <w:vAlign w:val="bottom"/>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500" w:type="pct"/>
            <w:shd w:val="clear" w:color="auto" w:fill="FFFFFF"/>
            <w:vAlign w:val="bottom"/>
            <w:hideMark/>
          </w:tcPr>
          <w:p w:rsidR="00000000" w:rsidRDefault="00E3336F">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561,187</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24.14</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850" w:type="pct"/>
            <w:tcBorders>
              <w:bottom w:val="double" w:sz="6" w:space="0" w:color="000000"/>
            </w:tcBorders>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E3336F">
            <w:pPr>
              <w:rPr>
                <w:rFonts w:eastAsia="Times New Roman"/>
                <w:sz w:val="20"/>
                <w:szCs w:val="20"/>
              </w:rPr>
            </w:pPr>
            <w:r>
              <w:rPr>
                <w:rFonts w:eastAsia="Times New Roman"/>
                <w:b/>
                <w:bCs/>
                <w:sz w:val="20"/>
                <w:szCs w:val="20"/>
              </w:rPr>
              <w:t> </w:t>
            </w:r>
          </w:p>
        </w:tc>
        <w:tc>
          <w:tcPr>
            <w:tcW w:w="850" w:type="pct"/>
            <w:shd w:val="clear" w:color="auto" w:fill="FFFFFF"/>
            <w:vAlign w:val="bottom"/>
            <w:hideMark/>
          </w:tcPr>
          <w:p w:rsidR="00000000" w:rsidRDefault="00E3336F">
            <w:pPr>
              <w:jc w:val="right"/>
              <w:rPr>
                <w:rFonts w:eastAsia="Times New Roman"/>
                <w:sz w:val="20"/>
                <w:szCs w:val="20"/>
              </w:rPr>
            </w:pPr>
            <w:r>
              <w:rPr>
                <w:rFonts w:eastAsia="Times New Roman"/>
                <w:b/>
                <w:bCs/>
                <w:sz w:val="20"/>
                <w:szCs w:val="20"/>
              </w:rPr>
              <w:t> </w:t>
            </w:r>
          </w:p>
        </w:tc>
        <w:tc>
          <w:tcPr>
            <w:tcW w:w="50" w:type="pct"/>
            <w:shd w:val="clear" w:color="auto" w:fill="FFFFFF"/>
            <w:tcMar>
              <w:top w:w="0" w:type="dxa"/>
              <w:left w:w="0" w:type="dxa"/>
              <w:bottom w:w="45" w:type="dxa"/>
              <w:right w:w="0" w:type="dxa"/>
            </w:tcMar>
            <w:vAlign w:val="bottom"/>
            <w:hideMark/>
          </w:tcPr>
          <w:p w:rsidR="00000000" w:rsidRDefault="00E3336F">
            <w:pPr>
              <w:rPr>
                <w:rFonts w:eastAsia="Times New Roman"/>
                <w:sz w:val="20"/>
                <w:szCs w:val="20"/>
              </w:rPr>
            </w:pPr>
            <w:r>
              <w:rPr>
                <w:rFonts w:eastAsia="Times New Roman"/>
                <w:b/>
                <w:bCs/>
                <w:sz w:val="20"/>
                <w:szCs w:val="20"/>
              </w:rPr>
              <w:t> </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3.</w:t>
      </w:r>
      <w:r>
        <w:rPr>
          <w:sz w:val="20"/>
          <w:szCs w:val="20"/>
        </w:rPr>
        <w:t> </w:t>
      </w:r>
      <w:r>
        <w:rPr>
          <w:b/>
          <w:bCs/>
          <w:sz w:val="20"/>
          <w:szCs w:val="20"/>
        </w:rPr>
        <w:t>Defaults Upon Senior Securities.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360"/>
        <w:jc w:val="both"/>
        <w:divId w:val="2082288258"/>
        <w:rPr>
          <w:sz w:val="20"/>
          <w:szCs w:val="20"/>
        </w:rPr>
      </w:pPr>
      <w:r>
        <w:rPr>
          <w:sz w:val="20"/>
          <w:szCs w:val="20"/>
        </w:rPr>
        <w:t>None.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655572153"/>
        <w:rPr>
          <w:rFonts w:eastAsia="Times New Roman"/>
          <w:sz w:val="20"/>
          <w:szCs w:val="20"/>
        </w:rPr>
      </w:pPr>
      <w:r>
        <w:rPr>
          <w:rFonts w:eastAsia="Times New Roman"/>
          <w:sz w:val="20"/>
          <w:szCs w:val="20"/>
        </w:rPr>
        <w:t xml:space="preserve">38 </w:t>
      </w:r>
    </w:p>
    <w:p w:rsidR="00000000" w:rsidRDefault="00E3336F">
      <w:pPr>
        <w:divId w:val="238905877"/>
        <w:rPr>
          <w:rFonts w:eastAsia="Times New Roman"/>
          <w:sz w:val="20"/>
          <w:szCs w:val="20"/>
        </w:rPr>
      </w:pPr>
      <w:r>
        <w:rPr>
          <w:rFonts w:eastAsia="Times New Roman"/>
          <w:sz w:val="20"/>
          <w:szCs w:val="20"/>
        </w:rPr>
        <w:pict>
          <v:rect id="_x0000_i1066" style="width:415.3pt;height:1.5pt" o:hralign="center" o:hrstd="t" o:hrnoshade="t" o:hr="t" fillcolor="black" stroked="f"/>
        </w:pict>
      </w:r>
    </w:p>
    <w:p w:rsidR="00000000" w:rsidRDefault="00E3336F">
      <w:pPr>
        <w:divId w:val="18302425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4.</w:t>
      </w:r>
      <w:r>
        <w:rPr>
          <w:sz w:val="20"/>
          <w:szCs w:val="20"/>
        </w:rPr>
        <w:t> </w:t>
      </w:r>
      <w:r>
        <w:rPr>
          <w:b/>
          <w:bCs/>
          <w:sz w:val="20"/>
          <w:szCs w:val="20"/>
        </w:rPr>
        <w:t>Mine Safety Disclosures.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360"/>
        <w:jc w:val="both"/>
        <w:divId w:val="2082288258"/>
        <w:rPr>
          <w:sz w:val="20"/>
          <w:szCs w:val="20"/>
        </w:rPr>
      </w:pPr>
      <w:r>
        <w:rPr>
          <w:sz w:val="20"/>
          <w:szCs w:val="20"/>
        </w:rPr>
        <w:t>Not applicable.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5.</w:t>
      </w:r>
      <w:r>
        <w:rPr>
          <w:sz w:val="20"/>
          <w:szCs w:val="20"/>
        </w:rPr>
        <w:t> </w:t>
      </w:r>
      <w:r>
        <w:rPr>
          <w:b/>
          <w:bCs/>
          <w:sz w:val="20"/>
          <w:szCs w:val="20"/>
        </w:rPr>
        <w:t>Other Information.</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ind w:firstLine="360"/>
        <w:jc w:val="both"/>
        <w:divId w:val="2082288258"/>
        <w:rPr>
          <w:sz w:val="20"/>
          <w:szCs w:val="20"/>
        </w:rPr>
      </w:pPr>
      <w:r>
        <w:rPr>
          <w:sz w:val="20"/>
          <w:szCs w:val="20"/>
        </w:rPr>
        <w:t>None.</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b/>
          <w:bCs/>
          <w:sz w:val="20"/>
          <w:szCs w:val="20"/>
        </w:rPr>
        <w:t>Item 6.</w:t>
      </w:r>
      <w:r>
        <w:rPr>
          <w:sz w:val="20"/>
          <w:szCs w:val="20"/>
        </w:rPr>
        <w:t> </w:t>
      </w:r>
      <w:r>
        <w:rPr>
          <w:b/>
          <w:bCs/>
          <w:sz w:val="20"/>
          <w:szCs w:val="20"/>
        </w:rPr>
        <w:t>Exhibits.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Exhibits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4.1 Agreement to File Instruments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both"/>
        <w:divId w:val="2082288258"/>
        <w:rPr>
          <w:sz w:val="20"/>
          <w:szCs w:val="20"/>
        </w:rPr>
      </w:pPr>
      <w:r>
        <w:rPr>
          <w:sz w:val="20"/>
          <w:szCs w:val="20"/>
        </w:rPr>
        <w:t>Kimco Realty Corporation (the “Registrant”) hereby agrees to file with the Securities and Exchange Commission, upon request of the Commission, all instruments def</w:t>
      </w:r>
      <w:r>
        <w:rPr>
          <w:sz w:val="20"/>
          <w:szCs w:val="20"/>
        </w:rPr>
        <w:t>ining the rights of holders of long-term debt of the Registrant and its consolidated subsidiaries, and for any of its unconsolidated subsidiaries for which financial statements are required to be filed, and for which the total amount of securities authoriz</w:t>
      </w:r>
      <w:r>
        <w:rPr>
          <w:sz w:val="20"/>
          <w:szCs w:val="20"/>
        </w:rPr>
        <w:t>ed thereunder does not exceed 10 percent of the total assets of the Registrant and its subsidiaries on a consolidated basis.</w:t>
      </w:r>
    </w:p>
    <w:p w:rsidR="00000000" w:rsidRDefault="00E3336F">
      <w:pPr>
        <w:pStyle w:val="a3"/>
        <w:spacing w:before="0" w:beforeAutospacing="0" w:after="0" w:afterAutospacing="0"/>
        <w:jc w:val="both"/>
        <w:divId w:val="2082288258"/>
        <w:rPr>
          <w:sz w:val="20"/>
          <w:szCs w:val="20"/>
        </w:rPr>
      </w:pPr>
      <w:r>
        <w:rPr>
          <w:sz w:val="20"/>
          <w:szCs w:val="20"/>
        </w:rPr>
        <w:t> </w:t>
      </w:r>
    </w:p>
    <w:tbl>
      <w:tblPr>
        <w:tblW w:w="4750" w:type="pct"/>
        <w:tblCellSpacing w:w="0" w:type="dxa"/>
        <w:tblCellMar>
          <w:left w:w="0" w:type="dxa"/>
          <w:right w:w="0" w:type="dxa"/>
        </w:tblCellMar>
        <w:tblLook w:val="04A0" w:firstRow="1" w:lastRow="0" w:firstColumn="1" w:lastColumn="0" w:noHBand="0" w:noVBand="1"/>
      </w:tblPr>
      <w:tblGrid>
        <w:gridCol w:w="789"/>
        <w:gridCol w:w="7102"/>
      </w:tblGrid>
      <w:tr w:rsidR="00000000">
        <w:trPr>
          <w:divId w:val="2082288258"/>
          <w:tblCellSpacing w:w="0" w:type="dxa"/>
        </w:trPr>
        <w:tc>
          <w:tcPr>
            <w:tcW w:w="500" w:type="pct"/>
            <w:hideMark/>
          </w:tcPr>
          <w:p w:rsidR="00000000" w:rsidRDefault="00E3336F">
            <w:pPr>
              <w:rPr>
                <w:rFonts w:eastAsia="Times New Roman"/>
                <w:sz w:val="20"/>
                <w:szCs w:val="20"/>
              </w:rPr>
            </w:pPr>
            <w:r>
              <w:rPr>
                <w:rFonts w:eastAsia="Times New Roman"/>
                <w:sz w:val="20"/>
                <w:szCs w:val="20"/>
              </w:rPr>
              <w:t>4.1</w:t>
            </w:r>
          </w:p>
        </w:tc>
        <w:tc>
          <w:tcPr>
            <w:tcW w:w="4500" w:type="pct"/>
            <w:hideMark/>
          </w:tcPr>
          <w:p w:rsidR="00000000" w:rsidRDefault="00E3336F">
            <w:pPr>
              <w:rPr>
                <w:rFonts w:eastAsia="Times New Roman"/>
                <w:sz w:val="20"/>
                <w:szCs w:val="20"/>
              </w:rPr>
            </w:pPr>
            <w:hyperlink r:id="rId4" w:history="1">
              <w:r>
                <w:rPr>
                  <w:rStyle w:val="a4"/>
                  <w:rFonts w:eastAsia="Times New Roman"/>
                  <w:sz w:val="20"/>
                  <w:szCs w:val="20"/>
                </w:rPr>
                <w:t>Form of Global Note f</w:t>
              </w:r>
              <w:r>
                <w:rPr>
                  <w:rStyle w:val="a4"/>
                  <w:rFonts w:eastAsia="Times New Roman"/>
                  <w:sz w:val="20"/>
                  <w:szCs w:val="20"/>
                </w:rPr>
                <w:t>or 4.600% Notes due 2033 (incorporated by reference to Exhibit 4.1 to the Company's Current Report on Form 8-K filed on August 24, 2022)</w:t>
              </w:r>
            </w:hyperlink>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31.1</w:t>
            </w:r>
          </w:p>
        </w:tc>
        <w:tc>
          <w:tcPr>
            <w:tcW w:w="4500" w:type="pct"/>
            <w:hideMark/>
          </w:tcPr>
          <w:p w:rsidR="00000000" w:rsidRDefault="00E3336F">
            <w:pPr>
              <w:pStyle w:val="a3"/>
              <w:spacing w:before="0" w:beforeAutospacing="0" w:after="0" w:afterAutospacing="0"/>
              <w:rPr>
                <w:sz w:val="20"/>
                <w:szCs w:val="20"/>
              </w:rPr>
            </w:pPr>
            <w:hyperlink r:id="rId5" w:history="1">
              <w:r>
                <w:rPr>
                  <w:rStyle w:val="a4"/>
                  <w:sz w:val="20"/>
                  <w:szCs w:val="20"/>
                </w:rPr>
                <w:t>Certification of the Company’</w:t>
              </w:r>
              <w:r>
                <w:rPr>
                  <w:rStyle w:val="a4"/>
                  <w:sz w:val="20"/>
                  <w:szCs w:val="20"/>
                </w:rPr>
                <w:t>s Chief Executive Officer, Conor C. Flynn, pursuant to Section 302 of the Sarbanes-Oxley Act of 2002.</w:t>
              </w:r>
            </w:hyperlink>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31.2</w:t>
            </w:r>
          </w:p>
        </w:tc>
        <w:tc>
          <w:tcPr>
            <w:tcW w:w="4500" w:type="pct"/>
            <w:hideMark/>
          </w:tcPr>
          <w:p w:rsidR="00000000" w:rsidRDefault="00E3336F">
            <w:pPr>
              <w:pStyle w:val="a3"/>
              <w:spacing w:before="0" w:beforeAutospacing="0" w:after="0" w:afterAutospacing="0"/>
              <w:rPr>
                <w:sz w:val="20"/>
                <w:szCs w:val="20"/>
              </w:rPr>
            </w:pPr>
            <w:hyperlink r:id="rId6" w:history="1">
              <w:r>
                <w:rPr>
                  <w:rStyle w:val="a4"/>
                  <w:sz w:val="20"/>
                  <w:szCs w:val="20"/>
                </w:rPr>
                <w:t xml:space="preserve">Certification of the Company’s Chief Financial Officer, Glenn G. Cohen, pursuant to Section 302 of the Sarbanes-Oxley </w:t>
              </w:r>
              <w:r>
                <w:rPr>
                  <w:rStyle w:val="a4"/>
                  <w:sz w:val="20"/>
                  <w:szCs w:val="20"/>
                </w:rPr>
                <w:t>Act of 2002.</w:t>
              </w:r>
            </w:hyperlink>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32.1*</w:t>
            </w:r>
          </w:p>
        </w:tc>
        <w:tc>
          <w:tcPr>
            <w:tcW w:w="4500" w:type="pct"/>
            <w:hideMark/>
          </w:tcPr>
          <w:p w:rsidR="00000000" w:rsidRDefault="00E3336F">
            <w:pPr>
              <w:pStyle w:val="a3"/>
              <w:spacing w:before="0" w:beforeAutospacing="0" w:after="0" w:afterAutospacing="0"/>
              <w:rPr>
                <w:sz w:val="20"/>
                <w:szCs w:val="20"/>
              </w:rPr>
            </w:pPr>
            <w:hyperlink r:id="rId7" w:history="1">
              <w:r>
                <w:rPr>
                  <w:rStyle w:val="a4"/>
                  <w:sz w:val="20"/>
                  <w:szCs w:val="20"/>
                </w:rPr>
                <w:t>Certification of the Company’s Chief Executive Officer, Conor C. Flynn, and the Company’s Chief Financial Officer, Glenn G. Cohen, pursuant to Section 906 of the Sarbanes-Oxley Act of 2002.</w:t>
              </w:r>
            </w:hyperlink>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101.INS</w:t>
            </w:r>
          </w:p>
        </w:tc>
        <w:tc>
          <w:tcPr>
            <w:tcW w:w="4500" w:type="pct"/>
            <w:hideMark/>
          </w:tcPr>
          <w:p w:rsidR="00000000" w:rsidRDefault="00E3336F">
            <w:pPr>
              <w:pStyle w:val="a3"/>
              <w:spacing w:before="0" w:beforeAutospacing="0" w:after="0" w:afterAutospacing="0"/>
              <w:rPr>
                <w:sz w:val="20"/>
                <w:szCs w:val="20"/>
              </w:rPr>
            </w:pPr>
            <w:r>
              <w:rPr>
                <w:sz w:val="20"/>
                <w:szCs w:val="20"/>
              </w:rPr>
              <w:t xml:space="preserve">Inline </w:t>
            </w:r>
            <w:r>
              <w:rPr>
                <w:sz w:val="20"/>
                <w:szCs w:val="20"/>
              </w:rPr>
              <w:t>XBRL Instance Document - the Instance Document does not appear in the Interactive Data File because its XBRL tags are embedded within the Inline XBRL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101.SCH</w:t>
            </w:r>
          </w:p>
        </w:tc>
        <w:tc>
          <w:tcPr>
            <w:tcW w:w="4500" w:type="pct"/>
            <w:hideMark/>
          </w:tcPr>
          <w:p w:rsidR="00000000" w:rsidRDefault="00E3336F">
            <w:pPr>
              <w:pStyle w:val="a3"/>
              <w:spacing w:before="0" w:beforeAutospacing="0" w:after="0" w:afterAutospacing="0"/>
              <w:rPr>
                <w:sz w:val="20"/>
                <w:szCs w:val="20"/>
              </w:rPr>
            </w:pPr>
            <w:r>
              <w:rPr>
                <w:sz w:val="20"/>
                <w:szCs w:val="20"/>
              </w:rPr>
              <w:t>Inline XBRL Taxonomy Extension Schema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101.CAL</w:t>
            </w:r>
          </w:p>
        </w:tc>
        <w:tc>
          <w:tcPr>
            <w:tcW w:w="4500" w:type="pct"/>
            <w:hideMark/>
          </w:tcPr>
          <w:p w:rsidR="00000000" w:rsidRDefault="00E3336F">
            <w:pPr>
              <w:pStyle w:val="a3"/>
              <w:spacing w:before="0" w:beforeAutospacing="0" w:after="0" w:afterAutospacing="0"/>
              <w:rPr>
                <w:sz w:val="20"/>
                <w:szCs w:val="20"/>
              </w:rPr>
            </w:pPr>
            <w:r>
              <w:rPr>
                <w:sz w:val="20"/>
                <w:szCs w:val="20"/>
              </w:rPr>
              <w:t xml:space="preserve">Inline XBRL Taxonomy Extension </w:t>
            </w:r>
            <w:r>
              <w:rPr>
                <w:sz w:val="20"/>
                <w:szCs w:val="20"/>
              </w:rPr>
              <w:t>Calculation Linkbase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101.DEF</w:t>
            </w:r>
          </w:p>
        </w:tc>
        <w:tc>
          <w:tcPr>
            <w:tcW w:w="4500" w:type="pct"/>
            <w:hideMark/>
          </w:tcPr>
          <w:p w:rsidR="00000000" w:rsidRDefault="00E3336F">
            <w:pPr>
              <w:pStyle w:val="a3"/>
              <w:spacing w:before="0" w:beforeAutospacing="0" w:after="0" w:afterAutospacing="0"/>
              <w:rPr>
                <w:sz w:val="20"/>
                <w:szCs w:val="20"/>
              </w:rPr>
            </w:pPr>
            <w:r>
              <w:rPr>
                <w:sz w:val="20"/>
                <w:szCs w:val="20"/>
              </w:rPr>
              <w:t>Inline XBRL Taxonomy Extension Definition Linkbase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101.LAB</w:t>
            </w:r>
          </w:p>
        </w:tc>
        <w:tc>
          <w:tcPr>
            <w:tcW w:w="4500" w:type="pct"/>
            <w:hideMark/>
          </w:tcPr>
          <w:p w:rsidR="00000000" w:rsidRDefault="00E3336F">
            <w:pPr>
              <w:pStyle w:val="a3"/>
              <w:spacing w:before="0" w:beforeAutospacing="0" w:after="0" w:afterAutospacing="0"/>
              <w:rPr>
                <w:sz w:val="20"/>
                <w:szCs w:val="20"/>
              </w:rPr>
            </w:pPr>
            <w:r>
              <w:rPr>
                <w:sz w:val="20"/>
                <w:szCs w:val="20"/>
              </w:rPr>
              <w:t>Inline XBRL Taxonomy Extension Label Linkbase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101.PRE</w:t>
            </w:r>
          </w:p>
        </w:tc>
        <w:tc>
          <w:tcPr>
            <w:tcW w:w="4500" w:type="pct"/>
            <w:hideMark/>
          </w:tcPr>
          <w:p w:rsidR="00000000" w:rsidRDefault="00E3336F">
            <w:pPr>
              <w:pStyle w:val="a3"/>
              <w:spacing w:before="0" w:beforeAutospacing="0" w:after="0" w:afterAutospacing="0"/>
              <w:rPr>
                <w:sz w:val="20"/>
                <w:szCs w:val="20"/>
              </w:rPr>
            </w:pPr>
            <w:r>
              <w:rPr>
                <w:sz w:val="20"/>
                <w:szCs w:val="20"/>
              </w:rPr>
              <w:t>Inline XBRL Taxonomy Extension Presentation Linkbase Document</w:t>
            </w:r>
          </w:p>
        </w:tc>
      </w:tr>
      <w:tr w:rsidR="00000000">
        <w:trPr>
          <w:divId w:val="2082288258"/>
          <w:tblCellSpacing w:w="0" w:type="dxa"/>
        </w:trPr>
        <w:tc>
          <w:tcPr>
            <w:tcW w:w="500" w:type="pct"/>
            <w:hideMark/>
          </w:tcPr>
          <w:p w:rsidR="00000000" w:rsidRDefault="00E3336F">
            <w:pPr>
              <w:pStyle w:val="a3"/>
              <w:spacing w:before="0" w:beforeAutospacing="0" w:after="0" w:afterAutospacing="0"/>
              <w:rPr>
                <w:sz w:val="20"/>
                <w:szCs w:val="20"/>
              </w:rPr>
            </w:pPr>
            <w:r>
              <w:rPr>
                <w:sz w:val="20"/>
                <w:szCs w:val="20"/>
              </w:rPr>
              <w:t>104</w:t>
            </w:r>
          </w:p>
        </w:tc>
        <w:tc>
          <w:tcPr>
            <w:tcW w:w="4500" w:type="pct"/>
            <w:hideMark/>
          </w:tcPr>
          <w:p w:rsidR="00000000" w:rsidRDefault="00E3336F">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Furnished herewith.</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jc w:val="center"/>
        <w:divId w:val="1609503385"/>
        <w:rPr>
          <w:rFonts w:eastAsia="Times New Roman"/>
          <w:sz w:val="20"/>
          <w:szCs w:val="20"/>
        </w:rPr>
      </w:pPr>
      <w:r>
        <w:rPr>
          <w:rFonts w:eastAsia="Times New Roman"/>
          <w:sz w:val="20"/>
          <w:szCs w:val="20"/>
        </w:rPr>
        <w:t xml:space="preserve">39 </w:t>
      </w:r>
    </w:p>
    <w:p w:rsidR="00000000" w:rsidRDefault="00E3336F">
      <w:pPr>
        <w:divId w:val="1609503385"/>
        <w:rPr>
          <w:rFonts w:eastAsia="Times New Roman"/>
          <w:sz w:val="20"/>
          <w:szCs w:val="20"/>
        </w:rPr>
      </w:pPr>
      <w:r>
        <w:rPr>
          <w:rFonts w:eastAsia="Times New Roman"/>
          <w:sz w:val="20"/>
          <w:szCs w:val="20"/>
        </w:rPr>
        <w:pict>
          <v:rect id="_x0000_i1067" style="width:415.3pt;height:1.5pt" o:hralign="center" o:hrstd="t" o:hrnoshade="t" o:hr="t" fillcolor="black" stroked="f"/>
        </w:pict>
      </w:r>
    </w:p>
    <w:p w:rsidR="00000000" w:rsidRDefault="00E3336F">
      <w:pPr>
        <w:divId w:val="1116678643"/>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jc w:val="center"/>
        <w:divId w:val="2082288258"/>
        <w:rPr>
          <w:sz w:val="20"/>
          <w:szCs w:val="20"/>
        </w:rPr>
      </w:pPr>
      <w:r>
        <w:rPr>
          <w:b/>
          <w:bCs/>
          <w:sz w:val="20"/>
          <w:szCs w:val="20"/>
        </w:rPr>
        <w:t>SIGNATURES</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661"/>
        <w:gridCol w:w="2907"/>
        <w:gridCol w:w="3738"/>
      </w:tblGrid>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KIMCO REALTY CORPORATION</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082288258"/>
          <w:tblCellSpacing w:w="0" w:type="dxa"/>
        </w:trPr>
        <w:tc>
          <w:tcPr>
            <w:tcW w:w="1000" w:type="pct"/>
            <w:hideMark/>
          </w:tcPr>
          <w:p w:rsidR="00000000" w:rsidRDefault="00E3336F">
            <w:pPr>
              <w:rPr>
                <w:rFonts w:eastAsia="Times New Roman"/>
                <w:sz w:val="20"/>
                <w:szCs w:val="20"/>
              </w:rPr>
            </w:pPr>
            <w:r>
              <w:rPr>
                <w:rFonts w:eastAsia="Times New Roman"/>
                <w:sz w:val="20"/>
                <w:szCs w:val="20"/>
              </w:rPr>
              <w:t> </w:t>
            </w:r>
          </w:p>
        </w:tc>
        <w:tc>
          <w:tcPr>
            <w:tcW w:w="1750" w:type="pct"/>
            <w:hideMark/>
          </w:tcPr>
          <w:p w:rsidR="00000000" w:rsidRDefault="00E3336F">
            <w:pPr>
              <w:rPr>
                <w:rFonts w:eastAsia="Times New Roman"/>
                <w:sz w:val="20"/>
                <w:szCs w:val="20"/>
              </w:rPr>
            </w:pPr>
            <w:r>
              <w:rPr>
                <w:rFonts w:eastAsia="Times New Roman"/>
                <w:sz w:val="20"/>
                <w:szCs w:val="20"/>
              </w:rPr>
              <w:t> </w:t>
            </w:r>
          </w:p>
        </w:tc>
        <w:tc>
          <w:tcPr>
            <w:tcW w:w="2250" w:type="pct"/>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000" w:type="pct"/>
            <w:hideMark/>
          </w:tcPr>
          <w:p w:rsidR="00000000" w:rsidRDefault="00E3336F">
            <w:pPr>
              <w:rPr>
                <w:rFonts w:eastAsia="Times New Roman"/>
                <w:sz w:val="20"/>
                <w:szCs w:val="20"/>
              </w:rPr>
            </w:pPr>
            <w:r>
              <w:rPr>
                <w:rFonts w:eastAsia="Times New Roman"/>
                <w:sz w:val="20"/>
                <w:szCs w:val="20"/>
              </w:rPr>
              <w:t> </w:t>
            </w:r>
          </w:p>
        </w:tc>
        <w:tc>
          <w:tcPr>
            <w:tcW w:w="1750" w:type="pct"/>
            <w:hideMark/>
          </w:tcPr>
          <w:p w:rsidR="00000000" w:rsidRDefault="00E3336F">
            <w:pPr>
              <w:rPr>
                <w:rFonts w:eastAsia="Times New Roman"/>
                <w:sz w:val="20"/>
                <w:szCs w:val="20"/>
              </w:rPr>
            </w:pPr>
            <w:r>
              <w:rPr>
                <w:rFonts w:eastAsia="Times New Roman"/>
                <w:sz w:val="20"/>
                <w:szCs w:val="20"/>
              </w:rPr>
              <w:t> </w:t>
            </w:r>
          </w:p>
        </w:tc>
        <w:tc>
          <w:tcPr>
            <w:tcW w:w="2250" w:type="pct"/>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000" w:type="pct"/>
            <w:hideMark/>
          </w:tcPr>
          <w:p w:rsidR="00000000" w:rsidRDefault="00E3336F">
            <w:pPr>
              <w:rPr>
                <w:rFonts w:eastAsia="Times New Roman"/>
                <w:sz w:val="20"/>
                <w:szCs w:val="20"/>
              </w:rPr>
            </w:pPr>
            <w:r>
              <w:rPr>
                <w:rFonts w:eastAsia="Times New Roman"/>
                <w:sz w:val="20"/>
                <w:szCs w:val="20"/>
              </w:rPr>
              <w:t> </w:t>
            </w:r>
          </w:p>
        </w:tc>
        <w:tc>
          <w:tcPr>
            <w:tcW w:w="1750" w:type="pct"/>
            <w:hideMark/>
          </w:tcPr>
          <w:p w:rsidR="00000000" w:rsidRDefault="00E3336F">
            <w:pPr>
              <w:rPr>
                <w:rFonts w:eastAsia="Times New Roman"/>
                <w:sz w:val="20"/>
                <w:szCs w:val="20"/>
              </w:rPr>
            </w:pPr>
            <w:r>
              <w:rPr>
                <w:rFonts w:eastAsia="Times New Roman"/>
                <w:sz w:val="20"/>
                <w:szCs w:val="20"/>
              </w:rPr>
              <w:t> </w:t>
            </w:r>
          </w:p>
        </w:tc>
        <w:tc>
          <w:tcPr>
            <w:tcW w:w="2250" w:type="pct"/>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000" w:type="pct"/>
            <w:hideMark/>
          </w:tcPr>
          <w:p w:rsidR="00000000" w:rsidRDefault="00E3336F">
            <w:pPr>
              <w:rPr>
                <w:rFonts w:eastAsia="Times New Roman"/>
                <w:sz w:val="20"/>
                <w:szCs w:val="20"/>
              </w:rPr>
            </w:pPr>
            <w:r>
              <w:rPr>
                <w:rFonts w:eastAsia="Times New Roman"/>
                <w:sz w:val="20"/>
                <w:szCs w:val="20"/>
              </w:rPr>
              <w:t> </w:t>
            </w:r>
          </w:p>
        </w:tc>
        <w:tc>
          <w:tcPr>
            <w:tcW w:w="1750" w:type="pct"/>
            <w:hideMark/>
          </w:tcPr>
          <w:p w:rsidR="00000000" w:rsidRDefault="00E3336F">
            <w:pPr>
              <w:rPr>
                <w:rFonts w:eastAsia="Times New Roman"/>
                <w:sz w:val="20"/>
                <w:szCs w:val="20"/>
              </w:rPr>
            </w:pPr>
            <w:r>
              <w:rPr>
                <w:rFonts w:eastAsia="Times New Roman"/>
                <w:sz w:val="20"/>
                <w:szCs w:val="20"/>
              </w:rPr>
              <w:t> </w:t>
            </w:r>
          </w:p>
        </w:tc>
        <w:tc>
          <w:tcPr>
            <w:tcW w:w="2250" w:type="pct"/>
            <w:hideMark/>
          </w:tcPr>
          <w:p w:rsidR="00000000" w:rsidRDefault="00E3336F">
            <w:pPr>
              <w:rPr>
                <w:rFonts w:eastAsia="Times New Roman"/>
                <w:sz w:val="20"/>
                <w:szCs w:val="20"/>
              </w:rPr>
            </w:pPr>
            <w:r>
              <w:rPr>
                <w:rFonts w:eastAsia="Times New Roman"/>
                <w:sz w:val="20"/>
                <w:szCs w:val="20"/>
              </w:rPr>
              <w:t> </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082288258"/>
          <w:tblCellSpacing w:w="0" w:type="dxa"/>
        </w:trPr>
        <w:tc>
          <w:tcPr>
            <w:tcW w:w="1000" w:type="pct"/>
            <w:tcBorders>
              <w:bottom w:val="single" w:sz="6" w:space="0" w:color="000000"/>
            </w:tcBorders>
            <w:hideMark/>
          </w:tcPr>
          <w:p w:rsidR="00000000" w:rsidRDefault="00E3336F">
            <w:pPr>
              <w:pStyle w:val="a3"/>
              <w:spacing w:before="0" w:beforeAutospacing="0" w:after="0" w:afterAutospacing="0"/>
              <w:rPr>
                <w:sz w:val="20"/>
                <w:szCs w:val="20"/>
              </w:rPr>
            </w:pPr>
            <w:r>
              <w:rPr>
                <w:sz w:val="20"/>
                <w:szCs w:val="20"/>
              </w:rPr>
              <w:t>October 28, 2022</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E3336F">
            <w:pPr>
              <w:pStyle w:val="a3"/>
              <w:spacing w:before="0" w:beforeAutospacing="0" w:after="0" w:afterAutospacing="0"/>
              <w:rPr>
                <w:sz w:val="20"/>
                <w:szCs w:val="20"/>
              </w:rPr>
            </w:pPr>
            <w:r>
              <w:rPr>
                <w:sz w:val="20"/>
                <w:szCs w:val="20"/>
              </w:rPr>
              <w:t>/s/ Conor C. Flynn</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(Date)</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Conor C. Flynn</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Chief Executive Officer</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 </w:t>
            </w:r>
          </w:p>
        </w:tc>
      </w:tr>
      <w:tr w:rsidR="00000000">
        <w:trPr>
          <w:divId w:val="2082288258"/>
          <w:tblCellSpacing w:w="0" w:type="dxa"/>
        </w:trPr>
        <w:tc>
          <w:tcPr>
            <w:tcW w:w="1000" w:type="pct"/>
            <w:tcBorders>
              <w:bottom w:val="single" w:sz="6" w:space="0" w:color="000000"/>
            </w:tcBorders>
            <w:hideMark/>
          </w:tcPr>
          <w:p w:rsidR="00000000" w:rsidRDefault="00E3336F">
            <w:pPr>
              <w:pStyle w:val="a3"/>
              <w:spacing w:before="0" w:beforeAutospacing="0" w:after="0" w:afterAutospacing="0"/>
              <w:rPr>
                <w:sz w:val="20"/>
                <w:szCs w:val="20"/>
              </w:rPr>
            </w:pPr>
            <w:r>
              <w:rPr>
                <w:sz w:val="20"/>
                <w:szCs w:val="20"/>
              </w:rPr>
              <w:t>October 28, 2022</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E3336F">
            <w:pPr>
              <w:pStyle w:val="a3"/>
              <w:spacing w:before="0" w:beforeAutospacing="0" w:after="0" w:afterAutospacing="0"/>
              <w:rPr>
                <w:sz w:val="20"/>
                <w:szCs w:val="20"/>
              </w:rPr>
            </w:pPr>
            <w:r>
              <w:rPr>
                <w:sz w:val="20"/>
                <w:szCs w:val="20"/>
              </w:rPr>
              <w:t>/s/ Glenn G. Cohen</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(Date)</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Glenn G. Cohen</w:t>
            </w:r>
          </w:p>
        </w:tc>
      </w:tr>
      <w:tr w:rsidR="00000000">
        <w:trPr>
          <w:divId w:val="2082288258"/>
          <w:tblCellSpacing w:w="0" w:type="dxa"/>
        </w:trPr>
        <w:tc>
          <w:tcPr>
            <w:tcW w:w="1000" w:type="pct"/>
            <w:hideMark/>
          </w:tcPr>
          <w:p w:rsidR="00000000" w:rsidRDefault="00E3336F">
            <w:pPr>
              <w:pStyle w:val="a3"/>
              <w:spacing w:before="0" w:beforeAutospacing="0" w:after="0" w:afterAutospacing="0"/>
              <w:rPr>
                <w:sz w:val="20"/>
                <w:szCs w:val="20"/>
              </w:rPr>
            </w:pPr>
            <w:r>
              <w:rPr>
                <w:sz w:val="20"/>
                <w:szCs w:val="20"/>
              </w:rPr>
              <w:t> </w:t>
            </w:r>
          </w:p>
        </w:tc>
        <w:tc>
          <w:tcPr>
            <w:tcW w:w="1750" w:type="pct"/>
            <w:hideMark/>
          </w:tcPr>
          <w:p w:rsidR="00000000" w:rsidRDefault="00E3336F">
            <w:pPr>
              <w:pStyle w:val="a3"/>
              <w:spacing w:before="0" w:beforeAutospacing="0" w:after="0" w:afterAutospacing="0"/>
              <w:rPr>
                <w:sz w:val="20"/>
                <w:szCs w:val="20"/>
              </w:rPr>
            </w:pPr>
            <w:r>
              <w:rPr>
                <w:sz w:val="20"/>
                <w:szCs w:val="20"/>
              </w:rPr>
              <w:t> </w:t>
            </w:r>
          </w:p>
        </w:tc>
        <w:tc>
          <w:tcPr>
            <w:tcW w:w="2250" w:type="pct"/>
            <w:hideMark/>
          </w:tcPr>
          <w:p w:rsidR="00000000" w:rsidRDefault="00E3336F">
            <w:pPr>
              <w:pStyle w:val="a3"/>
              <w:spacing w:before="0" w:beforeAutospacing="0" w:after="0" w:afterAutospacing="0"/>
              <w:rPr>
                <w:sz w:val="20"/>
                <w:szCs w:val="20"/>
              </w:rPr>
            </w:pPr>
            <w:r>
              <w:rPr>
                <w:sz w:val="20"/>
                <w:szCs w:val="20"/>
              </w:rPr>
              <w:t>Chief Financial Officer</w:t>
            </w:r>
          </w:p>
        </w:tc>
      </w:tr>
    </w:tbl>
    <w:p w:rsidR="00000000" w:rsidRDefault="00E3336F">
      <w:pPr>
        <w:pStyle w:val="a3"/>
        <w:spacing w:before="0" w:beforeAutospacing="0" w:after="0" w:afterAutospacing="0"/>
        <w:divId w:val="2082288258"/>
        <w:rPr>
          <w:sz w:val="20"/>
          <w:szCs w:val="20"/>
        </w:rPr>
      </w:pPr>
      <w:r>
        <w:rPr>
          <w:sz w:val="20"/>
          <w:szCs w:val="20"/>
        </w:rPr>
        <w:t> </w:t>
      </w:r>
    </w:p>
    <w:p w:rsidR="00000000" w:rsidRDefault="00E3336F">
      <w:pPr>
        <w:pStyle w:val="a3"/>
        <w:spacing w:before="0" w:beforeAutospacing="0" w:after="0" w:afterAutospacing="0"/>
        <w:divId w:val="2082288258"/>
        <w:rPr>
          <w:sz w:val="20"/>
          <w:szCs w:val="20"/>
        </w:rPr>
      </w:pPr>
      <w:r>
        <w:rPr>
          <w:sz w:val="20"/>
          <w:szCs w:val="20"/>
        </w:rPr>
        <w:t> </w:t>
      </w:r>
    </w:p>
    <w:p w:rsidR="00E3336F" w:rsidRDefault="00E3336F">
      <w:pPr>
        <w:divId w:val="898202785"/>
        <w:rPr>
          <w:rFonts w:eastAsia="Times New Roman"/>
          <w:sz w:val="20"/>
          <w:szCs w:val="20"/>
        </w:rPr>
      </w:pPr>
      <w:r>
        <w:rPr>
          <w:rFonts w:eastAsia="Times New Roman"/>
          <w:sz w:val="20"/>
          <w:szCs w:val="20"/>
        </w:rPr>
        <w:t xml:space="preserve">  </w:t>
      </w:r>
    </w:p>
    <w:sectPr w:rsidR="00E3336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3336F"/>
    <w:rsid w:val="00E3336F"/>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22"/>
  <w:attachedSchema w:val="http://www.xbrl.org/2003/instance"/>
  <w:attachedSchema w:val="http://www.sec.gov/inlineXBRL/transformation/2015-08-31"/>
  <w:attachedSchema w:val="http://www.w3.org/1999/xlink"/>
  <w:attachedSchema w:val="http://www.xbrl.org/inlineXBRL/transformation/2015-02-26"/>
  <w:attachedSchema w:val="http://fasb.org/us-types/2017-01-31"/>
  <w:attachedSchema w:val="http://fasb.org/srt-types/2017-01-31"/>
  <w:attachedSchema w:val="http://www.xbrl.org/2009/utr"/>
  <w:attachedSchema w:val="http://www.xbrl.org/2013/inlineXBRL"/>
  <w:attachedSchema w:val="http://fasb.org/us-roles/2017-01-31"/>
  <w:attachedSchema w:val="http://xbrl.sec.gov/stpr/2022"/>
  <w:attachedSchema w:val="http://www.xbrl.org/2003/linkbase"/>
  <w:attachedSchema w:val="http://www.xbrl.org/2003/iso4217"/>
  <w:attachedSchema w:val="http://xbrl.org/2005/xbrldt"/>
  <w:attachedSchema w:val="http://www.RDGFilings.com"/>
  <w:attachedSchema w:val="http://xbrl.sec.gov/dei/2022"/>
  <w:attachedSchema w:val="http://www.kimcorealty.com/20220930"/>
  <w:attachedSchema w:val="http://fasb.org/srt/2022"/>
  <w:attachedSchema w:val="http://xbrl.sec.gov/currency/2022"/>
  <w:attachedSchema w:val="http://xbrl.sec.gov/sic/2022"/>
  <w:attachedSchema w:val="http://xbrl.sec.gov/exch/2022"/>
  <w:attachedSchema w:val="http://xbrl.sec.gov/country/2022"/>
  <w:attachedSchema w:val="http://fasb.org/us-gaap/2022"/>
  <w:attachedSchema w:val="http://xbrl.sec.gov/rr/2022"/>
  <w:attachedSchema w:val="http://www.xbrl.org/dtr/type/2020-01-2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689">
      <w:marLeft w:val="0"/>
      <w:marRight w:val="0"/>
      <w:marTop w:val="0"/>
      <w:marBottom w:val="0"/>
      <w:divBdr>
        <w:top w:val="none" w:sz="0" w:space="0" w:color="auto"/>
        <w:left w:val="none" w:sz="0" w:space="0" w:color="auto"/>
        <w:bottom w:val="none" w:sz="0" w:space="0" w:color="auto"/>
        <w:right w:val="none" w:sz="0" w:space="0" w:color="auto"/>
      </w:divBdr>
    </w:div>
    <w:div w:id="21982131">
      <w:marLeft w:val="0"/>
      <w:marRight w:val="0"/>
      <w:marTop w:val="0"/>
      <w:marBottom w:val="0"/>
      <w:divBdr>
        <w:top w:val="none" w:sz="0" w:space="0" w:color="auto"/>
        <w:left w:val="none" w:sz="0" w:space="0" w:color="auto"/>
        <w:bottom w:val="none" w:sz="0" w:space="0" w:color="auto"/>
        <w:right w:val="none" w:sz="0" w:space="0" w:color="auto"/>
      </w:divBdr>
    </w:div>
    <w:div w:id="134104740">
      <w:marLeft w:val="0"/>
      <w:marRight w:val="0"/>
      <w:marTop w:val="0"/>
      <w:marBottom w:val="0"/>
      <w:divBdr>
        <w:top w:val="none" w:sz="0" w:space="0" w:color="auto"/>
        <w:left w:val="none" w:sz="0" w:space="0" w:color="auto"/>
        <w:bottom w:val="none" w:sz="0" w:space="0" w:color="auto"/>
        <w:right w:val="none" w:sz="0" w:space="0" w:color="auto"/>
      </w:divBdr>
      <w:divsChild>
        <w:div w:id="1511526458">
          <w:marLeft w:val="0"/>
          <w:marRight w:val="0"/>
          <w:marTop w:val="0"/>
          <w:marBottom w:val="0"/>
          <w:divBdr>
            <w:top w:val="none" w:sz="0" w:space="0" w:color="auto"/>
            <w:left w:val="none" w:sz="0" w:space="0" w:color="auto"/>
            <w:bottom w:val="none" w:sz="0" w:space="0" w:color="auto"/>
            <w:right w:val="none" w:sz="0" w:space="0" w:color="auto"/>
          </w:divBdr>
          <w:divsChild>
            <w:div w:id="8982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3531">
      <w:marLeft w:val="0"/>
      <w:marRight w:val="0"/>
      <w:marTop w:val="0"/>
      <w:marBottom w:val="0"/>
      <w:divBdr>
        <w:top w:val="none" w:sz="0" w:space="0" w:color="auto"/>
        <w:left w:val="none" w:sz="0" w:space="0" w:color="auto"/>
        <w:bottom w:val="none" w:sz="0" w:space="0" w:color="auto"/>
        <w:right w:val="none" w:sz="0" w:space="0" w:color="auto"/>
      </w:divBdr>
    </w:div>
    <w:div w:id="147137035">
      <w:marLeft w:val="0"/>
      <w:marRight w:val="0"/>
      <w:marTop w:val="0"/>
      <w:marBottom w:val="0"/>
      <w:divBdr>
        <w:top w:val="none" w:sz="0" w:space="0" w:color="auto"/>
        <w:left w:val="none" w:sz="0" w:space="0" w:color="auto"/>
        <w:bottom w:val="none" w:sz="0" w:space="0" w:color="auto"/>
        <w:right w:val="none" w:sz="0" w:space="0" w:color="auto"/>
      </w:divBdr>
    </w:div>
    <w:div w:id="184367228">
      <w:marLeft w:val="0"/>
      <w:marRight w:val="0"/>
      <w:marTop w:val="0"/>
      <w:marBottom w:val="0"/>
      <w:divBdr>
        <w:top w:val="none" w:sz="0" w:space="0" w:color="auto"/>
        <w:left w:val="none" w:sz="0" w:space="0" w:color="auto"/>
        <w:bottom w:val="none" w:sz="0" w:space="0" w:color="auto"/>
        <w:right w:val="none" w:sz="0" w:space="0" w:color="auto"/>
      </w:divBdr>
    </w:div>
    <w:div w:id="204218453">
      <w:marLeft w:val="0"/>
      <w:marRight w:val="0"/>
      <w:marTop w:val="0"/>
      <w:marBottom w:val="0"/>
      <w:divBdr>
        <w:top w:val="none" w:sz="0" w:space="0" w:color="auto"/>
        <w:left w:val="none" w:sz="0" w:space="0" w:color="auto"/>
        <w:bottom w:val="none" w:sz="0" w:space="0" w:color="auto"/>
        <w:right w:val="none" w:sz="0" w:space="0" w:color="auto"/>
      </w:divBdr>
      <w:divsChild>
        <w:div w:id="624895192">
          <w:marLeft w:val="0"/>
          <w:marRight w:val="0"/>
          <w:marTop w:val="0"/>
          <w:marBottom w:val="0"/>
          <w:divBdr>
            <w:top w:val="none" w:sz="0" w:space="0" w:color="auto"/>
            <w:left w:val="none" w:sz="0" w:space="0" w:color="auto"/>
            <w:bottom w:val="none" w:sz="0" w:space="0" w:color="auto"/>
            <w:right w:val="none" w:sz="0" w:space="0" w:color="auto"/>
          </w:divBdr>
        </w:div>
        <w:div w:id="251427455">
          <w:marLeft w:val="0"/>
          <w:marRight w:val="0"/>
          <w:marTop w:val="0"/>
          <w:marBottom w:val="0"/>
          <w:divBdr>
            <w:top w:val="none" w:sz="0" w:space="0" w:color="auto"/>
            <w:left w:val="none" w:sz="0" w:space="0" w:color="auto"/>
            <w:bottom w:val="none" w:sz="0" w:space="0" w:color="auto"/>
            <w:right w:val="none" w:sz="0" w:space="0" w:color="auto"/>
          </w:divBdr>
        </w:div>
      </w:divsChild>
    </w:div>
    <w:div w:id="204298239">
      <w:marLeft w:val="0"/>
      <w:marRight w:val="0"/>
      <w:marTop w:val="0"/>
      <w:marBottom w:val="0"/>
      <w:divBdr>
        <w:top w:val="none" w:sz="0" w:space="0" w:color="auto"/>
        <w:left w:val="none" w:sz="0" w:space="0" w:color="auto"/>
        <w:bottom w:val="none" w:sz="0" w:space="0" w:color="auto"/>
        <w:right w:val="none" w:sz="0" w:space="0" w:color="auto"/>
      </w:divBdr>
    </w:div>
    <w:div w:id="210650520">
      <w:marLeft w:val="0"/>
      <w:marRight w:val="0"/>
      <w:marTop w:val="0"/>
      <w:marBottom w:val="0"/>
      <w:divBdr>
        <w:top w:val="none" w:sz="0" w:space="0" w:color="auto"/>
        <w:left w:val="none" w:sz="0" w:space="0" w:color="auto"/>
        <w:bottom w:val="none" w:sz="0" w:space="0" w:color="auto"/>
        <w:right w:val="none" w:sz="0" w:space="0" w:color="auto"/>
      </w:divBdr>
      <w:divsChild>
        <w:div w:id="1857187651">
          <w:marLeft w:val="0"/>
          <w:marRight w:val="0"/>
          <w:marTop w:val="0"/>
          <w:marBottom w:val="0"/>
          <w:divBdr>
            <w:top w:val="none" w:sz="0" w:space="0" w:color="auto"/>
            <w:left w:val="none" w:sz="0" w:space="0" w:color="auto"/>
            <w:bottom w:val="none" w:sz="0" w:space="0" w:color="auto"/>
            <w:right w:val="none" w:sz="0" w:space="0" w:color="auto"/>
          </w:divBdr>
        </w:div>
      </w:divsChild>
    </w:div>
    <w:div w:id="218589353">
      <w:marLeft w:val="0"/>
      <w:marRight w:val="0"/>
      <w:marTop w:val="0"/>
      <w:marBottom w:val="0"/>
      <w:divBdr>
        <w:top w:val="none" w:sz="0" w:space="0" w:color="auto"/>
        <w:left w:val="none" w:sz="0" w:space="0" w:color="auto"/>
        <w:bottom w:val="none" w:sz="0" w:space="0" w:color="auto"/>
        <w:right w:val="none" w:sz="0" w:space="0" w:color="auto"/>
      </w:divBdr>
    </w:div>
    <w:div w:id="257762627">
      <w:marLeft w:val="0"/>
      <w:marRight w:val="0"/>
      <w:marTop w:val="0"/>
      <w:marBottom w:val="0"/>
      <w:divBdr>
        <w:top w:val="none" w:sz="0" w:space="0" w:color="auto"/>
        <w:left w:val="none" w:sz="0" w:space="0" w:color="auto"/>
        <w:bottom w:val="none" w:sz="0" w:space="0" w:color="auto"/>
        <w:right w:val="none" w:sz="0" w:space="0" w:color="auto"/>
      </w:divBdr>
    </w:div>
    <w:div w:id="328758229">
      <w:marLeft w:val="0"/>
      <w:marRight w:val="0"/>
      <w:marTop w:val="0"/>
      <w:marBottom w:val="0"/>
      <w:divBdr>
        <w:top w:val="none" w:sz="0" w:space="0" w:color="auto"/>
        <w:left w:val="none" w:sz="0" w:space="0" w:color="auto"/>
        <w:bottom w:val="none" w:sz="0" w:space="0" w:color="auto"/>
        <w:right w:val="none" w:sz="0" w:space="0" w:color="auto"/>
      </w:divBdr>
    </w:div>
    <w:div w:id="363598301">
      <w:marLeft w:val="0"/>
      <w:marRight w:val="0"/>
      <w:marTop w:val="0"/>
      <w:marBottom w:val="0"/>
      <w:divBdr>
        <w:top w:val="none" w:sz="0" w:space="0" w:color="auto"/>
        <w:left w:val="none" w:sz="0" w:space="0" w:color="auto"/>
        <w:bottom w:val="none" w:sz="0" w:space="0" w:color="auto"/>
        <w:right w:val="none" w:sz="0" w:space="0" w:color="auto"/>
      </w:divBdr>
    </w:div>
    <w:div w:id="413942273">
      <w:marLeft w:val="0"/>
      <w:marRight w:val="0"/>
      <w:marTop w:val="0"/>
      <w:marBottom w:val="0"/>
      <w:divBdr>
        <w:top w:val="none" w:sz="0" w:space="0" w:color="auto"/>
        <w:left w:val="none" w:sz="0" w:space="0" w:color="auto"/>
        <w:bottom w:val="none" w:sz="0" w:space="0" w:color="auto"/>
        <w:right w:val="none" w:sz="0" w:space="0" w:color="auto"/>
      </w:divBdr>
    </w:div>
    <w:div w:id="441996968">
      <w:marLeft w:val="0"/>
      <w:marRight w:val="0"/>
      <w:marTop w:val="0"/>
      <w:marBottom w:val="0"/>
      <w:divBdr>
        <w:top w:val="none" w:sz="0" w:space="0" w:color="auto"/>
        <w:left w:val="none" w:sz="0" w:space="0" w:color="auto"/>
        <w:bottom w:val="none" w:sz="0" w:space="0" w:color="auto"/>
        <w:right w:val="none" w:sz="0" w:space="0" w:color="auto"/>
      </w:divBdr>
    </w:div>
    <w:div w:id="451561212">
      <w:marLeft w:val="0"/>
      <w:marRight w:val="0"/>
      <w:marTop w:val="0"/>
      <w:marBottom w:val="0"/>
      <w:divBdr>
        <w:top w:val="none" w:sz="0" w:space="0" w:color="auto"/>
        <w:left w:val="none" w:sz="0" w:space="0" w:color="auto"/>
        <w:bottom w:val="none" w:sz="0" w:space="0" w:color="auto"/>
        <w:right w:val="none" w:sz="0" w:space="0" w:color="auto"/>
      </w:divBdr>
      <w:divsChild>
        <w:div w:id="1390959976">
          <w:marLeft w:val="0"/>
          <w:marRight w:val="0"/>
          <w:marTop w:val="0"/>
          <w:marBottom w:val="0"/>
          <w:divBdr>
            <w:top w:val="none" w:sz="0" w:space="0" w:color="auto"/>
            <w:left w:val="none" w:sz="0" w:space="0" w:color="auto"/>
            <w:bottom w:val="none" w:sz="0" w:space="0" w:color="auto"/>
            <w:right w:val="none" w:sz="0" w:space="0" w:color="auto"/>
          </w:divBdr>
        </w:div>
        <w:div w:id="186330673">
          <w:marLeft w:val="0"/>
          <w:marRight w:val="0"/>
          <w:marTop w:val="0"/>
          <w:marBottom w:val="0"/>
          <w:divBdr>
            <w:top w:val="none" w:sz="0" w:space="0" w:color="auto"/>
            <w:left w:val="none" w:sz="0" w:space="0" w:color="auto"/>
            <w:bottom w:val="none" w:sz="0" w:space="0" w:color="auto"/>
            <w:right w:val="none" w:sz="0" w:space="0" w:color="auto"/>
          </w:divBdr>
        </w:div>
      </w:divsChild>
    </w:div>
    <w:div w:id="455417945">
      <w:marLeft w:val="0"/>
      <w:marRight w:val="0"/>
      <w:marTop w:val="0"/>
      <w:marBottom w:val="0"/>
      <w:divBdr>
        <w:top w:val="none" w:sz="0" w:space="0" w:color="auto"/>
        <w:left w:val="none" w:sz="0" w:space="0" w:color="auto"/>
        <w:bottom w:val="none" w:sz="0" w:space="0" w:color="auto"/>
        <w:right w:val="none" w:sz="0" w:space="0" w:color="auto"/>
      </w:divBdr>
    </w:div>
    <w:div w:id="463154673">
      <w:marLeft w:val="0"/>
      <w:marRight w:val="0"/>
      <w:marTop w:val="0"/>
      <w:marBottom w:val="0"/>
      <w:divBdr>
        <w:top w:val="none" w:sz="0" w:space="0" w:color="auto"/>
        <w:left w:val="none" w:sz="0" w:space="0" w:color="auto"/>
        <w:bottom w:val="none" w:sz="0" w:space="0" w:color="auto"/>
        <w:right w:val="none" w:sz="0" w:space="0" w:color="auto"/>
      </w:divBdr>
    </w:div>
    <w:div w:id="480078408">
      <w:marLeft w:val="0"/>
      <w:marRight w:val="0"/>
      <w:marTop w:val="0"/>
      <w:marBottom w:val="0"/>
      <w:divBdr>
        <w:top w:val="none" w:sz="0" w:space="0" w:color="auto"/>
        <w:left w:val="none" w:sz="0" w:space="0" w:color="auto"/>
        <w:bottom w:val="none" w:sz="0" w:space="0" w:color="auto"/>
        <w:right w:val="none" w:sz="0" w:space="0" w:color="auto"/>
      </w:divBdr>
    </w:div>
    <w:div w:id="493494082">
      <w:marLeft w:val="0"/>
      <w:marRight w:val="0"/>
      <w:marTop w:val="0"/>
      <w:marBottom w:val="0"/>
      <w:divBdr>
        <w:top w:val="none" w:sz="0" w:space="0" w:color="auto"/>
        <w:left w:val="none" w:sz="0" w:space="0" w:color="auto"/>
        <w:bottom w:val="none" w:sz="0" w:space="0" w:color="auto"/>
        <w:right w:val="none" w:sz="0" w:space="0" w:color="auto"/>
      </w:divBdr>
    </w:div>
    <w:div w:id="498084283">
      <w:marLeft w:val="0"/>
      <w:marRight w:val="0"/>
      <w:marTop w:val="0"/>
      <w:marBottom w:val="0"/>
      <w:divBdr>
        <w:top w:val="none" w:sz="0" w:space="0" w:color="auto"/>
        <w:left w:val="none" w:sz="0" w:space="0" w:color="auto"/>
        <w:bottom w:val="none" w:sz="0" w:space="0" w:color="auto"/>
        <w:right w:val="none" w:sz="0" w:space="0" w:color="auto"/>
      </w:divBdr>
      <w:divsChild>
        <w:div w:id="1198737127">
          <w:marLeft w:val="0"/>
          <w:marRight w:val="0"/>
          <w:marTop w:val="0"/>
          <w:marBottom w:val="0"/>
          <w:divBdr>
            <w:top w:val="none" w:sz="0" w:space="0" w:color="auto"/>
            <w:left w:val="none" w:sz="0" w:space="0" w:color="auto"/>
            <w:bottom w:val="none" w:sz="0" w:space="0" w:color="auto"/>
            <w:right w:val="none" w:sz="0" w:space="0" w:color="auto"/>
          </w:divBdr>
        </w:div>
      </w:divsChild>
    </w:div>
    <w:div w:id="526985168">
      <w:marLeft w:val="0"/>
      <w:marRight w:val="0"/>
      <w:marTop w:val="0"/>
      <w:marBottom w:val="0"/>
      <w:divBdr>
        <w:top w:val="none" w:sz="0" w:space="0" w:color="auto"/>
        <w:left w:val="none" w:sz="0" w:space="0" w:color="auto"/>
        <w:bottom w:val="none" w:sz="0" w:space="0" w:color="auto"/>
        <w:right w:val="none" w:sz="0" w:space="0" w:color="auto"/>
      </w:divBdr>
    </w:div>
    <w:div w:id="527987863">
      <w:marLeft w:val="0"/>
      <w:marRight w:val="0"/>
      <w:marTop w:val="0"/>
      <w:marBottom w:val="0"/>
      <w:divBdr>
        <w:top w:val="none" w:sz="0" w:space="0" w:color="auto"/>
        <w:left w:val="none" w:sz="0" w:space="0" w:color="auto"/>
        <w:bottom w:val="none" w:sz="0" w:space="0" w:color="auto"/>
        <w:right w:val="none" w:sz="0" w:space="0" w:color="auto"/>
      </w:divBdr>
    </w:div>
    <w:div w:id="611978950">
      <w:marLeft w:val="0"/>
      <w:marRight w:val="0"/>
      <w:marTop w:val="0"/>
      <w:marBottom w:val="0"/>
      <w:divBdr>
        <w:top w:val="none" w:sz="0" w:space="0" w:color="auto"/>
        <w:left w:val="none" w:sz="0" w:space="0" w:color="auto"/>
        <w:bottom w:val="none" w:sz="0" w:space="0" w:color="auto"/>
        <w:right w:val="none" w:sz="0" w:space="0" w:color="auto"/>
      </w:divBdr>
      <w:divsChild>
        <w:div w:id="811482184">
          <w:marLeft w:val="0"/>
          <w:marRight w:val="0"/>
          <w:marTop w:val="0"/>
          <w:marBottom w:val="0"/>
          <w:divBdr>
            <w:top w:val="none" w:sz="0" w:space="0" w:color="auto"/>
            <w:left w:val="none" w:sz="0" w:space="0" w:color="auto"/>
            <w:bottom w:val="none" w:sz="0" w:space="0" w:color="auto"/>
            <w:right w:val="none" w:sz="0" w:space="0" w:color="auto"/>
          </w:divBdr>
        </w:div>
      </w:divsChild>
    </w:div>
    <w:div w:id="614025271">
      <w:marLeft w:val="0"/>
      <w:marRight w:val="0"/>
      <w:marTop w:val="0"/>
      <w:marBottom w:val="0"/>
      <w:divBdr>
        <w:top w:val="none" w:sz="0" w:space="0" w:color="auto"/>
        <w:left w:val="none" w:sz="0" w:space="0" w:color="auto"/>
        <w:bottom w:val="none" w:sz="0" w:space="0" w:color="auto"/>
        <w:right w:val="none" w:sz="0" w:space="0" w:color="auto"/>
      </w:divBdr>
    </w:div>
    <w:div w:id="631786569">
      <w:marLeft w:val="0"/>
      <w:marRight w:val="0"/>
      <w:marTop w:val="0"/>
      <w:marBottom w:val="0"/>
      <w:divBdr>
        <w:top w:val="none" w:sz="0" w:space="0" w:color="auto"/>
        <w:left w:val="none" w:sz="0" w:space="0" w:color="auto"/>
        <w:bottom w:val="none" w:sz="0" w:space="0" w:color="auto"/>
        <w:right w:val="none" w:sz="0" w:space="0" w:color="auto"/>
      </w:divBdr>
      <w:divsChild>
        <w:div w:id="373390381">
          <w:marLeft w:val="0"/>
          <w:marRight w:val="0"/>
          <w:marTop w:val="0"/>
          <w:marBottom w:val="0"/>
          <w:divBdr>
            <w:top w:val="none" w:sz="0" w:space="0" w:color="auto"/>
            <w:left w:val="none" w:sz="0" w:space="0" w:color="auto"/>
            <w:bottom w:val="none" w:sz="0" w:space="0" w:color="auto"/>
            <w:right w:val="none" w:sz="0" w:space="0" w:color="auto"/>
          </w:divBdr>
        </w:div>
        <w:div w:id="1883588884">
          <w:marLeft w:val="0"/>
          <w:marRight w:val="0"/>
          <w:marTop w:val="0"/>
          <w:marBottom w:val="0"/>
          <w:divBdr>
            <w:top w:val="none" w:sz="0" w:space="0" w:color="auto"/>
            <w:left w:val="none" w:sz="0" w:space="0" w:color="auto"/>
            <w:bottom w:val="none" w:sz="0" w:space="0" w:color="auto"/>
            <w:right w:val="none" w:sz="0" w:space="0" w:color="auto"/>
          </w:divBdr>
        </w:div>
      </w:divsChild>
    </w:div>
    <w:div w:id="684526362">
      <w:marLeft w:val="0"/>
      <w:marRight w:val="0"/>
      <w:marTop w:val="0"/>
      <w:marBottom w:val="0"/>
      <w:divBdr>
        <w:top w:val="none" w:sz="0" w:space="0" w:color="auto"/>
        <w:left w:val="none" w:sz="0" w:space="0" w:color="auto"/>
        <w:bottom w:val="none" w:sz="0" w:space="0" w:color="auto"/>
        <w:right w:val="none" w:sz="0" w:space="0" w:color="auto"/>
      </w:divBdr>
    </w:div>
    <w:div w:id="735011222">
      <w:marLeft w:val="0"/>
      <w:marRight w:val="0"/>
      <w:marTop w:val="0"/>
      <w:marBottom w:val="0"/>
      <w:divBdr>
        <w:top w:val="none" w:sz="0" w:space="0" w:color="auto"/>
        <w:left w:val="none" w:sz="0" w:space="0" w:color="auto"/>
        <w:bottom w:val="none" w:sz="0" w:space="0" w:color="auto"/>
        <w:right w:val="none" w:sz="0" w:space="0" w:color="auto"/>
      </w:divBdr>
    </w:div>
    <w:div w:id="788860082">
      <w:marLeft w:val="0"/>
      <w:marRight w:val="0"/>
      <w:marTop w:val="0"/>
      <w:marBottom w:val="0"/>
      <w:divBdr>
        <w:top w:val="none" w:sz="0" w:space="0" w:color="auto"/>
        <w:left w:val="none" w:sz="0" w:space="0" w:color="auto"/>
        <w:bottom w:val="none" w:sz="0" w:space="0" w:color="auto"/>
        <w:right w:val="none" w:sz="0" w:space="0" w:color="auto"/>
      </w:divBdr>
    </w:div>
    <w:div w:id="791440577">
      <w:marLeft w:val="0"/>
      <w:marRight w:val="0"/>
      <w:marTop w:val="0"/>
      <w:marBottom w:val="0"/>
      <w:divBdr>
        <w:top w:val="none" w:sz="0" w:space="0" w:color="auto"/>
        <w:left w:val="none" w:sz="0" w:space="0" w:color="auto"/>
        <w:bottom w:val="none" w:sz="0" w:space="0" w:color="auto"/>
        <w:right w:val="none" w:sz="0" w:space="0" w:color="auto"/>
      </w:divBdr>
    </w:div>
    <w:div w:id="798032151">
      <w:marLeft w:val="0"/>
      <w:marRight w:val="0"/>
      <w:marTop w:val="0"/>
      <w:marBottom w:val="0"/>
      <w:divBdr>
        <w:top w:val="none" w:sz="0" w:space="0" w:color="auto"/>
        <w:left w:val="none" w:sz="0" w:space="0" w:color="auto"/>
        <w:bottom w:val="none" w:sz="0" w:space="0" w:color="auto"/>
        <w:right w:val="none" w:sz="0" w:space="0" w:color="auto"/>
      </w:divBdr>
    </w:div>
    <w:div w:id="806974624">
      <w:marLeft w:val="0"/>
      <w:marRight w:val="0"/>
      <w:marTop w:val="0"/>
      <w:marBottom w:val="0"/>
      <w:divBdr>
        <w:top w:val="none" w:sz="0" w:space="0" w:color="auto"/>
        <w:left w:val="none" w:sz="0" w:space="0" w:color="auto"/>
        <w:bottom w:val="none" w:sz="0" w:space="0" w:color="auto"/>
        <w:right w:val="none" w:sz="0" w:space="0" w:color="auto"/>
      </w:divBdr>
    </w:div>
    <w:div w:id="809860387">
      <w:marLeft w:val="0"/>
      <w:marRight w:val="0"/>
      <w:marTop w:val="0"/>
      <w:marBottom w:val="0"/>
      <w:divBdr>
        <w:top w:val="none" w:sz="0" w:space="0" w:color="auto"/>
        <w:left w:val="none" w:sz="0" w:space="0" w:color="auto"/>
        <w:bottom w:val="none" w:sz="0" w:space="0" w:color="auto"/>
        <w:right w:val="none" w:sz="0" w:space="0" w:color="auto"/>
      </w:divBdr>
    </w:div>
    <w:div w:id="819423562">
      <w:marLeft w:val="0"/>
      <w:marRight w:val="0"/>
      <w:marTop w:val="0"/>
      <w:marBottom w:val="0"/>
      <w:divBdr>
        <w:top w:val="none" w:sz="0" w:space="0" w:color="auto"/>
        <w:left w:val="none" w:sz="0" w:space="0" w:color="auto"/>
        <w:bottom w:val="none" w:sz="0" w:space="0" w:color="auto"/>
        <w:right w:val="none" w:sz="0" w:space="0" w:color="auto"/>
      </w:divBdr>
    </w:div>
    <w:div w:id="889531640">
      <w:marLeft w:val="0"/>
      <w:marRight w:val="0"/>
      <w:marTop w:val="0"/>
      <w:marBottom w:val="0"/>
      <w:divBdr>
        <w:top w:val="none" w:sz="0" w:space="0" w:color="auto"/>
        <w:left w:val="none" w:sz="0" w:space="0" w:color="auto"/>
        <w:bottom w:val="none" w:sz="0" w:space="0" w:color="auto"/>
        <w:right w:val="none" w:sz="0" w:space="0" w:color="auto"/>
      </w:divBdr>
      <w:divsChild>
        <w:div w:id="1179346358">
          <w:marLeft w:val="0"/>
          <w:marRight w:val="0"/>
          <w:marTop w:val="0"/>
          <w:marBottom w:val="0"/>
          <w:divBdr>
            <w:top w:val="none" w:sz="0" w:space="0" w:color="auto"/>
            <w:left w:val="none" w:sz="0" w:space="0" w:color="auto"/>
            <w:bottom w:val="none" w:sz="0" w:space="0" w:color="auto"/>
            <w:right w:val="none" w:sz="0" w:space="0" w:color="auto"/>
          </w:divBdr>
        </w:div>
        <w:div w:id="289091782">
          <w:marLeft w:val="0"/>
          <w:marRight w:val="0"/>
          <w:marTop w:val="0"/>
          <w:marBottom w:val="0"/>
          <w:divBdr>
            <w:top w:val="none" w:sz="0" w:space="0" w:color="auto"/>
            <w:left w:val="none" w:sz="0" w:space="0" w:color="auto"/>
            <w:bottom w:val="none" w:sz="0" w:space="0" w:color="auto"/>
            <w:right w:val="none" w:sz="0" w:space="0" w:color="auto"/>
          </w:divBdr>
        </w:div>
      </w:divsChild>
    </w:div>
    <w:div w:id="939415271">
      <w:marLeft w:val="0"/>
      <w:marRight w:val="0"/>
      <w:marTop w:val="0"/>
      <w:marBottom w:val="0"/>
      <w:divBdr>
        <w:top w:val="none" w:sz="0" w:space="0" w:color="auto"/>
        <w:left w:val="none" w:sz="0" w:space="0" w:color="auto"/>
        <w:bottom w:val="none" w:sz="0" w:space="0" w:color="auto"/>
        <w:right w:val="none" w:sz="0" w:space="0" w:color="auto"/>
      </w:divBdr>
    </w:div>
    <w:div w:id="1002855528">
      <w:marLeft w:val="0"/>
      <w:marRight w:val="0"/>
      <w:marTop w:val="0"/>
      <w:marBottom w:val="0"/>
      <w:divBdr>
        <w:top w:val="none" w:sz="0" w:space="0" w:color="auto"/>
        <w:left w:val="none" w:sz="0" w:space="0" w:color="auto"/>
        <w:bottom w:val="none" w:sz="0" w:space="0" w:color="auto"/>
        <w:right w:val="none" w:sz="0" w:space="0" w:color="auto"/>
      </w:divBdr>
    </w:div>
    <w:div w:id="1013801028">
      <w:marLeft w:val="0"/>
      <w:marRight w:val="0"/>
      <w:marTop w:val="0"/>
      <w:marBottom w:val="0"/>
      <w:divBdr>
        <w:top w:val="none" w:sz="0" w:space="0" w:color="auto"/>
        <w:left w:val="none" w:sz="0" w:space="0" w:color="auto"/>
        <w:bottom w:val="none" w:sz="0" w:space="0" w:color="auto"/>
        <w:right w:val="none" w:sz="0" w:space="0" w:color="auto"/>
      </w:divBdr>
    </w:div>
    <w:div w:id="1040206623">
      <w:marLeft w:val="0"/>
      <w:marRight w:val="0"/>
      <w:marTop w:val="0"/>
      <w:marBottom w:val="0"/>
      <w:divBdr>
        <w:top w:val="none" w:sz="0" w:space="0" w:color="auto"/>
        <w:left w:val="none" w:sz="0" w:space="0" w:color="auto"/>
        <w:bottom w:val="none" w:sz="0" w:space="0" w:color="auto"/>
        <w:right w:val="none" w:sz="0" w:space="0" w:color="auto"/>
      </w:divBdr>
    </w:div>
    <w:div w:id="1042366108">
      <w:marLeft w:val="0"/>
      <w:marRight w:val="0"/>
      <w:marTop w:val="0"/>
      <w:marBottom w:val="0"/>
      <w:divBdr>
        <w:top w:val="none" w:sz="0" w:space="0" w:color="auto"/>
        <w:left w:val="none" w:sz="0" w:space="0" w:color="auto"/>
        <w:bottom w:val="none" w:sz="0" w:space="0" w:color="auto"/>
        <w:right w:val="none" w:sz="0" w:space="0" w:color="auto"/>
      </w:divBdr>
    </w:div>
    <w:div w:id="1078483779">
      <w:marLeft w:val="0"/>
      <w:marRight w:val="0"/>
      <w:marTop w:val="0"/>
      <w:marBottom w:val="0"/>
      <w:divBdr>
        <w:top w:val="none" w:sz="0" w:space="0" w:color="auto"/>
        <w:left w:val="none" w:sz="0" w:space="0" w:color="auto"/>
        <w:bottom w:val="none" w:sz="0" w:space="0" w:color="auto"/>
        <w:right w:val="none" w:sz="0" w:space="0" w:color="auto"/>
      </w:divBdr>
      <w:divsChild>
        <w:div w:id="174852184">
          <w:marLeft w:val="0"/>
          <w:marRight w:val="0"/>
          <w:marTop w:val="0"/>
          <w:marBottom w:val="0"/>
          <w:divBdr>
            <w:top w:val="none" w:sz="0" w:space="0" w:color="auto"/>
            <w:left w:val="none" w:sz="0" w:space="0" w:color="auto"/>
            <w:bottom w:val="none" w:sz="0" w:space="0" w:color="auto"/>
            <w:right w:val="none" w:sz="0" w:space="0" w:color="auto"/>
          </w:divBdr>
        </w:div>
        <w:div w:id="774791463">
          <w:marLeft w:val="0"/>
          <w:marRight w:val="0"/>
          <w:marTop w:val="0"/>
          <w:marBottom w:val="0"/>
          <w:divBdr>
            <w:top w:val="none" w:sz="0" w:space="0" w:color="auto"/>
            <w:left w:val="none" w:sz="0" w:space="0" w:color="auto"/>
            <w:bottom w:val="none" w:sz="0" w:space="0" w:color="auto"/>
            <w:right w:val="none" w:sz="0" w:space="0" w:color="auto"/>
          </w:divBdr>
        </w:div>
      </w:divsChild>
    </w:div>
    <w:div w:id="1130199586">
      <w:marLeft w:val="0"/>
      <w:marRight w:val="0"/>
      <w:marTop w:val="0"/>
      <w:marBottom w:val="0"/>
      <w:divBdr>
        <w:top w:val="none" w:sz="0" w:space="0" w:color="auto"/>
        <w:left w:val="none" w:sz="0" w:space="0" w:color="auto"/>
        <w:bottom w:val="none" w:sz="0" w:space="0" w:color="auto"/>
        <w:right w:val="none" w:sz="0" w:space="0" w:color="auto"/>
      </w:divBdr>
      <w:divsChild>
        <w:div w:id="320694671">
          <w:marLeft w:val="0"/>
          <w:marRight w:val="0"/>
          <w:marTop w:val="0"/>
          <w:marBottom w:val="0"/>
          <w:divBdr>
            <w:top w:val="none" w:sz="0" w:space="0" w:color="auto"/>
            <w:left w:val="none" w:sz="0" w:space="0" w:color="auto"/>
            <w:bottom w:val="none" w:sz="0" w:space="0" w:color="auto"/>
            <w:right w:val="none" w:sz="0" w:space="0" w:color="auto"/>
          </w:divBdr>
        </w:div>
        <w:div w:id="1221093505">
          <w:marLeft w:val="0"/>
          <w:marRight w:val="0"/>
          <w:marTop w:val="0"/>
          <w:marBottom w:val="0"/>
          <w:divBdr>
            <w:top w:val="none" w:sz="0" w:space="0" w:color="auto"/>
            <w:left w:val="none" w:sz="0" w:space="0" w:color="auto"/>
            <w:bottom w:val="none" w:sz="0" w:space="0" w:color="auto"/>
            <w:right w:val="none" w:sz="0" w:space="0" w:color="auto"/>
          </w:divBdr>
        </w:div>
      </w:divsChild>
    </w:div>
    <w:div w:id="1146819039">
      <w:marLeft w:val="0"/>
      <w:marRight w:val="0"/>
      <w:marTop w:val="0"/>
      <w:marBottom w:val="0"/>
      <w:divBdr>
        <w:top w:val="none" w:sz="0" w:space="0" w:color="auto"/>
        <w:left w:val="none" w:sz="0" w:space="0" w:color="auto"/>
        <w:bottom w:val="none" w:sz="0" w:space="0" w:color="auto"/>
        <w:right w:val="none" w:sz="0" w:space="0" w:color="auto"/>
      </w:divBdr>
    </w:div>
    <w:div w:id="1191526783">
      <w:marLeft w:val="0"/>
      <w:marRight w:val="0"/>
      <w:marTop w:val="0"/>
      <w:marBottom w:val="0"/>
      <w:divBdr>
        <w:top w:val="none" w:sz="0" w:space="0" w:color="auto"/>
        <w:left w:val="none" w:sz="0" w:space="0" w:color="auto"/>
        <w:bottom w:val="none" w:sz="0" w:space="0" w:color="auto"/>
        <w:right w:val="none" w:sz="0" w:space="0" w:color="auto"/>
      </w:divBdr>
    </w:div>
    <w:div w:id="1247836320">
      <w:marLeft w:val="0"/>
      <w:marRight w:val="0"/>
      <w:marTop w:val="0"/>
      <w:marBottom w:val="0"/>
      <w:divBdr>
        <w:top w:val="none" w:sz="0" w:space="0" w:color="auto"/>
        <w:left w:val="none" w:sz="0" w:space="0" w:color="auto"/>
        <w:bottom w:val="none" w:sz="0" w:space="0" w:color="auto"/>
        <w:right w:val="none" w:sz="0" w:space="0" w:color="auto"/>
      </w:divBdr>
    </w:div>
    <w:div w:id="1272005653">
      <w:marLeft w:val="0"/>
      <w:marRight w:val="0"/>
      <w:marTop w:val="0"/>
      <w:marBottom w:val="0"/>
      <w:divBdr>
        <w:top w:val="none" w:sz="0" w:space="0" w:color="auto"/>
        <w:left w:val="none" w:sz="0" w:space="0" w:color="auto"/>
        <w:bottom w:val="none" w:sz="0" w:space="0" w:color="auto"/>
        <w:right w:val="none" w:sz="0" w:space="0" w:color="auto"/>
      </w:divBdr>
    </w:div>
    <w:div w:id="1312174106">
      <w:marLeft w:val="0"/>
      <w:marRight w:val="0"/>
      <w:marTop w:val="0"/>
      <w:marBottom w:val="0"/>
      <w:divBdr>
        <w:top w:val="none" w:sz="0" w:space="0" w:color="auto"/>
        <w:left w:val="none" w:sz="0" w:space="0" w:color="auto"/>
        <w:bottom w:val="none" w:sz="0" w:space="0" w:color="auto"/>
        <w:right w:val="none" w:sz="0" w:space="0" w:color="auto"/>
      </w:divBdr>
    </w:div>
    <w:div w:id="1392383330">
      <w:marLeft w:val="0"/>
      <w:marRight w:val="0"/>
      <w:marTop w:val="0"/>
      <w:marBottom w:val="0"/>
      <w:divBdr>
        <w:top w:val="none" w:sz="0" w:space="0" w:color="auto"/>
        <w:left w:val="none" w:sz="0" w:space="0" w:color="auto"/>
        <w:bottom w:val="none" w:sz="0" w:space="0" w:color="auto"/>
        <w:right w:val="none" w:sz="0" w:space="0" w:color="auto"/>
      </w:divBdr>
    </w:div>
    <w:div w:id="1434983644">
      <w:marLeft w:val="0"/>
      <w:marRight w:val="0"/>
      <w:marTop w:val="0"/>
      <w:marBottom w:val="0"/>
      <w:divBdr>
        <w:top w:val="none" w:sz="0" w:space="0" w:color="auto"/>
        <w:left w:val="none" w:sz="0" w:space="0" w:color="auto"/>
        <w:bottom w:val="none" w:sz="0" w:space="0" w:color="auto"/>
        <w:right w:val="none" w:sz="0" w:space="0" w:color="auto"/>
      </w:divBdr>
      <w:divsChild>
        <w:div w:id="509758099">
          <w:marLeft w:val="0"/>
          <w:marRight w:val="0"/>
          <w:marTop w:val="0"/>
          <w:marBottom w:val="0"/>
          <w:divBdr>
            <w:top w:val="none" w:sz="0" w:space="0" w:color="auto"/>
            <w:left w:val="none" w:sz="0" w:space="0" w:color="auto"/>
            <w:bottom w:val="none" w:sz="0" w:space="0" w:color="auto"/>
            <w:right w:val="none" w:sz="0" w:space="0" w:color="auto"/>
          </w:divBdr>
          <w:divsChild>
            <w:div w:id="127554897">
              <w:marLeft w:val="0"/>
              <w:marRight w:val="0"/>
              <w:marTop w:val="0"/>
              <w:marBottom w:val="0"/>
              <w:divBdr>
                <w:top w:val="none" w:sz="0" w:space="0" w:color="auto"/>
                <w:left w:val="none" w:sz="0" w:space="0" w:color="auto"/>
                <w:bottom w:val="none" w:sz="0" w:space="0" w:color="auto"/>
                <w:right w:val="none" w:sz="0" w:space="0" w:color="auto"/>
              </w:divBdr>
            </w:div>
          </w:divsChild>
        </w:div>
        <w:div w:id="380593248">
          <w:marLeft w:val="0"/>
          <w:marRight w:val="0"/>
          <w:marTop w:val="0"/>
          <w:marBottom w:val="0"/>
          <w:divBdr>
            <w:top w:val="none" w:sz="0" w:space="0" w:color="auto"/>
            <w:left w:val="none" w:sz="0" w:space="0" w:color="auto"/>
            <w:bottom w:val="none" w:sz="0" w:space="0" w:color="auto"/>
            <w:right w:val="none" w:sz="0" w:space="0" w:color="auto"/>
          </w:divBdr>
        </w:div>
      </w:divsChild>
    </w:div>
    <w:div w:id="1464232512">
      <w:marLeft w:val="0"/>
      <w:marRight w:val="0"/>
      <w:marTop w:val="0"/>
      <w:marBottom w:val="0"/>
      <w:divBdr>
        <w:top w:val="none" w:sz="0" w:space="0" w:color="auto"/>
        <w:left w:val="none" w:sz="0" w:space="0" w:color="auto"/>
        <w:bottom w:val="none" w:sz="0" w:space="0" w:color="auto"/>
        <w:right w:val="none" w:sz="0" w:space="0" w:color="auto"/>
      </w:divBdr>
    </w:div>
    <w:div w:id="1530139110">
      <w:marLeft w:val="0"/>
      <w:marRight w:val="0"/>
      <w:marTop w:val="0"/>
      <w:marBottom w:val="0"/>
      <w:divBdr>
        <w:top w:val="none" w:sz="0" w:space="0" w:color="auto"/>
        <w:left w:val="none" w:sz="0" w:space="0" w:color="auto"/>
        <w:bottom w:val="none" w:sz="0" w:space="0" w:color="auto"/>
        <w:right w:val="none" w:sz="0" w:space="0" w:color="auto"/>
      </w:divBdr>
    </w:div>
    <w:div w:id="1530609308">
      <w:marLeft w:val="0"/>
      <w:marRight w:val="0"/>
      <w:marTop w:val="0"/>
      <w:marBottom w:val="0"/>
      <w:divBdr>
        <w:top w:val="none" w:sz="0" w:space="0" w:color="auto"/>
        <w:left w:val="none" w:sz="0" w:space="0" w:color="auto"/>
        <w:bottom w:val="none" w:sz="0" w:space="0" w:color="auto"/>
        <w:right w:val="none" w:sz="0" w:space="0" w:color="auto"/>
      </w:divBdr>
      <w:divsChild>
        <w:div w:id="169569664">
          <w:marLeft w:val="0"/>
          <w:marRight w:val="0"/>
          <w:marTop w:val="0"/>
          <w:marBottom w:val="0"/>
          <w:divBdr>
            <w:top w:val="none" w:sz="0" w:space="0" w:color="auto"/>
            <w:left w:val="none" w:sz="0" w:space="0" w:color="auto"/>
            <w:bottom w:val="none" w:sz="0" w:space="0" w:color="auto"/>
            <w:right w:val="none" w:sz="0" w:space="0" w:color="auto"/>
          </w:divBdr>
        </w:div>
        <w:div w:id="912005004">
          <w:marLeft w:val="0"/>
          <w:marRight w:val="0"/>
          <w:marTop w:val="0"/>
          <w:marBottom w:val="0"/>
          <w:divBdr>
            <w:top w:val="none" w:sz="0" w:space="0" w:color="auto"/>
            <w:left w:val="none" w:sz="0" w:space="0" w:color="auto"/>
            <w:bottom w:val="none" w:sz="0" w:space="0" w:color="auto"/>
            <w:right w:val="none" w:sz="0" w:space="0" w:color="auto"/>
          </w:divBdr>
          <w:divsChild>
            <w:div w:id="158730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3965">
      <w:marLeft w:val="0"/>
      <w:marRight w:val="0"/>
      <w:marTop w:val="0"/>
      <w:marBottom w:val="0"/>
      <w:divBdr>
        <w:top w:val="none" w:sz="0" w:space="0" w:color="auto"/>
        <w:left w:val="none" w:sz="0" w:space="0" w:color="auto"/>
        <w:bottom w:val="none" w:sz="0" w:space="0" w:color="auto"/>
        <w:right w:val="none" w:sz="0" w:space="0" w:color="auto"/>
      </w:divBdr>
    </w:div>
    <w:div w:id="1579972678">
      <w:marLeft w:val="0"/>
      <w:marRight w:val="0"/>
      <w:marTop w:val="0"/>
      <w:marBottom w:val="0"/>
      <w:divBdr>
        <w:top w:val="none" w:sz="0" w:space="0" w:color="auto"/>
        <w:left w:val="none" w:sz="0" w:space="0" w:color="auto"/>
        <w:bottom w:val="none" w:sz="0" w:space="0" w:color="auto"/>
        <w:right w:val="none" w:sz="0" w:space="0" w:color="auto"/>
      </w:divBdr>
    </w:div>
    <w:div w:id="1606687453">
      <w:marLeft w:val="0"/>
      <w:marRight w:val="0"/>
      <w:marTop w:val="0"/>
      <w:marBottom w:val="0"/>
      <w:divBdr>
        <w:top w:val="none" w:sz="0" w:space="0" w:color="auto"/>
        <w:left w:val="none" w:sz="0" w:space="0" w:color="auto"/>
        <w:bottom w:val="none" w:sz="0" w:space="0" w:color="auto"/>
        <w:right w:val="none" w:sz="0" w:space="0" w:color="auto"/>
      </w:divBdr>
    </w:div>
    <w:div w:id="1630012072">
      <w:marLeft w:val="0"/>
      <w:marRight w:val="0"/>
      <w:marTop w:val="0"/>
      <w:marBottom w:val="0"/>
      <w:divBdr>
        <w:top w:val="none" w:sz="0" w:space="0" w:color="auto"/>
        <w:left w:val="none" w:sz="0" w:space="0" w:color="auto"/>
        <w:bottom w:val="none" w:sz="0" w:space="0" w:color="auto"/>
        <w:right w:val="none" w:sz="0" w:space="0" w:color="auto"/>
      </w:divBdr>
    </w:div>
    <w:div w:id="1636131775">
      <w:marLeft w:val="0"/>
      <w:marRight w:val="0"/>
      <w:marTop w:val="0"/>
      <w:marBottom w:val="0"/>
      <w:divBdr>
        <w:top w:val="none" w:sz="0" w:space="0" w:color="auto"/>
        <w:left w:val="none" w:sz="0" w:space="0" w:color="auto"/>
        <w:bottom w:val="none" w:sz="0" w:space="0" w:color="auto"/>
        <w:right w:val="none" w:sz="0" w:space="0" w:color="auto"/>
      </w:divBdr>
    </w:div>
    <w:div w:id="1665552917">
      <w:marLeft w:val="0"/>
      <w:marRight w:val="0"/>
      <w:marTop w:val="0"/>
      <w:marBottom w:val="0"/>
      <w:divBdr>
        <w:top w:val="none" w:sz="0" w:space="0" w:color="auto"/>
        <w:left w:val="none" w:sz="0" w:space="0" w:color="auto"/>
        <w:bottom w:val="none" w:sz="0" w:space="0" w:color="auto"/>
        <w:right w:val="none" w:sz="0" w:space="0" w:color="auto"/>
      </w:divBdr>
    </w:div>
    <w:div w:id="1688823075">
      <w:marLeft w:val="0"/>
      <w:marRight w:val="0"/>
      <w:marTop w:val="0"/>
      <w:marBottom w:val="0"/>
      <w:divBdr>
        <w:top w:val="none" w:sz="0" w:space="0" w:color="auto"/>
        <w:left w:val="none" w:sz="0" w:space="0" w:color="auto"/>
        <w:bottom w:val="none" w:sz="0" w:space="0" w:color="auto"/>
        <w:right w:val="none" w:sz="0" w:space="0" w:color="auto"/>
      </w:divBdr>
      <w:divsChild>
        <w:div w:id="1124888830">
          <w:marLeft w:val="0"/>
          <w:marRight w:val="0"/>
          <w:marTop w:val="0"/>
          <w:marBottom w:val="0"/>
          <w:divBdr>
            <w:top w:val="none" w:sz="0" w:space="0" w:color="auto"/>
            <w:left w:val="none" w:sz="0" w:space="0" w:color="auto"/>
            <w:bottom w:val="none" w:sz="0" w:space="0" w:color="auto"/>
            <w:right w:val="none" w:sz="0" w:space="0" w:color="auto"/>
          </w:divBdr>
        </w:div>
      </w:divsChild>
    </w:div>
    <w:div w:id="1695033753">
      <w:marLeft w:val="0"/>
      <w:marRight w:val="0"/>
      <w:marTop w:val="0"/>
      <w:marBottom w:val="0"/>
      <w:divBdr>
        <w:top w:val="none" w:sz="0" w:space="0" w:color="auto"/>
        <w:left w:val="none" w:sz="0" w:space="0" w:color="auto"/>
        <w:bottom w:val="none" w:sz="0" w:space="0" w:color="auto"/>
        <w:right w:val="none" w:sz="0" w:space="0" w:color="auto"/>
      </w:divBdr>
    </w:div>
    <w:div w:id="1699155787">
      <w:marLeft w:val="0"/>
      <w:marRight w:val="0"/>
      <w:marTop w:val="0"/>
      <w:marBottom w:val="0"/>
      <w:divBdr>
        <w:top w:val="none" w:sz="0" w:space="0" w:color="auto"/>
        <w:left w:val="none" w:sz="0" w:space="0" w:color="auto"/>
        <w:bottom w:val="none" w:sz="0" w:space="0" w:color="auto"/>
        <w:right w:val="none" w:sz="0" w:space="0" w:color="auto"/>
      </w:divBdr>
    </w:div>
    <w:div w:id="1730224821">
      <w:marLeft w:val="0"/>
      <w:marRight w:val="0"/>
      <w:marTop w:val="0"/>
      <w:marBottom w:val="0"/>
      <w:divBdr>
        <w:top w:val="none" w:sz="0" w:space="0" w:color="auto"/>
        <w:left w:val="none" w:sz="0" w:space="0" w:color="auto"/>
        <w:bottom w:val="none" w:sz="0" w:space="0" w:color="auto"/>
        <w:right w:val="none" w:sz="0" w:space="0" w:color="auto"/>
      </w:divBdr>
    </w:div>
    <w:div w:id="1784811028">
      <w:marLeft w:val="0"/>
      <w:marRight w:val="0"/>
      <w:marTop w:val="0"/>
      <w:marBottom w:val="0"/>
      <w:divBdr>
        <w:top w:val="none" w:sz="0" w:space="0" w:color="auto"/>
        <w:left w:val="none" w:sz="0" w:space="0" w:color="auto"/>
        <w:bottom w:val="none" w:sz="0" w:space="0" w:color="auto"/>
        <w:right w:val="none" w:sz="0" w:space="0" w:color="auto"/>
      </w:divBdr>
    </w:div>
    <w:div w:id="1794447533">
      <w:marLeft w:val="0"/>
      <w:marRight w:val="0"/>
      <w:marTop w:val="0"/>
      <w:marBottom w:val="0"/>
      <w:divBdr>
        <w:top w:val="none" w:sz="0" w:space="0" w:color="auto"/>
        <w:left w:val="none" w:sz="0" w:space="0" w:color="auto"/>
        <w:bottom w:val="none" w:sz="0" w:space="0" w:color="auto"/>
        <w:right w:val="none" w:sz="0" w:space="0" w:color="auto"/>
      </w:divBdr>
    </w:div>
    <w:div w:id="1820920579">
      <w:marLeft w:val="0"/>
      <w:marRight w:val="0"/>
      <w:marTop w:val="0"/>
      <w:marBottom w:val="0"/>
      <w:divBdr>
        <w:top w:val="none" w:sz="0" w:space="0" w:color="auto"/>
        <w:left w:val="none" w:sz="0" w:space="0" w:color="auto"/>
        <w:bottom w:val="none" w:sz="0" w:space="0" w:color="auto"/>
        <w:right w:val="none" w:sz="0" w:space="0" w:color="auto"/>
      </w:divBdr>
      <w:divsChild>
        <w:div w:id="779297435">
          <w:marLeft w:val="0"/>
          <w:marRight w:val="0"/>
          <w:marTop w:val="0"/>
          <w:marBottom w:val="0"/>
          <w:divBdr>
            <w:top w:val="none" w:sz="0" w:space="0" w:color="auto"/>
            <w:left w:val="none" w:sz="0" w:space="0" w:color="auto"/>
            <w:bottom w:val="none" w:sz="0" w:space="0" w:color="auto"/>
            <w:right w:val="none" w:sz="0" w:space="0" w:color="auto"/>
          </w:divBdr>
        </w:div>
        <w:div w:id="630944158">
          <w:marLeft w:val="0"/>
          <w:marRight w:val="0"/>
          <w:marTop w:val="0"/>
          <w:marBottom w:val="0"/>
          <w:divBdr>
            <w:top w:val="none" w:sz="0" w:space="0" w:color="auto"/>
            <w:left w:val="none" w:sz="0" w:space="0" w:color="auto"/>
            <w:bottom w:val="none" w:sz="0" w:space="0" w:color="auto"/>
            <w:right w:val="none" w:sz="0" w:space="0" w:color="auto"/>
          </w:divBdr>
        </w:div>
      </w:divsChild>
    </w:div>
    <w:div w:id="1825588076">
      <w:marLeft w:val="0"/>
      <w:marRight w:val="0"/>
      <w:marTop w:val="0"/>
      <w:marBottom w:val="0"/>
      <w:divBdr>
        <w:top w:val="none" w:sz="0" w:space="0" w:color="auto"/>
        <w:left w:val="none" w:sz="0" w:space="0" w:color="auto"/>
        <w:bottom w:val="none" w:sz="0" w:space="0" w:color="auto"/>
        <w:right w:val="none" w:sz="0" w:space="0" w:color="auto"/>
      </w:divBdr>
    </w:div>
    <w:div w:id="1848668702">
      <w:marLeft w:val="0"/>
      <w:marRight w:val="0"/>
      <w:marTop w:val="0"/>
      <w:marBottom w:val="0"/>
      <w:divBdr>
        <w:top w:val="none" w:sz="0" w:space="0" w:color="auto"/>
        <w:left w:val="none" w:sz="0" w:space="0" w:color="auto"/>
        <w:bottom w:val="none" w:sz="0" w:space="0" w:color="auto"/>
        <w:right w:val="none" w:sz="0" w:space="0" w:color="auto"/>
      </w:divBdr>
    </w:div>
    <w:div w:id="1860848878">
      <w:marLeft w:val="0"/>
      <w:marRight w:val="0"/>
      <w:marTop w:val="0"/>
      <w:marBottom w:val="0"/>
      <w:divBdr>
        <w:top w:val="none" w:sz="0" w:space="0" w:color="auto"/>
        <w:left w:val="none" w:sz="0" w:space="0" w:color="auto"/>
        <w:bottom w:val="none" w:sz="0" w:space="0" w:color="auto"/>
        <w:right w:val="none" w:sz="0" w:space="0" w:color="auto"/>
      </w:divBdr>
    </w:div>
    <w:div w:id="1862163958">
      <w:marLeft w:val="0"/>
      <w:marRight w:val="0"/>
      <w:marTop w:val="0"/>
      <w:marBottom w:val="0"/>
      <w:divBdr>
        <w:top w:val="none" w:sz="0" w:space="0" w:color="auto"/>
        <w:left w:val="none" w:sz="0" w:space="0" w:color="auto"/>
        <w:bottom w:val="none" w:sz="0" w:space="0" w:color="auto"/>
        <w:right w:val="none" w:sz="0" w:space="0" w:color="auto"/>
      </w:divBdr>
    </w:div>
    <w:div w:id="1914126140">
      <w:marLeft w:val="0"/>
      <w:marRight w:val="0"/>
      <w:marTop w:val="0"/>
      <w:marBottom w:val="0"/>
      <w:divBdr>
        <w:top w:val="none" w:sz="0" w:space="0" w:color="auto"/>
        <w:left w:val="none" w:sz="0" w:space="0" w:color="auto"/>
        <w:bottom w:val="none" w:sz="0" w:space="0" w:color="auto"/>
        <w:right w:val="none" w:sz="0" w:space="0" w:color="auto"/>
      </w:divBdr>
      <w:divsChild>
        <w:div w:id="225991190">
          <w:marLeft w:val="0"/>
          <w:marRight w:val="0"/>
          <w:marTop w:val="0"/>
          <w:marBottom w:val="0"/>
          <w:divBdr>
            <w:top w:val="none" w:sz="0" w:space="0" w:color="auto"/>
            <w:left w:val="none" w:sz="0" w:space="0" w:color="auto"/>
            <w:bottom w:val="none" w:sz="0" w:space="0" w:color="auto"/>
            <w:right w:val="none" w:sz="0" w:space="0" w:color="auto"/>
          </w:divBdr>
        </w:div>
        <w:div w:id="256791818">
          <w:marLeft w:val="0"/>
          <w:marRight w:val="0"/>
          <w:marTop w:val="0"/>
          <w:marBottom w:val="0"/>
          <w:divBdr>
            <w:top w:val="none" w:sz="0" w:space="0" w:color="auto"/>
            <w:left w:val="none" w:sz="0" w:space="0" w:color="auto"/>
            <w:bottom w:val="none" w:sz="0" w:space="0" w:color="auto"/>
            <w:right w:val="none" w:sz="0" w:space="0" w:color="auto"/>
          </w:divBdr>
        </w:div>
      </w:divsChild>
    </w:div>
    <w:div w:id="2070492698">
      <w:marLeft w:val="0"/>
      <w:marRight w:val="0"/>
      <w:marTop w:val="0"/>
      <w:marBottom w:val="0"/>
      <w:divBdr>
        <w:top w:val="none" w:sz="0" w:space="0" w:color="auto"/>
        <w:left w:val="none" w:sz="0" w:space="0" w:color="auto"/>
        <w:bottom w:val="none" w:sz="0" w:space="0" w:color="auto"/>
        <w:right w:val="none" w:sz="0" w:space="0" w:color="auto"/>
      </w:divBdr>
    </w:div>
    <w:div w:id="2070498128">
      <w:marLeft w:val="0"/>
      <w:marRight w:val="0"/>
      <w:marTop w:val="0"/>
      <w:marBottom w:val="0"/>
      <w:divBdr>
        <w:top w:val="none" w:sz="0" w:space="0" w:color="auto"/>
        <w:left w:val="none" w:sz="0" w:space="0" w:color="auto"/>
        <w:bottom w:val="none" w:sz="0" w:space="0" w:color="auto"/>
        <w:right w:val="none" w:sz="0" w:space="0" w:color="auto"/>
      </w:divBdr>
      <w:divsChild>
        <w:div w:id="1762026014">
          <w:marLeft w:val="0"/>
          <w:marRight w:val="0"/>
          <w:marTop w:val="0"/>
          <w:marBottom w:val="0"/>
          <w:divBdr>
            <w:top w:val="none" w:sz="0" w:space="0" w:color="auto"/>
            <w:left w:val="none" w:sz="0" w:space="0" w:color="auto"/>
            <w:bottom w:val="none" w:sz="0" w:space="0" w:color="auto"/>
            <w:right w:val="none" w:sz="0" w:space="0" w:color="auto"/>
          </w:divBdr>
        </w:div>
        <w:div w:id="1150636885">
          <w:marLeft w:val="0"/>
          <w:marRight w:val="0"/>
          <w:marTop w:val="0"/>
          <w:marBottom w:val="0"/>
          <w:divBdr>
            <w:top w:val="none" w:sz="0" w:space="0" w:color="auto"/>
            <w:left w:val="none" w:sz="0" w:space="0" w:color="auto"/>
            <w:bottom w:val="none" w:sz="0" w:space="0" w:color="auto"/>
            <w:right w:val="none" w:sz="0" w:space="0" w:color="auto"/>
          </w:divBdr>
        </w:div>
      </w:divsChild>
    </w:div>
    <w:div w:id="2082288258">
      <w:marLeft w:val="0"/>
      <w:marRight w:val="0"/>
      <w:marTop w:val="0"/>
      <w:marBottom w:val="0"/>
      <w:divBdr>
        <w:top w:val="none" w:sz="0" w:space="0" w:color="auto"/>
        <w:left w:val="none" w:sz="0" w:space="0" w:color="auto"/>
        <w:bottom w:val="none" w:sz="0" w:space="0" w:color="auto"/>
        <w:right w:val="none" w:sz="0" w:space="0" w:color="auto"/>
      </w:divBdr>
      <w:divsChild>
        <w:div w:id="1076047353">
          <w:marLeft w:val="0"/>
          <w:marRight w:val="0"/>
          <w:marTop w:val="0"/>
          <w:marBottom w:val="0"/>
          <w:divBdr>
            <w:top w:val="none" w:sz="0" w:space="0" w:color="auto"/>
            <w:left w:val="none" w:sz="0" w:space="0" w:color="auto"/>
            <w:bottom w:val="none" w:sz="0" w:space="0" w:color="auto"/>
            <w:right w:val="none" w:sz="0" w:space="0" w:color="auto"/>
          </w:divBdr>
          <w:divsChild>
            <w:div w:id="294600997">
              <w:marLeft w:val="0"/>
              <w:marRight w:val="0"/>
              <w:marTop w:val="0"/>
              <w:marBottom w:val="0"/>
              <w:divBdr>
                <w:top w:val="none" w:sz="0" w:space="0" w:color="auto"/>
                <w:left w:val="none" w:sz="0" w:space="0" w:color="auto"/>
                <w:bottom w:val="none" w:sz="0" w:space="0" w:color="auto"/>
                <w:right w:val="none" w:sz="0" w:space="0" w:color="auto"/>
              </w:divBdr>
            </w:div>
            <w:div w:id="1337417202">
              <w:marLeft w:val="0"/>
              <w:marRight w:val="0"/>
              <w:marTop w:val="0"/>
              <w:marBottom w:val="0"/>
              <w:divBdr>
                <w:top w:val="none" w:sz="0" w:space="0" w:color="auto"/>
                <w:left w:val="none" w:sz="0" w:space="0" w:color="auto"/>
                <w:bottom w:val="none" w:sz="0" w:space="0" w:color="auto"/>
                <w:right w:val="none" w:sz="0" w:space="0" w:color="auto"/>
              </w:divBdr>
            </w:div>
          </w:divsChild>
        </w:div>
        <w:div w:id="1902786261">
          <w:marLeft w:val="0"/>
          <w:marRight w:val="0"/>
          <w:marTop w:val="0"/>
          <w:marBottom w:val="0"/>
          <w:divBdr>
            <w:top w:val="none" w:sz="0" w:space="0" w:color="auto"/>
            <w:left w:val="none" w:sz="0" w:space="0" w:color="auto"/>
            <w:bottom w:val="none" w:sz="0" w:space="0" w:color="auto"/>
            <w:right w:val="none" w:sz="0" w:space="0" w:color="auto"/>
          </w:divBdr>
          <w:divsChild>
            <w:div w:id="1033192996">
              <w:marLeft w:val="0"/>
              <w:marRight w:val="0"/>
              <w:marTop w:val="0"/>
              <w:marBottom w:val="0"/>
              <w:divBdr>
                <w:top w:val="none" w:sz="0" w:space="0" w:color="auto"/>
                <w:left w:val="none" w:sz="0" w:space="0" w:color="auto"/>
                <w:bottom w:val="none" w:sz="0" w:space="0" w:color="auto"/>
                <w:right w:val="none" w:sz="0" w:space="0" w:color="auto"/>
              </w:divBdr>
            </w:div>
          </w:divsChild>
        </w:div>
        <w:div w:id="2032602471">
          <w:marLeft w:val="0"/>
          <w:marRight w:val="0"/>
          <w:marTop w:val="0"/>
          <w:marBottom w:val="0"/>
          <w:divBdr>
            <w:top w:val="none" w:sz="0" w:space="0" w:color="auto"/>
            <w:left w:val="none" w:sz="0" w:space="0" w:color="auto"/>
            <w:bottom w:val="none" w:sz="0" w:space="0" w:color="auto"/>
            <w:right w:val="none" w:sz="0" w:space="0" w:color="auto"/>
          </w:divBdr>
          <w:divsChild>
            <w:div w:id="2043244222">
              <w:marLeft w:val="0"/>
              <w:marRight w:val="0"/>
              <w:marTop w:val="0"/>
              <w:marBottom w:val="0"/>
              <w:divBdr>
                <w:top w:val="none" w:sz="0" w:space="0" w:color="auto"/>
                <w:left w:val="none" w:sz="0" w:space="0" w:color="auto"/>
                <w:bottom w:val="none" w:sz="0" w:space="0" w:color="auto"/>
                <w:right w:val="none" w:sz="0" w:space="0" w:color="auto"/>
              </w:divBdr>
            </w:div>
            <w:div w:id="107428497">
              <w:marLeft w:val="0"/>
              <w:marRight w:val="0"/>
              <w:marTop w:val="0"/>
              <w:marBottom w:val="0"/>
              <w:divBdr>
                <w:top w:val="none" w:sz="0" w:space="0" w:color="auto"/>
                <w:left w:val="none" w:sz="0" w:space="0" w:color="auto"/>
                <w:bottom w:val="none" w:sz="0" w:space="0" w:color="auto"/>
                <w:right w:val="none" w:sz="0" w:space="0" w:color="auto"/>
              </w:divBdr>
            </w:div>
          </w:divsChild>
        </w:div>
        <w:div w:id="658047560">
          <w:marLeft w:val="0"/>
          <w:marRight w:val="0"/>
          <w:marTop w:val="0"/>
          <w:marBottom w:val="0"/>
          <w:divBdr>
            <w:top w:val="none" w:sz="0" w:space="0" w:color="auto"/>
            <w:left w:val="none" w:sz="0" w:space="0" w:color="auto"/>
            <w:bottom w:val="none" w:sz="0" w:space="0" w:color="auto"/>
            <w:right w:val="none" w:sz="0" w:space="0" w:color="auto"/>
          </w:divBdr>
          <w:divsChild>
            <w:div w:id="1067456090">
              <w:marLeft w:val="0"/>
              <w:marRight w:val="0"/>
              <w:marTop w:val="0"/>
              <w:marBottom w:val="0"/>
              <w:divBdr>
                <w:top w:val="none" w:sz="0" w:space="0" w:color="auto"/>
                <w:left w:val="none" w:sz="0" w:space="0" w:color="auto"/>
                <w:bottom w:val="none" w:sz="0" w:space="0" w:color="auto"/>
                <w:right w:val="none" w:sz="0" w:space="0" w:color="auto"/>
              </w:divBdr>
            </w:div>
            <w:div w:id="290594856">
              <w:marLeft w:val="0"/>
              <w:marRight w:val="0"/>
              <w:marTop w:val="0"/>
              <w:marBottom w:val="0"/>
              <w:divBdr>
                <w:top w:val="none" w:sz="0" w:space="0" w:color="auto"/>
                <w:left w:val="none" w:sz="0" w:space="0" w:color="auto"/>
                <w:bottom w:val="none" w:sz="0" w:space="0" w:color="auto"/>
                <w:right w:val="none" w:sz="0" w:space="0" w:color="auto"/>
              </w:divBdr>
            </w:div>
          </w:divsChild>
        </w:div>
        <w:div w:id="850795430">
          <w:marLeft w:val="0"/>
          <w:marRight w:val="0"/>
          <w:marTop w:val="0"/>
          <w:marBottom w:val="0"/>
          <w:divBdr>
            <w:top w:val="none" w:sz="0" w:space="0" w:color="auto"/>
            <w:left w:val="none" w:sz="0" w:space="0" w:color="auto"/>
            <w:bottom w:val="none" w:sz="0" w:space="0" w:color="auto"/>
            <w:right w:val="none" w:sz="0" w:space="0" w:color="auto"/>
          </w:divBdr>
          <w:divsChild>
            <w:div w:id="81269781">
              <w:marLeft w:val="0"/>
              <w:marRight w:val="0"/>
              <w:marTop w:val="0"/>
              <w:marBottom w:val="0"/>
              <w:divBdr>
                <w:top w:val="none" w:sz="0" w:space="0" w:color="auto"/>
                <w:left w:val="none" w:sz="0" w:space="0" w:color="auto"/>
                <w:bottom w:val="none" w:sz="0" w:space="0" w:color="auto"/>
                <w:right w:val="none" w:sz="0" w:space="0" w:color="auto"/>
              </w:divBdr>
            </w:div>
            <w:div w:id="155923481">
              <w:marLeft w:val="0"/>
              <w:marRight w:val="0"/>
              <w:marTop w:val="0"/>
              <w:marBottom w:val="0"/>
              <w:divBdr>
                <w:top w:val="none" w:sz="0" w:space="0" w:color="auto"/>
                <w:left w:val="none" w:sz="0" w:space="0" w:color="auto"/>
                <w:bottom w:val="none" w:sz="0" w:space="0" w:color="auto"/>
                <w:right w:val="none" w:sz="0" w:space="0" w:color="auto"/>
              </w:divBdr>
            </w:div>
          </w:divsChild>
        </w:div>
        <w:div w:id="546527469">
          <w:marLeft w:val="0"/>
          <w:marRight w:val="0"/>
          <w:marTop w:val="0"/>
          <w:marBottom w:val="0"/>
          <w:divBdr>
            <w:top w:val="none" w:sz="0" w:space="0" w:color="auto"/>
            <w:left w:val="none" w:sz="0" w:space="0" w:color="auto"/>
            <w:bottom w:val="none" w:sz="0" w:space="0" w:color="auto"/>
            <w:right w:val="none" w:sz="0" w:space="0" w:color="auto"/>
          </w:divBdr>
          <w:divsChild>
            <w:div w:id="870731197">
              <w:marLeft w:val="0"/>
              <w:marRight w:val="0"/>
              <w:marTop w:val="0"/>
              <w:marBottom w:val="0"/>
              <w:divBdr>
                <w:top w:val="none" w:sz="0" w:space="0" w:color="auto"/>
                <w:left w:val="none" w:sz="0" w:space="0" w:color="auto"/>
                <w:bottom w:val="none" w:sz="0" w:space="0" w:color="auto"/>
                <w:right w:val="none" w:sz="0" w:space="0" w:color="auto"/>
              </w:divBdr>
            </w:div>
            <w:div w:id="2069837932">
              <w:marLeft w:val="0"/>
              <w:marRight w:val="0"/>
              <w:marTop w:val="0"/>
              <w:marBottom w:val="0"/>
              <w:divBdr>
                <w:top w:val="none" w:sz="0" w:space="0" w:color="auto"/>
                <w:left w:val="none" w:sz="0" w:space="0" w:color="auto"/>
                <w:bottom w:val="none" w:sz="0" w:space="0" w:color="auto"/>
                <w:right w:val="none" w:sz="0" w:space="0" w:color="auto"/>
              </w:divBdr>
            </w:div>
          </w:divsChild>
        </w:div>
        <w:div w:id="1504784593">
          <w:marLeft w:val="0"/>
          <w:marRight w:val="0"/>
          <w:marTop w:val="0"/>
          <w:marBottom w:val="0"/>
          <w:divBdr>
            <w:top w:val="none" w:sz="0" w:space="0" w:color="auto"/>
            <w:left w:val="none" w:sz="0" w:space="0" w:color="auto"/>
            <w:bottom w:val="none" w:sz="0" w:space="0" w:color="auto"/>
            <w:right w:val="none" w:sz="0" w:space="0" w:color="auto"/>
          </w:divBdr>
          <w:divsChild>
            <w:div w:id="566108689">
              <w:marLeft w:val="0"/>
              <w:marRight w:val="0"/>
              <w:marTop w:val="0"/>
              <w:marBottom w:val="0"/>
              <w:divBdr>
                <w:top w:val="none" w:sz="0" w:space="0" w:color="auto"/>
                <w:left w:val="none" w:sz="0" w:space="0" w:color="auto"/>
                <w:bottom w:val="none" w:sz="0" w:space="0" w:color="auto"/>
                <w:right w:val="none" w:sz="0" w:space="0" w:color="auto"/>
              </w:divBdr>
            </w:div>
            <w:div w:id="158693477">
              <w:marLeft w:val="0"/>
              <w:marRight w:val="0"/>
              <w:marTop w:val="0"/>
              <w:marBottom w:val="0"/>
              <w:divBdr>
                <w:top w:val="none" w:sz="0" w:space="0" w:color="auto"/>
                <w:left w:val="none" w:sz="0" w:space="0" w:color="auto"/>
                <w:bottom w:val="none" w:sz="0" w:space="0" w:color="auto"/>
                <w:right w:val="none" w:sz="0" w:space="0" w:color="auto"/>
              </w:divBdr>
            </w:div>
          </w:divsChild>
        </w:div>
        <w:div w:id="1552618937">
          <w:marLeft w:val="0"/>
          <w:marRight w:val="0"/>
          <w:marTop w:val="0"/>
          <w:marBottom w:val="0"/>
          <w:divBdr>
            <w:top w:val="none" w:sz="0" w:space="0" w:color="auto"/>
            <w:left w:val="none" w:sz="0" w:space="0" w:color="auto"/>
            <w:bottom w:val="none" w:sz="0" w:space="0" w:color="auto"/>
            <w:right w:val="none" w:sz="0" w:space="0" w:color="auto"/>
          </w:divBdr>
          <w:divsChild>
            <w:div w:id="375280370">
              <w:marLeft w:val="0"/>
              <w:marRight w:val="0"/>
              <w:marTop w:val="0"/>
              <w:marBottom w:val="0"/>
              <w:divBdr>
                <w:top w:val="none" w:sz="0" w:space="0" w:color="auto"/>
                <w:left w:val="none" w:sz="0" w:space="0" w:color="auto"/>
                <w:bottom w:val="none" w:sz="0" w:space="0" w:color="auto"/>
                <w:right w:val="none" w:sz="0" w:space="0" w:color="auto"/>
              </w:divBdr>
            </w:div>
            <w:div w:id="840706997">
              <w:marLeft w:val="0"/>
              <w:marRight w:val="0"/>
              <w:marTop w:val="0"/>
              <w:marBottom w:val="0"/>
              <w:divBdr>
                <w:top w:val="none" w:sz="0" w:space="0" w:color="auto"/>
                <w:left w:val="none" w:sz="0" w:space="0" w:color="auto"/>
                <w:bottom w:val="none" w:sz="0" w:space="0" w:color="auto"/>
                <w:right w:val="none" w:sz="0" w:space="0" w:color="auto"/>
              </w:divBdr>
            </w:div>
          </w:divsChild>
        </w:div>
        <w:div w:id="1887794115">
          <w:marLeft w:val="0"/>
          <w:marRight w:val="0"/>
          <w:marTop w:val="0"/>
          <w:marBottom w:val="0"/>
          <w:divBdr>
            <w:top w:val="none" w:sz="0" w:space="0" w:color="auto"/>
            <w:left w:val="none" w:sz="0" w:space="0" w:color="auto"/>
            <w:bottom w:val="none" w:sz="0" w:space="0" w:color="auto"/>
            <w:right w:val="none" w:sz="0" w:space="0" w:color="auto"/>
          </w:divBdr>
          <w:divsChild>
            <w:div w:id="2000844676">
              <w:marLeft w:val="0"/>
              <w:marRight w:val="0"/>
              <w:marTop w:val="0"/>
              <w:marBottom w:val="0"/>
              <w:divBdr>
                <w:top w:val="none" w:sz="0" w:space="0" w:color="auto"/>
                <w:left w:val="none" w:sz="0" w:space="0" w:color="auto"/>
                <w:bottom w:val="none" w:sz="0" w:space="0" w:color="auto"/>
                <w:right w:val="none" w:sz="0" w:space="0" w:color="auto"/>
              </w:divBdr>
            </w:div>
            <w:div w:id="569004324">
              <w:marLeft w:val="0"/>
              <w:marRight w:val="0"/>
              <w:marTop w:val="0"/>
              <w:marBottom w:val="0"/>
              <w:divBdr>
                <w:top w:val="none" w:sz="0" w:space="0" w:color="auto"/>
                <w:left w:val="none" w:sz="0" w:space="0" w:color="auto"/>
                <w:bottom w:val="none" w:sz="0" w:space="0" w:color="auto"/>
                <w:right w:val="none" w:sz="0" w:space="0" w:color="auto"/>
              </w:divBdr>
            </w:div>
          </w:divsChild>
        </w:div>
        <w:div w:id="1271355332">
          <w:marLeft w:val="0"/>
          <w:marRight w:val="0"/>
          <w:marTop w:val="0"/>
          <w:marBottom w:val="0"/>
          <w:divBdr>
            <w:top w:val="none" w:sz="0" w:space="0" w:color="auto"/>
            <w:left w:val="none" w:sz="0" w:space="0" w:color="auto"/>
            <w:bottom w:val="none" w:sz="0" w:space="0" w:color="auto"/>
            <w:right w:val="none" w:sz="0" w:space="0" w:color="auto"/>
          </w:divBdr>
          <w:divsChild>
            <w:div w:id="1815565379">
              <w:marLeft w:val="0"/>
              <w:marRight w:val="0"/>
              <w:marTop w:val="0"/>
              <w:marBottom w:val="0"/>
              <w:divBdr>
                <w:top w:val="none" w:sz="0" w:space="0" w:color="auto"/>
                <w:left w:val="none" w:sz="0" w:space="0" w:color="auto"/>
                <w:bottom w:val="none" w:sz="0" w:space="0" w:color="auto"/>
                <w:right w:val="none" w:sz="0" w:space="0" w:color="auto"/>
              </w:divBdr>
            </w:div>
            <w:div w:id="568535929">
              <w:marLeft w:val="0"/>
              <w:marRight w:val="0"/>
              <w:marTop w:val="0"/>
              <w:marBottom w:val="0"/>
              <w:divBdr>
                <w:top w:val="none" w:sz="0" w:space="0" w:color="auto"/>
                <w:left w:val="none" w:sz="0" w:space="0" w:color="auto"/>
                <w:bottom w:val="none" w:sz="0" w:space="0" w:color="auto"/>
                <w:right w:val="none" w:sz="0" w:space="0" w:color="auto"/>
              </w:divBdr>
            </w:div>
          </w:divsChild>
        </w:div>
        <w:div w:id="1454710774">
          <w:marLeft w:val="0"/>
          <w:marRight w:val="0"/>
          <w:marTop w:val="0"/>
          <w:marBottom w:val="0"/>
          <w:divBdr>
            <w:top w:val="none" w:sz="0" w:space="0" w:color="auto"/>
            <w:left w:val="none" w:sz="0" w:space="0" w:color="auto"/>
            <w:bottom w:val="none" w:sz="0" w:space="0" w:color="auto"/>
            <w:right w:val="none" w:sz="0" w:space="0" w:color="auto"/>
          </w:divBdr>
          <w:divsChild>
            <w:div w:id="304941137">
              <w:marLeft w:val="0"/>
              <w:marRight w:val="0"/>
              <w:marTop w:val="0"/>
              <w:marBottom w:val="0"/>
              <w:divBdr>
                <w:top w:val="none" w:sz="0" w:space="0" w:color="auto"/>
                <w:left w:val="none" w:sz="0" w:space="0" w:color="auto"/>
                <w:bottom w:val="none" w:sz="0" w:space="0" w:color="auto"/>
                <w:right w:val="none" w:sz="0" w:space="0" w:color="auto"/>
              </w:divBdr>
            </w:div>
            <w:div w:id="347030782">
              <w:marLeft w:val="0"/>
              <w:marRight w:val="0"/>
              <w:marTop w:val="0"/>
              <w:marBottom w:val="0"/>
              <w:divBdr>
                <w:top w:val="none" w:sz="0" w:space="0" w:color="auto"/>
                <w:left w:val="none" w:sz="0" w:space="0" w:color="auto"/>
                <w:bottom w:val="none" w:sz="0" w:space="0" w:color="auto"/>
                <w:right w:val="none" w:sz="0" w:space="0" w:color="auto"/>
              </w:divBdr>
            </w:div>
          </w:divsChild>
        </w:div>
        <w:div w:id="1627275666">
          <w:marLeft w:val="0"/>
          <w:marRight w:val="0"/>
          <w:marTop w:val="0"/>
          <w:marBottom w:val="0"/>
          <w:divBdr>
            <w:top w:val="none" w:sz="0" w:space="0" w:color="auto"/>
            <w:left w:val="none" w:sz="0" w:space="0" w:color="auto"/>
            <w:bottom w:val="none" w:sz="0" w:space="0" w:color="auto"/>
            <w:right w:val="none" w:sz="0" w:space="0" w:color="auto"/>
          </w:divBdr>
          <w:divsChild>
            <w:div w:id="1941328380">
              <w:marLeft w:val="0"/>
              <w:marRight w:val="0"/>
              <w:marTop w:val="0"/>
              <w:marBottom w:val="0"/>
              <w:divBdr>
                <w:top w:val="none" w:sz="0" w:space="0" w:color="auto"/>
                <w:left w:val="none" w:sz="0" w:space="0" w:color="auto"/>
                <w:bottom w:val="none" w:sz="0" w:space="0" w:color="auto"/>
                <w:right w:val="none" w:sz="0" w:space="0" w:color="auto"/>
              </w:divBdr>
            </w:div>
            <w:div w:id="1564371911">
              <w:marLeft w:val="0"/>
              <w:marRight w:val="0"/>
              <w:marTop w:val="0"/>
              <w:marBottom w:val="0"/>
              <w:divBdr>
                <w:top w:val="none" w:sz="0" w:space="0" w:color="auto"/>
                <w:left w:val="none" w:sz="0" w:space="0" w:color="auto"/>
                <w:bottom w:val="none" w:sz="0" w:space="0" w:color="auto"/>
                <w:right w:val="none" w:sz="0" w:space="0" w:color="auto"/>
              </w:divBdr>
            </w:div>
          </w:divsChild>
        </w:div>
        <w:div w:id="185797911">
          <w:marLeft w:val="0"/>
          <w:marRight w:val="0"/>
          <w:marTop w:val="0"/>
          <w:marBottom w:val="0"/>
          <w:divBdr>
            <w:top w:val="none" w:sz="0" w:space="0" w:color="auto"/>
            <w:left w:val="none" w:sz="0" w:space="0" w:color="auto"/>
            <w:bottom w:val="none" w:sz="0" w:space="0" w:color="auto"/>
            <w:right w:val="none" w:sz="0" w:space="0" w:color="auto"/>
          </w:divBdr>
          <w:divsChild>
            <w:div w:id="163010310">
              <w:marLeft w:val="0"/>
              <w:marRight w:val="0"/>
              <w:marTop w:val="0"/>
              <w:marBottom w:val="0"/>
              <w:divBdr>
                <w:top w:val="none" w:sz="0" w:space="0" w:color="auto"/>
                <w:left w:val="none" w:sz="0" w:space="0" w:color="auto"/>
                <w:bottom w:val="none" w:sz="0" w:space="0" w:color="auto"/>
                <w:right w:val="none" w:sz="0" w:space="0" w:color="auto"/>
              </w:divBdr>
            </w:div>
            <w:div w:id="786892524">
              <w:marLeft w:val="0"/>
              <w:marRight w:val="0"/>
              <w:marTop w:val="0"/>
              <w:marBottom w:val="0"/>
              <w:divBdr>
                <w:top w:val="none" w:sz="0" w:space="0" w:color="auto"/>
                <w:left w:val="none" w:sz="0" w:space="0" w:color="auto"/>
                <w:bottom w:val="none" w:sz="0" w:space="0" w:color="auto"/>
                <w:right w:val="none" w:sz="0" w:space="0" w:color="auto"/>
              </w:divBdr>
            </w:div>
          </w:divsChild>
        </w:div>
        <w:div w:id="2075816447">
          <w:marLeft w:val="0"/>
          <w:marRight w:val="0"/>
          <w:marTop w:val="0"/>
          <w:marBottom w:val="0"/>
          <w:divBdr>
            <w:top w:val="none" w:sz="0" w:space="0" w:color="auto"/>
            <w:left w:val="none" w:sz="0" w:space="0" w:color="auto"/>
            <w:bottom w:val="none" w:sz="0" w:space="0" w:color="auto"/>
            <w:right w:val="none" w:sz="0" w:space="0" w:color="auto"/>
          </w:divBdr>
          <w:divsChild>
            <w:div w:id="1212154113">
              <w:marLeft w:val="0"/>
              <w:marRight w:val="0"/>
              <w:marTop w:val="0"/>
              <w:marBottom w:val="0"/>
              <w:divBdr>
                <w:top w:val="none" w:sz="0" w:space="0" w:color="auto"/>
                <w:left w:val="none" w:sz="0" w:space="0" w:color="auto"/>
                <w:bottom w:val="none" w:sz="0" w:space="0" w:color="auto"/>
                <w:right w:val="none" w:sz="0" w:space="0" w:color="auto"/>
              </w:divBdr>
            </w:div>
          </w:divsChild>
        </w:div>
        <w:div w:id="238905877">
          <w:marLeft w:val="0"/>
          <w:marRight w:val="0"/>
          <w:marTop w:val="0"/>
          <w:marBottom w:val="0"/>
          <w:divBdr>
            <w:top w:val="none" w:sz="0" w:space="0" w:color="auto"/>
            <w:left w:val="none" w:sz="0" w:space="0" w:color="auto"/>
            <w:bottom w:val="none" w:sz="0" w:space="0" w:color="auto"/>
            <w:right w:val="none" w:sz="0" w:space="0" w:color="auto"/>
          </w:divBdr>
          <w:divsChild>
            <w:div w:id="1655572153">
              <w:marLeft w:val="0"/>
              <w:marRight w:val="0"/>
              <w:marTop w:val="0"/>
              <w:marBottom w:val="0"/>
              <w:divBdr>
                <w:top w:val="none" w:sz="0" w:space="0" w:color="auto"/>
                <w:left w:val="none" w:sz="0" w:space="0" w:color="auto"/>
                <w:bottom w:val="none" w:sz="0" w:space="0" w:color="auto"/>
                <w:right w:val="none" w:sz="0" w:space="0" w:color="auto"/>
              </w:divBdr>
            </w:div>
            <w:div w:id="1830242543">
              <w:marLeft w:val="0"/>
              <w:marRight w:val="0"/>
              <w:marTop w:val="0"/>
              <w:marBottom w:val="0"/>
              <w:divBdr>
                <w:top w:val="none" w:sz="0" w:space="0" w:color="auto"/>
                <w:left w:val="none" w:sz="0" w:space="0" w:color="auto"/>
                <w:bottom w:val="none" w:sz="0" w:space="0" w:color="auto"/>
                <w:right w:val="none" w:sz="0" w:space="0" w:color="auto"/>
              </w:divBdr>
            </w:div>
          </w:divsChild>
        </w:div>
        <w:div w:id="1609503385">
          <w:marLeft w:val="0"/>
          <w:marRight w:val="0"/>
          <w:marTop w:val="0"/>
          <w:marBottom w:val="0"/>
          <w:divBdr>
            <w:top w:val="none" w:sz="0" w:space="0" w:color="auto"/>
            <w:left w:val="none" w:sz="0" w:space="0" w:color="auto"/>
            <w:bottom w:val="none" w:sz="0" w:space="0" w:color="auto"/>
            <w:right w:val="none" w:sz="0" w:space="0" w:color="auto"/>
          </w:divBdr>
          <w:divsChild>
            <w:div w:id="11166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80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ex_432926.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432925.htm" TargetMode="External"/><Relationship Id="rId5" Type="http://schemas.openxmlformats.org/officeDocument/2006/relationships/hyperlink" Target="ex_432924.htm" TargetMode="External"/><Relationship Id="rId4" Type="http://schemas.openxmlformats.org/officeDocument/2006/relationships/hyperlink" Target="http://www.sec.gov/Archives/edgar/data/879101/000114036122030736/brhc10041172_ex4-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27654</Words>
  <Characters>157632</Characters>
  <Application>Microsoft Office Word</Application>
  <DocSecurity>0</DocSecurity>
  <Lines>1313</Lines>
  <Paragraphs>369</Paragraphs>
  <ScaleCrop>false</ScaleCrop>
  <Company/>
  <LinksUpToDate>false</LinksUpToDate>
  <CharactersWithSpaces>184917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kim20220930_10q.htm</dc:title>
  <dc:subject/>
  <dc:creator>Chongjian.Yue</dc:creator>
  <cp:keywords/>
  <dc:description/>
  <cp:lastModifiedBy>Yue Chongjian</cp:lastModifiedBy>
  <cp:revision>1</cp:revision>
  <dcterms:created xsi:type="dcterms:W3CDTF">2024-01-04T15:49:00Z</dcterms:created>
  <dcterms:modified xsi:type="dcterms:W3CDTF">2024-01-04T15:49:00Z</dcterms:modified>
</cp:coreProperties>
</file>