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954AA">
      <w:pPr>
        <w:divId w:val="75712536"/>
        <w:rPr>
          <w:rFonts w:eastAsia="Times New Roman"/>
          <w:vanish/>
          <w:sz w:val="20"/>
          <w:szCs w:val="20"/>
        </w:rPr>
      </w:pPr>
      <w:r>
        <w:rPr>
          <w:rFonts w:eastAsia="Times New Roman"/>
          <w:vanish/>
          <w:sz w:val="20"/>
          <w:szCs w:val="20"/>
        </w:rPr>
        <w:t xml:space="preserve">0000879101 0001959472 false --12-31 FY 2022 1.00 1.00 7,054,000 7,054,000 19,435 19,435 19,580 19,580 485,868 489,500 0.01 0.01 750,000,000 750,000,000 618,483,565 618,483,565 616,658,593 616,658,593 6,955 0 7,538 668 583 13,683 0 0 47 1 3 10 4 5 10 1 3 </w:t>
      </w:r>
      <w:r>
        <w:rPr>
          <w:rFonts w:eastAsia="Times New Roman"/>
          <w:vanish/>
          <w:sz w:val="20"/>
          <w:szCs w:val="20"/>
        </w:rPr>
        <w:t>1,193.1 1,166.3 3,144 5 2 9 1 1.5 5 98 98 1 18.4 3.45 3.35 1 0 4.16 4.12 8 7 1 16.1 2 1 8 8 0 0 0 0 0 0 Includes partial repayments during May and June 2022. Includes fixtures, leasehold improvements and other costs capitalized. At December 31, 2022 and 20</w:t>
      </w:r>
      <w:r>
        <w:rPr>
          <w:rFonts w:eastAsia="Times New Roman"/>
          <w:vanish/>
          <w:sz w:val="20"/>
          <w:szCs w:val="20"/>
        </w:rPr>
        <w:t>21, the Company had accumulated amortization relating to in-place leases and above-market leases aggregating $671,794 and $569,648, respectively. Operating lease liabilities are included in Operating lease liabilities and financing lease liabilities are in</w:t>
      </w:r>
      <w:r>
        <w:rPr>
          <w:rFonts w:eastAsia="Times New Roman"/>
          <w:vanish/>
          <w:sz w:val="20"/>
          <w:szCs w:val="20"/>
        </w:rPr>
        <w:t>cluded in Other liabilities on the Company's Consolidated Balance Sheets. See Footnotes 1 and 2 of the Notes to Consolidated Financial Statements for further details. Includes minimum base rents, expense reimbursements, ancillary income and straight-line r</w:t>
      </w:r>
      <w:r>
        <w:rPr>
          <w:rFonts w:eastAsia="Times New Roman"/>
          <w:vanish/>
          <w:sz w:val="20"/>
          <w:szCs w:val="20"/>
        </w:rPr>
        <w:t>ent adjustments. Other consists of the fair value of the assets acquired which exceeded the purchase price upon closing. The transaction was a sale-leaseback with the seller which resulted in the recognition of a prepayment of rent of $17.7 million in acco</w:t>
      </w:r>
      <w:r>
        <w:rPr>
          <w:rFonts w:eastAsia="Times New Roman"/>
          <w:vanish/>
          <w:sz w:val="20"/>
          <w:szCs w:val="20"/>
        </w:rPr>
        <w:t>rdance with ASC 842, Leases at closing. The prepayment of rent was amortized over the initial term of the lease through Revenues from rental properties, net on the Company's Consolidated Statements of Income. See Footnote 16 of the Company's Consolidated F</w:t>
      </w:r>
      <w:r>
        <w:rPr>
          <w:rFonts w:eastAsia="Times New Roman"/>
          <w:vanish/>
          <w:sz w:val="20"/>
          <w:szCs w:val="20"/>
        </w:rPr>
        <w:t>inancial Statements for additional discussion regarding fair value allocation of partnership interest for noncontrolling interests. During 2021, the Company recorded an adjustment to the estimated redemption fair market value of a noncontrolling interest i</w:t>
      </w:r>
      <w:r>
        <w:rPr>
          <w:rFonts w:eastAsia="Times New Roman"/>
          <w:vanish/>
          <w:sz w:val="20"/>
          <w:szCs w:val="20"/>
        </w:rPr>
        <w:t>n accordance with the provisions of the respective joint venture agreement and ASC 480, Accounting for Redeemable Equity Instruments. The Company assesses the fair market value of this noncontrolling interest on a recurring basis and determined that its va</w:t>
      </w:r>
      <w:r>
        <w:rPr>
          <w:rFonts w:eastAsia="Times New Roman"/>
          <w:vanish/>
          <w:sz w:val="20"/>
          <w:szCs w:val="20"/>
        </w:rPr>
        <w:t>luation was classified within Level 3 of the fair value hierarchy. The estimated fair market value of this noncontrolling interest was based upon a discounted cash flow model, for which a capitalization rate of 5.50% and discount rate of 6.50% were utilize</w:t>
      </w:r>
      <w:r>
        <w:rPr>
          <w:rFonts w:eastAsia="Times New Roman"/>
          <w:vanish/>
          <w:sz w:val="20"/>
          <w:szCs w:val="20"/>
        </w:rPr>
        <w:t xml:space="preserve">d in the model based upon unobservable rates that the Company believes to be within a reasonable range of current market rates. All adjustments to "GAAP net income from REIT operations" are net of amounts attributable to noncontrolling interests and TRSs. </w:t>
      </w:r>
      <w:r>
        <w:rPr>
          <w:rFonts w:eastAsia="Times New Roman"/>
          <w:vanish/>
          <w:sz w:val="20"/>
          <w:szCs w:val="20"/>
        </w:rPr>
        <w:t>Other includes the Company's previously held equity investments and net gains on change in control. The Company evaluated these transactions pursuant to the FASB's Consolidation guidance and as a result, recognized net gains on change in control of interes</w:t>
      </w:r>
      <w:r>
        <w:rPr>
          <w:rFonts w:eastAsia="Times New Roman"/>
          <w:vanish/>
          <w:sz w:val="20"/>
          <w:szCs w:val="20"/>
        </w:rPr>
        <w:t>ts of $5.0 million, in aggregate, resulting from the fair value adjustments associated with the Company’s previously held equity interests, which are included in Equity in income of joint ventures, net on the Company's Consolidated Statements of Income. Th</w:t>
      </w:r>
      <w:r>
        <w:rPr>
          <w:rFonts w:eastAsia="Times New Roman"/>
          <w:vanish/>
          <w:sz w:val="20"/>
          <w:szCs w:val="20"/>
        </w:rPr>
        <w:t>e Company previously held an ownership interest of 30.0% in Jamestown Portfolio, 15.0% in KimPru Portfolio and 90.0% in Centro Arlington. Relates to Outside Partner Units issued during 2022 described above. Weighted-average interest rate During January 202</w:t>
      </w:r>
      <w:r>
        <w:rPr>
          <w:rFonts w:eastAsia="Times New Roman"/>
          <w:vanish/>
          <w:sz w:val="20"/>
          <w:szCs w:val="20"/>
        </w:rPr>
        <w:t>1, KIM RDC, LLC (“KIM RDC”), a wholly owned subsidiary of the Company, and KP Lancewood LLC (“KPR Member”) entered into a joint venture agreement wherein KIM RDC has a 100% controlling interest and KPR Member is entitled to a profit participation. The join</w:t>
      </w:r>
      <w:r>
        <w:rPr>
          <w:rFonts w:eastAsia="Times New Roman"/>
          <w:vanish/>
          <w:sz w:val="20"/>
          <w:szCs w:val="20"/>
        </w:rPr>
        <w:t>t venture acquired two operating properties for a gross fair value of $104.0 million (see Footnote 4 of the Company’s Consolidated Financial Statements). During June 2021, the two joint venture properties were sold for a combined sales price of $108.0 mill</w:t>
      </w:r>
      <w:r>
        <w:rPr>
          <w:rFonts w:eastAsia="Times New Roman"/>
          <w:vanish/>
          <w:sz w:val="20"/>
          <w:szCs w:val="20"/>
        </w:rPr>
        <w:t>ion of which the KPR Member received a distribution of $2.1 million. Expiration dates ranging from 2027 to 2035. Includes bargain purchase options exercisable in 2023 related to two properties. Includes Merger related costs of $20.7 million for the year en</w:t>
      </w:r>
      <w:r>
        <w:rPr>
          <w:rFonts w:eastAsia="Times New Roman"/>
          <w:vanish/>
          <w:sz w:val="20"/>
          <w:szCs w:val="20"/>
        </w:rPr>
        <w:t xml:space="preserve">ded December 31, 2021. For the years ended December 31, 2022, 2021 and 2020, the corresponding common stock equivalent of these vested awards were 998,238, 814,160 and 594,900 shares, respectively. Includes $19.7 million of Internal Revenue Code 26 U.S.C. </w:t>
      </w:r>
      <w:r>
        <w:rPr>
          <w:rFonts w:eastAsia="Times New Roman"/>
          <w:vanish/>
          <w:sz w:val="20"/>
          <w:szCs w:val="20"/>
        </w:rPr>
        <w:t>§1031 proceeds held in escrow for acquisition of real estate interests for the year ended December 31, 2022. During 2021, the Company acquired $13.4 million of mortgage loan receivables in connection with the Merger. Representing 111 property interests and</w:t>
      </w:r>
      <w:r>
        <w:rPr>
          <w:rFonts w:eastAsia="Times New Roman"/>
          <w:vanish/>
          <w:sz w:val="20"/>
          <w:szCs w:val="20"/>
        </w:rPr>
        <w:t xml:space="preserve"> 22.4 million square feet of GLA, as of December 31, 2022, and 120 property interests and 24.7 million square feet of GLA, as of December 31, 2021. Includes minimum base rents, expense reimbursements, percentage rent, lease termination fee income and ancil</w:t>
      </w:r>
      <w:r>
        <w:rPr>
          <w:rFonts w:eastAsia="Times New Roman"/>
          <w:vanish/>
          <w:sz w:val="20"/>
          <w:szCs w:val="20"/>
        </w:rPr>
        <w:t>lary income. The effect of the assumed conversion of certain convertible units had an anti-dilutive effect upon the calculation of Net income available to the Company's common shareholders per share. Accordingly, the impact of such conversions has not been</w:t>
      </w:r>
      <w:r>
        <w:rPr>
          <w:rFonts w:eastAsia="Times New Roman"/>
          <w:vanish/>
          <w:sz w:val="20"/>
          <w:szCs w:val="20"/>
        </w:rPr>
        <w:t xml:space="preserve"> included in the determination of diluted earnings per share calculations. Additionally, there were 0.3 million, 0 million and 1.2 million stock options that were not dilutive as of December 31, 2022, 2021 and 2020, respectively. Gross leasable area ("GLA"</w:t>
      </w:r>
      <w:r>
        <w:rPr>
          <w:rFonts w:eastAsia="Times New Roman"/>
          <w:vanish/>
          <w:sz w:val="20"/>
          <w:szCs w:val="20"/>
        </w:rPr>
        <w:t xml:space="preserve">) During 2021, the Company entered into a new joint venture with BREIT in which it contributed six properties for a gross sales price of $425.8 million. See Footnote 5 of the Notes to Consolidated Financial Statements for the operating properties disposed </w:t>
      </w:r>
      <w:r>
        <w:rPr>
          <w:rFonts w:eastAsia="Times New Roman"/>
          <w:vanish/>
          <w:sz w:val="20"/>
          <w:szCs w:val="20"/>
        </w:rPr>
        <w:t>by the Company. Land parcel Average remaining term includes extensions These units are redeemable for cash by the holder or at the Company’s option, shares of the Company’s common stock, based upon the conversion calculation as defined in the agreement. Th</w:t>
      </w:r>
      <w:r>
        <w:rPr>
          <w:rFonts w:eastAsia="Times New Roman"/>
          <w:vanish/>
          <w:sz w:val="20"/>
          <w:szCs w:val="20"/>
        </w:rPr>
        <w:t>ese units are included in Noncontrolling interests on the Company’s Consolidated Balance Sheets. For the years ended December 31, 2022 and 2021 amounts are before noncontrolling interests of $1.7 million and $3.0 million, respectively and taxes of $1.2 mil</w:t>
      </w:r>
      <w:r>
        <w:rPr>
          <w:rFonts w:eastAsia="Times New Roman"/>
          <w:vanish/>
          <w:sz w:val="20"/>
          <w:szCs w:val="20"/>
        </w:rPr>
        <w:t>lion and $2.2 million, respectively, after utilization of net operating loss carryforwards. Shopping center includes land held for development. Includes fair market value of debt adjustments, net and deferred financing costs, net. Includes restricted asset</w:t>
      </w:r>
      <w:r>
        <w:rPr>
          <w:rFonts w:eastAsia="Times New Roman"/>
          <w:vanish/>
          <w:sz w:val="20"/>
          <w:szCs w:val="20"/>
        </w:rPr>
        <w:t>s of consolidated variable interest entities (“VIEs”) at September 30, 2022 and December 31, 2021 of $88,949 and $227,858, respectively. See Footnote 13 of the Notes to Condensed Consolidated Financial Statements. As of December 31, 2022 and 2021, the Comp</w:t>
      </w:r>
      <w:r>
        <w:rPr>
          <w:rFonts w:eastAsia="Times New Roman"/>
          <w:vanish/>
          <w:sz w:val="20"/>
          <w:szCs w:val="20"/>
        </w:rPr>
        <w:t>any had $2.5 million and $4.0 million of deferred financing costs, net related to the Credit Facility that are included in Other assets on the Company’s Consolidated Balance Sheets, respectively. The Company determined that its valuation of its mortgages p</w:t>
      </w:r>
      <w:r>
        <w:rPr>
          <w:rFonts w:eastAsia="Times New Roman"/>
          <w:vanish/>
          <w:sz w:val="20"/>
          <w:szCs w:val="20"/>
        </w:rPr>
        <w:t>ayable were classified within Level 3 of the fair value hierarchy. Volatility is based on the annualized standard deviation of the daily logarithmic returns on dividend-adjusted closing prices over the look-back period based on the term of the award. There</w:t>
      </w:r>
      <w:r>
        <w:rPr>
          <w:rFonts w:eastAsia="Times New Roman"/>
          <w:vanish/>
          <w:sz w:val="20"/>
          <w:szCs w:val="20"/>
        </w:rPr>
        <w:t xml:space="preserve"> was no prepayment charge associated with this early repayment. These units are redeemable for cash by the holder or callable by the Company and are included in Redeemable noncontrolling interests on the Company's Consolidated Balance Sheets. Amounts relat</w:t>
      </w:r>
      <w:r>
        <w:rPr>
          <w:rFonts w:eastAsia="Times New Roman"/>
          <w:vanish/>
          <w:sz w:val="20"/>
          <w:szCs w:val="20"/>
        </w:rPr>
        <w:t>e to adjustments to property carrying values for properties which the Company has marketed for sale and as such has adjusted the anticipated hold periods for such properties. During 2022, the Company recognized impairment charges of $19.2 million, before n</w:t>
      </w:r>
      <w:r>
        <w:rPr>
          <w:rFonts w:eastAsia="Times New Roman"/>
          <w:vanish/>
          <w:sz w:val="20"/>
          <w:szCs w:val="20"/>
        </w:rPr>
        <w:t>oncontrolling interests of $16.0 million, related to five properties. The Company’s estimated fair values of these assets were primarily based upon sales prices from signed contracts, which were less than the carrying value of the assets. Amounts include a</w:t>
      </w:r>
      <w:r>
        <w:rPr>
          <w:rFonts w:eastAsia="Times New Roman"/>
          <w:vanish/>
          <w:sz w:val="20"/>
          <w:szCs w:val="20"/>
        </w:rPr>
        <w:t>dditional consideration of $39.3 million relating to reimbursements paid by the Company to Weingarten at the closing of the Merger for transaction costs incurred by Weingarten. Total Shareholder Returns, as used in the performance share awards computation,</w:t>
      </w:r>
      <w:r>
        <w:rPr>
          <w:rFonts w:eastAsia="Times New Roman"/>
          <w:vanish/>
          <w:sz w:val="20"/>
          <w:szCs w:val="20"/>
        </w:rPr>
        <w:t xml:space="preserve"> are measured based on cumulative dividend stock prices, as such a zero percent dividend yield is utilized. The negative balance for costs capitalized subsequent to acquisition could include parcels/out-parcels sold, assets held-for-sale, provision for los</w:t>
      </w:r>
      <w:r>
        <w:rPr>
          <w:rFonts w:eastAsia="Times New Roman"/>
          <w:vanish/>
          <w:sz w:val="20"/>
          <w:szCs w:val="20"/>
        </w:rPr>
        <w:t xml:space="preserve">ses and/or demolition of part of a property for redevelopment. Net operating losses do not expire. During 2022, the Company recognized $4.0 million of profit participation related to the repayment of a mortgage loan, which is included in Other income, net </w:t>
      </w:r>
      <w:r>
        <w:rPr>
          <w:rFonts w:eastAsia="Times New Roman"/>
          <w:vanish/>
          <w:sz w:val="20"/>
          <w:szCs w:val="20"/>
        </w:rPr>
        <w:t>on the Company's Consolidated Statements of Income. The aggregate cost for Federal income tax purposes was approximately $87.3 million as of December 31, 2022. The pro forma earnings for the year ended December 31, 2021 were adjusted to exclude $50.2 milli</w:t>
      </w:r>
      <w:r>
        <w:rPr>
          <w:rFonts w:eastAsia="Times New Roman"/>
          <w:vanish/>
          <w:sz w:val="20"/>
          <w:szCs w:val="20"/>
        </w:rPr>
        <w:t>on of merger costs while the pro forma earnings for the year ended December 31, 2020 were adjusted to include $50.2 million of merger costs incurred. Relates to interest expense on finance lease liabilities, which were acquired in connection with the Merge</w:t>
      </w:r>
      <w:r>
        <w:rPr>
          <w:rFonts w:eastAsia="Times New Roman"/>
          <w:vanish/>
          <w:sz w:val="20"/>
          <w:szCs w:val="20"/>
        </w:rPr>
        <w:t>r. The Company incurred a prepayment charge of $6.5 million and $0.7 million in write-off of deferred financing costs resulting from this early repayment, which are included in Early extinguishment of debt charges on the Company's Condensed Consolidated St</w:t>
      </w:r>
      <w:r>
        <w:rPr>
          <w:rFonts w:eastAsia="Times New Roman"/>
          <w:vanish/>
          <w:sz w:val="20"/>
          <w:szCs w:val="20"/>
        </w:rPr>
        <w:t xml:space="preserve">atements of Income. During the year ended December 31, 2019, the Prudential Investment Program recognized an impairment charge on a property of $29.9 million, of which the Company’s share was $3.7 million. Includes non-recourse liabilities of consolidated </w:t>
      </w:r>
      <w:r>
        <w:rPr>
          <w:rFonts w:eastAsia="Times New Roman"/>
          <w:vanish/>
          <w:sz w:val="20"/>
          <w:szCs w:val="20"/>
        </w:rPr>
        <w:t>VIEs at September 30, 2022 and December 31, 2021 of $100,291 and $153,924, respectively. See Footnote 13 of the Notes to Condensed Consolidated Financial Statements. During 2021, the Company purchased its partner’s 70.0% remaining interest in Jamestown Por</w:t>
      </w:r>
      <w:r>
        <w:rPr>
          <w:rFonts w:eastAsia="Times New Roman"/>
          <w:vanish/>
          <w:sz w:val="20"/>
          <w:szCs w:val="20"/>
        </w:rPr>
        <w:t>tfolio, which is comprised of six property interests. The Company then entered into a joint venture with Blackstone Real Estate Income Trust, Inc. ("BREIT") in which it contributed these six properties for a gross sales price of $425.8 million, including $</w:t>
      </w:r>
      <w:r>
        <w:rPr>
          <w:rFonts w:eastAsia="Times New Roman"/>
          <w:vanish/>
          <w:sz w:val="20"/>
          <w:szCs w:val="20"/>
        </w:rPr>
        <w:t>170.0 million of non-recourse mortgage debt. As a result, the Company no longer consolidates these six property interests and recognized a loss on change in control of interests of $0.4 million. The Company has a 50.0% investment in this joint venture ($13</w:t>
      </w:r>
      <w:r>
        <w:rPr>
          <w:rFonts w:eastAsia="Times New Roman"/>
          <w:vanish/>
          <w:sz w:val="20"/>
          <w:szCs w:val="20"/>
        </w:rPr>
        <w:t>0.1 million as of the date of deconsolidation), included in Investments in and advances to real estate joint ventures on the Company’s Consolidated Balance Sheets. The Company determined that the valuation of its senior unsecured notes were classified with</w:t>
      </w:r>
      <w:r>
        <w:rPr>
          <w:rFonts w:eastAsia="Times New Roman"/>
          <w:vanish/>
          <w:sz w:val="20"/>
          <w:szCs w:val="20"/>
        </w:rPr>
        <w:t>in Level 2 of the fair value hierarchy. The estimated fair value amounts classified as Level 2 as of December 31, 2022 and 2021, were $5.8 billion and $7.3 billion, respectively. The negative balance for costs capitalized subsequent to acquisition could in</w:t>
      </w:r>
      <w:r>
        <w:rPr>
          <w:rFonts w:eastAsia="Times New Roman"/>
          <w:vanish/>
          <w:sz w:val="20"/>
          <w:szCs w:val="20"/>
        </w:rPr>
        <w:t>clude parcels/out-parcels sold, assets held-for-sale, provision for losses and/or demolition of part of a property for redevelopment. During 2022, the Company purchased additional ownership interests for $55.1 million, including the General Partner's owner</w:t>
      </w:r>
      <w:r>
        <w:rPr>
          <w:rFonts w:eastAsia="Times New Roman"/>
          <w:vanish/>
          <w:sz w:val="20"/>
          <w:szCs w:val="20"/>
        </w:rPr>
        <w:t>ship interest from Milton Cooper, Executive Chairman of the Board of Directors of the Company, for $0.1 million. There was no change in control as a result of these transactions. During 2022, the Company sold shares of ACI and recognized a long-term capita</w:t>
      </w:r>
      <w:r>
        <w:rPr>
          <w:rFonts w:eastAsia="Times New Roman"/>
          <w:vanish/>
          <w:sz w:val="20"/>
          <w:szCs w:val="20"/>
        </w:rPr>
        <w:t>l gain for tax purposes of $251.5 million. The Company elected to retain the proceeds from this stock sale for general corporate purposes and pay corporate income tax on the taxable gain. The Company accrued and paid federal taxes of $47.3 million and esti</w:t>
      </w:r>
      <w:r>
        <w:rPr>
          <w:rFonts w:eastAsia="Times New Roman"/>
          <w:vanish/>
          <w:sz w:val="20"/>
          <w:szCs w:val="20"/>
        </w:rPr>
        <w:t>mated state and local taxes of $9.9 million on this undistributed long term capital gain. This undistributed long-term capital gain is allocated to, and reportable by, each shareholder, and each shareholder is also entitled to claim a federal income tax cr</w:t>
      </w:r>
      <w:r>
        <w:rPr>
          <w:rFonts w:eastAsia="Times New Roman"/>
          <w:vanish/>
          <w:sz w:val="20"/>
          <w:szCs w:val="20"/>
        </w:rPr>
        <w:t>edit for its allocable share of the federal income tax paid by the Company for 2022. The allocable share of the long-term capital gain and the federal tax credit will be reported to direct holders of Kimco common stock, on Form 2439, and to others in year-</w:t>
      </w:r>
      <w:r>
        <w:rPr>
          <w:rFonts w:eastAsia="Times New Roman"/>
          <w:vanish/>
          <w:sz w:val="20"/>
          <w:szCs w:val="20"/>
        </w:rPr>
        <w:t>end reporting documents issued by brokerage firms if the Company’s common stock is held in a brokerage account. The weighted-average grant date fair value for restricted stock issued during the years ended December 31, 2022, 2021 and 2020 were $24.27, $17.</w:t>
      </w:r>
      <w:r>
        <w:rPr>
          <w:rFonts w:eastAsia="Times New Roman"/>
          <w:vanish/>
          <w:sz w:val="20"/>
          <w:szCs w:val="20"/>
        </w:rPr>
        <w:t>81 and $18.67, respectively. Other consists of redeemable noncontrolling interest unitholders of $79.7 million and an embedded derivative liability associated with put and call options of these unitholders of $56.0 million. See Footnotes 15 and 16 of the C</w:t>
      </w:r>
      <w:r>
        <w:rPr>
          <w:rFonts w:eastAsia="Times New Roman"/>
          <w:vanish/>
          <w:sz w:val="20"/>
          <w:szCs w:val="20"/>
        </w:rPr>
        <w:t>ompany's Consolidated Financial Statements for additional discussion regarding fair value allocation to unitholders for noncontrolling interests. The amounts represent adjustments associated with potentially uncollectible revenues and disputed amounts. The</w:t>
      </w:r>
      <w:r>
        <w:rPr>
          <w:rFonts w:eastAsia="Times New Roman"/>
          <w:vanish/>
          <w:sz w:val="20"/>
          <w:szCs w:val="20"/>
        </w:rPr>
        <w:t xml:space="preserve"> weighted-average grant date fair value for performance shares issued during the years ended December 31, 2022, 2021 and 2020 were $31.19, $22.96 and $18.02, respectively. Relates to changes in estimates in insured events in the prior years, incurred losse</w:t>
      </w:r>
      <w:r>
        <w:rPr>
          <w:rFonts w:eastAsia="Times New Roman"/>
          <w:vanish/>
          <w:sz w:val="20"/>
          <w:szCs w:val="20"/>
        </w:rPr>
        <w:t>s and loss adjustment expenses. For the year ended December 31, 2021, includes $5.3 million of liability incurred as a result of the Merger. Accrues interest at a rate of Adjusted Term Secured Overnight Financing Rate (“Adjusted Term SOFR”), as defined, pl</w:t>
      </w:r>
      <w:r>
        <w:rPr>
          <w:rFonts w:eastAsia="Times New Roman"/>
          <w:vanish/>
          <w:sz w:val="20"/>
          <w:szCs w:val="20"/>
        </w:rPr>
        <w:t>us 0.755% and LIBOR plus 0.765% as of December 31, 2022 and 2021, respectively. Includes allowances on accounts receivable and straight-line rents. 00008791012022-01-012022-12-31 0000879101kim:KimcoRealtyOpLlcMember2022-01-012022-12-31 0000879101us-gaap:Co</w:t>
      </w:r>
      <w:r>
        <w:rPr>
          <w:rFonts w:eastAsia="Times New Roman"/>
          <w:vanish/>
          <w:sz w:val="20"/>
          <w:szCs w:val="20"/>
        </w:rPr>
        <w:t>mmonStockMember2022-01-012022-12-31 0000879101kim:ClassLCumulativeRedeemablePreferredStockDepositarySharesMember2022-01-012022-12-31 0000879101kim:ClassMCumulativeRedeemablePreferredStockDepositarySharesMember2022-01-012022-12-31 iso4217:USD 00008791012022</w:t>
      </w:r>
      <w:r>
        <w:rPr>
          <w:rFonts w:eastAsia="Times New Roman"/>
          <w:vanish/>
          <w:sz w:val="20"/>
          <w:szCs w:val="20"/>
        </w:rPr>
        <w:t>-06-30 xbrli:shares 00008791012023-02-10 thunderdome:item 00008791012022-12-31 00008791012021-12-31 0000879101kim:InvestmentsInAndAdvancesToRealEstateJointVenturesMember2022-12-31 0000879101kim:InvestmentsInAndAdvancesToRealEstateJointVenturesMember2021-12</w:t>
      </w:r>
      <w:r>
        <w:rPr>
          <w:rFonts w:eastAsia="Times New Roman"/>
          <w:vanish/>
          <w:sz w:val="20"/>
          <w:szCs w:val="20"/>
        </w:rPr>
        <w:t>-31 0000879101kim:OtherRealEstateInvestmentsMember2022-12-31 0000879101kim:OtherRealEstateInvestmentsMember2021-12-31 iso4217:USDxbrli:shares 00008791012021-01-012021-12-31 00008791012020-01-012020-12-31 0000879101kim:JointVenturesMember2022-01-012022-12-3</w:t>
      </w:r>
      <w:r>
        <w:rPr>
          <w:rFonts w:eastAsia="Times New Roman"/>
          <w:vanish/>
          <w:sz w:val="20"/>
          <w:szCs w:val="20"/>
        </w:rPr>
        <w:t>1 0000879101kim:JointVenturesMember2021-01-012021-12-31 0000879101kim:JointVenturesMember2020-01-012020-12-31 0000879101kim:OtherRealEstateInvestmentsMember2022-01-012022-12-31 0000879101kim:OtherRealEstateInvestmentsMember2021-01-012021-12-31 0000879101ki</w:t>
      </w:r>
      <w:r>
        <w:rPr>
          <w:rFonts w:eastAsia="Times New Roman"/>
          <w:vanish/>
          <w:sz w:val="20"/>
          <w:szCs w:val="20"/>
        </w:rPr>
        <w:t>m:OtherRealEstateInvestmentsMember2020-01-012020-12-31 0000879101us-gaap:RetainedEarningsMember2019-12-31 0000879101us-gaap:AccumulatedOtherComprehensiveIncomeMember2019-12-31 0000879101us-gaap:PreferredStockMember2019-12-31 0000879101us-gaap:CommonStockMe</w:t>
      </w:r>
      <w:r>
        <w:rPr>
          <w:rFonts w:eastAsia="Times New Roman"/>
          <w:vanish/>
          <w:sz w:val="20"/>
          <w:szCs w:val="20"/>
        </w:rPr>
        <w:t>mber2019-12-31 0000879101us-gaap:AdditionalPaidInCapitalMember2019-12-31 0000879101us-gaap:ParentMember2019-12-31 0000879101us-gaap:NoncontrollingInterestMember2019-12-31 00008791012019-12-31 0000879101us-gaap:RetainedEarningsMember2020-01-012020-12-31 000</w:t>
      </w:r>
      <w:r>
        <w:rPr>
          <w:rFonts w:eastAsia="Times New Roman"/>
          <w:vanish/>
          <w:sz w:val="20"/>
          <w:szCs w:val="20"/>
        </w:rPr>
        <w:t>0879101us-gaap:AccumulatedOtherComprehensiveIncomeMember2020-01-012020-12-31 0000879101us-gaap:PreferredStockMember2020-01-012020-12-31 0000879101us-gaap:CommonStockMember2020-01-012020-12-31 0000879101us-gaap:AdditionalPaidInCapitalMember2020-01-012020-12</w:t>
      </w:r>
      <w:r>
        <w:rPr>
          <w:rFonts w:eastAsia="Times New Roman"/>
          <w:vanish/>
          <w:sz w:val="20"/>
          <w:szCs w:val="20"/>
        </w:rPr>
        <w:t>-31 0000879101us-gaap:ParentMember2020-01-012020-12-31 0000879101us-gaap:NoncontrollingInterestMember2020-01-012020-12-31 0000879101us-gaap:RetainedEarningsMember2020-12-31 0000879101us-gaap:AccumulatedOtherComprehensiveIncomeMember2020-12-31 0000879101us-</w:t>
      </w:r>
      <w:r>
        <w:rPr>
          <w:rFonts w:eastAsia="Times New Roman"/>
          <w:vanish/>
          <w:sz w:val="20"/>
          <w:szCs w:val="20"/>
        </w:rPr>
        <w:t>gaap:PreferredStockMember2020-12-31 0000879101us-gaap:CommonStockMember2020-12-31 0000879101us-gaap:AdditionalPaidInCapitalMember2020-12-31 0000879101us-gaap:ParentMember2020-12-31 0000879101us-gaap:NoncontrollingInterestMember2020-12-31 00008791012020-12-</w:t>
      </w:r>
      <w:r>
        <w:rPr>
          <w:rFonts w:eastAsia="Times New Roman"/>
          <w:vanish/>
          <w:sz w:val="20"/>
          <w:szCs w:val="20"/>
        </w:rPr>
        <w:t>31 0000879101us-gaap:RetainedEarningsMember2021-01-012021-12-31 0000879101us-gaap:AccumulatedOtherComprehensiveIncomeMember2021-01-012021-12-31 0000879101us-gaap:PreferredStockMember2021-01-012021-12-31 0000879101us-gaap:CommonStockMember2021-01-012021-12-</w:t>
      </w:r>
      <w:r>
        <w:rPr>
          <w:rFonts w:eastAsia="Times New Roman"/>
          <w:vanish/>
          <w:sz w:val="20"/>
          <w:szCs w:val="20"/>
        </w:rPr>
        <w:t>31 0000879101us-gaap:AdditionalPaidInCapitalMember2021-01-012021-12-31 0000879101us-gaap:ParentMember2021-01-012021-12-31 0000879101us-gaap:NoncontrollingInterestMember2021-01-012021-12-31 0000879101us-gaap:RetainedEarningsMember2021-12-31 0000879101us-gaa</w:t>
      </w:r>
      <w:r>
        <w:rPr>
          <w:rFonts w:eastAsia="Times New Roman"/>
          <w:vanish/>
          <w:sz w:val="20"/>
          <w:szCs w:val="20"/>
        </w:rPr>
        <w:t>p:AccumulatedOtherComprehensiveIncomeMember2021-12-31 0000879101us-gaap:PreferredStockMember2021-12-31 0000879101us-gaap:CommonStockMember2021-12-31 0000879101us-gaap:AdditionalPaidInCapitalMember2021-12-31 0000879101us-gaap:ParentMember2021-12-31 00008791</w:t>
      </w:r>
      <w:r>
        <w:rPr>
          <w:rFonts w:eastAsia="Times New Roman"/>
          <w:vanish/>
          <w:sz w:val="20"/>
          <w:szCs w:val="20"/>
        </w:rPr>
        <w:t>01us-gaap:NoncontrollingInterestMember2021-12-31 0000879101us-gaap:RetainedEarningsMember2022-01-012022-12-31 0000879101us-gaap:AccumulatedOtherComprehensiveIncomeMember2022-01-012022-12-31 0000879101us-gaap:PreferredStockMember2022-01-012022-12-31 0000879</w:t>
      </w:r>
      <w:r>
        <w:rPr>
          <w:rFonts w:eastAsia="Times New Roman"/>
          <w:vanish/>
          <w:sz w:val="20"/>
          <w:szCs w:val="20"/>
        </w:rPr>
        <w:t>101us-gaap:CommonStockMember2022-01-012022-12-31 0000879101us-gaap:AdditionalPaidInCapitalMember2022-01-012022-12-31 0000879101us-gaap:ParentMember2022-01-012022-12-31 0000879101us-gaap:NoncontrollingInterestMember2022-01-012022-12-31 0000879101us-gaap:Ret</w:t>
      </w:r>
      <w:r>
        <w:rPr>
          <w:rFonts w:eastAsia="Times New Roman"/>
          <w:vanish/>
          <w:sz w:val="20"/>
          <w:szCs w:val="20"/>
        </w:rPr>
        <w:t>ainedEarningsMember2022-12-31 0000879101us-gaap:AccumulatedOtherComprehensiveIncomeMember2022-12-31 0000879101us-gaap:PreferredStockMember2022-12-31 0000879101us-gaap:CommonStockMember2022-12-31 0000879101us-gaap:AdditionalPaidInCapitalMember2022-12-31 000</w:t>
      </w:r>
      <w:r>
        <w:rPr>
          <w:rFonts w:eastAsia="Times New Roman"/>
          <w:vanish/>
          <w:sz w:val="20"/>
          <w:szCs w:val="20"/>
        </w:rPr>
        <w:t>0879101us-gaap:ParentMember2022-12-31 0000879101us-gaap:NoncontrollingInterestMember2022-12-31 0000879101kim:TermLoanMember2022-01-012022-12-31 0000879101kim:TermLoanMember2021-01-012021-12-31 0000879101kim:TermLoanMember2020-01-012020-12-31 0000879101kim:</w:t>
      </w:r>
      <w:r>
        <w:rPr>
          <w:rFonts w:eastAsia="Times New Roman"/>
          <w:vanish/>
          <w:sz w:val="20"/>
          <w:szCs w:val="20"/>
        </w:rPr>
        <w:t>SeniorUnsecuredNotesMember2022-01-012022-12-31 0000879101kim:SeniorUnsecuredNotesMember2021-01-012021-12-31 0000879101kim:SeniorUnsecuredNotesMember2020-01-012020-12-31 0000879101kim:WeingartenRealtyInvestorsMember2021-04-152021-04-15 0000879101kim:Weingar</w:t>
      </w:r>
      <w:r>
        <w:rPr>
          <w:rFonts w:eastAsia="Times New Roman"/>
          <w:vanish/>
          <w:sz w:val="20"/>
          <w:szCs w:val="20"/>
        </w:rPr>
        <w:t>tenRealtyInvestorsMember2021-01-012021-12-31 utr:Y 0000879101us-gaap:BuildingAndBuildingImprovementsMembersrt:MinimumMember2022-01-012022-12-31 0000879101us-gaap:BuildingAndBuildingImprovementsMembersrt:MaximumMember2022-01-012022-12-31 0000879101kim:Inves</w:t>
      </w:r>
      <w:r>
        <w:rPr>
          <w:rFonts w:eastAsia="Times New Roman"/>
          <w:vanish/>
          <w:sz w:val="20"/>
          <w:szCs w:val="20"/>
        </w:rPr>
        <w:t>tmentCashHeldAsCollateralForLettersOfCreditMember2021-12-31 0000879101us-gaap:ComputerSoftwareIntangibleAssetMembersrt:MinimumMember2022-01-012022-12-31 0000879101us-gaap:ComputerSoftwareIntangibleAssetMembersrt:MaximumMember2022-01-012022-12-31 0000879101</w:t>
      </w:r>
      <w:r>
        <w:rPr>
          <w:rFonts w:eastAsia="Times New Roman"/>
          <w:vanish/>
          <w:sz w:val="20"/>
          <w:szCs w:val="20"/>
        </w:rPr>
        <w:t>kim:The2010PlanMember2022-12-31 xbrli:pure 0000879101us-gaap:RestrictedStockMemberkim:SharebasedCompensationAwardVestingOnFourthOrFifthAnniversaryMember2022-01-012022-12-31 0000879101us-gaap:RestrictedStockMemberus-gaap:ShareBasedCompensationAwardTrancheTw</w:t>
      </w:r>
      <w:r>
        <w:rPr>
          <w:rFonts w:eastAsia="Times New Roman"/>
          <w:vanish/>
          <w:sz w:val="20"/>
          <w:szCs w:val="20"/>
        </w:rPr>
        <w:t>oMember2022-01-012022-12-31 0000879101us-gaap:RestrictedStockMemberus-gaap:ShareBasedCompensationAwardTrancheThreeMember2022-01-012022-12-31 0000879101us-gaap:RestrictedStockMemberkim:SharebasedCompensationAwardVestingAfterTheFifthAnniversaryMember2022-01-</w:t>
      </w:r>
      <w:r>
        <w:rPr>
          <w:rFonts w:eastAsia="Times New Roman"/>
          <w:vanish/>
          <w:sz w:val="20"/>
          <w:szCs w:val="20"/>
        </w:rPr>
        <w:t>012022-12-31 0000879101us-gaap:PerformanceSharesMembersrt:MinimumMember2022-01-012022-12-31 0000879101us-gaap:PerformanceSharesMembersrt:MaximumMember2022-01-012022-12-31 0000879101kim:LandHeldForDevelopmentFromRealEstateUnderDevelopmentToLandMember2021-01</w:t>
      </w:r>
      <w:r>
        <w:rPr>
          <w:rFonts w:eastAsia="Times New Roman"/>
          <w:vanish/>
          <w:sz w:val="20"/>
          <w:szCs w:val="20"/>
        </w:rPr>
        <w:t>-012021-12-31 0000879101us-gaap:ScenarioAdjustmentMember2021-01-012021-12-31 0000879101us-gaap:ScenarioAdjustmentMember2020-01-012020-12-31 0000879101kim:WeingartenRealtyInvestorsMember2021-08-032021-08-03 0000879101kim:WeingartenRealtyInvestorsMember2021-</w:t>
      </w:r>
      <w:r>
        <w:rPr>
          <w:rFonts w:eastAsia="Times New Roman"/>
          <w:vanish/>
          <w:sz w:val="20"/>
          <w:szCs w:val="20"/>
        </w:rPr>
        <w:t>08-03 0000879101kim:WeingartenRealtyInvestorsMemberus-gaap:MeasurementInputCapRateMembersrt:MinimumMemberus-gaap:IncomeApproachValuationTechniqueMember2021-08-03 0000879101kim:WeingartenRealtyInvestorsMemberus-gaap:MeasurementInputCapRateMembersrt:MaximumM</w:t>
      </w:r>
      <w:r>
        <w:rPr>
          <w:rFonts w:eastAsia="Times New Roman"/>
          <w:vanish/>
          <w:sz w:val="20"/>
          <w:szCs w:val="20"/>
        </w:rPr>
        <w:t>emberus-gaap:IncomeApproachValuationTechniqueMember2021-08-03 0000879101kim:WeingartenRealtyInvestorsMemberus-gaap:MeasurementInputCapRateMembersrt:MinimumMemberus-gaap:ValuationTechniqueDiscountedCashFlowMember2021-08-03 0000879101kim:WeingartenRealtyInve</w:t>
      </w:r>
      <w:r>
        <w:rPr>
          <w:rFonts w:eastAsia="Times New Roman"/>
          <w:vanish/>
          <w:sz w:val="20"/>
          <w:szCs w:val="20"/>
        </w:rPr>
        <w:t>storsMemberus-gaap:MeasurementInputCapRateMembersrt:MaximumMemberus-gaap:ValuationTechniqueDiscountedCashFlowMember2021-08-03 0000879101kim:WeingartenRealtyInvestorsMemberus-gaap:MeasurementInputDiscountRateMembersrt:MinimumMemberus-gaap:ValuationTechnique</w:t>
      </w:r>
      <w:r>
        <w:rPr>
          <w:rFonts w:eastAsia="Times New Roman"/>
          <w:vanish/>
          <w:sz w:val="20"/>
          <w:szCs w:val="20"/>
        </w:rPr>
        <w:t>DiscountedCashFlowMember2021-08-03 0000879101kim:WeingartenRealtyInvestorsMemberus-gaap:MeasurementInputDiscountRateMembersrt:MaximumMemberus-gaap:ValuationTechniqueDiscountedCashFlowMember2021-08-03 0000879101us-gaap:SecuredDebtMemberus-gaap:MeasurementIn</w:t>
      </w:r>
      <w:r>
        <w:rPr>
          <w:rFonts w:eastAsia="Times New Roman"/>
          <w:vanish/>
          <w:sz w:val="20"/>
          <w:szCs w:val="20"/>
        </w:rPr>
        <w:t>putCreditSpreadMembersrt:WeightedAverageMember2021-08-03 0000879101us-gaap:SecuredDebtMemberkim:MeasurementInputVariableRateMemberus-gaap:LondonInterbankOfferedRateLIBORMember2021-08-03 0000879101kim:WeingartenRealtyInvestorsMemberus-gaap:LeasesAcquiredInP</w:t>
      </w:r>
      <w:r>
        <w:rPr>
          <w:rFonts w:eastAsia="Times New Roman"/>
          <w:vanish/>
          <w:sz w:val="20"/>
          <w:szCs w:val="20"/>
        </w:rPr>
        <w:t>laceMember2021-08-03 0000879101kim:WeingartenRealtyInvestorsMemberus-gaap:AboveMarketLeasesMember2021-08-03 0000879101kim:WeingartenRealtyInvestorsMemberus-gaap:BuildingMember2021-08-042021-12-31 0000879101kim:WeingartenRealtyInvestorsMemberus-gaap:Buildin</w:t>
      </w:r>
      <w:r>
        <w:rPr>
          <w:rFonts w:eastAsia="Times New Roman"/>
          <w:vanish/>
          <w:sz w:val="20"/>
          <w:szCs w:val="20"/>
        </w:rPr>
        <w:t>gImprovementsMember2021-08-042021-12-31 0000879101kim:WeingartenRealtyInvestorsMemberkim:TenantImprovementsMember2021-08-042021-12-31 0000879101kim:WeingartenRealtyInvestorsMemberkim:FixturesAndLeaseholdImprovementsMember2021-08-042021-12-31 0000879101kim:</w:t>
      </w:r>
      <w:r>
        <w:rPr>
          <w:rFonts w:eastAsia="Times New Roman"/>
          <w:vanish/>
          <w:sz w:val="20"/>
          <w:szCs w:val="20"/>
        </w:rPr>
        <w:t>WeingartenRealtyInvestorsMemberus-gaap:LeasesAcquiredInPlaceMember2021-08-042021-12-31 0000879101kim:WeingartenRealtyInvestorsMemberus-gaap:AboveMarketLeasesMember2021-08-042021-12-31 0000879101kim:WeingartenRealtyInvestorsMemberkim:BelowMarketLeasesMember</w:t>
      </w:r>
      <w:r>
        <w:rPr>
          <w:rFonts w:eastAsia="Times New Roman"/>
          <w:vanish/>
          <w:sz w:val="20"/>
          <w:szCs w:val="20"/>
        </w:rPr>
        <w:t>2021-08-042021-12-31 0000879101kim:WeingartenRealtyInvestorsMember2021-12-31 0000879101kim:WeingartenRealtyInvestorsMember2021-08-042021-12-31 0000879101kim:WeingartenRealtyInvestorsMember2020-01-012020-12-31 0000879101us-gaap:LandMember2022-12-31 00008791</w:t>
      </w:r>
      <w:r>
        <w:rPr>
          <w:rFonts w:eastAsia="Times New Roman"/>
          <w:vanish/>
          <w:sz w:val="20"/>
          <w:szCs w:val="20"/>
        </w:rPr>
        <w:t>01us-gaap:LandMember2021-12-31 0000879101kim:UndevelopedLandMember2022-12-31 0000879101kim:UndevelopedLandMember2021-12-31 0000879101kim:LandHeldForDevelopmentMember2022-12-31 0000879101kim:LandHeldForDevelopmentMember2021-12-31 0000879101us-gaap:BuildingM</w:t>
      </w:r>
      <w:r>
        <w:rPr>
          <w:rFonts w:eastAsia="Times New Roman"/>
          <w:vanish/>
          <w:sz w:val="20"/>
          <w:szCs w:val="20"/>
        </w:rPr>
        <w:t>ember2022-12-31 0000879101us-gaap:BuildingMember2021-12-31 0000879101us-gaap:BuildingImprovementsMember2022-12-31 0000879101us-gaap:BuildingImprovementsMember2021-12-31 0000879101kim:TenantImprovementsMember2022-12-31 0000879101kim:TenantImprovementsMember</w:t>
      </w:r>
      <w:r>
        <w:rPr>
          <w:rFonts w:eastAsia="Times New Roman"/>
          <w:vanish/>
          <w:sz w:val="20"/>
          <w:szCs w:val="20"/>
        </w:rPr>
        <w:t>2021-12-31 0000879101kim:FixturesAndLeaseholdImprovementsMember2022-12-31 0000879101kim:FixturesAndLeaseholdImprovementsMember2021-12-31 0000879101us-gaap:AboveMarketLeasesMember2022-12-31 0000879101us-gaap:AboveMarketLeasesMember2021-12-31 0000879101kim:I</w:t>
      </w:r>
      <w:r>
        <w:rPr>
          <w:rFonts w:eastAsia="Times New Roman"/>
          <w:vanish/>
          <w:sz w:val="20"/>
          <w:szCs w:val="20"/>
        </w:rPr>
        <w:t>nplaceLeasesMember2022-12-31 0000879101kim:InplaceLeasesMember2021-12-31 0000879101kim:InplaceLeasesTenantRelationshipsAndAbovemarketLeasesMember2022-12-31 0000879101kim:InplaceLeasesTenantRelationshipsAndAbovemarketLeasesMember2021-12-31 0000879101kim:Bel</w:t>
      </w:r>
      <w:r>
        <w:rPr>
          <w:rFonts w:eastAsia="Times New Roman"/>
          <w:vanish/>
          <w:sz w:val="20"/>
          <w:szCs w:val="20"/>
        </w:rPr>
        <w:t>owMarketRentsMember2022-12-31 0000879101kim:BelowMarketRentsMember2021-12-31 0000879101kim:AboveAndBelowMarketLeasesMember2022-01-012022-12-31 0000879101kim:AboveAndBelowMarketLeasesMember2021-01-012021-12-31 0000879101kim:AboveAndBelowMarketLeasesMember20</w:t>
      </w:r>
      <w:r>
        <w:rPr>
          <w:rFonts w:eastAsia="Times New Roman"/>
          <w:vanish/>
          <w:sz w:val="20"/>
          <w:szCs w:val="20"/>
        </w:rPr>
        <w:t>20-01-012020-12-31 0000879101kim:InplaceLeasesAndTenantRelationshipsMember2022-01-012022-12-31 0000879101kim:InplaceLeasesAndTenantRelationshipsMember2021-01-012021-12-31 0000879101kim:InplaceLeasesAndTenantRelationshipsMember2020-01-012020-12-31 000087910</w:t>
      </w:r>
      <w:r>
        <w:rPr>
          <w:rFonts w:eastAsia="Times New Roman"/>
          <w:vanish/>
          <w:sz w:val="20"/>
          <w:szCs w:val="20"/>
        </w:rPr>
        <w:t>1kim:InplaceLeasesMember2022-12-31 0000879101kim:RanchoSanMarcosParcelMember2022-01-012022-12-31 utr:sqft 0000879101kim:RanchoSanMarcosParcelMember2022-12-31 0000879101kim:ColumbiaCrossingMember2022-01-012022-12-31 0000879101kim:ColumbiaCrossingMember2022-</w:t>
      </w:r>
      <w:r>
        <w:rPr>
          <w:rFonts w:eastAsia="Times New Roman"/>
          <w:vanish/>
          <w:sz w:val="20"/>
          <w:szCs w:val="20"/>
        </w:rPr>
        <w:t>12-31 0000879101kim:OakForestParcelMember2022-01-012022-12-31 0000879101kim:OakForestParcelMember2022-12-31 0000879101kim:DevonVillageMember2022-01-012022-12-31 0000879101kim:DevonVillageMember2022-12-31 0000879101kim:FishtownCrossingMember2022-01-012022-1</w:t>
      </w:r>
      <w:r>
        <w:rPr>
          <w:rFonts w:eastAsia="Times New Roman"/>
          <w:vanish/>
          <w:sz w:val="20"/>
          <w:szCs w:val="20"/>
        </w:rPr>
        <w:t>2-31 0000879101kim:FishtownCrossingMember2022-12-31 0000879101kim:CarmansPlazaMember2022-01-012022-12-31 0000879101kim:CarmansPlazaMember2022-12-31 0000879101kim:PikeCenterMember2022-01-012022-12-31 0000879101kim:PikeCenterMember2022-12-31 0000879101kim:Ba</w:t>
      </w:r>
      <w:r>
        <w:rPr>
          <w:rFonts w:eastAsia="Times New Roman"/>
          <w:vanish/>
          <w:sz w:val="20"/>
          <w:szCs w:val="20"/>
        </w:rPr>
        <w:t>ybrookGatewayMember2022-01-012022-12-31 0000879101kim:BaybrookGatewayMember2022-12-31 0000879101kim:Portfolio8PropertiesMember2022-01-012022-12-31 0000879101kim:Portfolio8PropertiesMember2022-12-31 0000879101kim:GordonPlazaMember2022-01-012022-12-31 000087</w:t>
      </w:r>
      <w:r>
        <w:rPr>
          <w:rFonts w:eastAsia="Times New Roman"/>
          <w:vanish/>
          <w:sz w:val="20"/>
          <w:szCs w:val="20"/>
        </w:rPr>
        <w:t>9101kim:GordonPlazaMember2022-12-31 0000879101kim:TheGardensAtGreatNeckMember2022-01-012022-12-31 0000879101kim:TheGardensAtGreatNeckMember2022-12-31 0000879101kim:CallAndPutOptionsMember2022-12-31 0000879101kim:DistributionCenter1Memberkim:LancasterCAMemb</w:t>
      </w:r>
      <w:r>
        <w:rPr>
          <w:rFonts w:eastAsia="Times New Roman"/>
          <w:vanish/>
          <w:sz w:val="20"/>
          <w:szCs w:val="20"/>
        </w:rPr>
        <w:t>er2021-01-012021-12-31 0000879101kim:DistributionCenter1Memberkim:LancasterCAMember2021-12-31 0000879101kim:DistributionCenter2Memberkim:WoodlandCAMember2021-01-012021-12-31 0000879101kim:DistributionCenter2Memberkim:WoodlandCAMember2021-12-31 0000879101ki</w:t>
      </w:r>
      <w:r>
        <w:rPr>
          <w:rFonts w:eastAsia="Times New Roman"/>
          <w:vanish/>
          <w:sz w:val="20"/>
          <w:szCs w:val="20"/>
        </w:rPr>
        <w:t>m:JamestownMember2021-01-012021-12-31 0000879101kim:JamestownMember2021-12-31 0000879101kim:KimPruMember2021-01-012021-12-31 0000879101kim:KimPruMember2021-12-31 0000879101kim:ColumbiaCrossingMember2021-01-012021-12-31 0000879101kim:ColumbiaCrossingMember2</w:t>
      </w:r>
      <w:r>
        <w:rPr>
          <w:rFonts w:eastAsia="Times New Roman"/>
          <w:vanish/>
          <w:sz w:val="20"/>
          <w:szCs w:val="20"/>
        </w:rPr>
        <w:t>021-12-31 0000879101kim:CentroArlingtonMember2021-01-012021-12-31 0000879101kim:CentroArlingtonMember2021-12-31 0000879101kim:EquityInIncomeOfJointVenturesNetMember2021-01-012021-12-31 0000879101kim:JamestownMember2021-12-31 0000879101kim:KimPruMember2021-</w:t>
      </w:r>
      <w:r>
        <w:rPr>
          <w:rFonts w:eastAsia="Times New Roman"/>
          <w:vanish/>
          <w:sz w:val="20"/>
          <w:szCs w:val="20"/>
        </w:rPr>
        <w:t>12-31 0000879101kim:CentroArlingtonMember2021-10-31 0000879101us-gaap:BuildingMember2022-01-012022-12-31 0000879101us-gaap:BuildingMember2021-01-012021-12-31 0000879101us-gaap:BuildingImprovementsMember2022-01-012022-12-31 0000879101us-gaap:BuildingImprove</w:t>
      </w:r>
      <w:r>
        <w:rPr>
          <w:rFonts w:eastAsia="Times New Roman"/>
          <w:vanish/>
          <w:sz w:val="20"/>
          <w:szCs w:val="20"/>
        </w:rPr>
        <w:t>mentsMember2021-01-012021-12-31 0000879101kim:TenantImprovementsMember2022-12-31 0000879101kim:TenantImprovementsMember2022-01-012022-12-31 0000879101kim:TenantImprovementsMember2021-12-31 0000879101kim:TenantImprovementsMember2021-01-012021-12-31 00008791</w:t>
      </w:r>
      <w:r>
        <w:rPr>
          <w:rFonts w:eastAsia="Times New Roman"/>
          <w:vanish/>
          <w:sz w:val="20"/>
          <w:szCs w:val="20"/>
        </w:rPr>
        <w:t>01kim:SolarPanelsMember2022-12-31 0000879101kim:SolarPanelsMember2022-01-012022-12-31 0000879101kim:SolarPanelsMember2021-12-31 0000879101us-gaap:LeasesAcquiredInPlaceMember2022-12-31 0000879101us-gaap:LeasesAcquiredInPlaceMember2022-01-012022-12-31 000087</w:t>
      </w:r>
      <w:r>
        <w:rPr>
          <w:rFonts w:eastAsia="Times New Roman"/>
          <w:vanish/>
          <w:sz w:val="20"/>
          <w:szCs w:val="20"/>
        </w:rPr>
        <w:t>9101us-gaap:LeasesAcquiredInPlaceMember2021-12-31 0000879101us-gaap:LeasesAcquiredInPlaceMember2021-01-012021-12-31 0000879101us-gaap:AboveMarketLeasesMember2022-12-31 0000879101us-gaap:AboveMarketLeasesMember2022-01-012022-12-31 0000879101us-gaap:AboveMar</w:t>
      </w:r>
      <w:r>
        <w:rPr>
          <w:rFonts w:eastAsia="Times New Roman"/>
          <w:vanish/>
          <w:sz w:val="20"/>
          <w:szCs w:val="20"/>
        </w:rPr>
        <w:t>ketLeasesMember2021-12-31 0000879101us-gaap:AboveMarketLeasesMember2021-01-012021-12-31 0000879101kim:BelowMarketLeasesMember2022-12-31 0000879101kim:BelowMarketLeasesMember2022-01-012022-12-31 0000879101kim:BelowMarketLeasesMember2021-12-31 0000879101kim:</w:t>
      </w:r>
      <w:r>
        <w:rPr>
          <w:rFonts w:eastAsia="Times New Roman"/>
          <w:vanish/>
          <w:sz w:val="20"/>
          <w:szCs w:val="20"/>
        </w:rPr>
        <w:t>BelowMarketLeasesMember2021-01-012021-12-31 0000879101kim:MortgageFairValueAdjustmentMember2022-12-31 0000879101kim:MortgageFairValueAdjustmentMember2022-01-012022-12-31 0000879101kim:MortgageFairValueAdjustmentMember2021-12-31 0000879101kim:DispositionAct</w:t>
      </w:r>
      <w:r>
        <w:rPr>
          <w:rFonts w:eastAsia="Times New Roman"/>
          <w:vanish/>
          <w:sz w:val="20"/>
          <w:szCs w:val="20"/>
        </w:rPr>
        <w:t>ivityRelatingToConsolidatedOperatingPropertiesAndParcelsMember2022-01-012022-12-31 0000879101kim:DispositionActivityRelatingToConsolidatedOperatingPropertiesAndParcelsMember2021-01-012021-12-31 0000879101kim:DispositionActivityRelatingToConsolidatedOperati</w:t>
      </w:r>
      <w:r>
        <w:rPr>
          <w:rFonts w:eastAsia="Times New Roman"/>
          <w:vanish/>
          <w:sz w:val="20"/>
          <w:szCs w:val="20"/>
        </w:rPr>
        <w:t>ngPropertiesAndParcelsMember2020-01-012020-12-31 0000879101kim:JamestownMember2021-10-31 0000879101kim:JamestownMember2021-10-012021-10-31 0000879101kim:JamestownMember2021-11-012021-12-31 0000879101kim:JamestownMember2021-12-31 0000879101kim:NonrecouseMor</w:t>
      </w:r>
      <w:r>
        <w:rPr>
          <w:rFonts w:eastAsia="Times New Roman"/>
          <w:vanish/>
          <w:sz w:val="20"/>
          <w:szCs w:val="20"/>
        </w:rPr>
        <w:t>tgageDebtRelatedToPropertyDeconsolidatedMember2021-11-012021-12-31 0000879101kim:JointVentureWithBreitMember2021-12-31 0000879101kim:PropertiesMarketedForSaleMember2022-01-012022-12-31 0000879101kim:PropertiesMarketedForSaleMember2021-01-012021-12-31 00008</w:t>
      </w:r>
      <w:r>
        <w:rPr>
          <w:rFonts w:eastAsia="Times New Roman"/>
          <w:vanish/>
          <w:sz w:val="20"/>
          <w:szCs w:val="20"/>
        </w:rPr>
        <w:t>79101kim:PropertiesMarketedForSaleMember2020-01-012020-12-31 0000879101kim:DisposedOperatingPropertiesMember2022-01-012022-12-31 0000879101kim:DisposedOperatingPropertiesMember2021-01-012021-12-31 0000879101kim:DisposedOperatingPropertiesMember2020-01-0120</w:t>
      </w:r>
      <w:r>
        <w:rPr>
          <w:rFonts w:eastAsia="Times New Roman"/>
          <w:vanish/>
          <w:sz w:val="20"/>
          <w:szCs w:val="20"/>
        </w:rPr>
        <w:t>20-12-31 0000879101kim:CostMethodInvestmentMember2022-01-012022-12-31 0000879101kim:CostMethodInvestmentMember2021-01-012021-12-31 0000879101kim:CostMethodInvestmentMember2020-01-012020-12-31 0000879101kim:FiveImpairedPropertiesMember2022-01-012022-12-31 0</w:t>
      </w:r>
      <w:r>
        <w:rPr>
          <w:rFonts w:eastAsia="Times New Roman"/>
          <w:vanish/>
          <w:sz w:val="20"/>
          <w:szCs w:val="20"/>
        </w:rPr>
        <w:t xml:space="preserve">000879101kim:FiveImpairedPropertiesMember2022-12-31 0000879101us-gaap:EquityMethodInvestmentsMember2022-01-012022-12-31 0000879101us-gaap:EquityMethodInvestmentsMember2021-01-012021-12-31 0000879101us-gaap:EquityMethodInvestmentsMember2020-01-012020-12-31 </w:t>
      </w:r>
      <w:r>
        <w:rPr>
          <w:rFonts w:eastAsia="Times New Roman"/>
          <w:vanish/>
          <w:sz w:val="20"/>
          <w:szCs w:val="20"/>
        </w:rPr>
        <w:t xml:space="preserve">0000879101kim:KimPruandKimPruIIMember2022-12-31 0000879101kim:KimPruandKimPruIIMember2021-12-31 0000879101kim:KimcoIncomeFundMember2022-12-31 0000879101kim:KimcoIncomeFundMember2021-12-31 0000879101kim:CPPMember2022-12-31 0000879101kim:CPPMember2021-12-31 </w:t>
      </w:r>
      <w:r>
        <w:rPr>
          <w:rFonts w:eastAsia="Times New Roman"/>
          <w:vanish/>
          <w:sz w:val="20"/>
          <w:szCs w:val="20"/>
        </w:rPr>
        <w:t>0000879101kim:OtherInstitutionalJointVenturesMember2022-12-31 0000879101kim:OtherInstitutionalJointVenturesMember2021-12-31 0000879101kim:OtherJointVentureProgramsMember2022-12-31 0000879101kim:OtherJointVentureProgramsMember2021-12-31 0000879101kim:AllEqu</w:t>
      </w:r>
      <w:r>
        <w:rPr>
          <w:rFonts w:eastAsia="Times New Roman"/>
          <w:vanish/>
          <w:sz w:val="20"/>
          <w:szCs w:val="20"/>
        </w:rPr>
        <w:t>ityMethodInvestmentsMember2022-12-31 0000879101kim:AllEquityMethodInvestmentsMember2021-12-31 0000879101kim:KimcoIncomeFundMember2022-01-012022-12-31 0000879101srt:BoardOfDirectorsChairmanMemberkim:KimcoIncomeFundMember2022-01-012022-12-31 0000879101kim:Pr</w:t>
      </w:r>
      <w:r>
        <w:rPr>
          <w:rFonts w:eastAsia="Times New Roman"/>
          <w:vanish/>
          <w:sz w:val="20"/>
          <w:szCs w:val="20"/>
        </w:rPr>
        <w:t>udentialInvestmentProgramMember2022-01-012022-12-31 0000879101kim:PrudentialInvestmentProgramMember2021-01-012021-12-31 0000879101kim:PrudentialInvestmentProgramMember2020-01-012020-12-31 0000879101kim:KIRMember2022-01-012022-12-31 0000879101kim:KIRMember2</w:t>
      </w:r>
      <w:r>
        <w:rPr>
          <w:rFonts w:eastAsia="Times New Roman"/>
          <w:vanish/>
          <w:sz w:val="20"/>
          <w:szCs w:val="20"/>
        </w:rPr>
        <w:t>021-01-012021-12-31 0000879101kim:KIRMember2020-01-012020-12-31 0000879101kim:CPPMember2022-01-012022-12-31 0000879101kim:CPPMember2021-01-012021-12-31 0000879101kim:CPPMember2020-01-012020-12-31 0000879101kim:OtherInstitutionalJointVenturesMember2022-01-0</w:t>
      </w:r>
      <w:r>
        <w:rPr>
          <w:rFonts w:eastAsia="Times New Roman"/>
          <w:vanish/>
          <w:sz w:val="20"/>
          <w:szCs w:val="20"/>
        </w:rPr>
        <w:t>12022-12-31 0000879101kim:OtherInstitutionalJointVenturesMember2021-01-012021-12-31 0000879101kim:OtherInstitutionalJointVenturesMember2020-01-012020-12-31 0000879101kim:OtherJointVentureProgramsMember2022-01-012022-12-31 0000879101kim:OtherJointVenturePro</w:t>
      </w:r>
      <w:r>
        <w:rPr>
          <w:rFonts w:eastAsia="Times New Roman"/>
          <w:vanish/>
          <w:sz w:val="20"/>
          <w:szCs w:val="20"/>
        </w:rPr>
        <w:t>gramsMember2021-01-012021-12-31 0000879101kim:OtherJointVentureProgramsMember2020-01-012020-12-31 0000879101kim:PrudentialInvestmentProgramMember2022-01-012022-12-31 0000879101kim:OperatingPropertiesMemberkim:RealEstateJointVenturesMember2022-01-012022-12-</w:t>
      </w:r>
      <w:r>
        <w:rPr>
          <w:rFonts w:eastAsia="Times New Roman"/>
          <w:vanish/>
          <w:sz w:val="20"/>
          <w:szCs w:val="20"/>
        </w:rPr>
        <w:t>31 0000879101kim:OperatingPropertiesMemberkim:RealEstateJointVenturesMember2022-12-31 0000879101kim:OperatingPropertiesMemberkim:RealEstateJointVenturesMember2021-01-012021-12-31 0000879101kim:OperatingPropertiesMemberkim:RealEstateJointVenturesMember2021-</w:t>
      </w:r>
      <w:r>
        <w:rPr>
          <w:rFonts w:eastAsia="Times New Roman"/>
          <w:vanish/>
          <w:sz w:val="20"/>
          <w:szCs w:val="20"/>
        </w:rPr>
        <w:t>12-31 0000879101kim:OperatingPropertiesMemberkim:RealEstateJointVenturesMember2021-08-03 0000879101kim:UnconsolidatedJointVenturesAcquiredInWeingartenMergerMember2021-08-03 0000879101kim:PrudentialInvestmentProgramMember2022-12-31 utr:M 0000879101kim:Prude</w:t>
      </w:r>
      <w:r>
        <w:rPr>
          <w:rFonts w:eastAsia="Times New Roman"/>
          <w:vanish/>
          <w:sz w:val="20"/>
          <w:szCs w:val="20"/>
        </w:rPr>
        <w:t>ntialInvestmentProgramMember2021-12-31 0000879101kim:KIRMember2022-12-31 0000879101kim:KIRMember2021-12-31 0000879101kim:OperatingPropertiesMemberkim:RealEstateJointVenturesMember2019-01-012019-12-31 0000879101kim:KIRMember2022-12-31 0000879101kim:KIRMembe</w:t>
      </w:r>
      <w:r>
        <w:rPr>
          <w:rFonts w:eastAsia="Times New Roman"/>
          <w:vanish/>
          <w:sz w:val="20"/>
          <w:szCs w:val="20"/>
        </w:rPr>
        <w:t>r2021-12-31 0000879101kim:KIRMember2022-01-012022-12-31 0000879101kim:KIRMember2021-01-012021-12-31 0000879101kim:KIRMember2020-01-012020-12-31 0000879101kim:ExcludingKIRMember2022-12-31 0000879101kim:ExcludingKIRMember2021-12-31 0000879101kim:ExcludingKIR</w:t>
      </w:r>
      <w:r>
        <w:rPr>
          <w:rFonts w:eastAsia="Times New Roman"/>
          <w:vanish/>
          <w:sz w:val="20"/>
          <w:szCs w:val="20"/>
        </w:rPr>
        <w:t>Member2022-01-012022-12-31 0000879101kim:ExcludingKIRMember2021-01-012021-12-31 0000879101kim:ExcludingKIRMember2020-01-012020-12-31 0000879101kim:PreferredEquityInvestmentsMember2022-12-31 0000879101kim:PreferredEquityInvestmentsMember2021-12-31 000087910</w:t>
      </w:r>
      <w:r>
        <w:rPr>
          <w:rFonts w:eastAsia="Times New Roman"/>
          <w:vanish/>
          <w:sz w:val="20"/>
          <w:szCs w:val="20"/>
        </w:rPr>
        <w:t>1kim:PreferredEquityInvestmentsMember2022-01-012022-12-31 0000879101kim:PreferredEquityInvestmentsMember2021-01-012021-12-31 0000879101kim:PreferredEquityInvestmentsMemberkim:SanAntonioTexasMember2021-01-012021-12-31 0000879101srt:MinimumMemberkim:Preferre</w:t>
      </w:r>
      <w:r>
        <w:rPr>
          <w:rFonts w:eastAsia="Times New Roman"/>
          <w:vanish/>
          <w:sz w:val="20"/>
          <w:szCs w:val="20"/>
        </w:rPr>
        <w:t>dEquityInvestmentsMember2022-01-012022-12-31 0000879101srt:MaximumMemberkim:PreferredEquityInvestmentsMember2022-01-012022-12-31 0000879101srt:MinimumMemberkim:PreferredEquityInvestmentsMember2022-12-31 0000879101kim:PreferredEquityInvestmentsMemberus-gaap</w:t>
      </w:r>
      <w:r>
        <w:rPr>
          <w:rFonts w:eastAsia="Times New Roman"/>
          <w:vanish/>
          <w:sz w:val="20"/>
          <w:szCs w:val="20"/>
        </w:rPr>
        <w:t>:SecuredOvernightFinancingRateSofrOvernightIndexSwapRateMember2022-01-012022-12-31 0000879101srt:MaximumMemberkim:PreferredEquityInvestmentsMember2022-12-31 0000879101kim:AlbertsonsCompaniesIncMember2022-10-012022-10-31 0000879101kim:AlbertsonsCompaniesInc</w:t>
      </w:r>
      <w:r>
        <w:rPr>
          <w:rFonts w:eastAsia="Times New Roman"/>
          <w:vanish/>
          <w:sz w:val="20"/>
          <w:szCs w:val="20"/>
        </w:rPr>
        <w:t>Member2022-12-31 0000879101kim:AlbertsonsCompaniesIncMember2022-11-072022-11-07 0000879101kim:AlbertsonsCompaniesIncMemberus-gaap:SubsequentEventMember2023-01-202023-01-20 0000879101kim:Covid19Member2022-01-012022-12-31 0000879101kim:Covid19Member2021-01-0</w:t>
      </w:r>
      <w:r>
        <w:rPr>
          <w:rFonts w:eastAsia="Times New Roman"/>
          <w:vanish/>
          <w:sz w:val="20"/>
          <w:szCs w:val="20"/>
        </w:rPr>
        <w:t>12021-12-31 0000879101kim:Covid19Member2020-01-012020-12-31 0000879101kim:ShoppingCentersMembersrt:MinimumMember2022-12-31 0000879101kim:ShoppingCentersMembersrt:MaximumMember2022-12-31 0000879101kim:RentalRevenueMemberus-gaap:CustomerConcentrationRiskMemb</w:t>
      </w:r>
      <w:r>
        <w:rPr>
          <w:rFonts w:eastAsia="Times New Roman"/>
          <w:vanish/>
          <w:sz w:val="20"/>
          <w:szCs w:val="20"/>
        </w:rPr>
        <w:t>erkim:AnnualMinimumRentalsPlusIncrementalRentsMember2022-01-012022-12-31 0000879101kim:RentalRevenueMemberus-gaap:CustomerConcentrationRiskMemberkim:AnnualMinimumRentalsPlusIncrementalRentsMember2021-01-012021-12-31 0000879101kim:RentalRevenueMemberus-gaap</w:t>
      </w:r>
      <w:r>
        <w:rPr>
          <w:rFonts w:eastAsia="Times New Roman"/>
          <w:vanish/>
          <w:sz w:val="20"/>
          <w:szCs w:val="20"/>
        </w:rPr>
        <w:t>:CustomerConcentrationRiskMemberkim:AnnualMinimumRentalsPlusIncrementalRentsMember2020-01-012020-12-31 0000879101srt:MinimumMember2022-12-31 0000879101srt:MaximumMember2022-12-31 0000879101us-gaap:OtherLiabilitiesMember2022-12-31 0000879101us-gaap:Performi</w:t>
      </w:r>
      <w:r>
        <w:rPr>
          <w:rFonts w:eastAsia="Times New Roman"/>
          <w:vanish/>
          <w:sz w:val="20"/>
          <w:szCs w:val="20"/>
        </w:rPr>
        <w:t>ngFinancingReceivableMember2022-12-31 0000879101kim:NotesPayableMemberus-gaap:UnsecuredDebtMember2022-12-31 0000879101kim:NotesPayableMemberus-gaap:UnsecuredDebtMember2021-12-31 0000879101kim:NotesPayableMemberus-gaap:UnsecuredDebtMembersrt:MinimumMember20</w:t>
      </w:r>
      <w:r>
        <w:rPr>
          <w:rFonts w:eastAsia="Times New Roman"/>
          <w:vanish/>
          <w:sz w:val="20"/>
          <w:szCs w:val="20"/>
        </w:rPr>
        <w:t>22-12-31 0000879101kim:NotesPayableMemberus-gaap:UnsecuredDebtMembersrt:MaximumMember2022-12-31 0000879101kim:NotesPayableMemberus-gaap:UnsecuredDebtMembersrt:MinimumMember2021-12-31 0000879101kim:NotesPayableMemberus-gaap:UnsecuredDebtMembersrt:MaximumMem</w:t>
      </w:r>
      <w:r>
        <w:rPr>
          <w:rFonts w:eastAsia="Times New Roman"/>
          <w:vanish/>
          <w:sz w:val="20"/>
          <w:szCs w:val="20"/>
        </w:rPr>
        <w:t>ber2021-12-31 0000879101kim:NotesPayableMemberus-gaap:LineOfCreditMember2022-12-31 0000879101kim:NotesPayableMemberus-gaap:LineOfCreditMember2021-12-31 0000879101kim:NotesPayableMember2022-01-012022-12-31 0000879101kim:NotesPayableMember2021-01-012021-12-3</w:t>
      </w:r>
      <w:r>
        <w:rPr>
          <w:rFonts w:eastAsia="Times New Roman"/>
          <w:vanish/>
          <w:sz w:val="20"/>
          <w:szCs w:val="20"/>
        </w:rPr>
        <w:t>1 0000879101kim:NotesPayableMember2022-12-31 0000879101kim:NotesPayableMember2021-12-31 0000879101srt:WeightedAverageMember2022-12-31 0000879101srt:WeightedAverageMember2021-12-31 0000879101us-gaap:RevolvingCreditFacilityMemberus-gaap:LondonInterbankOffere</w:t>
      </w:r>
      <w:r>
        <w:rPr>
          <w:rFonts w:eastAsia="Times New Roman"/>
          <w:vanish/>
          <w:sz w:val="20"/>
          <w:szCs w:val="20"/>
        </w:rPr>
        <w:t>dRateLIBORMember2022-01-012022-12-31 0000879101us-gaap:RevolvingCreditFacilityMemberus-gaap:LondonInterbankOfferedRateLIBORMember2021-01-012021-12-31 0000879101us-gaap:OtherAssetsMemberus-gaap:RevolvingCreditFacilityMember2022-12-31 0000879101us-gaap:Other</w:t>
      </w:r>
      <w:r>
        <w:rPr>
          <w:rFonts w:eastAsia="Times New Roman"/>
          <w:vanish/>
          <w:sz w:val="20"/>
          <w:szCs w:val="20"/>
        </w:rPr>
        <w:t>AssetsMemberus-gaap:RevolvingCreditFacilityMember2021-12-31 0000879101kim:August2022SeniorUnsecuredNoteMember2022-12-31 0000879101kim:February2022SeniorUnsecuredNotesMember2022-12-31 0000879101kim:September2021SeniorUnsecuredNotesMember2022-12-31 000087910</w:t>
      </w:r>
      <w:r>
        <w:rPr>
          <w:rFonts w:eastAsia="Times New Roman"/>
          <w:vanish/>
          <w:sz w:val="20"/>
          <w:szCs w:val="20"/>
        </w:rPr>
        <w:t>1kim:SeniorUnsecuredNotes1Member2022-01-012022-12-31 0000879101kim:SeniorUnsecuredNotes1Member2022-12-31 0000879101kim:SeniorUnsecuredNotes2Member2022-01-012022-12-31 0000879101kim:SeniorUnsecuredNotes2Member2022-12-31 0000879101kim:SeniorUnsecuredNotes3Me</w:t>
      </w:r>
      <w:r>
        <w:rPr>
          <w:rFonts w:eastAsia="Times New Roman"/>
          <w:vanish/>
          <w:sz w:val="20"/>
          <w:szCs w:val="20"/>
        </w:rPr>
        <w:t>mber2022-01-012022-12-31 0000879101kim:SeniorUnsecuredNotes3Member2022-12-31 0000879101kim:SeniorUnsecuredNotes4Member2022-01-012022-12-31 0000879101kim:SeniorUnsecuredNotes4Member2022-12-31 0000879101kim:SeniorUnsecuredNotesMember2022-09-012022-09-30 0000</w:t>
      </w:r>
      <w:r>
        <w:rPr>
          <w:rFonts w:eastAsia="Times New Roman"/>
          <w:vanish/>
          <w:sz w:val="20"/>
          <w:szCs w:val="20"/>
        </w:rPr>
        <w:t>879101kim:SeniorUnsecuredNotesMember2022-03-012022-03-31 0000879101kim:SeniorUnsecuredNotesAssumedInTheWeingartenAcquisitionMember2021-08-032021-08-03 0000879101kim:SeniorUnsecuredNotesAssumedInTheWeingartenAcquisitionMembersrt:MinimumMember2021-08-03 0000</w:t>
      </w:r>
      <w:r>
        <w:rPr>
          <w:rFonts w:eastAsia="Times New Roman"/>
          <w:vanish/>
          <w:sz w:val="20"/>
          <w:szCs w:val="20"/>
        </w:rPr>
        <w:t>879101kim:SeniorUnsecuredNotesAssumedInTheWeingartenAcquisitionMembersrt:MaximumMember2021-08-03 0000879101us-gaap:UnsecuredDebtMember2022-12-31 0000879101us-gaap:UnsecuredDebtMember2022-01-012022-12-31 0000879101us-gaap:RevolvingCreditFacilityMember2020-0</w:t>
      </w:r>
      <w:r>
        <w:rPr>
          <w:rFonts w:eastAsia="Times New Roman"/>
          <w:vanish/>
          <w:sz w:val="20"/>
          <w:szCs w:val="20"/>
        </w:rPr>
        <w:t>2-29 0000879101us-gaap:RevolvingCreditFacilityMember2020-01-012020-12-31 0000879101us-gaap:NonperformingFinancingReceivableMember2021-12-31 0000879101us-gaap:RevolvingCreditFacilityMemberus-gaap:SecuredOvernightFinancingRateSofrOvernightIndexSwapRateMember</w:t>
      </w:r>
      <w:r>
        <w:rPr>
          <w:rFonts w:eastAsia="Times New Roman"/>
          <w:vanish/>
          <w:sz w:val="20"/>
          <w:szCs w:val="20"/>
        </w:rPr>
        <w:t>2022-07-012022-07-31 0000879101us-gaap:RevolvingCreditFacilityMember2022-12-31 0000879101us-gaap:RevolvingCreditFacilityMemberkim:CreditFacilityAccordionFeatureMember2020-02-29 0000879101us-gaap:LetterOfCreditMember2022-12-31 0000879101us-gaap:RevolvingCre</w:t>
      </w:r>
      <w:r>
        <w:rPr>
          <w:rFonts w:eastAsia="Times New Roman"/>
          <w:vanish/>
          <w:sz w:val="20"/>
          <w:szCs w:val="20"/>
        </w:rPr>
        <w:t>ditFacilityMemberus-gaap:SubsequentEventMember2023-02-28 0000879101us-gaap:RevolvingCreditFacilityMemberus-gaap:SubsequentEventMember2023-02-282023-02-28 0000879101us-gaap:MortgagesMember2022-12-31 0000879101us-gaap:MortgagesMember2021-12-31 0000879101us-g</w:t>
      </w:r>
      <w:r>
        <w:rPr>
          <w:rFonts w:eastAsia="Times New Roman"/>
          <w:vanish/>
          <w:sz w:val="20"/>
          <w:szCs w:val="20"/>
        </w:rPr>
        <w:t>aap:MortgagesMembersrt:MinimumMember2022-12-31 0000879101us-gaap:MortgagesMembersrt:MaximumMember2022-12-31 0000879101us-gaap:MortgagesMembersrt:MinimumMember2021-12-31 0000879101us-gaap:MortgagesMembersrt:MaximumMember2021-12-31 0000879101us-gaap:Mortgage</w:t>
      </w:r>
      <w:r>
        <w:rPr>
          <w:rFonts w:eastAsia="Times New Roman"/>
          <w:vanish/>
          <w:sz w:val="20"/>
          <w:szCs w:val="20"/>
        </w:rPr>
        <w:t>sMembersrt:WeightedAverageMember2021-12-31 0000879101kim:MortgageDebtAssumedInTheWeingartenAcquisitionMember2022-01-012022-12-31 0000879101kim:MortgageDebtAssumedInTheWeingartenAcquisitionMember2022-12-31 0000879101kim:MortgageRelatingToAnOperatingProperty</w:t>
      </w:r>
      <w:r>
        <w:rPr>
          <w:rFonts w:eastAsia="Times New Roman"/>
          <w:vanish/>
          <w:sz w:val="20"/>
          <w:szCs w:val="20"/>
        </w:rPr>
        <w:t>Member2022-01-012022-12-31 0000879101kim:MortgageRelatingToAnOperatingPropertyMember2022-12-31 0000879101kim:NonrecourseMortagesAssumedThroughConsolidationMember2021-01-012021-12-31 0000879101kim:NonrecourseMortagesAssumedThroughConsolidationMember2021-12-</w:t>
      </w:r>
      <w:r>
        <w:rPr>
          <w:rFonts w:eastAsia="Times New Roman"/>
          <w:vanish/>
          <w:sz w:val="20"/>
          <w:szCs w:val="20"/>
        </w:rPr>
        <w:t>31 0000879101kim:MortgageDebtEncumberedOperatingPropertyMember2021-01-012021-12-31 0000879101kim:MortgageDebtEncumberedOperatingPropertyMember2021-12-31 0000879101kim:NonrecouseMortgageDebtRelatedToPropertyDeconsolidatedMember2021-01-012021-12-31 000087910</w:t>
      </w:r>
      <w:r>
        <w:rPr>
          <w:rFonts w:eastAsia="Times New Roman"/>
          <w:vanish/>
          <w:sz w:val="20"/>
          <w:szCs w:val="20"/>
        </w:rPr>
        <w:t>1kim:NonrecouseMortgageDebtRelatedToPropertyDeconsolidatedMember2021-12-31 0000879101kim:MortgageDebtAssumedInTheWeingartenAcquisitionMember2021-08-032021-08-03 0000879101kim:MortgageDebtAssumedInTheWeingartenAcquisitionMember2021-08-03 0000879101kim:Mortg</w:t>
      </w:r>
      <w:r>
        <w:rPr>
          <w:rFonts w:eastAsia="Times New Roman"/>
          <w:vanish/>
          <w:sz w:val="20"/>
          <w:szCs w:val="20"/>
        </w:rPr>
        <w:t>ageDebtAssumedInTheWeingartenAcquisitionMembersrt:MinimumMember2021-08-03 0000879101kim:MortgageDebtAssumedInTheWeingartenAcquisitionMembersrt:MaximumMember2021-08-03 0000879101kim:MortgagesPayableAndConstructionLoansMember2022-12-31 0000879101kim:EightPur</w:t>
      </w:r>
      <w:r>
        <w:rPr>
          <w:rFonts w:eastAsia="Times New Roman"/>
          <w:vanish/>
          <w:sz w:val="20"/>
          <w:szCs w:val="20"/>
        </w:rPr>
        <w:t>chasedPropertiesMember2022-12-31 0000879101kim:EightPurchasedPropertiesMember2022-01-012022-12-31 0000879101kim:EightPurchasedPropertiesMemberkim:PreferredUnitsMember2022-01-012022-12-31 0000879101kim:EightPurchasedPropertiesMemberkim:CommonUnitsMember2022</w:t>
      </w:r>
      <w:r>
        <w:rPr>
          <w:rFonts w:eastAsia="Times New Roman"/>
          <w:vanish/>
          <w:sz w:val="20"/>
          <w:szCs w:val="20"/>
        </w:rPr>
        <w:t>-01-012022-12-31 0000879101country:PR2022-12-31 0000879101kim:NonconvertibleUnitsMembercountry:PR2022-01-012022-12-31 0000879101kim:ConvertibleUnitsMembercountry:PR2022-01-012022-12-31 0000879101country:PR2022-01-012022-12-31 0000879101kim:PremiumsMemberco</w:t>
      </w:r>
      <w:r>
        <w:rPr>
          <w:rFonts w:eastAsia="Times New Roman"/>
          <w:vanish/>
          <w:sz w:val="20"/>
          <w:szCs w:val="20"/>
        </w:rPr>
        <w:t>untry:PR2022-01-012022-12-31 0000879101kim:FairMarketValueAdjustmentsMembercountry:PR2022-01-012022-12-31 0000879101country:PR2021-12-31 0000879101kim:ClassB1PreferredUnitsMember2022-12-31 0000879101kim:ClassB1PreferredUnitsMember2022-01-012022-12-31 00008</w:t>
      </w:r>
      <w:r>
        <w:rPr>
          <w:rFonts w:eastAsia="Times New Roman"/>
          <w:vanish/>
          <w:sz w:val="20"/>
          <w:szCs w:val="20"/>
        </w:rPr>
        <w:t>79101kim:ClassB2PreferredUnitsMember2022-12-31 0000879101kim:ClassB2PreferredUnitsMember2022-01-012022-12-31 0000879101kim:ClassCDownreitUnitsMember2022-12-31 0000879101kim:ClassCDownreitUnitsMember2022-01-012022-12-31 0000879101kim:CapitalUnitsClassBMembe</w:t>
      </w:r>
      <w:r>
        <w:rPr>
          <w:rFonts w:eastAsia="Times New Roman"/>
          <w:vanish/>
          <w:sz w:val="20"/>
          <w:szCs w:val="20"/>
        </w:rPr>
        <w:t>r2006-01-012006-12-31 0000879101kim:CapitalUnitsClassBMember2006-12-31 0000879101kim:CapitalUnitsClassBMember2007-01-012007-12-31 0000879101kim:CapitalUnitsClassBMember2019-01-012019-12-31 0000879101kim:CapitalUnitsClassBMember2018-01-012018-12-31 00008791</w:t>
      </w:r>
      <w:r>
        <w:rPr>
          <w:rFonts w:eastAsia="Times New Roman"/>
          <w:vanish/>
          <w:sz w:val="20"/>
          <w:szCs w:val="20"/>
        </w:rPr>
        <w:t>01kim:CapitalUnitsClassBMember2022-12-31 0000879101kim:CapitalUnitsClassBMember2021-12-31 0000879101kim:ConvertibleUnitsMember2006-12-31 0000879101kim:ConvertibleUnitsMember2006-01-012006-12-31 0000879101kim:FairMarketValueAdjustmentsMemberkim:ConvertibleU</w:t>
      </w:r>
      <w:r>
        <w:rPr>
          <w:rFonts w:eastAsia="Times New Roman"/>
          <w:vanish/>
          <w:sz w:val="20"/>
          <w:szCs w:val="20"/>
        </w:rPr>
        <w:t>nitsMember2006-01-012006-12-31 0000879101kim:WeingartenRealtyInvestorsMemberkim:ConsolidatedJointVenturesStructuredAsDownREITPartnershipsMember2021-08-032021-08-03 0000879101kim:WeingartenRealtyInvestorsMemberkim:RaleighLimitedPartnershipMember2021-08-03 0</w:t>
      </w:r>
      <w:r>
        <w:rPr>
          <w:rFonts w:eastAsia="Times New Roman"/>
          <w:vanish/>
          <w:sz w:val="20"/>
          <w:szCs w:val="20"/>
        </w:rPr>
        <w:t>000879101kim:WeingartenRealtyInvestorsMemberkim:MadisonVillageLimitedPartnershipMember2021-08-03 0000879101kim:WeingartenRealtyInvestorsMemberkim:ConsolidatedJointVenturesStructuredAsDownREITPartnershipsMember2021-08-03 0000879101kim:ConsolidatedJointVentu</w:t>
      </w:r>
      <w:r>
        <w:rPr>
          <w:rFonts w:eastAsia="Times New Roman"/>
          <w:vanish/>
          <w:sz w:val="20"/>
          <w:szCs w:val="20"/>
        </w:rPr>
        <w:t>resStructuredAsDownREITPartnershipsMember2022-01-012022-12-31 0000879101kim:ConsolidatedJointVenturesStructuredAsDownREITPartnershipsMemberus-gaap:NoncontrollingInterestMember2022-01-012022-12-31 0000879101kim:ConsolidatedJointVenturesStructuredAsDownREITP</w:t>
      </w:r>
      <w:r>
        <w:rPr>
          <w:rFonts w:eastAsia="Times New Roman"/>
          <w:vanish/>
          <w:sz w:val="20"/>
          <w:szCs w:val="20"/>
        </w:rPr>
        <w:t>artnershipsMemberus-gaap:AdditionalPaidInCapitalMember2022-01-012022-12-31 0000879101kim:ConsolidatedJointVenturesStructuredAsDownREITPartnershipsMember2021-01-012021-12-31 0000879101kim:ConsolidatedJointVenturesStructuredAsDownREITPartnershipsMemberus-gaa</w:t>
      </w:r>
      <w:r>
        <w:rPr>
          <w:rFonts w:eastAsia="Times New Roman"/>
          <w:vanish/>
          <w:sz w:val="20"/>
          <w:szCs w:val="20"/>
        </w:rPr>
        <w:t>p:NoncontrollingInterestMember2021-01-012021-12-31 0000879101kim:ConsolidatedJointVenturesStructuredAsDownREITPartnershipsMemberus-gaap:AdditionalPaidInCapitalMember2021-01-012021-12-31 0000879101kim:WeingartenRealtyInvestorsMemberkim:ConsolidatedJointVent</w:t>
      </w:r>
      <w:r>
        <w:rPr>
          <w:rFonts w:eastAsia="Times New Roman"/>
          <w:vanish/>
          <w:sz w:val="20"/>
          <w:szCs w:val="20"/>
        </w:rPr>
        <w:t>uresOtherThanDownreitPartnershipsMember2022-12-31 0000879101kim:WeingartenRealtyInvestorsMemberkim:ConsolidatedJointVenturesOtherThanDownreitPartnershipsMember2021-12-31 0000879101kim:WeingartenRealtyInvestorsMemberkim:ConsolidatedJointVenturesOtherThanDow</w:t>
      </w:r>
      <w:r>
        <w:rPr>
          <w:rFonts w:eastAsia="Times New Roman"/>
          <w:vanish/>
          <w:sz w:val="20"/>
          <w:szCs w:val="20"/>
        </w:rPr>
        <w:t>nreitPartnershipsMember2021-08-032021-08-03 0000879101kim:WeingartenRealtyInvestorsMemberkim:ConsolidatedJointVenturesOtherThanDownreitPartnershipsMember2021-08-03 0000879101kim:ConsolidatedJointVentureMember2022-12-31 0000879101kim:PropertiesHeldInConsoli</w:t>
      </w:r>
      <w:r>
        <w:rPr>
          <w:rFonts w:eastAsia="Times New Roman"/>
          <w:vanish/>
          <w:sz w:val="20"/>
          <w:szCs w:val="20"/>
        </w:rPr>
        <w:t>datedJointVentureMember2022-01-012022-12-31 0000879101us-gaap:DiscontinuedOperationsDisposedOfBySaleMemberkim:DisposalOfFiveOperatingPropertiesMemberkim:PropertiesHeldInConsolidatedJointVentureMember2022-12-31 0000879101us-gaap:DiscontinuedOperationsDispos</w:t>
      </w:r>
      <w:r>
        <w:rPr>
          <w:rFonts w:eastAsia="Times New Roman"/>
          <w:vanish/>
          <w:sz w:val="20"/>
          <w:szCs w:val="20"/>
        </w:rPr>
        <w:t>edOfBySaleMemberkim:DisposalOfFiveOperatingPropertiesMemberkim:PropertiesHeldInConsolidatedJointVentureMember2022-01-012022-12-31 0000879101kim:LongIslandNYMember2022-12-31 0000879101kim:PreferredUnitsMemberkim:LongIslandNYMember2022-01-012022-12-31 000087</w:t>
      </w:r>
      <w:r>
        <w:rPr>
          <w:rFonts w:eastAsia="Times New Roman"/>
          <w:vanish/>
          <w:sz w:val="20"/>
          <w:szCs w:val="20"/>
        </w:rPr>
        <w:t>9101kim:CommonUnitsMemberkim:LongIslandNYMember2022-01-012022-12-31 0000879101kim:LongIslandNYMember2022-01-012022-12-31 0000879101us-gaap:NoncontrollingInterestMemberkim:LongIslandNYMember2022-01-012022-12-31 0000879101kim:PreferredOutsidePartnerUnitsMemb</w:t>
      </w:r>
      <w:r>
        <w:rPr>
          <w:rFonts w:eastAsia="Times New Roman"/>
          <w:vanish/>
          <w:sz w:val="20"/>
          <w:szCs w:val="20"/>
        </w:rPr>
        <w:t>er2022-12-31 0000879101kim:PreferredOutsidePartnerUnitsMember2022-01-012022-12-31 0000879101kim:CommonOutsidePartnerUnitsMember2022-12-31 0000879101kim:CommonOutsidePartnerUnitsMember2022-01-012022-12-31 0000879101kim:KIMRDCLLCMemberkim:JointVentureWithKpL</w:t>
      </w:r>
      <w:r>
        <w:rPr>
          <w:rFonts w:eastAsia="Times New Roman"/>
          <w:vanish/>
          <w:sz w:val="20"/>
          <w:szCs w:val="20"/>
        </w:rPr>
        <w:t>ancewoodMember2021-01-31 0000879101kim:OperatingPropertiesMemberus-gaap:VariableInterestEntityPrimaryBeneficiaryMemberkim:KIMRDCLLCMember2021-01-012021-01-31 0000879101us-gaap:VariableInterestEntityPrimaryBeneficiaryMemberus-gaap:DiscontinuedOperationsDisp</w:t>
      </w:r>
      <w:r>
        <w:rPr>
          <w:rFonts w:eastAsia="Times New Roman"/>
          <w:vanish/>
          <w:sz w:val="20"/>
          <w:szCs w:val="20"/>
        </w:rPr>
        <w:t>osedOfBySaleMemberkim:DisposalOfTwoOperatingPropertiesMemberkim:KIMRDCLLCMember2021-06-012021-06-30 0000879101us-gaap:VariableInterestEntityPrimaryBeneficiaryMemberus-gaap:DiscontinuedOperationsDisposedOfBySaleMemberkim:DisposalOfTwoOperatingPropertiesMemb</w:t>
      </w:r>
      <w:r>
        <w:rPr>
          <w:rFonts w:eastAsia="Times New Roman"/>
          <w:vanish/>
          <w:sz w:val="20"/>
          <w:szCs w:val="20"/>
        </w:rPr>
        <w:t>erkim:KIMRDCLLCMember2021-06-30 0000879101us-gaap:DiscontinuedOperationsDisposedOfBySaleMemberkim:DisposalOfTwoOperatingPropertiesMemberkim:KPRMember2021-06-012021-06-30 0000879101us-gaap:MeasurementInputCapRateMember2021-01-012021-12-31 0000879101us-gaap:</w:t>
      </w:r>
      <w:r>
        <w:rPr>
          <w:rFonts w:eastAsia="Times New Roman"/>
          <w:vanish/>
          <w:sz w:val="20"/>
          <w:szCs w:val="20"/>
        </w:rPr>
        <w:t>MeasurementInputDiscountRateMember2021-01-012021-12-31 0000879101kim:ConsolidatedOperatingPropertiesMember2022-12-31 0000879101kim:ConsolidatedOperatingPropertiesMember2021-12-31 0000879101us-gaap:VariableInterestEntityPrimaryBeneficiaryMemberkim:Consolida</w:t>
      </w:r>
      <w:r>
        <w:rPr>
          <w:rFonts w:eastAsia="Times New Roman"/>
          <w:vanish/>
          <w:sz w:val="20"/>
          <w:szCs w:val="20"/>
        </w:rPr>
        <w:t>tedOperatingPropertiesMember2022-12-31 0000879101us-gaap:VariableInterestEntityPrimaryBeneficiaryMemberkim:ConsolidatedOperatingPropertiesMember2021-12-31 0000879101kim:VariableInterestEntityUnencumberedMember2022-12-31 0000879101kim:VariableInterestEntity</w:t>
      </w:r>
      <w:r>
        <w:rPr>
          <w:rFonts w:eastAsia="Times New Roman"/>
          <w:vanish/>
          <w:sz w:val="20"/>
          <w:szCs w:val="20"/>
        </w:rPr>
        <w:t>UnencumberedMember2021-12-31 0000879101kim:VariableInterestEntityEncumberedByThirdPartyNonResourceMortgageDebtMember2022-12-31 0000879101kim:VariableInterestEntityEncumberedByThirdPartyNonResourceMortgageDebtMember2021-12-31 0000879101us-gaap:VariableInter</w:t>
      </w:r>
      <w:r>
        <w:rPr>
          <w:rFonts w:eastAsia="Times New Roman"/>
          <w:vanish/>
          <w:sz w:val="20"/>
          <w:szCs w:val="20"/>
        </w:rPr>
        <w:t>estEntityPrimaryBeneficiaryMember2022-12-31 0000879101us-gaap:VariableInterestEntityPrimaryBeneficiaryMember2021-12-31 0000879101us-gaap:VariableInterestEntityPrimaryBeneficiaryMemberus-gaap:AssetPledgedAsCollateralMember2022-12-31 0000879101us-gaap:Variab</w:t>
      </w:r>
      <w:r>
        <w:rPr>
          <w:rFonts w:eastAsia="Times New Roman"/>
          <w:vanish/>
          <w:sz w:val="20"/>
          <w:szCs w:val="20"/>
        </w:rPr>
        <w:t>leInterestEntityPrimaryBeneficiaryMemberus-gaap:AssetPledgedAsCollateralMember2021-12-31 0000879101us-gaap:VariableInterestEntityPrimaryBeneficiaryMemberus-gaap:NonrecourseMember2022-12-31 0000879101us-gaap:VariableInterestEntityPrimaryBeneficiaryMemberus-</w:t>
      </w:r>
      <w:r>
        <w:rPr>
          <w:rFonts w:eastAsia="Times New Roman"/>
          <w:vanish/>
          <w:sz w:val="20"/>
          <w:szCs w:val="20"/>
        </w:rPr>
        <w:t>gaap:NonrecourseMember2021-12-31 0000879101us-gaap:CarryingReportedAmountFairValueDisclosureMember2022-12-31 0000879101us-gaap:EstimateOfFairValueFairValueDisclosureMember2022-12-31 0000879101us-gaap:CarryingReportedAmountFairValueDisclosureMember2021-12-3</w:t>
      </w:r>
      <w:r>
        <w:rPr>
          <w:rFonts w:eastAsia="Times New Roman"/>
          <w:vanish/>
          <w:sz w:val="20"/>
          <w:szCs w:val="20"/>
        </w:rPr>
        <w:t>1 0000879101us-gaap:EstimateOfFairValueFairValueDisclosureMember2021-12-31 0000879101us-gaap:CarryingReportedAmountFairValueDisclosureMemberus-gaap:MortgagesMember2022-12-31 0000879101us-gaap:EstimateOfFairValueFairValueDisclosureMemberus-gaap:MortgagesMem</w:t>
      </w:r>
      <w:r>
        <w:rPr>
          <w:rFonts w:eastAsia="Times New Roman"/>
          <w:vanish/>
          <w:sz w:val="20"/>
          <w:szCs w:val="20"/>
        </w:rPr>
        <w:t>ber2022-12-31 0000879101us-gaap:CarryingReportedAmountFairValueDisclosureMemberus-gaap:MortgagesMember2021-12-31 0000879101us-gaap:EstimateOfFairValueFairValueDisclosureMemberus-gaap:MortgagesMember2021-12-31 0000879101us-gaap:FairValueInputsLevel2Memberus</w:t>
      </w:r>
      <w:r>
        <w:rPr>
          <w:rFonts w:eastAsia="Times New Roman"/>
          <w:vanish/>
          <w:sz w:val="20"/>
          <w:szCs w:val="20"/>
        </w:rPr>
        <w:t>-gaap:EstimateOfFairValueFairValueDisclosureMember2022-12-31 0000879101us-gaap:FairValueInputsLevel2Memberus-gaap:EstimateOfFairValueFairValueDisclosureMember2021-12-31 0000879101us-gaap:FairValueMeasurementsRecurringMember2022-12-31 0000879101us-gaap:Fair</w:t>
      </w:r>
      <w:r>
        <w:rPr>
          <w:rFonts w:eastAsia="Times New Roman"/>
          <w:vanish/>
          <w:sz w:val="20"/>
          <w:szCs w:val="20"/>
        </w:rPr>
        <w:t>ValueInputsLevel1Memberus-gaap:FairValueMeasurementsRecurringMember2022-12-31 0000879101us-gaap:FairValueInputsLevel2Memberus-gaap:FairValueMeasurementsRecurringMember2022-12-31 0000879101us-gaap:FairValueInputsLevel3Memberus-gaap:FairValueMeasurementsRecu</w:t>
      </w:r>
      <w:r>
        <w:rPr>
          <w:rFonts w:eastAsia="Times New Roman"/>
          <w:vanish/>
          <w:sz w:val="20"/>
          <w:szCs w:val="20"/>
        </w:rPr>
        <w:t>rringMember2022-12-31 0000879101us-gaap:FairValueMeasurementsRecurringMember2021-12-31 0000879101us-gaap:FairValueInputsLevel1Memberus-gaap:FairValueMeasurementsRecurringMember2021-12-31 0000879101us-gaap:FairValueInputsLevel3Memberus-gaap:FairValueMeasure</w:t>
      </w:r>
      <w:r>
        <w:rPr>
          <w:rFonts w:eastAsia="Times New Roman"/>
          <w:vanish/>
          <w:sz w:val="20"/>
          <w:szCs w:val="20"/>
        </w:rPr>
        <w:t>mentsRecurringMember2021-12-31 0000879101us-gaap:FairValueMeasurementsNonrecurringMember2021-12-31 0000879101us-gaap:FairValueInputsLevel1Memberus-gaap:FairValueMeasurementsNonrecurringMember2021-12-31 0000879101us-gaap:FairValueInputsLevel2Memberus-gaap:F</w:t>
      </w:r>
      <w:r>
        <w:rPr>
          <w:rFonts w:eastAsia="Times New Roman"/>
          <w:vanish/>
          <w:sz w:val="20"/>
          <w:szCs w:val="20"/>
        </w:rPr>
        <w:t>airValueMeasurementsNonrecurringMember2021-12-31 0000879101us-gaap:FairValueInputsLevel3Memberus-gaap:FairValueMeasurementsNonrecurringMember2021-12-31 0000879101srt:MaximumMemberkim:ShareRepurchaseProgramMemberkim:ClassLCumulativeRedeemablePreferredStockD</w:t>
      </w:r>
      <w:r>
        <w:rPr>
          <w:rFonts w:eastAsia="Times New Roman"/>
          <w:vanish/>
          <w:sz w:val="20"/>
          <w:szCs w:val="20"/>
        </w:rPr>
        <w:t>epositarySharesMember2022-12-31 0000879101srt:MaximumMemberkim:ShareRepurchaseProgramMemberkim:ClassMCumulativeRedeemablePreferredStockDepositarySharesMember2022-12-31 0000879101srt:MaximumMemberkim:ShareRepurchaseProgramMember2022-12-31 0000879101kim:Shar</w:t>
      </w:r>
      <w:r>
        <w:rPr>
          <w:rFonts w:eastAsia="Times New Roman"/>
          <w:vanish/>
          <w:sz w:val="20"/>
          <w:szCs w:val="20"/>
        </w:rPr>
        <w:t>eRepurchaseProgramMember2022-12-31 0000879101kim:SeriesLPreferredStockMember2022-12-31 0000879101kim:SeriesLPreferredStockMember2022-01-012022-12-31 0000879101kim:SeriesMPreferredStockMember2022-12-31 0000879101kim:SeriesMPreferredStockMember2022-01-012022</w:t>
      </w:r>
      <w:r>
        <w:rPr>
          <w:rFonts w:eastAsia="Times New Roman"/>
          <w:vanish/>
          <w:sz w:val="20"/>
          <w:szCs w:val="20"/>
        </w:rPr>
        <w:t>-12-31 0000879101us-gaap:RedeemablePreferredStockMember2022-12-31 0000879101kim:SeriesLPreferredStockMember2021-12-31 0000879101kim:SeriesLPreferredStockMember2021-01-012021-12-31 0000879101kim:SeriesMPreferredStockMember2021-12-31 0000879101kim:SeriesMPre</w:t>
      </w:r>
      <w:r>
        <w:rPr>
          <w:rFonts w:eastAsia="Times New Roman"/>
          <w:vanish/>
          <w:sz w:val="20"/>
          <w:szCs w:val="20"/>
        </w:rPr>
        <w:t>ferredStockMember2021-01-012021-12-31 0000879101us-gaap:RedeemablePreferredStockMember2021-12-31 0000879101kim:SeriesIJKLOrMPreferredStockMember2022-12-31 0000879101kim:SeriesIPreferredStockMember2022-12-31 0000879101kim:SeriesJPreferredStockMember2022-12-</w:t>
      </w:r>
      <w:r>
        <w:rPr>
          <w:rFonts w:eastAsia="Times New Roman"/>
          <w:vanish/>
          <w:sz w:val="20"/>
          <w:szCs w:val="20"/>
        </w:rPr>
        <w:t>31 0000879101kim:DepositaryShareMember2022-12-31 0000879101kim:ATMProgramMember2019-09-30 0000879101kim:ShareRepurchaseProgramMember2020-02-28 0000879101kim:ShareRepurchaseProgramMember2022-01-012022-12-31 0000879101kim:ShareRepurchaseProgramMember2021-01-</w:t>
      </w:r>
      <w:r>
        <w:rPr>
          <w:rFonts w:eastAsia="Times New Roman"/>
          <w:vanish/>
          <w:sz w:val="20"/>
          <w:szCs w:val="20"/>
        </w:rPr>
        <w:t>012021-12-31 0000879101kim:ATMProgramMember2021-08-31 0000879101kim:ATMProgramMember2019-09-012019-09-30 0000879101kim:ATMProgramMember2022-01-012022-12-31 0000879101kim:ATMProgramMember2021-01-012021-12-31 0000879101kim:ATMProgramMember2022-12-31 00008791</w:t>
      </w:r>
      <w:r>
        <w:rPr>
          <w:rFonts w:eastAsia="Times New Roman"/>
          <w:vanish/>
          <w:sz w:val="20"/>
          <w:szCs w:val="20"/>
        </w:rPr>
        <w:t>01kim:ConvertibleUnitsMember2022-12-31 0000879101kim:SeriesLPreferredStockMember2020-01-012020-12-31 0000879101kim:SeriesMPreferredStockMember2020-01-012020-12-31 0000879101kim:REITMember2022-01-012022-12-31 0000879101kim:REITMember2021-01-012021-12-31 000</w:t>
      </w:r>
      <w:r>
        <w:rPr>
          <w:rFonts w:eastAsia="Times New Roman"/>
          <w:vanish/>
          <w:sz w:val="20"/>
          <w:szCs w:val="20"/>
        </w:rPr>
        <w:t>0879101kim:REITMember2020-01-012020-12-31 0000879101kim:WeingartenRealtyInvestorsMember2022-12-31 0000879101kim:WeingartenRealtyInvestorsMember2020-12-31 0000879101kim:WeingartenRealtyInvestorsMember2022-01-012022-12-31 0000879101kim:RipcoMembersrt:Officer</w:t>
      </w:r>
      <w:r>
        <w:rPr>
          <w:rFonts w:eastAsia="Times New Roman"/>
          <w:vanish/>
          <w:sz w:val="20"/>
          <w:szCs w:val="20"/>
        </w:rPr>
        <w:t>Member2022-12-31 0000879101kim:RipcoMember2022-01-012022-12-31 0000879101kim:RipcoMember2021-01-012021-12-31 0000879101kim:RipcoMember2020-01-012020-12-31 0000879101kim:FifthWallsClimateTechnologyFundMember2022-12-31 0000879101kim:FifthWallsClimateTechnolo</w:t>
      </w:r>
      <w:r>
        <w:rPr>
          <w:rFonts w:eastAsia="Times New Roman"/>
          <w:vanish/>
          <w:sz w:val="20"/>
          <w:szCs w:val="20"/>
        </w:rPr>
        <w:t>gyFundMember2022-01-012022-12-31 0000879101kim:FifthWallsVenturesSpvFundMember2022-12-31 0000879101kim:InvestmentWithFundingCommitmentsMember2022-12-31 0000879101kim:InvestmentWithFundingCommitmentsMember2022-01-012022-12-31 0000879101kim:SeriesABondMember</w:t>
      </w:r>
      <w:r>
        <w:rPr>
          <w:rFonts w:eastAsia="Times New Roman"/>
          <w:vanish/>
          <w:sz w:val="20"/>
          <w:szCs w:val="20"/>
        </w:rPr>
        <w:t>2022-12-31 0000879101kim:The2020EquityParticipationPlanMember2020-05-31 0000879101kim:The2020EquityParticipationPlanMember2022-09-30 0000879101us-gaap:RestrictedStockMember2021-12-31 0000879101us-gaap:RestrictedStockMember2020-12-31 0000879101us-gaap:Restr</w:t>
      </w:r>
      <w:r>
        <w:rPr>
          <w:rFonts w:eastAsia="Times New Roman"/>
          <w:vanish/>
          <w:sz w:val="20"/>
          <w:szCs w:val="20"/>
        </w:rPr>
        <w:t>ictedStockMember2019-12-31 0000879101us-gaap:RestrictedStockMember2022-01-012022-12-31 0000879101us-gaap:RestrictedStockMember2021-01-012021-12-31 0000879101us-gaap:RestrictedStockMember2020-01-012020-12-31 0000879101us-gaap:RestrictedStockMember2022-12-31</w:t>
      </w:r>
      <w:r>
        <w:rPr>
          <w:rFonts w:eastAsia="Times New Roman"/>
          <w:vanish/>
          <w:sz w:val="20"/>
          <w:szCs w:val="20"/>
        </w:rPr>
        <w:t xml:space="preserve"> 0000879101us-gaap:PerformanceSharesMember2021-12-31 0000879101us-gaap:PerformanceSharesMember2020-12-31 0000879101us-gaap:PerformanceSharesMember2019-12-31 0000879101us-gaap:PerformanceSharesMember2022-01-012022-12-31 0000879101us-gaap:PerformanceSharesMe</w:t>
      </w:r>
      <w:r>
        <w:rPr>
          <w:rFonts w:eastAsia="Times New Roman"/>
          <w:vanish/>
          <w:sz w:val="20"/>
          <w:szCs w:val="20"/>
        </w:rPr>
        <w:t>mber2021-01-012021-12-31 0000879101us-gaap:PerformanceSharesMember2020-01-012020-12-31 0000879101us-gaap:PerformanceSharesMember2022-12-31 0000879101kim:EmployeeMember2022-01-012022-12-31 0000879101kim:EmployeeMember2021-01-012021-12-31 0000879101kim:Merge</w:t>
      </w:r>
      <w:r>
        <w:rPr>
          <w:rFonts w:eastAsia="Times New Roman"/>
          <w:vanish/>
          <w:sz w:val="20"/>
          <w:szCs w:val="20"/>
        </w:rPr>
        <w:t>rChargesMemberkim:EmployeeMember2021-01-012021-12-31 0000879101kim:EmployeeMember2020-01-012020-12-31 0000879101kim:TheWeingartenRealtyNoncontributoryQualifiedCashBalanceRetirementPlanMember2022-01-012022-12-31 0000879101kim:TheWeingartenRealtyNoncontribut</w:t>
      </w:r>
      <w:r>
        <w:rPr>
          <w:rFonts w:eastAsia="Times New Roman"/>
          <w:vanish/>
          <w:sz w:val="20"/>
          <w:szCs w:val="20"/>
        </w:rPr>
        <w:t>oryQualifiedCashBalanceRetirementPlanMember2022-12-31 0000879101kim:TheWeingartenRealtyNoncontributoryQualifiedCashBalanceRetirementPlanMember2021-12-31 0000879101us-gaap:DefinedBenefitPlanCashMember2022-12-31 0000879101us-gaap:DefinedBenefitPlanCashMember</w:t>
      </w:r>
      <w:r>
        <w:rPr>
          <w:rFonts w:eastAsia="Times New Roman"/>
          <w:vanish/>
          <w:sz w:val="20"/>
          <w:szCs w:val="20"/>
        </w:rPr>
        <w:t>2021-12-31 0000879101kim:LargeCompanyFundsMember2022-12-31 0000879101kim:LargeCompanyFundsMember2021-12-31 0000879101kim:MidCompanyFundsMember2022-12-31 0000879101kim:MidCompanyFundsMember2021-12-31 0000879101kim:SmallCompanyFundsMember2022-12-31 000087910</w:t>
      </w:r>
      <w:r>
        <w:rPr>
          <w:rFonts w:eastAsia="Times New Roman"/>
          <w:vanish/>
          <w:sz w:val="20"/>
          <w:szCs w:val="20"/>
        </w:rPr>
        <w:t>1kim:SmallCompanyFundsMember2021-12-31 0000879101kim:InternationalFundsMember2022-12-31 0000879101kim:InternationalFundsMember2021-12-31 0000879101us-gaap:FixedIncomeFundsMember2022-12-31 0000879101us-gaap:FixedIncomeFundsMember2021-12-31 0000879101kim:Gro</w:t>
      </w:r>
      <w:r>
        <w:rPr>
          <w:rFonts w:eastAsia="Times New Roman"/>
          <w:vanish/>
          <w:sz w:val="20"/>
          <w:szCs w:val="20"/>
        </w:rPr>
        <w:t>wthFundsMember2022-12-31 0000879101kim:GrowthFundsMember2021-12-31 0000879101kim:GAAPNetLossincomeOfTaxableREITSubsidiariesMember2022-01-012022-12-31 0000879101kim:GAAPNetLossincomeOfTaxableREITSubsidiariesMember2021-01-012021-12-31 0000879101kim:GAAPNetLo</w:t>
      </w:r>
      <w:r>
        <w:rPr>
          <w:rFonts w:eastAsia="Times New Roman"/>
          <w:vanish/>
          <w:sz w:val="20"/>
          <w:szCs w:val="20"/>
        </w:rPr>
        <w:t>ssincomeOfTaxableREITSubsidiariesMember2020-01-012020-12-31 0000879101kim:GAAPNetIncomeFromREITOperationsMember2022-01-012022-12-31 0000879101kim:GAAPNetIncomeFromREITOperationsMember2021-01-012021-12-31 0000879101kim:GAAPNetIncomeFromREITOperationsMember2</w:t>
      </w:r>
      <w:r>
        <w:rPr>
          <w:rFonts w:eastAsia="Times New Roman"/>
          <w:vanish/>
          <w:sz w:val="20"/>
          <w:szCs w:val="20"/>
        </w:rPr>
        <w:t>020-01-012020-12-31 0000879101kim:SeriesIPreferredStockMember2022-01-012022-12-31 0000879101kim:SeriesIPreferredStockMember2021-01-012021-12-31 0000879101kim:SeriesIPreferredStockMember2020-01-012020-12-31 0000879101kim:SeriesJPreferredStockMember2022-01-0</w:t>
      </w:r>
      <w:r>
        <w:rPr>
          <w:rFonts w:eastAsia="Times New Roman"/>
          <w:vanish/>
          <w:sz w:val="20"/>
          <w:szCs w:val="20"/>
        </w:rPr>
        <w:t>12022-12-31 0000879101kim:SeriesJPreferredStockMember2021-01-012021-12-31 0000879101kim:SeriesJPreferredStockMember2020-01-012020-12-31 0000879101kim:SeriesKPreferredStockMember2022-01-012022-12-31 0000879101kim:SeriesKPreferredStockMember2021-01-012021-12</w:t>
      </w:r>
      <w:r>
        <w:rPr>
          <w:rFonts w:eastAsia="Times New Roman"/>
          <w:vanish/>
          <w:sz w:val="20"/>
          <w:szCs w:val="20"/>
        </w:rPr>
        <w:t>-31 0000879101kim:SeriesKPreferredStockMember2020-01-012020-12-31 0000879101kim:CommonStock1Member2022-01-012022-12-31 0000879101kim:CommonStock1Member2021-01-012021-12-31 0000879101kim:CommonStock1Member2020-01-012020-12-31 0000879101kim:TrssAndTaxableEnt</w:t>
      </w:r>
      <w:r>
        <w:rPr>
          <w:rFonts w:eastAsia="Times New Roman"/>
          <w:vanish/>
          <w:sz w:val="20"/>
          <w:szCs w:val="20"/>
        </w:rPr>
        <w:t>itiesMember2022-01-012022-12-31 0000879101kim:TrssAndTaxableEntitiesMember2021-01-012021-12-31 0000879101kim:TrssAndTaxableEntitiesMember2020-01-012020-12-31 0000879101kim:REITMember2022-01-012022-12-31 0000879101kim:REITMember2021-01-012021-12-31 00008791</w:t>
      </w:r>
      <w:r>
        <w:rPr>
          <w:rFonts w:eastAsia="Times New Roman"/>
          <w:vanish/>
          <w:sz w:val="20"/>
          <w:szCs w:val="20"/>
        </w:rPr>
        <w:t>01kim:REITMember2020-01-012020-12-31 0000879101kim:ACIsCommonStockOwnedByKimcoRealtyMember2022-01-012022-12-31 0000879101us-gaap:DomesticCountryMemberkim:ACIsCommonStockOwnedByKimcoRealtyMember2022-01-012022-12-31 0000879101us-gaap:StateAndLocalJurisdictio</w:t>
      </w:r>
      <w:r>
        <w:rPr>
          <w:rFonts w:eastAsia="Times New Roman"/>
          <w:vanish/>
          <w:sz w:val="20"/>
          <w:szCs w:val="20"/>
        </w:rPr>
        <w:t>nMemberkim:ACIsCommonStockOwnedByKimcoRealtyMember2022-01-012022-12-31 0000879101us-gaap:DomesticCountryMember2022-12-31 0000879101us-gaap:DomesticCountryMember2021-12-31 0000879101kim:KimcoInsuranceCompanyMember2022-12-31 0000879101kim:KimcoInsuranceCompa</w:t>
      </w:r>
      <w:r>
        <w:rPr>
          <w:rFonts w:eastAsia="Times New Roman"/>
          <w:vanish/>
          <w:sz w:val="20"/>
          <w:szCs w:val="20"/>
        </w:rPr>
        <w:t>nyMembersrt:MinimumMember2007-10-012022-12-31 0000879101kim:KimcoInsuranceCompanyMembersrt:MaximumMember2007-10-012022-12-31 0000879101kim:KimcoInsuranceCompanyMembersrt:MinimumMember2008-10-012021-02-01 0000879101kim:KimcoInsuranceCompanyMembersrt:Maximum</w:t>
      </w:r>
      <w:r>
        <w:rPr>
          <w:rFonts w:eastAsia="Times New Roman"/>
          <w:vanish/>
          <w:sz w:val="20"/>
          <w:szCs w:val="20"/>
        </w:rPr>
        <w:t>Member2008-10-012021-02-01 0000879101kim:KimcoInsuranceCompanyMembersrt:MinimumMember2022-12-31 0000879101kim:KimcoInsuranceCompanyMembersrt:MaximumMember2022-12-31 0000879101kim:UsFireIndemnityCompanyMemberkim:AllPerilsExceptFloodsWindstormOrEarthquakeMem</w:t>
      </w:r>
      <w:r>
        <w:rPr>
          <w:rFonts w:eastAsia="Times New Roman"/>
          <w:vanish/>
          <w:sz w:val="20"/>
          <w:szCs w:val="20"/>
        </w:rPr>
        <w:t>ber2022-12-31 0000879101kim:UsFireIndemnityCompanyMemberkim:FloodsWindstormsOrEarthquakeMember2022-01-012022-12-31 0000879101kim:ThirdPartyReinsurerMemberkim:UsFireIndemnityCompanyMember2022-12-31 0000879101kim:ThirdPartyReinsurerMemberkim:UsFireIndemnityC</w:t>
      </w:r>
      <w:r>
        <w:rPr>
          <w:rFonts w:eastAsia="Times New Roman"/>
          <w:vanish/>
          <w:sz w:val="20"/>
          <w:szCs w:val="20"/>
        </w:rPr>
        <w:t>ompanyMember2022-01-012022-12-31 0000879101kim:KimcoInsuranceCompanyMember2021-01-012021-12-31 0000879101us-gaap:AccumulatedDefinedBenefitPlansAdjustmentIncludingPortionAttributableToNoncontrollingInterestMember2020-12-31 0000879101us-gaap:AccumulatedDefin</w:t>
      </w:r>
      <w:r>
        <w:rPr>
          <w:rFonts w:eastAsia="Times New Roman"/>
          <w:vanish/>
          <w:sz w:val="20"/>
          <w:szCs w:val="20"/>
        </w:rPr>
        <w:t>edBenefitPlansAdjustmentIncludingPortionAttributableToNoncontrollingInterestMember2021-01-012021-12-31 0000879101us-gaap:AccumulatedDefinedBenefitPlansAdjustmentIncludingPortionAttributableToNoncontrollingInterestMember2021-12-31 0000879101us-gaap:Accumula</w:t>
      </w:r>
      <w:r>
        <w:rPr>
          <w:rFonts w:eastAsia="Times New Roman"/>
          <w:vanish/>
          <w:sz w:val="20"/>
          <w:szCs w:val="20"/>
        </w:rPr>
        <w:t>tedDefinedBenefitPlansAdjustmentIncludingPortionAttributableToNoncontrollingInterestMember2022-01-012022-12-31 0000879101us-gaap:AccumulatedDefinedBenefitPlansAdjustmentIncludingPortionAttributableToNoncontrollingInterestMember2022-12-31 0000879101us-gaap:</w:t>
      </w:r>
      <w:r>
        <w:rPr>
          <w:rFonts w:eastAsia="Times New Roman"/>
          <w:vanish/>
          <w:sz w:val="20"/>
          <w:szCs w:val="20"/>
        </w:rPr>
        <w:t>EmployeeStockOptionMember2022-01-012022-12-31 0000879101us-gaap:EmployeeStockOptionMember2021-01-012021-12-31 0000879101us-gaap:EmployeeStockOptionMember2020-01-012020-12-31 0000879101us-gaap:AllowanceForCreditLossMember2021-12-31 0000879101us-gaap:Allowan</w:t>
      </w:r>
      <w:r>
        <w:rPr>
          <w:rFonts w:eastAsia="Times New Roman"/>
          <w:vanish/>
          <w:sz w:val="20"/>
          <w:szCs w:val="20"/>
        </w:rPr>
        <w:t>ceForCreditLossMember2022-01-012022-12-31 0000879101us-gaap:AllowanceForCreditLossMember2022-12-31 0000879101us-gaap:ValuationAllowanceOfDeferredTaxAssetsMember2021-12-31 0000879101us-gaap:ValuationAllowanceOfDeferredTaxAssetsMember2022-01-012022-12-31 000</w:t>
      </w:r>
      <w:r>
        <w:rPr>
          <w:rFonts w:eastAsia="Times New Roman"/>
          <w:vanish/>
          <w:sz w:val="20"/>
          <w:szCs w:val="20"/>
        </w:rPr>
        <w:t>0879101us-gaap:ValuationAllowanceOfDeferredTaxAssetsMember2022-12-31 0000879101us-gaap:AllowanceForCreditLossMember2020-12-31 0000879101us-gaap:AllowanceForCreditLossMember2021-01-012021-12-31 0000879101us-gaap:ValuationAllowanceOfDeferredTaxAssetsMember20</w:t>
      </w:r>
      <w:r>
        <w:rPr>
          <w:rFonts w:eastAsia="Times New Roman"/>
          <w:vanish/>
          <w:sz w:val="20"/>
          <w:szCs w:val="20"/>
        </w:rPr>
        <w:t>20-12-31 0000879101us-gaap:ValuationAllowanceOfDeferredTaxAssetsMember2021-01-012021-12-31 0000879101us-gaap:AllowanceForCreditLossMember2019-12-31 0000879101us-gaap:AllowanceForCreditLossMember2020-01-012020-12-31 0000879101us-gaap:ValuationAllowanceOfDef</w:t>
      </w:r>
      <w:r>
        <w:rPr>
          <w:rFonts w:eastAsia="Times New Roman"/>
          <w:vanish/>
          <w:sz w:val="20"/>
          <w:szCs w:val="20"/>
        </w:rPr>
        <w:t>erredTaxAssetsMember2019-12-31 0000879101us-gaap:ValuationAllowanceOfDeferredTaxAssetsMember2020-01-012020-12-31 0000879101kim:ShoppingCenterMemberkim:ArcadiaBiltmorePlazaMember2022-12-31 0000879101kim:ShoppingCenterMemberkim:ArcadiaBiltmorePlazaMember2022</w:t>
      </w:r>
      <w:r>
        <w:rPr>
          <w:rFonts w:eastAsia="Times New Roman"/>
          <w:vanish/>
          <w:sz w:val="20"/>
          <w:szCs w:val="20"/>
        </w:rPr>
        <w:t>-01-012022-12-31 0000879101kim:ShoppingCenterMemberkim:BellCaminoCenterMember2022-12-31 0000879101kim:ShoppingCenterMemberkim:BellCaminoCenterMember2022-01-012022-12-31 0000879101kim:ShoppingCenterMemberkim:BellCaminosafewayParcelMember2022-12-31 000087910</w:t>
      </w:r>
      <w:r>
        <w:rPr>
          <w:rFonts w:eastAsia="Times New Roman"/>
          <w:vanish/>
          <w:sz w:val="20"/>
          <w:szCs w:val="20"/>
        </w:rPr>
        <w:t>1kim:ShoppingCenterMemberkim:BellCaminosafewayParcelMember2022-01-012022-12-31 0000879101kim:ShoppingCenterMemberkim:BroadwayMarketplaceMember2022-12-31 0000879101kim:ShoppingCenterMemberkim:BroadwayMarketplaceMember2022-01-012022-12-31 0000879101kim:Shopp</w:t>
      </w:r>
      <w:r>
        <w:rPr>
          <w:rFonts w:eastAsia="Times New Roman"/>
          <w:vanish/>
          <w:sz w:val="20"/>
          <w:szCs w:val="20"/>
        </w:rPr>
        <w:t>ingCenterMemberkim:CamelbackMillerPlazaMember2022-12-31 0000879101kim:ShoppingCenterMemberkim:CamelbackMillerPlazaMember2022-01-012022-12-31 0000879101kim:ShoppingCenterMemberkim:CamelbackVillageSquareMember2022-12-31 0000879101kim:ShoppingCenterMemberkim:</w:t>
      </w:r>
      <w:r>
        <w:rPr>
          <w:rFonts w:eastAsia="Times New Roman"/>
          <w:vanish/>
          <w:sz w:val="20"/>
          <w:szCs w:val="20"/>
        </w:rPr>
        <w:t>CamelbackVillageSquareMember2022-01-012022-12-31 0000879101kim:ShoppingCenterMemberkim:ChristownSpectrumMallMember2022-12-31 0000879101kim:ShoppingCenterMemberkim:ChristownSpectrumMallMember2022-01-012022-12-31 0000879101kim:ShoppingCenterMemberkim:College</w:t>
      </w:r>
      <w:r>
        <w:rPr>
          <w:rFonts w:eastAsia="Times New Roman"/>
          <w:vanish/>
          <w:sz w:val="20"/>
          <w:szCs w:val="20"/>
        </w:rPr>
        <w:t>ParkShoppingCenterMember2022-12-31 0000879101kim:ShoppingCenterMemberkim:CollegeParkShoppingCenterMember2022-01-012022-12-31 0000879101kim:ShoppingCenterMemberkim:DesertVillageMember2022-12-31 0000879101kim:ShoppingCenterMemberkim:DesertVillageMember2022-0</w:t>
      </w:r>
      <w:r>
        <w:rPr>
          <w:rFonts w:eastAsia="Times New Roman"/>
          <w:vanish/>
          <w:sz w:val="20"/>
          <w:szCs w:val="20"/>
        </w:rPr>
        <w:t>1-012022-12-31 0000879101kim:ShoppingCenterMemberkim:EntradaDeOroPlazaMember2022-12-31 0000879101kim:ShoppingCenterMemberkim:EntradaDeOroPlazaMember2022-01-012022-12-31 0000879101kim:ShoppingCenterMemberkim:FountainPlazaMember2022-12-31 0000879101kim:Shopp</w:t>
      </w:r>
      <w:r>
        <w:rPr>
          <w:rFonts w:eastAsia="Times New Roman"/>
          <w:vanish/>
          <w:sz w:val="20"/>
          <w:szCs w:val="20"/>
        </w:rPr>
        <w:t>ingCenterMemberkim:FountainPlazaMember2022-01-012022-12-31 0000879101kim:ShoppingCenterMemberkim:MaderaVillageMember2022-12-31 0000879101kim:ShoppingCenterMemberkim:MaderaVillageMember2022-01-012022-12-31 0000879101kim:ShoppingCenterMemberkim:MadisonVillag</w:t>
      </w:r>
      <w:r>
        <w:rPr>
          <w:rFonts w:eastAsia="Times New Roman"/>
          <w:vanish/>
          <w:sz w:val="20"/>
          <w:szCs w:val="20"/>
        </w:rPr>
        <w:t>eMarketplaceMember2022-12-31 0000879101kim:ShoppingCenterMemberkim:MadisonVillageMarketplaceMember2022-01-012022-12-31 0000879101kim:ShoppingCenterMemberkim:MesaRiverviewMember2022-12-31 0000879101kim:ShoppingCenterMemberkim:MesaRiverviewMember2022-01-0120</w:t>
      </w:r>
      <w:r>
        <w:rPr>
          <w:rFonts w:eastAsia="Times New Roman"/>
          <w:vanish/>
          <w:sz w:val="20"/>
          <w:szCs w:val="20"/>
        </w:rPr>
        <w:t>22-12-31 0000879101kim:ShoppingCenterMemberkim:MetroSquareMember2022-12-31 0000879101kim:ShoppingCenterMemberkim:MetroSquareMember2022-01-012022-12-31 0000879101kim:ShoppingCenterMemberkim:MonteVistaVillageCenterMember2022-12-31 0000879101kim:ShoppingCente</w:t>
      </w:r>
      <w:r>
        <w:rPr>
          <w:rFonts w:eastAsia="Times New Roman"/>
          <w:vanish/>
          <w:sz w:val="20"/>
          <w:szCs w:val="20"/>
        </w:rPr>
        <w:t>rMemberkim:MonteVistaVillageCenterMember2022-01-012022-12-31 0000879101kim:ShoppingCenterMemberkim:NorthValleyMember2022-12-31 0000879101kim:ShoppingCenterMemberkim:NorthValleyMember2022-01-012022-12-31 0000879101kim:ShoppingCenterMemberkim:PlazaAtMountain</w:t>
      </w:r>
      <w:r>
        <w:rPr>
          <w:rFonts w:eastAsia="Times New Roman"/>
          <w:vanish/>
          <w:sz w:val="20"/>
          <w:szCs w:val="20"/>
        </w:rPr>
        <w:t>sideMember2022-12-31 0000879101kim:ShoppingCenterMemberkim:PlazaAtMountainsideMember2022-01-012022-12-31 0000879101kim:ShoppingCenterMemberkim:PlazaDelSolMember2022-12-31 0000879101kim:ShoppingCenterMemberkim:PlazaDelSolMember2022-01-012022-12-31 000087910</w:t>
      </w:r>
      <w:r>
        <w:rPr>
          <w:rFonts w:eastAsia="Times New Roman"/>
          <w:vanish/>
          <w:sz w:val="20"/>
          <w:szCs w:val="20"/>
        </w:rPr>
        <w:t>1kim:ShoppingCenterMemberkim:PuebloAnoziraMember2022-12-31 0000879101kim:ShoppingCenterMemberkim:PuebloAnoziraMember2022-01-012022-12-31 0000879101kim:ShoppingCenterMemberkim:RaintreeRanchCenterMember2022-12-31 0000879101kim:ShoppingCenterMemberkim:Raintre</w:t>
      </w:r>
      <w:r>
        <w:rPr>
          <w:rFonts w:eastAsia="Times New Roman"/>
          <w:vanish/>
          <w:sz w:val="20"/>
          <w:szCs w:val="20"/>
        </w:rPr>
        <w:t>eRanchCenterMember2022-01-012022-12-31 0000879101kim:ShoppingCenterMemberkim:RedMountainGatewayMember2022-12-31 0000879101kim:ShoppingCenterMemberkim:RedMountainGatewayMember2022-01-012022-12-31 0000879101kim:ShoppingCenterMemberkim:ScottsdaleHorizonMember</w:t>
      </w:r>
      <w:r>
        <w:rPr>
          <w:rFonts w:eastAsia="Times New Roman"/>
          <w:vanish/>
          <w:sz w:val="20"/>
          <w:szCs w:val="20"/>
        </w:rPr>
        <w:t>2022-12-31 0000879101kim:ShoppingCenterMemberkim:ScottsdaleHorizonMember2022-01-012022-12-31 0000879101kim:ShoppingCenterMemberkim:ScottsdaleWaterfrontMember2022-12-31 0000879101kim:ShoppingCenterMemberkim:ScottsdaleWaterfrontMember2022-01-012022-12-31 000</w:t>
      </w:r>
      <w:r>
        <w:rPr>
          <w:rFonts w:eastAsia="Times New Roman"/>
          <w:vanish/>
          <w:sz w:val="20"/>
          <w:szCs w:val="20"/>
        </w:rPr>
        <w:t>0879101kim:ShoppingCenterMemberkim:ShoppesAtBearsPathMember2022-12-31 0000879101kim:ShoppingCenterMemberkim:ShoppesAtBearsPathMember2022-01-012022-12-31 0000879101kim:ShoppingCenterMemberkim:SquawPeakPlazaMember2022-12-31 0000879101kim:ShoppingCenterMember</w:t>
      </w:r>
      <w:r>
        <w:rPr>
          <w:rFonts w:eastAsia="Times New Roman"/>
          <w:vanish/>
          <w:sz w:val="20"/>
          <w:szCs w:val="20"/>
        </w:rPr>
        <w:t>kim:SquawPeakPlazaMember2022-01-012022-12-31 0000879101kim:ShoppingCenterMemberkim:VillageCrossroadsMember2022-12-31 0000879101kim:ShoppingCenterMemberkim:VillageCrossroadsMember2022-01-012022-12-31 0000879101kim:ShoppingCenterMemberkim:The280MetroCenterMe</w:t>
      </w:r>
      <w:r>
        <w:rPr>
          <w:rFonts w:eastAsia="Times New Roman"/>
          <w:vanish/>
          <w:sz w:val="20"/>
          <w:szCs w:val="20"/>
        </w:rPr>
        <w:t>mber2022-12-31 0000879101kim:ShoppingCenterMemberkim:The280MetroCenterMember2022-01-012022-12-31 0000879101kim:ShoppingCenterMemberkim:The580MarketplaceMember2022-12-31 0000879101kim:ShoppingCenterMemberkim:The580MarketplaceMember2022-01-012022-12-31 00008</w:t>
      </w:r>
      <w:r>
        <w:rPr>
          <w:rFonts w:eastAsia="Times New Roman"/>
          <w:vanish/>
          <w:sz w:val="20"/>
          <w:szCs w:val="20"/>
        </w:rPr>
        <w:t>79101kim:ShoppingCenterMemberkim:The800SunsetStripSCMember2022-12-31 0000879101kim:ShoppingCenterMemberkim:The800SunsetStripSCMember2022-01-012022-12-31 0000879101kim:ShoppingCenterMemberkim:AAABuildingAtStevensCreekMember2022-12-31 0000879101kim:ShoppingC</w:t>
      </w:r>
      <w:r>
        <w:rPr>
          <w:rFonts w:eastAsia="Times New Roman"/>
          <w:vanish/>
          <w:sz w:val="20"/>
          <w:szCs w:val="20"/>
        </w:rPr>
        <w:t>enterMemberkim:AAABuildingAtStevensCreekMember2022-01-012022-12-31 0000879101kim:ShoppingCenterMemberkim:AnaheimPlazaMember2022-12-31 0000879101kim:ShoppingCenterMemberkim:AnaheimPlazaMember2022-01-012022-12-31 0000879101kim:ShoppingCenterMemberkim:BlackMo</w:t>
      </w:r>
      <w:r>
        <w:rPr>
          <w:rFonts w:eastAsia="Times New Roman"/>
          <w:vanish/>
          <w:sz w:val="20"/>
          <w:szCs w:val="20"/>
        </w:rPr>
        <w:t>untainVillageMember2022-12-31 0000879101kim:ShoppingCenterMemberkim:BlackMountainVillageMember2022-01-012022-12-31 0000879101kim:ShoppingCenterMemberkim:BrookhurstCenterMember2022-12-31 0000879101kim:ShoppingCenterMemberkim:BrookhurstCenterMember2022-01-01</w:t>
      </w:r>
      <w:r>
        <w:rPr>
          <w:rFonts w:eastAsia="Times New Roman"/>
          <w:vanish/>
          <w:sz w:val="20"/>
          <w:szCs w:val="20"/>
        </w:rPr>
        <w:t>2022-12-31 0000879101kim:ShoppingCenterMemberkim:BrookvaleShoppingCenterMember2022-12-31 0000879101kim:ShoppingCenterMemberkim:BrookvaleShoppingCenterMember2022-01-012022-12-31 0000879101kim:ShoppingCenterMemberkim:CambrianParkPlazaMember2022-12-31 0000879</w:t>
      </w:r>
      <w:r>
        <w:rPr>
          <w:rFonts w:eastAsia="Times New Roman"/>
          <w:vanish/>
          <w:sz w:val="20"/>
          <w:szCs w:val="20"/>
        </w:rPr>
        <w:t>101kim:ShoppingCenterMemberkim:CambrianParkPlazaMember2022-01-012022-12-31 0000879101kim:ShoppingCenterMemberkim:CenterwoodPlazaMember2022-12-31 0000879101kim:ShoppingCenterMemberkim:CenterwoodPlazaMember2022-01-012022-12-31 0000879101kim:ShoppingCenterMem</w:t>
      </w:r>
      <w:r>
        <w:rPr>
          <w:rFonts w:eastAsia="Times New Roman"/>
          <w:vanish/>
          <w:sz w:val="20"/>
          <w:szCs w:val="20"/>
        </w:rPr>
        <w:t>berkim:ChicoCrossroadsMember2022-12-31 0000879101kim:ShoppingCenterMemberkim:ChicoCrossroadsMember2022-01-012022-12-31 0000879101kim:ShoppingCenterMemberkim:ChinoHillsMarketplaceMember2022-12-31 0000879101kim:ShoppingCenterMemberkim:ChinoHillsMarketplaceMe</w:t>
      </w:r>
      <w:r>
        <w:rPr>
          <w:rFonts w:eastAsia="Times New Roman"/>
          <w:vanish/>
          <w:sz w:val="20"/>
          <w:szCs w:val="20"/>
        </w:rPr>
        <w:t>mber2022-01-012022-12-31 0000879101kim:ShoppingCenterMemberkim:CityHeightsMember2022-12-31 0000879101kim:ShoppingCenterMemberkim:CityHeightsMember2022-01-012022-12-31 0000879101kim:ShoppingCenterMemberkim:CoronaHillsPlazaMember2022-12-31 0000879101kim:Shop</w:t>
      </w:r>
      <w:r>
        <w:rPr>
          <w:rFonts w:eastAsia="Times New Roman"/>
          <w:vanish/>
          <w:sz w:val="20"/>
          <w:szCs w:val="20"/>
        </w:rPr>
        <w:t>pingCenterMemberkim:CoronaHillsPlazaMember2022-01-012022-12-31 0000879101kim:ShoppingCenterMemberkim:CostcoPlaza541Member2022-12-31 0000879101kim:ShoppingCenterMemberkim:CostcoPlaza541Member2022-01-012022-12-31 0000879101kim:ShoppingCenterMemberkim:Creeksi</w:t>
      </w:r>
      <w:r>
        <w:rPr>
          <w:rFonts w:eastAsia="Times New Roman"/>
          <w:vanish/>
          <w:sz w:val="20"/>
          <w:szCs w:val="20"/>
        </w:rPr>
        <w:t>deCenterMember2022-12-31 0000879101kim:ShoppingCenterMemberkim:CreeksideCenterMember2022-01-012022-12-31 0000879101kim:ShoppingCenterMemberkim:CrockerRanchMember2022-12-31 0000879101kim:ShoppingCenterMemberkim:CrockerRanchMember2022-01-012022-12-31 0000879</w:t>
      </w:r>
      <w:r>
        <w:rPr>
          <w:rFonts w:eastAsia="Times New Roman"/>
          <w:vanish/>
          <w:sz w:val="20"/>
          <w:szCs w:val="20"/>
        </w:rPr>
        <w:t>101kim:ShoppingCenterMemberkim:CupertinoVillageMember2022-12-31 0000879101kim:ShoppingCenterMemberkim:CupertinoVillageMember2022-01-012022-12-31 0000879101kim:ShoppingCenterMemberkim:ElCaminoPromenadeMember2022-12-31 0000879101kim:ShoppingCenterMemberkim:E</w:t>
      </w:r>
      <w:r>
        <w:rPr>
          <w:rFonts w:eastAsia="Times New Roman"/>
          <w:vanish/>
          <w:sz w:val="20"/>
          <w:szCs w:val="20"/>
        </w:rPr>
        <w:t>lCaminoPromenadeMember2022-01-012022-12-31 0000879101kim:ShoppingCenterMemberkim:FreedomCentreMember2022-12-31 0000879101kim:ShoppingCenterMemberkim:FreedomCentreMember2022-01-012022-12-31 0000879101kim:ShoppingCenterMemberkim:FultonMarketPlaceMember2022-1</w:t>
      </w:r>
      <w:r>
        <w:rPr>
          <w:rFonts w:eastAsia="Times New Roman"/>
          <w:vanish/>
          <w:sz w:val="20"/>
          <w:szCs w:val="20"/>
        </w:rPr>
        <w:t>2-31 0000879101kim:ShoppingCenterMemberkim:FultonMarketPlaceMember2022-01-012022-12-31 0000879101kim:ShoppingCenterMemberkim:GatewayAtDonnerPassMember2022-12-31 0000879101kim:ShoppingCenterMemberkim:GatewayAtDonnerPassMember2022-01-012022-12-31 0000879101k</w:t>
      </w:r>
      <w:r>
        <w:rPr>
          <w:rFonts w:eastAsia="Times New Roman"/>
          <w:vanish/>
          <w:sz w:val="20"/>
          <w:szCs w:val="20"/>
        </w:rPr>
        <w:t>im:ShoppingCenterMemberkim:GatewayPlazaMember2022-12-31 0000879101kim:ShoppingCenterMemberkim:GatewayPlazaMember2022-01-012022-12-31 0000879101kim:ShoppingCenterMemberkim:GreenhouseMarketplaceMember2022-12-31 0000879101kim:ShoppingCenterMemberkim:Greenhous</w:t>
      </w:r>
      <w:r>
        <w:rPr>
          <w:rFonts w:eastAsia="Times New Roman"/>
          <w:vanish/>
          <w:sz w:val="20"/>
          <w:szCs w:val="20"/>
        </w:rPr>
        <w:t>eMarketplaceMember2022-01-012022-12-31 0000879101kim:ShoppingCenterMemberkim:GreenhouseMarketplaceIIMember2022-12-31 0000879101kim:ShoppingCenterMemberkim:GreenhouseMarketplaceIIMember2022-01-012022-12-31 0000879101kim:ShoppingCenterMemberkim:HomeDepotPlaz</w:t>
      </w:r>
      <w:r>
        <w:rPr>
          <w:rFonts w:eastAsia="Times New Roman"/>
          <w:vanish/>
          <w:sz w:val="20"/>
          <w:szCs w:val="20"/>
        </w:rPr>
        <w:t>aMember2022-12-31 0000879101kim:ShoppingCenterMemberkim:HomeDepotPlazaMember2022-01-012022-12-31 0000879101kim:ShoppingCenterMemberkim:KennethHahnPlazaMember2022-12-31 0000879101kim:ShoppingCenterMemberkim:KennethHahnPlazaMember2022-01-012022-12-31 0000879</w:t>
      </w:r>
      <w:r>
        <w:rPr>
          <w:rFonts w:eastAsia="Times New Roman"/>
          <w:vanish/>
          <w:sz w:val="20"/>
          <w:szCs w:val="20"/>
        </w:rPr>
        <w:t>101kim:ShoppingCenterMemberkim:LaMiradaTheatreCenterMember2022-12-31 0000879101kim:ShoppingCenterMemberkim:LaMiradaTheatreCenterMember2022-01-012022-12-31 0000879101kim:ShoppingCenterMemberkim:LaVerneTownCenterMember2022-12-31 0000879101kim:ShoppingCenterM</w:t>
      </w:r>
      <w:r>
        <w:rPr>
          <w:rFonts w:eastAsia="Times New Roman"/>
          <w:vanish/>
          <w:sz w:val="20"/>
          <w:szCs w:val="20"/>
        </w:rPr>
        <w:t>emberkim:LaVerneTownCenterMember2022-01-012022-12-31 0000879101kim:ShoppingCenterMemberkim:LabandVillageShoppingCenterMember2022-12-31 0000879101kim:ShoppingCenterMemberkim:LabandVillageShoppingCenterMember2022-01-012022-12-31 0000879101kim:ShoppingCenterM</w:t>
      </w:r>
      <w:r>
        <w:rPr>
          <w:rFonts w:eastAsia="Times New Roman"/>
          <w:vanish/>
          <w:sz w:val="20"/>
          <w:szCs w:val="20"/>
        </w:rPr>
        <w:t>emberkim:LakewoodPlazaMember2022-12-31 0000879101kim:ShoppingCenterMemberkim:LakewoodPlazaMember2022-01-012022-12-31 0000879101kim:ShoppingCenterMemberkim:LakewoodVillageMember2022-12-31 0000879101kim:ShoppingCenterMemberkim:LakewoodVillageMember2022-01-01</w:t>
      </w:r>
      <w:r>
        <w:rPr>
          <w:rFonts w:eastAsia="Times New Roman"/>
          <w:vanish/>
          <w:sz w:val="20"/>
          <w:szCs w:val="20"/>
        </w:rPr>
        <w:t>2022-12-31 0000879101kim:ShoppingCenterMemberkim:LincolnHillsTownCenterMember2022-12-31 0000879101kim:ShoppingCenterMemberkim:LincolnHillsTownCenterMember2022-01-012022-12-31 0000879101kim:ShoppingCenterMemberkim:LindaMarShippingCenterMember2022-12-31 0000</w:t>
      </w:r>
      <w:r>
        <w:rPr>
          <w:rFonts w:eastAsia="Times New Roman"/>
          <w:vanish/>
          <w:sz w:val="20"/>
          <w:szCs w:val="20"/>
        </w:rPr>
        <w:t>879101kim:ShoppingCenterMemberkim:LindaMarShippingCenterMember2022-01-012022-12-31 0000879101kim:ShoppingCenterMemberkim:MadisonPlazaMember2022-12-31 0000879101kim:ShoppingCenterMemberkim:MadisonPlazaMember2022-01-012022-12-31 0000879101kim:ShoppingCenterM</w:t>
      </w:r>
      <w:r>
        <w:rPr>
          <w:rFonts w:eastAsia="Times New Roman"/>
          <w:vanish/>
          <w:sz w:val="20"/>
          <w:szCs w:val="20"/>
        </w:rPr>
        <w:t>emberkim:NorthCountyPlazaMember2022-12-31 0000879101kim:ShoppingCenterMemberkim:NorthCountyPlazaMember2022-01-012022-12-31 0000879101kim:ShoppingCenterMemberkim:NovatoFairSCMember2022-12-31 0000879101kim:ShoppingCenterMemberkim:NovatoFairSCMember2022-01-01</w:t>
      </w:r>
      <w:r>
        <w:rPr>
          <w:rFonts w:eastAsia="Times New Roman"/>
          <w:vanish/>
          <w:sz w:val="20"/>
          <w:szCs w:val="20"/>
        </w:rPr>
        <w:t>2022-12-31 0000879101kim:ShoppingCenterMemberkim:OnTheCornerAtStevensCreekMember2022-12-31 0000879101kim:ShoppingCenterMemberkim:OnTheCornerAtStevensCreekMember2022-01-012022-12-31 0000879101kim:ShoppingCenterMemberkim:PlazaDiNorthridgeMember2022-12-31 000</w:t>
      </w:r>
      <w:r>
        <w:rPr>
          <w:rFonts w:eastAsia="Times New Roman"/>
          <w:vanish/>
          <w:sz w:val="20"/>
          <w:szCs w:val="20"/>
        </w:rPr>
        <w:t>0879101kim:ShoppingCenterMemberkim:PlazaDiNorthridgeMember2022-01-012022-12-31 0000879101kim:ShoppingCenterMemberkim:PowayCityCentreMember2022-12-31 0000879101kim:ShoppingCenterMemberkim:PowayCityCentreMember2022-01-012022-12-31 0000879101kim:ShoppingCente</w:t>
      </w:r>
      <w:r>
        <w:rPr>
          <w:rFonts w:eastAsia="Times New Roman"/>
          <w:vanish/>
          <w:sz w:val="20"/>
          <w:szCs w:val="20"/>
        </w:rPr>
        <w:t>rMemberkim:RanchoPenasquitosTowneCtrIMember2022-12-31 0000879101kim:ShoppingCenterMemberkim:RanchoPenasquitosTowneCtrIMember2022-01-012022-12-31 0000879101kim:ShoppingCenterMemberkim:RanchoPenasquitosTowneCtrIIMember2022-12-31 0000879101kim:ShoppingCenterM</w:t>
      </w:r>
      <w:r>
        <w:rPr>
          <w:rFonts w:eastAsia="Times New Roman"/>
          <w:vanish/>
          <w:sz w:val="20"/>
          <w:szCs w:val="20"/>
        </w:rPr>
        <w:t>emberkim:RanchoPenasquitosTowneCtrIIMember2022-01-012022-12-31 0000879101kim:ShoppingCenterMemberkim:RanchoPenasquitosvonsPropMember2022-12-31 0000879101kim:ShoppingCenterMemberkim:RanchoPenasquitosvonsPropMember2022-01-012022-12-31 0000879101kim:ShoppingC</w:t>
      </w:r>
      <w:r>
        <w:rPr>
          <w:rFonts w:eastAsia="Times New Roman"/>
          <w:vanish/>
          <w:sz w:val="20"/>
          <w:szCs w:val="20"/>
        </w:rPr>
        <w:t>enterMemberkim:RanchoSanMarcosVillageMember2022-12-31 0000879101kim:ShoppingCenterMemberkim:RanchoSanMarcosVillageMember2022-01-012022-12-31 0000879101kim:ShoppingCenterMemberkim:RedwoodCityPlazaMember2022-12-31 0000879101kim:ShoppingCenterMemberkim:Redwoo</w:t>
      </w:r>
      <w:r>
        <w:rPr>
          <w:rFonts w:eastAsia="Times New Roman"/>
          <w:vanish/>
          <w:sz w:val="20"/>
          <w:szCs w:val="20"/>
        </w:rPr>
        <w:t>dCityPlazaMember2022-01-012022-12-31 0000879101kim:ShoppingCenterMemberkim:SanDiegoCarmelMountainMember2022-12-31 0000879101kim:ShoppingCenterMemberkim:SanDiegoCarmelMountainMember2022-01-012022-12-31 0000879101kim:ShoppingCenterMemberkim:SanMarcosPlazaMem</w:t>
      </w:r>
      <w:r>
        <w:rPr>
          <w:rFonts w:eastAsia="Times New Roman"/>
          <w:vanish/>
          <w:sz w:val="20"/>
          <w:szCs w:val="20"/>
        </w:rPr>
        <w:t>ber2022-12-31 0000879101kim:ShoppingCenterMemberkim:SanMarcosPlazaMember2022-01-012022-12-31 0000879101kim:ShoppingCenterMemberkim:SanteeTrolleySquareMember2022-12-31 0000879101kim:ShoppingCenterMemberkim:SanteeTrolleySquareMember2022-01-012022-12-31 00008</w:t>
      </w:r>
      <w:r>
        <w:rPr>
          <w:rFonts w:eastAsia="Times New Roman"/>
          <w:vanish/>
          <w:sz w:val="20"/>
          <w:szCs w:val="20"/>
        </w:rPr>
        <w:t>79101kim:ShoppingCenterMemberkim:SilverCreekPlazaMember2022-12-31 0000879101kim:ShoppingCenterMemberkim:SilverCreekPlazaMember2022-01-012022-12-31 0000879101kim:ShoppingCenterMemberkim:SouthNapaMarketPlaceMember2022-12-31 0000879101kim:ShoppingCenterMember</w:t>
      </w:r>
      <w:r>
        <w:rPr>
          <w:rFonts w:eastAsia="Times New Roman"/>
          <w:vanish/>
          <w:sz w:val="20"/>
          <w:szCs w:val="20"/>
        </w:rPr>
        <w:t>kim:SouthNapaMarketPlaceMember2022-01-012022-12-31 0000879101kim:ShoppingCenterMemberkim:SouthamptonCenterMember2022-12-31 0000879101kim:ShoppingCenterMemberkim:SouthamptonCenterMember2022-01-012022-12-31 0000879101kim:ShoppingCenterMemberkim:StanfordRanch</w:t>
      </w:r>
      <w:r>
        <w:rPr>
          <w:rFonts w:eastAsia="Times New Roman"/>
          <w:vanish/>
          <w:sz w:val="20"/>
          <w:szCs w:val="20"/>
        </w:rPr>
        <w:t>Member2022-12-31 0000879101kim:ShoppingCenterMemberkim:StanfordRanchMember2022-01-012022-12-31 0000879101kim:ShoppingCenterMemberkim:StevensCreekCentralSCMember2022-12-31 0000879101kim:ShoppingCenterMemberkim:StevensCreekCentralSCMember2022-01-012022-12-31</w:t>
      </w:r>
      <w:r>
        <w:rPr>
          <w:rFonts w:eastAsia="Times New Roman"/>
          <w:vanish/>
          <w:sz w:val="20"/>
          <w:szCs w:val="20"/>
        </w:rPr>
        <w:t xml:space="preserve"> 0000879101kim:ShoppingCenterMemberkim:StonyPointPlazaMember2022-12-31 0000879101kim:ShoppingCenterMemberkim:StonyPointPlazaMember2022-01-012022-12-31 0000879101kim:ShoppingCenterMemberkim:TruckeeCrossroadsMember2022-12-31 0000879101kim:ShoppingCenterMembe</w:t>
      </w:r>
      <w:r>
        <w:rPr>
          <w:rFonts w:eastAsia="Times New Roman"/>
          <w:vanish/>
          <w:sz w:val="20"/>
          <w:szCs w:val="20"/>
        </w:rPr>
        <w:t>rkim:TruckeeCrossroadsMember2022-01-012022-12-31 0000879101kim:ShoppingCenterMemberkim:WestlakeShoppingCenterMember2022-12-31 0000879101kim:ShoppingCenterMemberkim:WestlakeShoppingCenterMember2022-01-012022-12-31 0000879101kim:ShoppingCenterMemberkim:Westm</w:t>
      </w:r>
      <w:r>
        <w:rPr>
          <w:rFonts w:eastAsia="Times New Roman"/>
          <w:vanish/>
          <w:sz w:val="20"/>
          <w:szCs w:val="20"/>
        </w:rPr>
        <w:t>insterCenterMember2022-12-31 0000879101kim:ShoppingCenterMemberkim:WestminsterCenterMember2022-01-012022-12-31 0000879101kim:ShoppingCenterMemberkim:WhittwoodTownCenterMember2022-12-31 0000879101kim:ShoppingCenterMemberkim:WhittwoodTownCenterMember2022-01-</w:t>
      </w:r>
      <w:r>
        <w:rPr>
          <w:rFonts w:eastAsia="Times New Roman"/>
          <w:vanish/>
          <w:sz w:val="20"/>
          <w:szCs w:val="20"/>
        </w:rPr>
        <w:t>012022-12-31 0000879101kim:ShoppingCenterMemberkim:CrossingAtStonegateMember2022-12-31 0000879101kim:ShoppingCenterMemberkim:CrossingAtStonegateMember2022-01-012022-12-31 0000879101kim:ShoppingCenterMemberkim:DenverWest38thStreetMember2022-12-31 0000879101</w:t>
      </w:r>
      <w:r>
        <w:rPr>
          <w:rFonts w:eastAsia="Times New Roman"/>
          <w:vanish/>
          <w:sz w:val="20"/>
          <w:szCs w:val="20"/>
        </w:rPr>
        <w:t>kim:ShoppingCenterMemberkim:DenverWest38thStreetMember2022-01-012022-12-31 0000879101kim:ShoppingCenterMemberkim:EastBankSCMember2022-12-31 0000879101kim:ShoppingCenterMemberkim:EastBankSCMember2022-01-012022-12-31 0000879101kim:ShoppingCenterMemberkim:Edg</w:t>
      </w:r>
      <w:r>
        <w:rPr>
          <w:rFonts w:eastAsia="Times New Roman"/>
          <w:vanish/>
          <w:sz w:val="20"/>
          <w:szCs w:val="20"/>
        </w:rPr>
        <w:t>ewaterMarketplaceMember2022-12-31 0000879101kim:ShoppingCenterMemberkim:EdgewaterMarketplaceMember2022-01-012022-12-31 0000879101kim:ShoppingCenterMemberkim:EnglewoodPlazaMember2022-12-31 0000879101kim:ShoppingCenterMemberkim:EnglewoodPlazaMember2022-01-01</w:t>
      </w:r>
      <w:r>
        <w:rPr>
          <w:rFonts w:eastAsia="Times New Roman"/>
          <w:vanish/>
          <w:sz w:val="20"/>
          <w:szCs w:val="20"/>
        </w:rPr>
        <w:t>2022-12-31 0000879101kim:ShoppingCenterMemberkim:GreeleyCommonsMember2022-12-31 0000879101kim:ShoppingCenterMemberkim:GreeleyCommonsMember2022-01-012022-12-31 0000879101kim:ShoppingCenterMemberkim:HeritageWestSCMember2022-12-31 0000879101kim:ShoppingCenter</w:t>
      </w:r>
      <w:r>
        <w:rPr>
          <w:rFonts w:eastAsia="Times New Roman"/>
          <w:vanish/>
          <w:sz w:val="20"/>
          <w:szCs w:val="20"/>
        </w:rPr>
        <w:t>Memberkim:HeritageWestSCMember2022-01-012022-12-31 0000879101kim:ShoppingCenterMemberkim:HighlandsRanchIIMember2022-12-31 0000879101kim:ShoppingCenterMemberkim:HighlandsRanchIIMember2022-01-012022-12-31 0000879101kim:ShoppingCenterMemberkim:HighlandsRanchV</w:t>
      </w:r>
      <w:r>
        <w:rPr>
          <w:rFonts w:eastAsia="Times New Roman"/>
          <w:vanish/>
          <w:sz w:val="20"/>
          <w:szCs w:val="20"/>
        </w:rPr>
        <w:t>illageSCMember2022-12-31 0000879101kim:ShoppingCenterMemberkim:HighlandsRanchVillageSCMember2022-01-012022-12-31 0000879101kim:ShoppingCenterMemberkim:LowryTownCenterMember2022-12-31 0000879101kim:ShoppingCenterMemberkim:LowryTownCenterMember2022-01-012022</w:t>
      </w:r>
      <w:r>
        <w:rPr>
          <w:rFonts w:eastAsia="Times New Roman"/>
          <w:vanish/>
          <w:sz w:val="20"/>
          <w:szCs w:val="20"/>
        </w:rPr>
        <w:t>-12-31 0000879101kim:ShoppingCenterMemberkim:MarketAtSouthparkMember2022-12-31 0000879101kim:ShoppingCenterMemberkim:MarketAtSouthparkMember2022-01-012022-12-31 0000879101kim:ShoppingCenterMemberkim:NorthridgeShoppingCenterMember2022-12-31 0000879101kim:Sh</w:t>
      </w:r>
      <w:r>
        <w:rPr>
          <w:rFonts w:eastAsia="Times New Roman"/>
          <w:vanish/>
          <w:sz w:val="20"/>
          <w:szCs w:val="20"/>
        </w:rPr>
        <w:t>oppingCenterMemberkim:NorthridgeShoppingCenterMember2022-01-012022-12-31 0000879101kim:ShoppingCenterMemberkim:QuincyPlaceSCMember2022-12-31 0000879101kim:ShoppingCenterMemberkim:QuincyPlaceSCMember2022-01-012022-12-31 0000879101kim:ShoppingCenterMemberkim</w:t>
      </w:r>
      <w:r>
        <w:rPr>
          <w:rFonts w:eastAsia="Times New Roman"/>
          <w:vanish/>
          <w:sz w:val="20"/>
          <w:szCs w:val="20"/>
        </w:rPr>
        <w:t>:RiverPointAtSheridanMember2022-12-31 0000879101kim:ShoppingCenterMemberkim:RiverPointAtSheridanMember2022-01-012022-12-31 0000879101kim:ShoppingCenterMemberkim:RiverPointAtSheridanIIMember2022-12-31 0000879101kim:ShoppingCenterMemberkim:RiverPointAtSherid</w:t>
      </w:r>
      <w:r>
        <w:rPr>
          <w:rFonts w:eastAsia="Times New Roman"/>
          <w:vanish/>
          <w:sz w:val="20"/>
          <w:szCs w:val="20"/>
        </w:rPr>
        <w:t>anIIMember2022-01-012022-12-31 0000879101kim:ShoppingCenterMemberkim:VillageCenterHighlandRanchMember2022-12-31 0000879101kim:ShoppingCenterMemberkim:VillageCenterHighlandRanchMember2022-01-012022-12-31 0000879101kim:ShoppingCenterMemberkim:VillageCenterWe</w:t>
      </w:r>
      <w:r>
        <w:rPr>
          <w:rFonts w:eastAsia="Times New Roman"/>
          <w:vanish/>
          <w:sz w:val="20"/>
          <w:szCs w:val="20"/>
        </w:rPr>
        <w:t>stMember2022-12-31 0000879101kim:ShoppingCenterMemberkim:VillageCenterWestMember2022-01-012022-12-31 0000879101kim:ShoppingCenterMemberkim:VillageOnTheParkMember2022-12-31 0000879101kim:ShoppingCenterMemberkim:VillageOnTheParkMember2022-01-012022-12-31 000</w:t>
      </w:r>
      <w:r>
        <w:rPr>
          <w:rFonts w:eastAsia="Times New Roman"/>
          <w:vanish/>
          <w:sz w:val="20"/>
          <w:szCs w:val="20"/>
        </w:rPr>
        <w:t>0879101kim:ShoppingCenterMemberkim:BrightHorizonsMember2022-12-31 0000879101kim:ShoppingCenterMemberkim:BrightHorizonsMember2022-01-012022-12-31 0000879101kim:ShoppingCenterMemberkim:HamdenMartMember2022-12-31 0000879101kim:ShoppingCenterMemberkim:HamdenMa</w:t>
      </w:r>
      <w:r>
        <w:rPr>
          <w:rFonts w:eastAsia="Times New Roman"/>
          <w:vanish/>
          <w:sz w:val="20"/>
          <w:szCs w:val="20"/>
        </w:rPr>
        <w:t>rtMember2022-01-012022-12-31 0000879101kim:ShoppingCenterMemberkim:HomeDepotPlaza2Member2022-12-31 0000879101kim:ShoppingCenterMemberkim:HomeDepotPlaza2Member2022-01-012022-12-31 0000879101kim:ShoppingCenterMemberkim:NewtownSCMember2022-12-31 0000879101kim</w:t>
      </w:r>
      <w:r>
        <w:rPr>
          <w:rFonts w:eastAsia="Times New Roman"/>
          <w:vanish/>
          <w:sz w:val="20"/>
          <w:szCs w:val="20"/>
        </w:rPr>
        <w:t>:ShoppingCenterMemberkim:NewtownSCMember2022-01-012022-12-31 0000879101kim:ShoppingCenterMemberkim:WestFarmShoppingCenterMember2022-12-31 0000879101kim:ShoppingCenterMemberkim:WestFarmShoppingCenterMember2022-01-012022-12-31 0000879101kim:ShoppingCenterMem</w:t>
      </w:r>
      <w:r>
        <w:rPr>
          <w:rFonts w:eastAsia="Times New Roman"/>
          <w:vanish/>
          <w:sz w:val="20"/>
          <w:szCs w:val="20"/>
        </w:rPr>
        <w:t>berkim:WiltonCampusMember2022-12-31 0000879101kim:ShoppingCenterMemberkim:WiltonCampusMember2022-01-012022-12-31 0000879101kim:ShoppingCenterMemberkim:WiltonRiverParkShoppingCtrMember2022-12-31 0000879101kim:ShoppingCenterMemberkim:WiltonRiverParkShoppingC</w:t>
      </w:r>
      <w:r>
        <w:rPr>
          <w:rFonts w:eastAsia="Times New Roman"/>
          <w:vanish/>
          <w:sz w:val="20"/>
          <w:szCs w:val="20"/>
        </w:rPr>
        <w:t>trMember2022-01-012022-12-31 0000879101kim:ShoppingCenterMemberkim:BrandywineCommonsMember2022-12-31 0000879101kim:ShoppingCenterMemberkim:BrandywineCommonsMember2022-01-012022-12-31 0000879101kim:ShoppingCenterMemberkim:CamdenSquareMember2022-12-31 000087</w:t>
      </w:r>
      <w:r>
        <w:rPr>
          <w:rFonts w:eastAsia="Times New Roman"/>
          <w:vanish/>
          <w:sz w:val="20"/>
          <w:szCs w:val="20"/>
        </w:rPr>
        <w:t>9101kim:ShoppingCenterMemberkim:CamdenSquareMember2022-01-012022-12-31 0000879101kim:ShoppingCenterMemberkim:PromenadeAtChristianaMember2022-12-31 0000879101kim:ShoppingCenterMemberkim:PromenadeAtChristianaMember2022-01-012022-12-31 0000879101kim:ShoppingC</w:t>
      </w:r>
      <w:r>
        <w:rPr>
          <w:rFonts w:eastAsia="Times New Roman"/>
          <w:vanish/>
          <w:sz w:val="20"/>
          <w:szCs w:val="20"/>
        </w:rPr>
        <w:t>enterMemberkim:ArgyleVillageMember2022-12-31 0000879101kim:ShoppingCenterMemberkim:ArgyleVillageMember2022-01-012022-12-31 0000879101kim:ShoppingCenterMemberkim:BelmartPlazaMember2022-12-31 0000879101kim:ShoppingCenterMemberkim:BelmartPlazaMember2022-01-01</w:t>
      </w:r>
      <w:r>
        <w:rPr>
          <w:rFonts w:eastAsia="Times New Roman"/>
          <w:vanish/>
          <w:sz w:val="20"/>
          <w:szCs w:val="20"/>
        </w:rPr>
        <w:t>2022-12-31 0000879101kim:ShoppingCenterMemberkim:BocaLyonsPlazaMember2022-12-31 0000879101kim:ShoppingCenterMemberkim:BocaLyonsPlazaMember2022-01-012022-12-31 0000879101kim:ShoppingCenterMemberkim:CaminoSquareMember2022-12-31 0000879101kim:ShoppingCenterMe</w:t>
      </w:r>
      <w:r>
        <w:rPr>
          <w:rFonts w:eastAsia="Times New Roman"/>
          <w:vanish/>
          <w:sz w:val="20"/>
          <w:szCs w:val="20"/>
        </w:rPr>
        <w:t>mberkim:CaminoSquareMember2022-01-012022-12-31 0000879101kim:ShoppingCenterMemberkim:CarrollwoodCommonsMember2022-12-31 0000879101kim:ShoppingCenterMemberkim:CarrollwoodCommonsMember2022-01-012022-12-31 0000879101kim:ShoppingCenterMemberkim:CenterAtMissour</w:t>
      </w:r>
      <w:r>
        <w:rPr>
          <w:rFonts w:eastAsia="Times New Roman"/>
          <w:vanish/>
          <w:sz w:val="20"/>
          <w:szCs w:val="20"/>
        </w:rPr>
        <w:t>iAvenueMember2022-12-31 0000879101kim:ShoppingCenterMemberkim:CenterAtMissouriAvenueMember2022-01-012022-12-31 0000879101kim:ShoppingCenterMemberkim:ChevronOutparcelMember2022-12-31 0000879101kim:ShoppingCenterMemberkim:ChevronOutparcelMember2022-01-012022</w:t>
      </w:r>
      <w:r>
        <w:rPr>
          <w:rFonts w:eastAsia="Times New Roman"/>
          <w:vanish/>
          <w:sz w:val="20"/>
          <w:szCs w:val="20"/>
        </w:rPr>
        <w:t>-12-31 0000879101kim:ShoppingCenterMemberkim:ColonialPlazaMember2022-12-31 0000879101kim:ShoppingCenterMemberkim:ColonialPlazaMember2022-01-012022-12-31 0000879101kim:ShoppingCenterMemberkim:CoralPointeSCMember2022-12-31 0000879101kim:ShoppingCenterMemberk</w:t>
      </w:r>
      <w:r>
        <w:rPr>
          <w:rFonts w:eastAsia="Times New Roman"/>
          <w:vanish/>
          <w:sz w:val="20"/>
          <w:szCs w:val="20"/>
        </w:rPr>
        <w:t>im:CoralPointeSCMember2022-01-012022-12-31 0000879101kim:ShoppingCenterMemberkim:CoralSquarePromenadeMember2022-12-31 0000879101kim:ShoppingCenterMemberkim:CoralSquarePromenadeMember2022-01-012022-12-31 0000879101kim:ShoppingCenterMemberkim:CorsicaSquareSC</w:t>
      </w:r>
      <w:r>
        <w:rPr>
          <w:rFonts w:eastAsia="Times New Roman"/>
          <w:vanish/>
          <w:sz w:val="20"/>
          <w:szCs w:val="20"/>
        </w:rPr>
        <w:t>Member2022-12-31 0000879101kim:ShoppingCenterMemberkim:CorsicaSquareSCMember2022-01-012022-12-31 0000879101kim:ShoppingCenterMemberkim:CountrysideCentreMember2022-12-31 0000879101kim:ShoppingCenterMemberkim:CountrysideCentreMember2022-01-012022-12-31 00008</w:t>
      </w:r>
      <w:r>
        <w:rPr>
          <w:rFonts w:eastAsia="Times New Roman"/>
          <w:vanish/>
          <w:sz w:val="20"/>
          <w:szCs w:val="20"/>
        </w:rPr>
        <w:t>79101kim:ShoppingCenterMemberkim:CurlewCrossingShoppingCtrMember2022-12-31 0000879101kim:ShoppingCenterMemberkim:CurlewCrossingShoppingCtrMember2022-01-012022-12-31 0000879101kim:ShoppingCenterMemberkim:DaniaPointeMember2022-12-31 0000879101kim:ShoppingCen</w:t>
      </w:r>
      <w:r>
        <w:rPr>
          <w:rFonts w:eastAsia="Times New Roman"/>
          <w:vanish/>
          <w:sz w:val="20"/>
          <w:szCs w:val="20"/>
        </w:rPr>
        <w:t>terMemberkim:DaniaPointeMember2022-01-012022-12-31 0000879101kim:ShoppingCenterMemberkim:DaniaPointePhaseIIMember2022-12-31 0000879101kim:ShoppingCenterMemberkim:DaniaPointePhaseIIMember2022-01-012022-12-31 0000879101kim:ShoppingCenterMemberkim:EmbassyLake</w:t>
      </w:r>
      <w:r>
        <w:rPr>
          <w:rFonts w:eastAsia="Times New Roman"/>
          <w:vanish/>
          <w:sz w:val="20"/>
          <w:szCs w:val="20"/>
        </w:rPr>
        <w:t>sMember2022-12-31 0000879101kim:ShoppingCenterMemberkim:EmbassyLakesMember2022-01-012022-12-31 0000879101kim:ShoppingCenterMemberkim:FlaglerParkMember2022-12-31 0000879101kim:ShoppingCenterMemberkim:FlaglerParkMember2022-01-012022-12-31 0000879101kim:Shopp</w:t>
      </w:r>
      <w:r>
        <w:rPr>
          <w:rFonts w:eastAsia="Times New Roman"/>
          <w:vanish/>
          <w:sz w:val="20"/>
          <w:szCs w:val="20"/>
        </w:rPr>
        <w:t>ingCenterMemberkim:FtLauderdale1FLMember2022-12-31 0000879101kim:ShoppingCenterMemberkim:FtLauderdale1FLMember2022-01-012022-12-31 0000879101kim:ShoppingCenterMemberkim:FtLauderdaleCypressCreekMember2022-12-31 0000879101kim:ShoppingCenterMemberkim:FtLauder</w:t>
      </w:r>
      <w:r>
        <w:rPr>
          <w:rFonts w:eastAsia="Times New Roman"/>
          <w:vanish/>
          <w:sz w:val="20"/>
          <w:szCs w:val="20"/>
        </w:rPr>
        <w:t>daleCypressCreekMember2022-01-012022-12-31 0000879101kim:ShoppingCenterMemberkim:GrandOaksVillageMember2022-12-31 0000879101kim:ShoppingCenterMemberkim:GrandOaksVillageMember2022-01-012022-12-31 0000879101kim:ShoppingCenterMemberkim:GroveGatesSCMember2022-</w:t>
      </w:r>
      <w:r>
        <w:rPr>
          <w:rFonts w:eastAsia="Times New Roman"/>
          <w:vanish/>
          <w:sz w:val="20"/>
          <w:szCs w:val="20"/>
        </w:rPr>
        <w:t>12-31 0000879101kim:ShoppingCenterMemberkim:GroveGatesSCMember2022-01-012022-12-31 0000879101kim:ShoppingCenterMemberkim:IvesDairyCrossingMember2022-12-31 0000879101kim:ShoppingCenterMemberkim:IvesDairyCrossingMember2022-01-012022-12-31 0000879101kim:Shopp</w:t>
      </w:r>
      <w:r>
        <w:rPr>
          <w:rFonts w:eastAsia="Times New Roman"/>
          <w:vanish/>
          <w:sz w:val="20"/>
          <w:szCs w:val="20"/>
        </w:rPr>
        <w:t>ingCenterMemberkim:KendaleLakesPlazaMember2022-12-31 0000879101kim:ShoppingCenterMemberkim:KendaleLakesPlazaMember2022-01-012022-12-31 0000879101kim:ShoppingCenterMemberkim:LargoPlazaMember2022-12-31 0000879101kim:ShoppingCenterMemberkim:LargoPlazaMember20</w:t>
      </w:r>
      <w:r>
        <w:rPr>
          <w:rFonts w:eastAsia="Times New Roman"/>
          <w:vanish/>
          <w:sz w:val="20"/>
          <w:szCs w:val="20"/>
        </w:rPr>
        <w:t>22-01-012022-12-31 0000879101kim:ShoppingCenterMemberkim:MaplewoodPlazaMember2022-12-31 0000879101kim:ShoppingCenterMemberkim:MaplewoodPlazaMember2022-01-012022-12-31 0000879101kim:ShoppingCenterMemberkim:MarathonShoppingCenterMember2022-12-31 0000879101ki</w:t>
      </w:r>
      <w:r>
        <w:rPr>
          <w:rFonts w:eastAsia="Times New Roman"/>
          <w:vanish/>
          <w:sz w:val="20"/>
          <w:szCs w:val="20"/>
        </w:rPr>
        <w:t>m:ShoppingCenterMemberkim:MarathonShoppingCenterMember2022-01-012022-12-31 0000879101kim:ShoppingCenterMemberkim:MerchantsWalkMember2022-12-31 0000879101kim:ShoppingCenterMemberkim:MerchantsWalkMember2022-01-012022-12-31 0000879101kim:ShoppingCenterMemberk</w:t>
      </w:r>
      <w:r>
        <w:rPr>
          <w:rFonts w:eastAsia="Times New Roman"/>
          <w:vanish/>
          <w:sz w:val="20"/>
          <w:szCs w:val="20"/>
        </w:rPr>
        <w:t>im:MilleniaPlazaPhaseIIMember2022-12-31 0000879101kim:ShoppingCenterMemberkim:MilleniaPlazaPhaseIIMember2022-01-012022-12-31 0000879101kim:ShoppingCenterMemberkim:MillerRoadSCMember2022-12-31 0000879101kim:ShoppingCenterMemberkim:MillerRoadSCMember2022-01-</w:t>
      </w:r>
      <w:r>
        <w:rPr>
          <w:rFonts w:eastAsia="Times New Roman"/>
          <w:vanish/>
          <w:sz w:val="20"/>
          <w:szCs w:val="20"/>
        </w:rPr>
        <w:t>012022-12-31 0000879101kim:ShoppingCenterMemberkim:MillerWestPlazaMember2022-12-31 0000879101kim:ShoppingCenterMemberkim:MillerWestPlazaMember2022-01-012022-12-31 0000879101kim:ShoppingCenterMemberkim:MissionBellShoppingCenterMember2022-12-31 0000879101kim</w:t>
      </w:r>
      <w:r>
        <w:rPr>
          <w:rFonts w:eastAsia="Times New Roman"/>
          <w:vanish/>
          <w:sz w:val="20"/>
          <w:szCs w:val="20"/>
        </w:rPr>
        <w:t>:ShoppingCenterMemberkim:MissionBellShoppingCenterMember2022-01-012022-12-31 0000879101kim:ShoppingCenterMemberkim:NASAPlazaMember2022-12-31 0000879101kim:ShoppingCenterMemberkim:NASAPlazaMember2022-01-012022-12-31 0000879101kim:ShoppingCenterMemberkim:Oak</w:t>
      </w:r>
      <w:r>
        <w:rPr>
          <w:rFonts w:eastAsia="Times New Roman"/>
          <w:vanish/>
          <w:sz w:val="20"/>
          <w:szCs w:val="20"/>
        </w:rPr>
        <w:t>TreePlazaMember2022-12-31 0000879101kim:ShoppingCenterMemberkim:OakTreePlazaMember2022-01-012022-12-31 0000879101kim:ShoppingCenterMemberkim:OakwoodBusinessCtrBDLG1Member2022-12-31 0000879101kim:ShoppingCenterMemberkim:OakwoodBusinessCtrBDLG1Member2022-01-</w:t>
      </w:r>
      <w:r>
        <w:rPr>
          <w:rFonts w:eastAsia="Times New Roman"/>
          <w:vanish/>
          <w:sz w:val="20"/>
          <w:szCs w:val="20"/>
        </w:rPr>
        <w:t>012022-12-31 0000879101kim:ShoppingCenterMemberkim:OakwoodPlazaNorthMember2022-12-31 0000879101kim:ShoppingCenterMemberkim:OakwoodPlazaNorthMember2022-01-012022-12-31 0000879101kim:ShoppingCenterMemberkim:OakwoodPlazaSouthMember2022-12-31 0000879101kim:Sho</w:t>
      </w:r>
      <w:r>
        <w:rPr>
          <w:rFonts w:eastAsia="Times New Roman"/>
          <w:vanish/>
          <w:sz w:val="20"/>
          <w:szCs w:val="20"/>
        </w:rPr>
        <w:t>ppingCenterMemberkim:OakwoodPlazaSouthMember2022-01-012022-12-31 0000879101kim:ShoppingCenterMemberkim:PalmsAtTownCountryMember2022-12-31 0000879101kim:ShoppingCenterMemberkim:PalmsAtTownCountryMember2022-01-012022-12-31 0000879101kim:ShoppingCenterMemberk</w:t>
      </w:r>
      <w:r>
        <w:rPr>
          <w:rFonts w:eastAsia="Times New Roman"/>
          <w:vanish/>
          <w:sz w:val="20"/>
          <w:szCs w:val="20"/>
        </w:rPr>
        <w:t>im:PalmsAtTownCountryLifestyleMember2022-12-31 0000879101kim:ShoppingCenterMemberkim:PalmsAtTownCountryLifestyleMember2022-01-012022-12-31 0000879101kim:ShoppingCenterMemberkim:ParkhillPlazaMember2022-12-31 0000879101kim:ShoppingCenterMemberkim:ParkhillPla</w:t>
      </w:r>
      <w:r>
        <w:rPr>
          <w:rFonts w:eastAsia="Times New Roman"/>
          <w:vanish/>
          <w:sz w:val="20"/>
          <w:szCs w:val="20"/>
        </w:rPr>
        <w:t>zaMember2022-01-012022-12-31 0000879101kim:ShoppingCenterMemberkim:PhillipsCrossingMember2022-12-31 0000879101kim:ShoppingCenterMemberkim:PhillipsCrossingMember2022-01-012022-12-31 0000879101kim:ShoppingCenterMemberkim:PlantationCrossingMember2022-12-31 00</w:t>
      </w:r>
      <w:r>
        <w:rPr>
          <w:rFonts w:eastAsia="Times New Roman"/>
          <w:vanish/>
          <w:sz w:val="20"/>
          <w:szCs w:val="20"/>
        </w:rPr>
        <w:t>00879101kim:ShoppingCenterMemberkim:PlantationCrossingMember2022-01-012022-12-31 0000879101kim:ShoppingCenterMemberkim:PompanoPointeSCMember2022-12-31 0000879101kim:ShoppingCenterMemberkim:PompanoPointeSCMember2022-01-012022-12-31 0000879101kim:ShoppingCen</w:t>
      </w:r>
      <w:r>
        <w:rPr>
          <w:rFonts w:eastAsia="Times New Roman"/>
          <w:vanish/>
          <w:sz w:val="20"/>
          <w:szCs w:val="20"/>
        </w:rPr>
        <w:t>terMemberkim:RenaissanceCenterMember2022-12-31 0000879101kim:ShoppingCenterMemberkim:RenaissanceCenterMember2022-01-012022-12-31 0000879101kim:ShoppingCenterMemberkim:RiverplaceShoppingCtrMember2022-12-31 0000879101kim:ShoppingCenterMemberkim:RiverplaceSho</w:t>
      </w:r>
      <w:r>
        <w:rPr>
          <w:rFonts w:eastAsia="Times New Roman"/>
          <w:vanish/>
          <w:sz w:val="20"/>
          <w:szCs w:val="20"/>
        </w:rPr>
        <w:t>ppingCtrMember2022-01-012022-12-31 0000879101kim:ShoppingCenterMemberkim:RiversideLandingsSCMember2022-12-31 0000879101kim:ShoppingCenterMemberkim:RiversideLandingsSCMember2022-01-012022-12-31 0000879101kim:ShoppingCenterMemberkim:SeaRanchCentreMember2022-</w:t>
      </w:r>
      <w:r>
        <w:rPr>
          <w:rFonts w:eastAsia="Times New Roman"/>
          <w:vanish/>
          <w:sz w:val="20"/>
          <w:szCs w:val="20"/>
        </w:rPr>
        <w:t>12-31 0000879101kim:ShoppingCenterMemberkim:SeaRanchCentreMember2022-01-012022-12-31 0000879101kim:ShoppingCenterMemberkim:ShoppesAtDeerfieldMember2022-12-31 0000879101kim:ShoppingCenterMemberkim:ShoppesAtDeerfieldMember2022-01-012022-12-31 0000879101kim:S</w:t>
      </w:r>
      <w:r>
        <w:rPr>
          <w:rFonts w:eastAsia="Times New Roman"/>
          <w:vanish/>
          <w:sz w:val="20"/>
          <w:szCs w:val="20"/>
        </w:rPr>
        <w:t>hoppingCenterMemberkim:ShoppesAtDeerfieldIIMember2022-12-31 0000879101kim:ShoppingCenterMemberkim:ShoppesAtDeerfieldIIMember2022-01-012022-12-31 0000879101kim:ShoppingCenterMemberkim:ShopsAtSantaBarbaraPhase1Member2022-12-31 0000879101kim:ShoppingCenterMem</w:t>
      </w:r>
      <w:r>
        <w:rPr>
          <w:rFonts w:eastAsia="Times New Roman"/>
          <w:vanish/>
          <w:sz w:val="20"/>
          <w:szCs w:val="20"/>
        </w:rPr>
        <w:t>berkim:ShopsAtSantaBarbaraPhase1Member2022-01-012022-12-31 0000879101kim:ShoppingCenterMemberkim:ShopsAtSantaBarbaraPhase2Member2022-12-31 0000879101kim:ShoppingCenterMemberkim:ShopsAtSantaBarbaraPhase2Member2022-01-012022-12-31 0000879101kim:ShoppingCente</w:t>
      </w:r>
      <w:r>
        <w:rPr>
          <w:rFonts w:eastAsia="Times New Roman"/>
          <w:vanish/>
          <w:sz w:val="20"/>
          <w:szCs w:val="20"/>
        </w:rPr>
        <w:t>rMemberkim:ShopsAtSantaBarbaraPhase3Member2022-12-31 0000879101kim:ShoppingCenterMemberkim:ShopsAtSantaBarbaraPhase3Member2022-01-012022-12-31 0000879101kim:ShoppingCenterMemberkim:SodoSCMember2022-12-31 0000879101kim:ShoppingCenterMemberkim:SodoSCMember20</w:t>
      </w:r>
      <w:r>
        <w:rPr>
          <w:rFonts w:eastAsia="Times New Roman"/>
          <w:vanish/>
          <w:sz w:val="20"/>
          <w:szCs w:val="20"/>
        </w:rPr>
        <w:t>22-01-012022-12-31 0000879101kim:ShoppingCenterMemberkim:SouthMiamiSCMember2022-12-31 0000879101kim:ShoppingCenterMemberkim:SouthMiamiSCMember2022-01-012022-12-31 0000879101kim:ShoppingCenterMemberkim:Sunset19ScMember2022-12-31 0000879101kim:ShoppingCenter</w:t>
      </w:r>
      <w:r>
        <w:rPr>
          <w:rFonts w:eastAsia="Times New Roman"/>
          <w:vanish/>
          <w:sz w:val="20"/>
          <w:szCs w:val="20"/>
        </w:rPr>
        <w:t xml:space="preserve">Memberkim:Sunset19ScMember2022-01-012022-12-31 0000879101kim:ShoppingCenterMemberkim:TJMaxxPlazaMember2022-12-31 0000879101kim:ShoppingCenterMemberkim:TJMaxxPlazaMember2022-01-012022-12-31 0000879101kim:ShoppingCenterMemberkim:TriCityPlazaMember2022-12-31 </w:t>
      </w:r>
      <w:r>
        <w:rPr>
          <w:rFonts w:eastAsia="Times New Roman"/>
          <w:vanish/>
          <w:sz w:val="20"/>
          <w:szCs w:val="20"/>
        </w:rPr>
        <w:t>0000879101kim:ShoppingCenterMemberkim:TriCityPlazaMember2022-01-012022-12-31 0000879101kim:ShoppingCenterMemberkim:TuttlebeePlazaMember2022-12-31 0000879101kim:ShoppingCenterMemberkim:TuttlebeePlazaMember2022-01-012022-12-31 0000879101kim:ShoppingCenterMem</w:t>
      </w:r>
      <w:r>
        <w:rPr>
          <w:rFonts w:eastAsia="Times New Roman"/>
          <w:vanish/>
          <w:sz w:val="20"/>
          <w:szCs w:val="20"/>
        </w:rPr>
        <w:t>berkim:UniversityTownCenterMember2022-12-31 0000879101kim:ShoppingCenterMemberkim:UniversityTownCenterMember2022-01-012022-12-31 0000879101kim:ShoppingCenterMemberkim:VillageCommonsSCMember2022-12-31 0000879101kim:ShoppingCenterMemberkim:VillageCommonsSCMe</w:t>
      </w:r>
      <w:r>
        <w:rPr>
          <w:rFonts w:eastAsia="Times New Roman"/>
          <w:vanish/>
          <w:sz w:val="20"/>
          <w:szCs w:val="20"/>
        </w:rPr>
        <w:t>mber2022-01-012022-12-31 0000879101kim:ShoppingCenterMemberkim:VillageCommonsShoppingCenterMember2022-12-31 0000879101kim:ShoppingCenterMemberkim:VillageCommonsShoppingCenterMember2022-01-012022-12-31 0000879101kim:ShoppingCenterMemberkim:VillageGreenCente</w:t>
      </w:r>
      <w:r>
        <w:rPr>
          <w:rFonts w:eastAsia="Times New Roman"/>
          <w:vanish/>
          <w:sz w:val="20"/>
          <w:szCs w:val="20"/>
        </w:rPr>
        <w:t>rMember2022-12-31 0000879101kim:ShoppingCenterMemberkim:VillageGreenCenterMember2022-01-012022-12-31 0000879101kim:ShoppingCenterMemberkim:VizcayaSquareMember2022-12-31 0000879101kim:ShoppingCenterMemberkim:VizcayaSquareMember2022-01-012022-12-31 000087910</w:t>
      </w:r>
      <w:r>
        <w:rPr>
          <w:rFonts w:eastAsia="Times New Roman"/>
          <w:vanish/>
          <w:sz w:val="20"/>
          <w:szCs w:val="20"/>
        </w:rPr>
        <w:t>1kim:ShoppingCenterMemberkim:WellingtonGreenCommonsMember2022-12-31 0000879101kim:ShoppingCenterMemberkim:WellingtonGreenCommonsMember2022-01-012022-12-31 0000879101kim:ShoppingCenterMemberkim:WellingtonGreenPadSitesMember2022-12-31 0000879101kim:ShoppingC</w:t>
      </w:r>
      <w:r>
        <w:rPr>
          <w:rFonts w:eastAsia="Times New Roman"/>
          <w:vanish/>
          <w:sz w:val="20"/>
          <w:szCs w:val="20"/>
        </w:rPr>
        <w:t>enterMemberkim:WellingtonGreenPadSitesMember2022-01-012022-12-31 0000879101kim:ShoppingCenterMemberkim:WinnDixieMiamiMember2022-12-31 0000879101kim:ShoppingCenterMemberkim:WinnDixieMiamiMember2022-01-012022-12-31 0000879101kim:ShoppingCenterMemberkim:Winte</w:t>
      </w:r>
      <w:r>
        <w:rPr>
          <w:rFonts w:eastAsia="Times New Roman"/>
          <w:vanish/>
          <w:sz w:val="20"/>
          <w:szCs w:val="20"/>
        </w:rPr>
        <w:t>rParkCornersMember2022-12-31 0000879101kim:ShoppingCenterMemberkim:WinterParkCornersMember2022-01-012022-12-31 0000879101kim:ShoppingCenterMemberkim:BraelinnVillageMember2022-12-31 0000879101kim:ShoppingCenterMemberkim:BraelinnVillageMember2022-01-012022-1</w:t>
      </w:r>
      <w:r>
        <w:rPr>
          <w:rFonts w:eastAsia="Times New Roman"/>
          <w:vanish/>
          <w:sz w:val="20"/>
          <w:szCs w:val="20"/>
        </w:rPr>
        <w:t>2-31 0000879101kim:ShoppingCenterMemberkim:BrownsvilleCommonsMember2022-12-31 0000879101kim:ShoppingCenterMemberkim:BrownsvilleCommonsMember2022-01-012022-12-31 0000879101kim:ShoppingCenterMemberkim:CampCreekMarketplaceIIMember2022-12-31 0000879101kim:Shop</w:t>
      </w:r>
      <w:r>
        <w:rPr>
          <w:rFonts w:eastAsia="Times New Roman"/>
          <w:vanish/>
          <w:sz w:val="20"/>
          <w:szCs w:val="20"/>
        </w:rPr>
        <w:t>pingCenterMemberkim:CampCreekMarketplaceIIMember2022-01-012022-12-31 0000879101kim:ShoppingCenterMemberkim:EmbryVillageMember2022-12-31 0000879101kim:ShoppingCenterMemberkim:EmbryVillageMember2022-01-012022-12-31 0000879101kim:ShoppingCenterMemberkim:Grays</w:t>
      </w:r>
      <w:r>
        <w:rPr>
          <w:rFonts w:eastAsia="Times New Roman"/>
          <w:vanish/>
          <w:sz w:val="20"/>
          <w:szCs w:val="20"/>
        </w:rPr>
        <w:t>onCommonsMember2022-12-31 0000879101kim:ShoppingCenterMemberkim:GraysonCommonsMember2022-01-012022-12-31 0000879101kim:ShoppingCenterMemberkim:LakesideMarketplaceMember2022-12-31 0000879101kim:ShoppingCenterMemberkim:LakesideMarketplaceMember2022-01-012022</w:t>
      </w:r>
      <w:r>
        <w:rPr>
          <w:rFonts w:eastAsia="Times New Roman"/>
          <w:vanish/>
          <w:sz w:val="20"/>
          <w:szCs w:val="20"/>
        </w:rPr>
        <w:t>-12-31 0000879101kim:ShoppingCenterMemberkim:LawrencevilleMarketMember2022-12-31 0000879101kim:ShoppingCenterMemberkim:LawrencevilleMarketMember2022-01-012022-12-31 0000879101kim:ShoppingCenterMemberkim:MarketAtHaynesBridgeMember2022-12-31 0000879101kim:Sh</w:t>
      </w:r>
      <w:r>
        <w:rPr>
          <w:rFonts w:eastAsia="Times New Roman"/>
          <w:vanish/>
          <w:sz w:val="20"/>
          <w:szCs w:val="20"/>
        </w:rPr>
        <w:t>oppingCenterMemberkim:MarketAtHaynesBridgeMember2022-01-012022-12-31 0000879101kim:ShoppingCenterMemberkim:PerimeterExpoPropertyMember2022-12-31 0000879101kim:ShoppingCenterMemberkim:PerimeterExpoPropertyMember2022-01-012022-12-31 0000879101kim:ShoppingCen</w:t>
      </w:r>
      <w:r>
        <w:rPr>
          <w:rFonts w:eastAsia="Times New Roman"/>
          <w:vanish/>
          <w:sz w:val="20"/>
          <w:szCs w:val="20"/>
        </w:rPr>
        <w:t>terMemberkim:PerimeterVillageMember2022-12-31 0000879101kim:ShoppingCenterMemberkim:PerimeterVillageMember2022-01-012022-12-31 0000879101kim:ShoppingCenterMemberkim:RiverwalkMarketplaceMember2022-12-31 0000879101kim:ShoppingCenterMemberkim:RiverwalkMarketp</w:t>
      </w:r>
      <w:r>
        <w:rPr>
          <w:rFonts w:eastAsia="Times New Roman"/>
          <w:vanish/>
          <w:sz w:val="20"/>
          <w:szCs w:val="20"/>
        </w:rPr>
        <w:t>laceMember2022-01-012022-12-31 0000879101kim:ShoppingCenterMemberkim:RoswellCornersMember2022-12-31 0000879101kim:ShoppingCenterMemberkim:RoswellCornersMember2022-01-012022-12-31 0000879101kim:ShoppingCenterMemberkim:RoswellCrossingMember2022-12-31 0000879</w:t>
      </w:r>
      <w:r>
        <w:rPr>
          <w:rFonts w:eastAsia="Times New Roman"/>
          <w:vanish/>
          <w:sz w:val="20"/>
          <w:szCs w:val="20"/>
        </w:rPr>
        <w:t>101kim:ShoppingCenterMemberkim:RoswellCrossingMember2022-01-012022-12-31 0000879101kim:ShoppingCenterMemberkim:ThompsonBridgeCommonsMember2022-12-31 0000879101kim:ShoppingCenterMemberkim:ThompsonBridgeCommonsMember2022-01-012022-12-31 0000879101kim:Shoppin</w:t>
      </w:r>
      <w:r>
        <w:rPr>
          <w:rFonts w:eastAsia="Times New Roman"/>
          <w:vanish/>
          <w:sz w:val="20"/>
          <w:szCs w:val="20"/>
        </w:rPr>
        <w:t>gCenterMemberkim:ClivePlazaMember2022-12-31 0000879101kim:ShoppingCenterMemberkim:ClivePlazaMember2022-01-012022-12-31 0000879101kim:ShoppingCenterMemberkim:HawthornHillsSquareMember2022-12-31 0000879101kim:ShoppingCenterMemberkim:HawthornHillsSquareMember</w:t>
      </w:r>
      <w:r>
        <w:rPr>
          <w:rFonts w:eastAsia="Times New Roman"/>
          <w:vanish/>
          <w:sz w:val="20"/>
          <w:szCs w:val="20"/>
        </w:rPr>
        <w:t>2022-01-012022-12-31 0000879101kim:ShoppingCenterMemberkim:PlazaDelPradoMember2022-12-31 0000879101kim:ShoppingCenterMemberkim:PlazaDelPradoMember2022-01-012022-12-31 0000879101kim:ShoppingCenterMemberkim:SkokiePointeMember2022-12-31 0000879101kim:Shopping</w:t>
      </w:r>
      <w:r>
        <w:rPr>
          <w:rFonts w:eastAsia="Times New Roman"/>
          <w:vanish/>
          <w:sz w:val="20"/>
          <w:szCs w:val="20"/>
        </w:rPr>
        <w:t>CenterMemberkim:SkokiePointeMember2022-01-012022-12-31 0000879101kim:ShoppingCenterMemberkim:GreenwoodSCMember2022-12-31 0000879101kim:ShoppingCenterMemberkim:GreenwoodSCMember2022-01-012022-12-31 0000879101kim:ShoppingCenterMemberkim:FestivalOnJeffersonCo</w:t>
      </w:r>
      <w:r>
        <w:rPr>
          <w:rFonts w:eastAsia="Times New Roman"/>
          <w:vanish/>
          <w:sz w:val="20"/>
          <w:szCs w:val="20"/>
        </w:rPr>
        <w:t>urtMember2022-12-31 0000879101kim:ShoppingCenterMemberkim:FestivalOnJeffersonCourtMember2022-01-012022-12-31 0000879101kim:ShoppingCenterMemberkim:AdamsPlazaMember2022-12-31 0000879101kim:ShoppingCenterMemberkim:AdamsPlazaMember2022-01-012022-12-31 0000879</w:t>
      </w:r>
      <w:r>
        <w:rPr>
          <w:rFonts w:eastAsia="Times New Roman"/>
          <w:vanish/>
          <w:sz w:val="20"/>
          <w:szCs w:val="20"/>
        </w:rPr>
        <w:t>101kim:ShoppingCenterMemberkim:BroadwayPlazaMember2022-12-31 0000879101kim:ShoppingCenterMemberkim:BroadwayPlazaMember2022-01-012022-12-31 0000879101kim:ShoppingCenterMemberkim:FalmouthPlazaMember2022-12-31 0000879101kim:ShoppingCenterMemberkim:FalmouthPla</w:t>
      </w:r>
      <w:r>
        <w:rPr>
          <w:rFonts w:eastAsia="Times New Roman"/>
          <w:vanish/>
          <w:sz w:val="20"/>
          <w:szCs w:val="20"/>
        </w:rPr>
        <w:t>zaMember2022-01-012022-12-31 0000879101kim:ShoppingCenterMemberkim:FellswayPlazaMember2022-12-31 0000879101kim:ShoppingCenterMemberkim:FellswayPlazaMember2022-01-012022-12-31 0000879101kim:ShoppingCenterMemberkim:FestivalOfHyannisSCMember2022-12-31 0000879</w:t>
      </w:r>
      <w:r>
        <w:rPr>
          <w:rFonts w:eastAsia="Times New Roman"/>
          <w:vanish/>
          <w:sz w:val="20"/>
          <w:szCs w:val="20"/>
        </w:rPr>
        <w:t>101kim:ShoppingCenterMemberkim:FestivalOfHyannisSCMember2022-01-012022-12-31 0000879101kim:ShoppingCenterMemberkim:GlendaleSquareMember2022-12-31 0000879101kim:ShoppingCenterMemberkim:GlendaleSquareMember2022-01-012022-12-31 0000879101kim:ShoppingCenterMem</w:t>
      </w:r>
      <w:r>
        <w:rPr>
          <w:rFonts w:eastAsia="Times New Roman"/>
          <w:vanish/>
          <w:sz w:val="20"/>
          <w:szCs w:val="20"/>
        </w:rPr>
        <w:t>berkim:LindenPlazaMember2022-12-31 0000879101kim:ShoppingCenterMemberkim:LindenPlazaMember2022-01-012022-12-31 0000879101kim:ShoppingCenterMemberkim:MainStPlazaMember2022-12-31 0000879101kim:ShoppingCenterMemberkim:MainStPlazaMember2022-01-012022-12-31 000</w:t>
      </w:r>
      <w:r>
        <w:rPr>
          <w:rFonts w:eastAsia="Times New Roman"/>
          <w:vanish/>
          <w:sz w:val="20"/>
          <w:szCs w:val="20"/>
        </w:rPr>
        <w:t>0879101kim:ShoppingCenterMemberkim:MemorialPlazaMember2022-12-31 0000879101kim:ShoppingCenterMemberkim:MemorialPlazaMember2022-01-012022-12-31 0000879101kim:ShoppingCenterMemberkim:MillStPlazaMember2022-12-31 0000879101kim:ShoppingCenterMemberkim:MillStPla</w:t>
      </w:r>
      <w:r>
        <w:rPr>
          <w:rFonts w:eastAsia="Times New Roman"/>
          <w:vanish/>
          <w:sz w:val="20"/>
          <w:szCs w:val="20"/>
        </w:rPr>
        <w:t>zaMember2022-01-012022-12-31 0000879101kim:ShoppingCenterMemberkim:MorrisseyPlazaMember2022-12-31 0000879101kim:ShoppingCenterMemberkim:MorrisseyPlazaMember2022-01-012022-12-31 0000879101kim:ShoppingCenterMemberkim:NorthAvePlazaMember2022-12-31 0000879101k</w:t>
      </w:r>
      <w:r>
        <w:rPr>
          <w:rFonts w:eastAsia="Times New Roman"/>
          <w:vanish/>
          <w:sz w:val="20"/>
          <w:szCs w:val="20"/>
        </w:rPr>
        <w:t>im:ShoppingCenterMemberkim:NorthAvePlazaMember2022-01-012022-12-31 0000879101kim:ShoppingCenterMemberkim:NorthQuincyPlazaMember2022-12-31 0000879101kim:ShoppingCenterMemberkim:NorthQuincyPlazaMember2022-01-012022-12-31 0000879101kim:ShoppingCenterMemberkim</w:t>
      </w:r>
      <w:r>
        <w:rPr>
          <w:rFonts w:eastAsia="Times New Roman"/>
          <w:vanish/>
          <w:sz w:val="20"/>
          <w:szCs w:val="20"/>
        </w:rPr>
        <w:t>:ParadisePlazaMember2022-12-31 0000879101kim:ShoppingCenterMemberkim:ParadisePlazaMember2022-01-012022-12-31 0000879101kim:ShoppingCenterMemberkim:VinninSquareInlineMember2022-12-31 0000879101kim:ShoppingCenterMemberkim:VinninSquareInlineMember2022-01-0120</w:t>
      </w:r>
      <w:r>
        <w:rPr>
          <w:rFonts w:eastAsia="Times New Roman"/>
          <w:vanish/>
          <w:sz w:val="20"/>
          <w:szCs w:val="20"/>
        </w:rPr>
        <w:t>22-12-31 0000879101kim:ShoppingCenterMemberkim:VinninSquarePlazaMember2022-12-31 0000879101kim:ShoppingCenterMemberkim:VinninSquarePlazaMember2022-01-012022-12-31 0000879101kim:ShoppingCenterMemberkim:WashingtonStPlazaMember2022-12-31 0000879101kim:Shoppin</w:t>
      </w:r>
      <w:r>
        <w:rPr>
          <w:rFonts w:eastAsia="Times New Roman"/>
          <w:vanish/>
          <w:sz w:val="20"/>
          <w:szCs w:val="20"/>
        </w:rPr>
        <w:t>gCenterMemberkim:WashingtonStPlazaMember2022-01-012022-12-31 0000879101kim:ShoppingCenterMemberkim:WashingtonStSCMember2022-12-31 0000879101kim:ShoppingCenterMemberkim:WashingtonStSCMember2022-01-012022-12-31 0000879101kim:ShoppingCenterMemberkim:WaverlyPl</w:t>
      </w:r>
      <w:r>
        <w:rPr>
          <w:rFonts w:eastAsia="Times New Roman"/>
          <w:vanish/>
          <w:sz w:val="20"/>
          <w:szCs w:val="20"/>
        </w:rPr>
        <w:t>azaMember2022-12-31 0000879101kim:ShoppingCenterMemberkim:WaverlyPlazaMember2022-01-012022-12-31 0000879101kim:ShoppingCenterMemberkim:CentreCourtOldCourtCourtyardMember2022-12-31 0000879101kim:ShoppingCenterMemberkim:CentreCourtOldCourtCourtyardMember2022</w:t>
      </w:r>
      <w:r>
        <w:rPr>
          <w:rFonts w:eastAsia="Times New Roman"/>
          <w:vanish/>
          <w:sz w:val="20"/>
          <w:szCs w:val="20"/>
        </w:rPr>
        <w:t>-01-012022-12-31 0000879101kim:ShoppingCenterMemberkim:CentreCourtRetailBankMember2022-12-31 0000879101kim:ShoppingCenterMemberkim:CentreCourtRetailBankMember2022-01-012022-12-31 0000879101kim:ShoppingCenterMemberkim:ColumbiaCrossingMember2022-12-31 000087</w:t>
      </w:r>
      <w:r>
        <w:rPr>
          <w:rFonts w:eastAsia="Times New Roman"/>
          <w:vanish/>
          <w:sz w:val="20"/>
          <w:szCs w:val="20"/>
        </w:rPr>
        <w:t>9101kim:ShoppingCenterMemberkim:ColumbiaCrossingMember2022-01-012022-12-31 0000879101kim:ShoppingCenterMemberkim:ColumbiaCrossingIIShopCtrMember2022-12-31 0000879101kim:ShoppingCenterMemberkim:ColumbiaCrossingIIShopCtrMember2022-01-012022-12-31 0000879101k</w:t>
      </w:r>
      <w:r>
        <w:rPr>
          <w:rFonts w:eastAsia="Times New Roman"/>
          <w:vanish/>
          <w:sz w:val="20"/>
          <w:szCs w:val="20"/>
        </w:rPr>
        <w:t>im:ShoppingCenterMemberkim:ColumbiaCrossingOutparcelsMember2022-12-31 0000879101kim:ShoppingCenterMemberkim:ColumbiaCrossingOutparcelsMember2022-01-012022-12-31 0000879101kim:ShoppingCenterMemberkim:DorseysSearchVillageCenterMember2022-12-31 0000879101kim:</w:t>
      </w:r>
      <w:r>
        <w:rPr>
          <w:rFonts w:eastAsia="Times New Roman"/>
          <w:vanish/>
          <w:sz w:val="20"/>
          <w:szCs w:val="20"/>
        </w:rPr>
        <w:t>ShoppingCenterMemberkim:DorseysSearchVillageCenterMember2022-01-012022-12-31 0000879101kim:ShoppingCenterMemberkim:EnchantedForestSCMember2022-12-31 0000879101kim:ShoppingCenterMemberkim:EnchantedForestSCMember2022-01-012022-12-31 0000879101kim:ShoppingCen</w:t>
      </w:r>
      <w:r>
        <w:rPr>
          <w:rFonts w:eastAsia="Times New Roman"/>
          <w:vanish/>
          <w:sz w:val="20"/>
          <w:szCs w:val="20"/>
        </w:rPr>
        <w:t>terMemberkim:FullertonPlazaMember2022-12-31 0000879101kim:ShoppingCenterMemberkim:FullertonPlazaMember2022-01-012022-12-31 0000879101kim:ShoppingCenterMemberkim:GaithersburgSCMember2022-12-31 0000879101kim:ShoppingCenterMemberkim:GaithersburgSCMember2022-0</w:t>
      </w:r>
      <w:r>
        <w:rPr>
          <w:rFonts w:eastAsia="Times New Roman"/>
          <w:vanish/>
          <w:sz w:val="20"/>
          <w:szCs w:val="20"/>
        </w:rPr>
        <w:t>1-012022-12-31 0000879101kim:ShoppingCenterMemberkim:GreenbrierSCMember2022-12-31 0000879101kim:ShoppingCenterMemberkim:GreenbrierSCMember2022-01-012022-12-31 0000879101kim:ShoppingCenterMemberkim:HarpersChoiceMember2022-12-31 0000879101kim:ShoppingCenterM</w:t>
      </w:r>
      <w:r>
        <w:rPr>
          <w:rFonts w:eastAsia="Times New Roman"/>
          <w:vanish/>
          <w:sz w:val="20"/>
          <w:szCs w:val="20"/>
        </w:rPr>
        <w:t>emberkim:HarpersChoiceMember2022-01-012022-12-31 0000879101kim:ShoppingCenterMemberkim:HickoryRidgeMember2022-12-31 0000879101kim:ShoppingCenterMemberkim:HickoryRidgeMember2022-01-012022-12-31 0000879101kim:ShoppingCenterMemberkim:HickoryRidgeSunocoMember2</w:t>
      </w:r>
      <w:r>
        <w:rPr>
          <w:rFonts w:eastAsia="Times New Roman"/>
          <w:vanish/>
          <w:sz w:val="20"/>
          <w:szCs w:val="20"/>
        </w:rPr>
        <w:t>022-12-31 0000879101kim:ShoppingCenterMemberkim:HickoryRidgeSunocoMember2022-01-012022-12-31 0000879101kim:ShoppingCenterMemberkim:InglesideSCMember2022-12-31 0000879101kim:ShoppingCenterMemberkim:InglesideSCMember2022-01-012022-12-31 0000879101kim:Shoppin</w:t>
      </w:r>
      <w:r>
        <w:rPr>
          <w:rFonts w:eastAsia="Times New Roman"/>
          <w:vanish/>
          <w:sz w:val="20"/>
          <w:szCs w:val="20"/>
        </w:rPr>
        <w:t>gCenterMemberkim:KentlandsMarketSquareMember2022-12-31 0000879101kim:ShoppingCenterMemberkim:KentlandsMarketSquareMember2022-01-012022-12-31 0000879101kim:ShoppingCenterMemberkim:KingsContrivanceMember2022-12-31 0000879101kim:ShoppingCenterMemberkim:KingsC</w:t>
      </w:r>
      <w:r>
        <w:rPr>
          <w:rFonts w:eastAsia="Times New Roman"/>
          <w:vanish/>
          <w:sz w:val="20"/>
          <w:szCs w:val="20"/>
        </w:rPr>
        <w:t>ontrivanceMember2022-01-012022-12-31 0000879101kim:ShoppingCenterMemberkim:LaurelPlazaMember2022-12-31 0000879101kim:ShoppingCenterMemberkim:LaurelPlazaMember2022-01-012022-12-31 0000879101kim:ShoppingCenterMemberkim:LaurelPlaza2Member2022-12-31 0000879101</w:t>
      </w:r>
      <w:r>
        <w:rPr>
          <w:rFonts w:eastAsia="Times New Roman"/>
          <w:vanish/>
          <w:sz w:val="20"/>
          <w:szCs w:val="20"/>
        </w:rPr>
        <w:t>kim:ShoppingCenterMemberkim:LaurelPlaza2Member2022-01-012022-12-31 0000879101kim:ShoppingCenterMemberkim:MillStationMember2022-12-31 0000879101kim:ShoppingCenterMemberkim:MillStationMember2022-01-012022-12-31 0000879101kim:ShoppingCenterMemberkim:MillStati</w:t>
      </w:r>
      <w:r>
        <w:rPr>
          <w:rFonts w:eastAsia="Times New Roman"/>
          <w:vanish/>
          <w:sz w:val="20"/>
          <w:szCs w:val="20"/>
        </w:rPr>
        <w:t>onTheaterRestaurantsMember2022-12-31 0000879101kim:ShoppingCenterMemberkim:MillStationTheaterRestaurantsMember2022-01-012022-12-31 0000879101kim:ShoppingCenterMemberkim:PikeCenterMember2022-12-31 0000879101kim:ShoppingCenterMemberkim:PikeCenterMember2022-0</w:t>
      </w:r>
      <w:r>
        <w:rPr>
          <w:rFonts w:eastAsia="Times New Roman"/>
          <w:vanish/>
          <w:sz w:val="20"/>
          <w:szCs w:val="20"/>
        </w:rPr>
        <w:t>1-012022-12-31 0000879101kim:ShoppingCenterMemberkim:PuttyHillPlazaMember2022-12-31 0000879101kim:ShoppingCenterMemberkim:PuttyHillPlazaMember2022-01-012022-12-31 0000879101kim:ShoppingCenterMemberkim:RadcliffeCenterMember2022-12-31 0000879101kim:ShoppingC</w:t>
      </w:r>
      <w:r>
        <w:rPr>
          <w:rFonts w:eastAsia="Times New Roman"/>
          <w:vanish/>
          <w:sz w:val="20"/>
          <w:szCs w:val="20"/>
        </w:rPr>
        <w:t>enterMemberkim:RadcliffeCenterMember2022-01-012022-12-31 0000879101kim:ShoppingCenterMemberkim:RiverhillVillageCenterMember2022-12-31 0000879101kim:ShoppingCenterMemberkim:RiverhillVillageCenterMember2022-01-012022-12-31 0000879101kim:ShoppingCenterMemberk</w:t>
      </w:r>
      <w:r>
        <w:rPr>
          <w:rFonts w:eastAsia="Times New Roman"/>
          <w:vanish/>
          <w:sz w:val="20"/>
          <w:szCs w:val="20"/>
        </w:rPr>
        <w:t>im:ShawanPlazaMember2022-12-31 0000879101kim:ShoppingCenterMemberkim:ShawanPlazaMember2022-01-012022-12-31 0000879101kim:ShoppingCenterMemberkim:ShopsAtDistrictHeightsMember2022-12-31 0000879101kim:ShoppingCenterMemberkim:ShopsAtDistrictHeightsMember2022-0</w:t>
      </w:r>
      <w:r>
        <w:rPr>
          <w:rFonts w:eastAsia="Times New Roman"/>
          <w:vanish/>
          <w:sz w:val="20"/>
          <w:szCs w:val="20"/>
        </w:rPr>
        <w:t>1-012022-12-31 0000879101kim:ShoppingCenterMemberkim:SnowdenSquareSCMember2022-12-31 0000879101kim:ShoppingCenterMemberkim:SnowdenSquareSCMember2022-01-012022-12-31 0000879101kim:ShoppingCenterMemberkim:TimoniumCrossingMember2022-12-31 0000879101kim:Shoppi</w:t>
      </w:r>
      <w:r>
        <w:rPr>
          <w:rFonts w:eastAsia="Times New Roman"/>
          <w:vanish/>
          <w:sz w:val="20"/>
          <w:szCs w:val="20"/>
        </w:rPr>
        <w:t>ngCenterMemberkim:TimoniumCrossingMember2022-01-012022-12-31 0000879101kim:ShoppingCenterMemberkim:TimoniumSquareMember2022-12-31 0000879101kim:ShoppingCenterMemberkim:TimoniumSquareMember2022-01-012022-12-31 0000879101kim:ShoppingCenterMemberkim:TowsonPla</w:t>
      </w:r>
      <w:r>
        <w:rPr>
          <w:rFonts w:eastAsia="Times New Roman"/>
          <w:vanish/>
          <w:sz w:val="20"/>
          <w:szCs w:val="20"/>
        </w:rPr>
        <w:t>ceMember2022-12-31 0000879101kim:ShoppingCenterMemberkim:TowsonPlaceMember2022-01-012022-12-31 0000879101kim:ShoppingCenterMemberkim:VillagesAtUrbanaMember2022-12-31 0000879101kim:ShoppingCenterMemberkim:VillagesAtUrbanaMember2022-01-012022-12-31 000087910</w:t>
      </w:r>
      <w:r>
        <w:rPr>
          <w:rFonts w:eastAsia="Times New Roman"/>
          <w:vanish/>
          <w:sz w:val="20"/>
          <w:szCs w:val="20"/>
        </w:rPr>
        <w:t>1kim:ShoppingCenterMemberkim:WildeLakeMember2022-12-31 0000879101kim:ShoppingCenterMemberkim:WildeLakeMember2022-01-012022-12-31 0000879101kim:ShoppingCenterMemberkim:WilkensBeltwayPlazaMember2022-12-31 0000879101kim:ShoppingCenterMemberkim:WilkensBeltwayP</w:t>
      </w:r>
      <w:r>
        <w:rPr>
          <w:rFonts w:eastAsia="Times New Roman"/>
          <w:vanish/>
          <w:sz w:val="20"/>
          <w:szCs w:val="20"/>
        </w:rPr>
        <w:t xml:space="preserve">lazaMember2022-01-012022-12-31 0000879101kim:ShoppingCenterMemberkim:YorkRoadPlazaMember2022-12-31 0000879101kim:ShoppingCenterMemberkim:YorkRoadPlazaMember2022-01-012022-12-31 0000879101kim:ShoppingCenterMemberkim:TheFountainsAtArborLakesMember2022-12-31 </w:t>
      </w:r>
      <w:r>
        <w:rPr>
          <w:rFonts w:eastAsia="Times New Roman"/>
          <w:vanish/>
          <w:sz w:val="20"/>
          <w:szCs w:val="20"/>
        </w:rPr>
        <w:t>0000879101kim:ShoppingCenterMemberkim:TheFountainsAtArborLakesMember2022-01-012022-12-31 0000879101kim:ShoppingCenterMemberkim:CenterPointSCMember2022-12-31 0000879101kim:ShoppingCenterMemberkim:CenterPointSCMember2022-01-012022-12-31 0000879101kim:Shoppin</w:t>
      </w:r>
      <w:r>
        <w:rPr>
          <w:rFonts w:eastAsia="Times New Roman"/>
          <w:vanish/>
          <w:sz w:val="20"/>
          <w:szCs w:val="20"/>
        </w:rPr>
        <w:t>gCenterMemberkim:BrennanStationMember2022-12-31 0000879101kim:ShoppingCenterMemberkim:BrennanStationMember2022-01-012022-12-31 0000879101kim:ShoppingCenterMemberkim:BrennanStationOutparcelMember2022-12-31 0000879101kim:ShoppingCenterMemberkim:BrennanStatio</w:t>
      </w:r>
      <w:r>
        <w:rPr>
          <w:rFonts w:eastAsia="Times New Roman"/>
          <w:vanish/>
          <w:sz w:val="20"/>
          <w:szCs w:val="20"/>
        </w:rPr>
        <w:t>nOutparcelMember2022-01-012022-12-31 0000879101kim:ShoppingCenterMemberkim:CapitalSquareMember2022-12-31 0000879101kim:ShoppingCenterMemberkim:CapitalSquareMember2022-01-012022-12-31 0000879101kim:ShoppingCenterMemberkim:CloverdalePlazaMember2022-12-31 000</w:t>
      </w:r>
      <w:r>
        <w:rPr>
          <w:rFonts w:eastAsia="Times New Roman"/>
          <w:vanish/>
          <w:sz w:val="20"/>
          <w:szCs w:val="20"/>
        </w:rPr>
        <w:t>0879101kim:ShoppingCenterMemberkim:CloverdalePlazaMember2022-01-012022-12-31 0000879101kim:ShoppingCenterMemberkim:CrossroadsPlazaMember2022-12-31 0000879101kim:ShoppingCenterMemberkim:CrossroadsPlazaMember2022-01-012022-12-31 0000879101kim:ShoppingCenterM</w:t>
      </w:r>
      <w:r>
        <w:rPr>
          <w:rFonts w:eastAsia="Times New Roman"/>
          <w:vanish/>
          <w:sz w:val="20"/>
          <w:szCs w:val="20"/>
        </w:rPr>
        <w:t>emberkim:CrossroadsPlaza2Member2022-12-31 0000879101kim:ShoppingCenterMemberkim:CrossroadsPlaza2Member2022-01-012022-12-31 0000879101kim:ShoppingCenterMemberkim:DavidsonCommonsMember2022-12-31 0000879101kim:ShoppingCenterMemberkim:DavidsonCommonsMember2022</w:t>
      </w:r>
      <w:r>
        <w:rPr>
          <w:rFonts w:eastAsia="Times New Roman"/>
          <w:vanish/>
          <w:sz w:val="20"/>
          <w:szCs w:val="20"/>
        </w:rPr>
        <w:t>-01-012022-12-31 0000879101kim:ShoppingCenterMemberkim:FallsPointeMember2022-12-31 0000879101kim:ShoppingCenterMemberkim:FallsPointeMember2022-01-012022-12-31 0000879101kim:ShoppingCenterMemberkim:HighHouseCrossingMember2022-12-31 0000879101kim:ShoppingCen</w:t>
      </w:r>
      <w:r>
        <w:rPr>
          <w:rFonts w:eastAsia="Times New Roman"/>
          <w:vanish/>
          <w:sz w:val="20"/>
          <w:szCs w:val="20"/>
        </w:rPr>
        <w:t>terMemberkim:HighHouseCrossingMember2022-01-012022-12-31 0000879101kim:ShoppingCenterMemberkim:HopeValleyCommonsMember2022-12-31 0000879101kim:ShoppingCenterMemberkim:HopeValleyCommonsMember2022-01-012022-12-31 0000879101kim:ShoppingCenterMemberkim:JettonV</w:t>
      </w:r>
      <w:r>
        <w:rPr>
          <w:rFonts w:eastAsia="Times New Roman"/>
          <w:vanish/>
          <w:sz w:val="20"/>
          <w:szCs w:val="20"/>
        </w:rPr>
        <w:t>illageShoppesMember2022-12-31 0000879101kim:ShoppingCenterMemberkim:JettonVillageShoppesMember2022-01-012022-12-31 0000879101kim:ShoppingCenterMemberkim:LeesvilleTowneCentreMember2022-12-31 0000879101kim:ShoppingCenterMemberkim:LeesvilleTowneCentreMember20</w:t>
      </w:r>
      <w:r>
        <w:rPr>
          <w:rFonts w:eastAsia="Times New Roman"/>
          <w:vanish/>
          <w:sz w:val="20"/>
          <w:szCs w:val="20"/>
        </w:rPr>
        <w:t>22-01-012022-12-31 0000879101kim:ShoppingCenterMemberkim:MooresvilleCrossingMember2022-12-31 0000879101kim:ShoppingCenterMemberkim:MooresvilleCrossingMember2022-01-012022-12-31 0000879101kim:ShoppingCenterMemberkim:NorthwoodsScMember2022-12-31 0000879101ki</w:t>
      </w:r>
      <w:r>
        <w:rPr>
          <w:rFonts w:eastAsia="Times New Roman"/>
          <w:vanish/>
          <w:sz w:val="20"/>
          <w:szCs w:val="20"/>
        </w:rPr>
        <w:t>m:ShoppingCenterMemberkim:NorthwoodsScMember2022-01-012022-12-31 0000879101kim:ShoppingCenterMemberkim:ParkPlaceSCMember2022-12-31 0000879101kim:ShoppingCenterMemberkim:ParkPlaceSCMember2022-01-012022-12-31 0000879101kim:ShoppingCenterMemberkim:PleasantVal</w:t>
      </w:r>
      <w:r>
        <w:rPr>
          <w:rFonts w:eastAsia="Times New Roman"/>
          <w:vanish/>
          <w:sz w:val="20"/>
          <w:szCs w:val="20"/>
        </w:rPr>
        <w:t>leyPromenadeMember2022-12-31 0000879101kim:ShoppingCenterMemberkim:PleasantValleyPromenadeMember2022-01-012022-12-31 0000879101kim:ShoppingCenterMemberkim:QuailCornersMember2022-12-31 0000879101kim:ShoppingCenterMemberkim:QuailCornersMember2022-01-012022-1</w:t>
      </w:r>
      <w:r>
        <w:rPr>
          <w:rFonts w:eastAsia="Times New Roman"/>
          <w:vanish/>
          <w:sz w:val="20"/>
          <w:szCs w:val="20"/>
        </w:rPr>
        <w:t>2-31 0000879101kim:ShoppingCenterMemberkim:SixForksScMember2022-12-31 0000879101kim:ShoppingCenterMemberkim:SixForksScMember2022-01-012022-12-31 0000879101kim:ShoppingCenterMemberkim:StonehengeMarketMember2022-12-31 0000879101kim:ShoppingCenterMemberkim:St</w:t>
      </w:r>
      <w:r>
        <w:rPr>
          <w:rFonts w:eastAsia="Times New Roman"/>
          <w:vanish/>
          <w:sz w:val="20"/>
          <w:szCs w:val="20"/>
        </w:rPr>
        <w:t>onehengeMarketMember2022-01-012022-12-31 0000879101kim:ShoppingCenterMemberkim:TyvolaMallMember2022-12-31 0000879101kim:ShoppingCenterMemberkim:TyvolaMallMember2022-01-012022-12-31 0000879101kim:ShoppingCenterMemberkim:WoodlawnMarketplaceMember2022-12-31 0</w:t>
      </w:r>
      <w:r>
        <w:rPr>
          <w:rFonts w:eastAsia="Times New Roman"/>
          <w:vanish/>
          <w:sz w:val="20"/>
          <w:szCs w:val="20"/>
        </w:rPr>
        <w:t>000879101kim:ShoppingCenterMemberkim:WoodlawnMarketplaceMember2022-01-012022-12-31 0000879101kim:ShoppingCenterMemberkim:WoodlawnShoppingCenterMember2022-12-31 0000879101kim:ShoppingCenterMemberkim:WoodlawnShoppingCenterMember2022-01-012022-12-31 000087910</w:t>
      </w:r>
      <w:r>
        <w:rPr>
          <w:rFonts w:eastAsia="Times New Roman"/>
          <w:vanish/>
          <w:sz w:val="20"/>
          <w:szCs w:val="20"/>
        </w:rPr>
        <w:t>1kim:ShoppingCenterMemberkim:RockinghamPlazaMember2022-12-31 0000879101kim:ShoppingCenterMemberkim:RockinghamPlazaMember2022-01-012022-12-31 0000879101kim:ShoppingCenterMemberkim:WebsterSquareMember2022-12-31 0000879101kim:ShoppingCenterMemberkim:WebsterSq</w:t>
      </w:r>
      <w:r>
        <w:rPr>
          <w:rFonts w:eastAsia="Times New Roman"/>
          <w:vanish/>
          <w:sz w:val="20"/>
          <w:szCs w:val="20"/>
        </w:rPr>
        <w:t xml:space="preserve">uareMember2022-01-012022-12-31 0000879101kim:ShoppingCenterMemberkim:WebsterSquareDSWMember2022-12-31 0000879101kim:ShoppingCenterMemberkim:WebsterSquareDSWMember2022-01-012022-12-31 0000879101kim:ShoppingCenterMemberkim:WebsterSquareNorthMember2022-12-31 </w:t>
      </w:r>
      <w:r>
        <w:rPr>
          <w:rFonts w:eastAsia="Times New Roman"/>
          <w:vanish/>
          <w:sz w:val="20"/>
          <w:szCs w:val="20"/>
        </w:rPr>
        <w:t>0000879101kim:ShoppingCenterMemberkim:WebsterSquareNorthMember2022-01-012022-12-31 0000879101kim:ShoppingCenterMemberkim:CentralPlazaMember2022-12-31 0000879101kim:ShoppingCenterMemberkim:CentralPlazaMember2022-01-012022-12-31 0000879101kim:ShoppingCenterM</w:t>
      </w:r>
      <w:r>
        <w:rPr>
          <w:rFonts w:eastAsia="Times New Roman"/>
          <w:vanish/>
          <w:sz w:val="20"/>
          <w:szCs w:val="20"/>
        </w:rPr>
        <w:t>emberkim:ClarkShoprite70CentralAveMember2022-12-31 0000879101kim:ShoppingCenterMemberkim:ClarkShoprite70CentralAveMember2022-01-012022-12-31 0000879101kim:ShoppingCenterMemberkim:CommerceCenterEastMember2022-12-31 0000879101kim:ShoppingCenterMemberkim:Comm</w:t>
      </w:r>
      <w:r>
        <w:rPr>
          <w:rFonts w:eastAsia="Times New Roman"/>
          <w:vanish/>
          <w:sz w:val="20"/>
          <w:szCs w:val="20"/>
        </w:rPr>
        <w:t>erceCenterEastMember2022-01-012022-12-31 0000879101kim:ShoppingCenterMemberkim:CommerceCenterWestMember2022-12-31 0000879101kim:ShoppingCenterMemberkim:CommerceCenterWestMember2022-01-012022-12-31 0000879101kim:ShoppingCenterMemberkim:CommonsAtHolmdelMembe</w:t>
      </w:r>
      <w:r>
        <w:rPr>
          <w:rFonts w:eastAsia="Times New Roman"/>
          <w:vanish/>
          <w:sz w:val="20"/>
          <w:szCs w:val="20"/>
        </w:rPr>
        <w:t>r2022-12-31 0000879101kim:ShoppingCenterMemberkim:CommonsAtHolmdelMember2022-01-012022-12-31 0000879101kim:ShoppingCenterMemberkim:EastWindsorVillageMember2022-12-31 0000879101kim:ShoppingCenterMemberkim:EastWindsorVillageMember2022-01-012022-12-31 0000879</w:t>
      </w:r>
      <w:r>
        <w:rPr>
          <w:rFonts w:eastAsia="Times New Roman"/>
          <w:vanish/>
          <w:sz w:val="20"/>
          <w:szCs w:val="20"/>
        </w:rPr>
        <w:t>101kim:ShoppingCenterMemberkim:GardenStatePavilionsMember2022-12-31 0000879101kim:ShoppingCenterMemberkim:GardenStatePavilionsMember2022-01-012022-12-31 0000879101kim:ShoppingCenterMemberkim:HillviewShoppingCenterMember2022-12-31 0000879101kim:ShoppingCent</w:t>
      </w:r>
      <w:r>
        <w:rPr>
          <w:rFonts w:eastAsia="Times New Roman"/>
          <w:vanish/>
          <w:sz w:val="20"/>
          <w:szCs w:val="20"/>
        </w:rPr>
        <w:t>erMemberkim:HillviewShoppingCenterMember2022-01-012022-12-31 0000879101kim:ShoppingCenterMemberkim:HolmdelTowneCenterMember2022-12-31 0000879101kim:ShoppingCenterMemberkim:HolmdelTowneCenterMember2022-01-012022-12-31 0000879101kim:ShoppingCenterMemberkim:M</w:t>
      </w:r>
      <w:r>
        <w:rPr>
          <w:rFonts w:eastAsia="Times New Roman"/>
          <w:vanish/>
          <w:sz w:val="20"/>
          <w:szCs w:val="20"/>
        </w:rPr>
        <w:t>apleShadeMember2022-12-31 0000879101kim:ShoppingCenterMemberkim:MapleShadeMember2022-01-012022-12-31 0000879101kim:ShoppingCenterMemberkim:MarltonPlazaMember2022-12-31 0000879101kim:ShoppingCenterMemberkim:MarltonPlazaMember2022-01-012022-12-31 0000879101k</w:t>
      </w:r>
      <w:r>
        <w:rPr>
          <w:rFonts w:eastAsia="Times New Roman"/>
          <w:vanish/>
          <w:sz w:val="20"/>
          <w:szCs w:val="20"/>
        </w:rPr>
        <w:t>im:ShoppingCenterMemberkim:NorthBrunswickPlazaMember2022-12-31 0000879101kim:ShoppingCenterMemberkim:NorthBrunswickPlazaMember2022-01-012022-12-31 0000879101kim:ShoppingCenterMemberkim:PiscatawayTownCenterMember2022-12-31 0000879101kim:ShoppingCenterMember</w:t>
      </w:r>
      <w:r>
        <w:rPr>
          <w:rFonts w:eastAsia="Times New Roman"/>
          <w:vanish/>
          <w:sz w:val="20"/>
          <w:szCs w:val="20"/>
        </w:rPr>
        <w:t>kim:PiscatawayTownCenterMember2022-01-012022-12-31 0000879101kim:ShoppingCenterMemberkim:PlazaAtHillsdaleMember2022-12-31 0000879101kim:ShoppingCenterMemberkim:PlazaAtHillsdaleMember2022-01-012022-12-31 0000879101kim:ShoppingCenterMemberkim:PlazaAtShortHil</w:t>
      </w:r>
      <w:r>
        <w:rPr>
          <w:rFonts w:eastAsia="Times New Roman"/>
          <w:vanish/>
          <w:sz w:val="20"/>
          <w:szCs w:val="20"/>
        </w:rPr>
        <w:t>lsMember2022-12-31 0000879101kim:ShoppingCenterMemberkim:PlazaAtShortHillsMember2022-01-012022-12-31 0000879101kim:ShoppingCenterMemberkim:RidgewoodSCMember2022-12-31 0000879101kim:ShoppingCenterMemberkim:RidgewoodSCMember2022-01-012022-12-31 0000879101kim</w:t>
      </w:r>
      <w:r>
        <w:rPr>
          <w:rFonts w:eastAsia="Times New Roman"/>
          <w:vanish/>
          <w:sz w:val="20"/>
          <w:szCs w:val="20"/>
        </w:rPr>
        <w:t>:ShoppingCenterMemberkim:ShopRitePlazaMember2022-12-31 0000879101kim:ShoppingCenterMemberkim:ShopRitePlazaMember2022-01-012022-12-31 0000879101kim:ShoppingCenterMemberkim:UnionCrescentIIIMember2022-12-31 0000879101kim:ShoppingCenterMemberkim:UnionCrescentI</w:t>
      </w:r>
      <w:r>
        <w:rPr>
          <w:rFonts w:eastAsia="Times New Roman"/>
          <w:vanish/>
          <w:sz w:val="20"/>
          <w:szCs w:val="20"/>
        </w:rPr>
        <w:t>IIMember2022-01-012022-12-31 0000879101kim:ShoppingCenterMemberkim:WestmontPlazaMember2022-12-31 0000879101kim:ShoppingCenterMemberkim:WestmontPlazaMember2022-01-012022-12-31 0000879101kim:ShoppingCenterMemberkim:WillowbrookPlazaMember2022-12-31 0000879101</w:t>
      </w:r>
      <w:r>
        <w:rPr>
          <w:rFonts w:eastAsia="Times New Roman"/>
          <w:vanish/>
          <w:sz w:val="20"/>
          <w:szCs w:val="20"/>
        </w:rPr>
        <w:t>kim:ShoppingCenterMemberkim:WillowbrookPlazaMember2022-01-012022-12-31 0000879101kim:ShoppingCenterMemberkim:NorthTownePlazaAlbuquerqueMember2022-12-31 0000879101kim:ShoppingCenterMemberkim:NorthTownePlazaAlbuquerqueMember2022-01-012022-12-31 0000879101kim</w:t>
      </w:r>
      <w:r>
        <w:rPr>
          <w:rFonts w:eastAsia="Times New Roman"/>
          <w:vanish/>
          <w:sz w:val="20"/>
          <w:szCs w:val="20"/>
        </w:rPr>
        <w:t>:ShoppingCenterMemberkim:CharlestonCommonsMember2022-12-31 0000879101kim:ShoppingCenterMemberkim:CharlestonCommonsMember2022-01-012022-12-31 0000879101kim:ShoppingCenterMemberkim:CollegeParkScNLasVegasMember2022-12-31 0000879101kim:ShoppingCenterMemberkim:</w:t>
      </w:r>
      <w:r>
        <w:rPr>
          <w:rFonts w:eastAsia="Times New Roman"/>
          <w:vanish/>
          <w:sz w:val="20"/>
          <w:szCs w:val="20"/>
        </w:rPr>
        <w:t>CollegeParkScNLasVegasMember2022-01-012022-12-31 0000879101kim:ShoppingCenterMemberkim:DAndreaMarketplaceMember2022-12-31 0000879101kim:ShoppingCenterMemberkim:DAndreaMarketplaceMember2022-01-012022-12-31 0000879101kim:ShoppingCenterMemberkim:DelMontePlaza</w:t>
      </w:r>
      <w:r>
        <w:rPr>
          <w:rFonts w:eastAsia="Times New Roman"/>
          <w:vanish/>
          <w:sz w:val="20"/>
          <w:szCs w:val="20"/>
        </w:rPr>
        <w:t>Member2022-12-31 0000879101kim:ShoppingCenterMemberkim:DelMontePlazaMember2022-01-012022-12-31 0000879101kim:ShoppingCenterMemberkim:DelMontePlazaAnchorParcelMember2022-12-31 0000879101kim:ShoppingCenterMemberkim:DelMontePlazaAnchorParcelMember2022-01-0120</w:t>
      </w:r>
      <w:r>
        <w:rPr>
          <w:rFonts w:eastAsia="Times New Roman"/>
          <w:vanish/>
          <w:sz w:val="20"/>
          <w:szCs w:val="20"/>
        </w:rPr>
        <w:t>22-12-31 0000879101kim:ShoppingCenterMemberkim:FranciscoCenterMember2022-12-31 0000879101kim:ShoppingCenterMemberkim:FranciscoCenterMember2022-01-012022-12-31 0000879101kim:ShoppingCenterMemberkim:GalenaJunctionMember2022-12-31 0000879101kim:ShoppingCenter</w:t>
      </w:r>
      <w:r>
        <w:rPr>
          <w:rFonts w:eastAsia="Times New Roman"/>
          <w:vanish/>
          <w:sz w:val="20"/>
          <w:szCs w:val="20"/>
        </w:rPr>
        <w:t>Memberkim:GalenaJunctionMember2022-01-012022-12-31 0000879101kim:ShoppingCenterMemberkim:McQueenCrossingsMember2022-12-31 0000879101kim:ShoppingCenterMemberkim:McQueenCrossingsMember2022-01-012022-12-31 0000879101kim:ShoppingCenterMemberkim:RanchoTowneCoun</w:t>
      </w:r>
      <w:r>
        <w:rPr>
          <w:rFonts w:eastAsia="Times New Roman"/>
          <w:vanish/>
          <w:sz w:val="20"/>
          <w:szCs w:val="20"/>
        </w:rPr>
        <w:t>tryMember2022-12-31 0000879101kim:ShoppingCenterMemberkim:RanchoTowneCountryMember2022-01-012022-12-31 0000879101kim:ShoppingCenterMemberkim:RedfieldPromenadeMember2022-12-31 0000879101kim:ShoppingCenterMemberkim:RedfieldPromenadeMember2022-01-012022-12-31</w:t>
      </w:r>
      <w:r>
        <w:rPr>
          <w:rFonts w:eastAsia="Times New Roman"/>
          <w:vanish/>
          <w:sz w:val="20"/>
          <w:szCs w:val="20"/>
        </w:rPr>
        <w:t xml:space="preserve"> 0000879101kim:ShoppingCenterMemberkim:SparksMercantileMember2022-12-31 0000879101kim:ShoppingCenterMemberkim:SparksMercantileMember2022-01-012022-12-31 0000879101kim:ShoppingCenterMemberkim:NorthBroadway501Member2022-12-31 0000879101kim:ShoppingCenterMemb</w:t>
      </w:r>
      <w:r>
        <w:rPr>
          <w:rFonts w:eastAsia="Times New Roman"/>
          <w:vanish/>
          <w:sz w:val="20"/>
          <w:szCs w:val="20"/>
        </w:rPr>
        <w:t>erkim:NorthBroadway501Member2022-01-012022-12-31 0000879101kim:ShoppingCenterMemberkim:AirportPlazaMember2022-12-31 0000879101kim:ShoppingCenterMemberkim:AirportPlazaMember2022-01-012022-12-31 0000879101kim:ShoppingCenterMemberkim:BellmoreSCMember2022-12-3</w:t>
      </w:r>
      <w:r>
        <w:rPr>
          <w:rFonts w:eastAsia="Times New Roman"/>
          <w:vanish/>
          <w:sz w:val="20"/>
          <w:szCs w:val="20"/>
        </w:rPr>
        <w:t>1 0000879101kim:ShoppingCenterMemberkim:BellmoreSCMember2022-01-012022-12-31 0000879101kim:ShoppingCenterMemberkim:BirchwoodPlazaCommackMember2022-12-31 0000879101kim:ShoppingCenterMemberkim:BirchwoodPlazaCommackMember2022-01-012022-12-31 0000879101kim:Sho</w:t>
      </w:r>
      <w:r>
        <w:rPr>
          <w:rFonts w:eastAsia="Times New Roman"/>
          <w:vanish/>
          <w:sz w:val="20"/>
          <w:szCs w:val="20"/>
        </w:rPr>
        <w:t>ppingCenterMemberkim:BridgehamptonCommonsWESideMember2022-12-31 0000879101kim:ShoppingCenterMemberkim:BridgehamptonCommonsWESideMember2022-01-012022-12-31 0000879101kim:ShoppingCenterMemberkim:CarmansPlazaMember2022-12-31 0000879101kim:ShoppingCenterMember</w:t>
      </w:r>
      <w:r>
        <w:rPr>
          <w:rFonts w:eastAsia="Times New Roman"/>
          <w:vanish/>
          <w:sz w:val="20"/>
          <w:szCs w:val="20"/>
        </w:rPr>
        <w:t>kim:CarmansPlazaMember2022-01-012022-12-31 0000879101kim:ShoppingCenterMemberkim:ChampionFoodSupermarketMember2022-12-31 0000879101kim:ShoppingCenterMemberkim:ChampionFoodSupermarketMember2022-01-012022-12-31 0000879101kim:ShoppingCenterMemberkim:ElmontSCM</w:t>
      </w:r>
      <w:r>
        <w:rPr>
          <w:rFonts w:eastAsia="Times New Roman"/>
          <w:vanish/>
          <w:sz w:val="20"/>
          <w:szCs w:val="20"/>
        </w:rPr>
        <w:t>ember2022-12-31 0000879101kim:ShoppingCenterMemberkim:ElmontSCMember2022-01-012022-12-31 0000879101kim:ShoppingCenterMemberkim:ElmsfordCenter1Member2022-12-31 0000879101kim:ShoppingCenterMemberkim:ElmsfordCenter1Member2022-01-012022-12-31 0000879101kim:Sho</w:t>
      </w:r>
      <w:r>
        <w:rPr>
          <w:rFonts w:eastAsia="Times New Roman"/>
          <w:vanish/>
          <w:sz w:val="20"/>
          <w:szCs w:val="20"/>
        </w:rPr>
        <w:t>ppingCenterMemberkim:ElmsfordCenter2Member2022-12-31 0000879101kim:ShoppingCenterMemberkim:ElmsfordCenter2Member2022-01-012022-12-31 0000879101kim:ShoppingCenterMemberkim:FamilyDollarUnionTurnpikeMember2022-12-31 0000879101kim:ShoppingCenterMemberkim:Famil</w:t>
      </w:r>
      <w:r>
        <w:rPr>
          <w:rFonts w:eastAsia="Times New Roman"/>
          <w:vanish/>
          <w:sz w:val="20"/>
          <w:szCs w:val="20"/>
        </w:rPr>
        <w:t>yDollarUnionTurnpikeMember2022-01-012022-12-31 0000879101kim:ShoppingCenterMemberkim:ForestAvenuePlazaMember2022-12-31 0000879101kim:ShoppingCenterMemberkim:ForestAvenuePlazaMember2022-01-012022-12-31 0000879101kim:ShoppingCenterMemberkim:FranklinSquareSCM</w:t>
      </w:r>
      <w:r>
        <w:rPr>
          <w:rFonts w:eastAsia="Times New Roman"/>
          <w:vanish/>
          <w:sz w:val="20"/>
          <w:szCs w:val="20"/>
        </w:rPr>
        <w:t>ember2022-12-31 0000879101kim:ShoppingCenterMemberkim:FranklinSquareSCMember2022-01-012022-12-31 0000879101kim:ShoppingCenterMemberkim:GreatNeckOutparcelMember2022-12-31 0000879101kim:ShoppingCenterMemberkim:GreatNeckOutparcelMember2022-01-012022-12-31 000</w:t>
      </w:r>
      <w:r>
        <w:rPr>
          <w:rFonts w:eastAsia="Times New Roman"/>
          <w:vanish/>
          <w:sz w:val="20"/>
          <w:szCs w:val="20"/>
        </w:rPr>
        <w:t>0879101kim:ShoppingCenterMemberkim:GreenridgePlazaMember2022-12-31 0000879101kim:ShoppingCenterMemberkim:GreenridgePlazaMember2022-01-012022-12-31 0000879101kim:ShoppingCenterMemberkim:HamptonBaysPlazaMember2022-12-31 0000879101kim:ShoppingCenterMemberkim:</w:t>
      </w:r>
      <w:r>
        <w:rPr>
          <w:rFonts w:eastAsia="Times New Roman"/>
          <w:vanish/>
          <w:sz w:val="20"/>
          <w:szCs w:val="20"/>
        </w:rPr>
        <w:t>HamptonBaysPlazaMember2022-01-012022-12-31 0000879101kim:ShoppingCenterMemberkim:HicksvillePlazaMember2022-12-31 0000879101kim:ShoppingCenterMemberkim:HicksvillePlazaMember2022-01-012022-12-31 0000879101kim:ShoppingCenterMemberkim:IndependencePlazaMember20</w:t>
      </w:r>
      <w:r>
        <w:rPr>
          <w:rFonts w:eastAsia="Times New Roman"/>
          <w:vanish/>
          <w:sz w:val="20"/>
          <w:szCs w:val="20"/>
        </w:rPr>
        <w:t>22-12-31 0000879101kim:ShoppingCenterMemberkim:IndependencePlazaMember2022-01-012022-12-31 0000879101kim:ShoppingCenterMemberkim:JerichoCommonsSouthMember2022-12-31 0000879101kim:ShoppingCenterMemberkim:JerichoCommonsSouthMember2022-01-012022-12-31 0000879</w:t>
      </w:r>
      <w:r>
        <w:rPr>
          <w:rFonts w:eastAsia="Times New Roman"/>
          <w:vanish/>
          <w:sz w:val="20"/>
          <w:szCs w:val="20"/>
        </w:rPr>
        <w:t>101kim:ShoppingCenterMemberkim:KeyFood21stStreetMember2022-12-31 0000879101kim:ShoppingCenterMemberkim:KeyFood21stStreetMember2022-01-012022-12-31 0000879101kim:ShoppingCenterMemberkim:KeyFoodAtlanticAveMember2022-12-31 0000879101kim:ShoppingCenterMemberki</w:t>
      </w:r>
      <w:r>
        <w:rPr>
          <w:rFonts w:eastAsia="Times New Roman"/>
          <w:vanish/>
          <w:sz w:val="20"/>
          <w:szCs w:val="20"/>
        </w:rPr>
        <w:t>m:KeyFoodAtlanticAveMember2022-01-012022-12-31 0000879101kim:ShoppingCenterMemberkim:KeyFoodCentralAveMember2022-12-31 0000879101kim:ShoppingCenterMemberkim:KeyFoodCentralAveMember2022-01-012022-12-31 0000879101kim:ShoppingCenterMemberkim:KingsHighwayMembe</w:t>
      </w:r>
      <w:r>
        <w:rPr>
          <w:rFonts w:eastAsia="Times New Roman"/>
          <w:vanish/>
          <w:sz w:val="20"/>
          <w:szCs w:val="20"/>
        </w:rPr>
        <w:t>r2022-12-31 0000879101kim:ShoppingCenterMemberkim:KingsHighwayMember2022-01-012022-12-31 0000879101kim:ShoppingCenterMemberkim:KissenaBoulevardShoppingCtrMember2022-12-31 0000879101kim:ShoppingCenterMemberkim:KissenaBoulevardShoppingCtrMember2022-01-012022</w:t>
      </w:r>
      <w:r>
        <w:rPr>
          <w:rFonts w:eastAsia="Times New Roman"/>
          <w:vanish/>
          <w:sz w:val="20"/>
          <w:szCs w:val="20"/>
        </w:rPr>
        <w:t>-12-31 0000879101kim:ShoppingCenterMemberkim:LittleNeckPlazaMember2022-12-31 0000879101kim:ShoppingCenterMemberkim:LittleNeckPlazaMember2022-01-012022-12-31 0000879101kim:ShoppingCenterMemberkim:ManettoHillPlazaMember2022-12-31 0000879101kim:ShoppingCenter</w:t>
      </w:r>
      <w:r>
        <w:rPr>
          <w:rFonts w:eastAsia="Times New Roman"/>
          <w:vanish/>
          <w:sz w:val="20"/>
          <w:szCs w:val="20"/>
        </w:rPr>
        <w:t>Memberkim:ManettoHillPlazaMember2022-01-012022-12-31 0000879101kim:ShoppingCenterMemberkim:ManhassetCenterMember2022-12-31 0000879101kim:ShoppingCenterMemberkim:ManhassetCenterMember2022-01-012022-12-31 0000879101kim:ShoppingCenterMemberkim:MarketAtBayShor</w:t>
      </w:r>
      <w:r>
        <w:rPr>
          <w:rFonts w:eastAsia="Times New Roman"/>
          <w:vanish/>
          <w:sz w:val="20"/>
          <w:szCs w:val="20"/>
        </w:rPr>
        <w:t>eMember2022-12-31 0000879101kim:ShoppingCenterMemberkim:MarketAtBayShoreMember2022-01-012022-12-31 0000879101kim:ShoppingCenterMemberkim:MaspethQueensduaneReadeMember2022-12-31 0000879101kim:ShoppingCenterMemberkim:MaspethQueensduaneReadeMember2022-01-0120</w:t>
      </w:r>
      <w:r>
        <w:rPr>
          <w:rFonts w:eastAsia="Times New Roman"/>
          <w:vanish/>
          <w:sz w:val="20"/>
          <w:szCs w:val="20"/>
        </w:rPr>
        <w:t>22-12-31 0000879101kim:ShoppingCenterMemberkim:MilleridgeInnMember2022-12-31 0000879101kim:ShoppingCenterMemberkim:MilleridgeInnMember2022-01-012022-12-31 0000879101kim:ShoppingCenterMemberkim:MineolaCrossingsMember2022-12-31 0000879101kim:ShoppingCenterMe</w:t>
      </w:r>
      <w:r>
        <w:rPr>
          <w:rFonts w:eastAsia="Times New Roman"/>
          <w:vanish/>
          <w:sz w:val="20"/>
          <w:szCs w:val="20"/>
        </w:rPr>
        <w:t>mberkim:MineolaCrossingsMember2022-01-012022-12-31 0000879101kim:ShoppingCenterMemberkim:NorthMassapequaSCMember2022-12-31 0000879101kim:ShoppingCenterMemberkim:NorthMassapequaSCMember2022-01-012022-12-31 0000879101kim:ShoppingCenterMemberkim:OceanPlazaMem</w:t>
      </w:r>
      <w:r>
        <w:rPr>
          <w:rFonts w:eastAsia="Times New Roman"/>
          <w:vanish/>
          <w:sz w:val="20"/>
          <w:szCs w:val="20"/>
        </w:rPr>
        <w:t>ber2022-12-31 0000879101kim:ShoppingCenterMemberkim:OceanPlazaMember2022-01-012022-12-31 0000879101kim:ShoppingCenterMemberkim:RalphAvenuePlazaMember2022-12-31 0000879101kim:ShoppingCenterMemberkim:RalphAvenuePlazaMember2022-01-012022-12-31 0000879101kim:S</w:t>
      </w:r>
      <w:r>
        <w:rPr>
          <w:rFonts w:eastAsia="Times New Roman"/>
          <w:vanish/>
          <w:sz w:val="20"/>
          <w:szCs w:val="20"/>
        </w:rPr>
        <w:t>hoppingCenterMemberkim:RichmondSCMember2022-12-31 0000879101kim:ShoppingCenterMemberkim:RichmondSCMember2022-01-012022-12-31 0000879101kim:ShoppingCenterMemberkim:RomainePlazaMember2022-12-31 0000879101kim:ShoppingCenterMemberkim:RomainePlazaMember2022-01-</w:t>
      </w:r>
      <w:r>
        <w:rPr>
          <w:rFonts w:eastAsia="Times New Roman"/>
          <w:vanish/>
          <w:sz w:val="20"/>
          <w:szCs w:val="20"/>
        </w:rPr>
        <w:t>012022-12-31 0000879101kim:ShoppingCenterMemberkim:SequamsShoppingCenterMember2022-12-31 0000879101kim:ShoppingCenterMemberkim:SequamsShoppingCenterMember2022-01-012022-12-31 0000879101kim:ShoppingCenterMemberkim:ShopriteSCMember2022-12-31 0000879101kim:Sh</w:t>
      </w:r>
      <w:r>
        <w:rPr>
          <w:rFonts w:eastAsia="Times New Roman"/>
          <w:vanish/>
          <w:sz w:val="20"/>
          <w:szCs w:val="20"/>
        </w:rPr>
        <w:t>oppingCenterMemberkim:ShopriteSCMember2022-01-012022-12-31 0000879101kim:ShoppingCenterMemberkim:StopShopMember2022-12-31 0000879101kim:ShoppingCenterMemberkim:StopShopMember2022-01-012022-12-31 0000879101kim:ShoppingCenterMemberkim:SmithtownPlazaMember202</w:t>
      </w:r>
      <w:r>
        <w:rPr>
          <w:rFonts w:eastAsia="Times New Roman"/>
          <w:vanish/>
          <w:sz w:val="20"/>
          <w:szCs w:val="20"/>
        </w:rPr>
        <w:t>2-12-31 0000879101kim:ShoppingCenterMemberkim:SmithtownPlazaMember2022-01-012022-12-31 0000879101kim:ShoppingCenterMemberkim:SouthgateShoppingCenterMember2022-12-31 0000879101kim:ShoppingCenterMemberkim:SouthgateShoppingCenterMember2022-01-012022-12-31 000</w:t>
      </w:r>
      <w:r>
        <w:rPr>
          <w:rFonts w:eastAsia="Times New Roman"/>
          <w:vanish/>
          <w:sz w:val="20"/>
          <w:szCs w:val="20"/>
        </w:rPr>
        <w:t>0879101kim:ShoppingCenterMemberkim:SyossetCornersMember2022-12-31 0000879101kim:ShoppingCenterMemberkim:SyossetCornersMember2022-01-012022-12-31 0000879101kim:ShoppingCenterMemberkim:SyossetSCMember2022-12-31 0000879101kim:ShoppingCenterMemberkim:SyossetSC</w:t>
      </w:r>
      <w:r>
        <w:rPr>
          <w:rFonts w:eastAsia="Times New Roman"/>
          <w:vanish/>
          <w:sz w:val="20"/>
          <w:szCs w:val="20"/>
        </w:rPr>
        <w:t>Member2022-01-012022-12-31 0000879101kim:ShoppingCenterMemberkim:TheBoulevardMember2022-12-31 0000879101kim:ShoppingCenterMemberkim:TheBoulevardMember2022-01-012022-12-31 0000879101kim:ShoppingCenterMemberkim:TheGardensAtGreatNeckMember2022-12-31 000087910</w:t>
      </w:r>
      <w:r>
        <w:rPr>
          <w:rFonts w:eastAsia="Times New Roman"/>
          <w:vanish/>
          <w:sz w:val="20"/>
          <w:szCs w:val="20"/>
        </w:rPr>
        <w:t>1kim:ShoppingCenterMemberkim:TheGardensAtGreatNeckMember2022-01-012022-12-31 0000879101kim:ShoppingCenterMemberkim:TheGreenCovePlazaMember2022-12-31 0000879101kim:ShoppingCenterMemberkim:TheGreenCovePlazaMember2022-01-012022-12-31 0000879101kim:ShoppingCen</w:t>
      </w:r>
      <w:r>
        <w:rPr>
          <w:rFonts w:eastAsia="Times New Roman"/>
          <w:vanish/>
          <w:sz w:val="20"/>
          <w:szCs w:val="20"/>
        </w:rPr>
        <w:t>terMemberkim:TheMarketplaceMember2022-12-31 0000879101kim:ShoppingCenterMemberkim:TheMarketplaceMember2022-01-012022-12-31 0000879101kim:ShoppingCenterMemberkim:TownpathCornerMember2022-12-31 0000879101kim:ShoppingCenterMemberkim:TownpathCornerMember2022-0</w:t>
      </w:r>
      <w:r>
        <w:rPr>
          <w:rFonts w:eastAsia="Times New Roman"/>
          <w:vanish/>
          <w:sz w:val="20"/>
          <w:szCs w:val="20"/>
        </w:rPr>
        <w:t>1-012022-12-31 0000879101kim:ShoppingCenterMemberkim:TurnpikePlazaMember2022-12-31 0000879101kim:ShoppingCenterMemberkim:TurnpikePlazaMember2022-01-012022-12-31 0000879101kim:ShoppingCenterMemberkim:VeteransMemorialPlazaMember2022-12-31 0000879101kim:Shopp</w:t>
      </w:r>
      <w:r>
        <w:rPr>
          <w:rFonts w:eastAsia="Times New Roman"/>
          <w:vanish/>
          <w:sz w:val="20"/>
          <w:szCs w:val="20"/>
        </w:rPr>
        <w:t>ingCenterMemberkim:VeteransMemorialPlazaMember2022-01-012022-12-31 0000879101kim:ShoppingCenterMemberkim:WhitePlainsSCMember2022-12-31 0000879101kim:ShoppingCenterMemberkim:WhitePlainsSCMember2022-01-012022-12-31 0000879101kim:ShoppingCenterMemberkim:Woodb</w:t>
      </w:r>
      <w:r>
        <w:rPr>
          <w:rFonts w:eastAsia="Times New Roman"/>
          <w:vanish/>
          <w:sz w:val="20"/>
          <w:szCs w:val="20"/>
        </w:rPr>
        <w:t>uryCommonMember2022-12-31 0000879101kim:ShoppingCenterMemberkim:WoodburyCommonMember2022-01-012022-12-31 0000879101kim:ShoppingCenterMemberkim:JantzenBeachCenterMember2022-12-31 0000879101kim:ShoppingCenterMemberkim:JantzenBeachCenterMember2022-01-012022-1</w:t>
      </w:r>
      <w:r>
        <w:rPr>
          <w:rFonts w:eastAsia="Times New Roman"/>
          <w:vanish/>
          <w:sz w:val="20"/>
          <w:szCs w:val="20"/>
        </w:rPr>
        <w:t>2-31 0000879101kim:ShoppingCenterMemberkim:CenterSquareShoppingCenterMember2022-12-31 0000879101kim:ShoppingCenterMemberkim:CenterSquareShoppingCenterMember2022-01-012022-12-31 0000879101kim:ShoppingCenterMemberkim:CranberryTownshipParcel1And2Member2022-12</w:t>
      </w:r>
      <w:r>
        <w:rPr>
          <w:rFonts w:eastAsia="Times New Roman"/>
          <w:vanish/>
          <w:sz w:val="20"/>
          <w:szCs w:val="20"/>
        </w:rPr>
        <w:t>-31 0000879101kim:ShoppingCenterMemberkim:CranberryTownshipParcel1And2Member2022-01-012022-12-31 0000879101kim:ShoppingCenterMemberkim:CrossroadsPlaza3Member2022-12-31 0000879101kim:ShoppingCenterMemberkim:CrossroadsPlaza3Member2022-01-012022-12-31 0000879</w:t>
      </w:r>
      <w:r>
        <w:rPr>
          <w:rFonts w:eastAsia="Times New Roman"/>
          <w:vanish/>
          <w:sz w:val="20"/>
          <w:szCs w:val="20"/>
        </w:rPr>
        <w:t>101kim:ShoppingCenterMemberkim:DevonVillageMember2022-12-31 0000879101kim:ShoppingCenterMemberkim:DevonVillageMember2022-01-012022-12-31 0000879101kim:ShoppingCenterMemberkim:FishtownCrossingMember2022-12-31 0000879101kim:ShoppingCenterMemberkim:FishtownCr</w:t>
      </w:r>
      <w:r>
        <w:rPr>
          <w:rFonts w:eastAsia="Times New Roman"/>
          <w:vanish/>
          <w:sz w:val="20"/>
          <w:szCs w:val="20"/>
        </w:rPr>
        <w:t>ossingMember2022-01-012022-12-31 0000879101kim:ShoppingCenterMemberkim:FrankfordAvenueScMember2022-12-31 0000879101kim:ShoppingCenterMemberkim:FrankfordAvenueScMember2022-01-012022-12-31 0000879101kim:ShoppingCenterMemberkim:HarrisburgEastShoppingCtrMember</w:t>
      </w:r>
      <w:r>
        <w:rPr>
          <w:rFonts w:eastAsia="Times New Roman"/>
          <w:vanish/>
          <w:sz w:val="20"/>
          <w:szCs w:val="20"/>
        </w:rPr>
        <w:t>2022-12-31 0000879101kim:ShoppingCenterMemberkim:HarrisburgEastShoppingCtrMember2022-01-012022-12-31 0000879101kim:ShoppingCenterMemberkim:HorshamPointMember2022-12-31 0000879101kim:ShoppingCenterMemberkim:HorshamPointMember2022-01-012022-12-31 0000879101k</w:t>
      </w:r>
      <w:r>
        <w:rPr>
          <w:rFonts w:eastAsia="Times New Roman"/>
          <w:vanish/>
          <w:sz w:val="20"/>
          <w:szCs w:val="20"/>
        </w:rPr>
        <w:t>im:ShoppingCenterMemberkim:LincolnSquareMember2022-12-31 0000879101kim:ShoppingCenterMemberkim:LincolnSquareMember2022-01-012022-12-31 0000879101kim:ShoppingCenterMemberkim:NorritonSquareMember2022-12-31 0000879101kim:ShoppingCenterMemberkim:NorritonSquare</w:t>
      </w:r>
      <w:r>
        <w:rPr>
          <w:rFonts w:eastAsia="Times New Roman"/>
          <w:vanish/>
          <w:sz w:val="20"/>
          <w:szCs w:val="20"/>
        </w:rPr>
        <w:t>Member2022-01-012022-12-31 0000879101kim:ShoppingCenterMemberkim:PoconoPlazaMember2022-12-31 0000879101kim:ShoppingCenterMemberkim:PoconoPlazaMember2022-01-012022-12-31 0000879101kim:ShoppingCenterMemberkim:ShoppesAtWynnewoodMember2022-12-31 0000879101kim:</w:t>
      </w:r>
      <w:r>
        <w:rPr>
          <w:rFonts w:eastAsia="Times New Roman"/>
          <w:vanish/>
          <w:sz w:val="20"/>
          <w:szCs w:val="20"/>
        </w:rPr>
        <w:t>ShoppingCenterMemberkim:ShoppesAtWynnewoodMember2022-01-012022-12-31 0000879101kim:ShoppingCenterMemberkim:ShrewsburySquareSCMember2022-12-31 0000879101kim:ShoppingCenterMemberkim:ShrewsburySquareSCMember2022-01-012022-12-31 0000879101kim:ShoppingCenterMem</w:t>
      </w:r>
      <w:r>
        <w:rPr>
          <w:rFonts w:eastAsia="Times New Roman"/>
          <w:vanish/>
          <w:sz w:val="20"/>
          <w:szCs w:val="20"/>
        </w:rPr>
        <w:t>berkim:SpringfieldSCMember2022-12-31 0000879101kim:ShoppingCenterMemberkim:SpringfieldSCMember2022-01-012022-12-31 0000879101kim:ShoppingCenterMemberkim:SuburbanSquareMember2022-12-31 0000879101kim:ShoppingCenterMemberkim:SuburbanSquareMember2022-01-012022</w:t>
      </w:r>
      <w:r>
        <w:rPr>
          <w:rFonts w:eastAsia="Times New Roman"/>
          <w:vanish/>
          <w:sz w:val="20"/>
          <w:szCs w:val="20"/>
        </w:rPr>
        <w:t>-12-31 0000879101kim:ShoppingCenterMemberkim:TownshipLineScMember2022-12-31 0000879101kim:ShoppingCenterMemberkim:TownshipLineScMember2022-01-012022-12-31 0000879101kim:ShoppingCenterMemberkim:WaynePlazaMember2022-12-31 0000879101kim:ShoppingCenterMemberki</w:t>
      </w:r>
      <w:r>
        <w:rPr>
          <w:rFonts w:eastAsia="Times New Roman"/>
          <w:vanish/>
          <w:sz w:val="20"/>
          <w:szCs w:val="20"/>
        </w:rPr>
        <w:t>m:WaynePlazaMember2022-01-012022-12-31 0000879101kim:ShoppingCenterMemberkim:WexfordPlazaMember2022-12-31 0000879101kim:ShoppingCenterMemberkim:WexfordPlazaMember2022-01-012022-12-31 0000879101kim:ShoppingCenterMemberkim:WhitehallMallMember2022-12-31 00008</w:t>
      </w:r>
      <w:r>
        <w:rPr>
          <w:rFonts w:eastAsia="Times New Roman"/>
          <w:vanish/>
          <w:sz w:val="20"/>
          <w:szCs w:val="20"/>
        </w:rPr>
        <w:t>79101kim:ShoppingCenterMemberkim:WhitehallMallMember2022-01-012022-12-31 0000879101kim:ShoppingCenterMemberkim:WhitelandTownCenterMember2022-12-31 0000879101kim:ShoppingCenterMemberkim:WhitelandTownCenterMember2022-01-012022-12-31 0000879101kim:ShoppingCen</w:t>
      </w:r>
      <w:r>
        <w:rPr>
          <w:rFonts w:eastAsia="Times New Roman"/>
          <w:vanish/>
          <w:sz w:val="20"/>
          <w:szCs w:val="20"/>
        </w:rPr>
        <w:t>terMemberkim:WholeFoodsAtWynnewoodMember2022-12-31 0000879101kim:ShoppingCenterMemberkim:WholeFoodsAtWynnewoodMember2022-01-012022-12-31 0000879101kim:ShoppingCenterMemberkim:LosColobosBuilderSquareMember2022-12-31 0000879101kim:ShoppingCenterMemberkim:Los</w:t>
      </w:r>
      <w:r>
        <w:rPr>
          <w:rFonts w:eastAsia="Times New Roman"/>
          <w:vanish/>
          <w:sz w:val="20"/>
          <w:szCs w:val="20"/>
        </w:rPr>
        <w:t>ColobosBuilderSquareMember2022-01-012022-12-31 0000879101kim:ShoppingCenterMemberkim:LosColobosKmartMember2022-12-31 0000879101kim:ShoppingCenterMemberkim:LosColobosKmartMember2022-01-012022-12-31 0000879101kim:ShoppingCenterMemberkim:LosColobosIMember2022</w:t>
      </w:r>
      <w:r>
        <w:rPr>
          <w:rFonts w:eastAsia="Times New Roman"/>
          <w:vanish/>
          <w:sz w:val="20"/>
          <w:szCs w:val="20"/>
        </w:rPr>
        <w:t>-12-31 0000879101kim:ShoppingCenterMemberkim:LosColobosIMember2022-01-012022-12-31 0000879101kim:ShoppingCenterMemberkim:LosColobosIIMember2022-12-31 0000879101kim:ShoppingCenterMemberkim:LosColobosIIMember2022-01-012022-12-31 0000879101kim:ShoppingCenterM</w:t>
      </w:r>
      <w:r>
        <w:rPr>
          <w:rFonts w:eastAsia="Times New Roman"/>
          <w:vanish/>
          <w:sz w:val="20"/>
          <w:szCs w:val="20"/>
        </w:rPr>
        <w:t>emberkim:ManatiVillaMariaSCMember2022-12-31 0000879101kim:ShoppingCenterMemberkim:ManatiVillaMariaSCMember2022-01-012022-12-31 0000879101kim:ShoppingCenterMemberkim:PlazaCentroCostcoMember2022-12-31 0000879101kim:ShoppingCenterMemberkim:PlazaCentroCostcoMe</w:t>
      </w:r>
      <w:r>
        <w:rPr>
          <w:rFonts w:eastAsia="Times New Roman"/>
          <w:vanish/>
          <w:sz w:val="20"/>
          <w:szCs w:val="20"/>
        </w:rPr>
        <w:t>mber2022-01-012022-12-31 0000879101kim:ShoppingCenterMemberkim:PlazaCentroMallMember2022-12-31 0000879101kim:ShoppingCenterMemberkim:PlazaCentroMallMember2022-01-012022-12-31 0000879101kim:ShoppingCenterMemberkim:PlazaCentroRetailMember2022-12-31 000087910</w:t>
      </w:r>
      <w:r>
        <w:rPr>
          <w:rFonts w:eastAsia="Times New Roman"/>
          <w:vanish/>
          <w:sz w:val="20"/>
          <w:szCs w:val="20"/>
        </w:rPr>
        <w:t>1kim:ShoppingCenterMemberkim:PlazaCentroRetailMember2022-01-012022-12-31 0000879101kim:ShoppingCenterMemberkim:PlazaCentroSamsClubMember2022-12-31 0000879101kim:ShoppingCenterMemberkim:PlazaCentroSamsClubMember2022-01-012022-12-31 0000879101kim:ShoppingCen</w:t>
      </w:r>
      <w:r>
        <w:rPr>
          <w:rFonts w:eastAsia="Times New Roman"/>
          <w:vanish/>
          <w:sz w:val="20"/>
          <w:szCs w:val="20"/>
        </w:rPr>
        <w:t>terMemberkim:PonceTownCenterMember2022-12-31 0000879101kim:ShoppingCenterMemberkim:PonceTownCenterMember2022-01-012022-12-31 0000879101kim:ShoppingCenterMemberkim:RexvilleTownCenterMember2022-12-31 0000879101kim:ShoppingCenterMemberkim:RexvilleTownCenterMe</w:t>
      </w:r>
      <w:r>
        <w:rPr>
          <w:rFonts w:eastAsia="Times New Roman"/>
          <w:vanish/>
          <w:sz w:val="20"/>
          <w:szCs w:val="20"/>
        </w:rPr>
        <w:t>mber2022-01-012022-12-31 0000879101kim:ShoppingCenterMemberkim:TrujilloAltoPlazaMember2022-12-31 0000879101kim:ShoppingCenterMemberkim:TrujilloAltoPlazaMember2022-01-012022-12-31 0000879101kim:ShoppingCenterMemberkim:WesternPlazaMayaquezOneMember2022-12-31</w:t>
      </w:r>
      <w:r>
        <w:rPr>
          <w:rFonts w:eastAsia="Times New Roman"/>
          <w:vanish/>
          <w:sz w:val="20"/>
          <w:szCs w:val="20"/>
        </w:rPr>
        <w:t xml:space="preserve"> 0000879101kim:ShoppingCenterMemberkim:WesternPlazaMayaquezOneMember2022-01-012022-12-31 0000879101kim:ShoppingCenterMemberkim:WesternPlazaMayaguezTwoMember2022-12-31 0000879101kim:ShoppingCenterMemberkim:WesternPlazaMayaguezTwoMember2022-01-012022-12-31 0</w:t>
      </w:r>
      <w:r>
        <w:rPr>
          <w:rFonts w:eastAsia="Times New Roman"/>
          <w:vanish/>
          <w:sz w:val="20"/>
          <w:szCs w:val="20"/>
        </w:rPr>
        <w:t>000879101kim:ShoppingCenterMemberkim:ForestParkMember2022-12-31 0000879101kim:ShoppingCenterMemberkim:ForestParkMember2022-01-012022-12-31 0000879101kim:ShoppingCenterMemberkim:StAndrewsCenterMember2022-12-31 0000879101kim:ShoppingCenterMemberkim:StAndrews</w:t>
      </w:r>
      <w:r>
        <w:rPr>
          <w:rFonts w:eastAsia="Times New Roman"/>
          <w:vanish/>
          <w:sz w:val="20"/>
          <w:szCs w:val="20"/>
        </w:rPr>
        <w:t xml:space="preserve">CenterMember2022-01-012022-12-31 0000879101kim:ShoppingCenterMemberkim:WestwoodPlazaMember2022-12-31 0000879101kim:ShoppingCenterMemberkim:WestwoodPlazaMember2022-01-012022-12-31 0000879101kim:ShoppingCenterMemberkim:WoodruffShoppingCenterMember2022-12-31 </w:t>
      </w:r>
      <w:r>
        <w:rPr>
          <w:rFonts w:eastAsia="Times New Roman"/>
          <w:vanish/>
          <w:sz w:val="20"/>
          <w:szCs w:val="20"/>
        </w:rPr>
        <w:t>0000879101kim:ShoppingCenterMemberkim:WoodruffShoppingCenterMember2022-01-012022-12-31 0000879101kim:ShoppingCenterMemberkim:HighlandSquareMember2022-12-31 0000879101kim:ShoppingCenterMemberkim:HighlandSquareMember2022-01-012022-12-31 0000879101kim:Shoppin</w:t>
      </w:r>
      <w:r>
        <w:rPr>
          <w:rFonts w:eastAsia="Times New Roman"/>
          <w:vanish/>
          <w:sz w:val="20"/>
          <w:szCs w:val="20"/>
        </w:rPr>
        <w:t>gCenterMemberkim:MendenhallCommonsMember2022-12-31 0000879101kim:ShoppingCenterMemberkim:MendenhallCommonsMember2022-01-012022-12-31 0000879101kim:ShoppingCenterMemberkim:OldTowneVillageMember2022-12-31 0000879101kim:ShoppingCenterMemberkim:OldTowneVillage</w:t>
      </w:r>
      <w:r>
        <w:rPr>
          <w:rFonts w:eastAsia="Times New Roman"/>
          <w:vanish/>
          <w:sz w:val="20"/>
          <w:szCs w:val="20"/>
        </w:rPr>
        <w:t>Member2022-01-012022-12-31 0000879101kim:ShoppingCenterMemberkim:TheCommonsAtDexterLakeMember2022-12-31 0000879101kim:ShoppingCenterMemberkim:TheCommonsAtDexterLakeMember2022-01-012022-12-31 0000879101kim:ShoppingCenterMemberkim:TheCommonsAtDexterLakeIIMem</w:t>
      </w:r>
      <w:r>
        <w:rPr>
          <w:rFonts w:eastAsia="Times New Roman"/>
          <w:vanish/>
          <w:sz w:val="20"/>
          <w:szCs w:val="20"/>
        </w:rPr>
        <w:t>ber2022-12-31 0000879101kim:ShoppingCenterMemberkim:TheCommonsAtDexterLakeIIMember2022-01-012022-12-31 0000879101kim:ShoppingCenterMemberkim:The1934WestGrayMember2022-12-31 0000879101kim:ShoppingCenterMemberkim:The1934WestGrayMember2022-01-012022-12-31 000</w:t>
      </w:r>
      <w:r>
        <w:rPr>
          <w:rFonts w:eastAsia="Times New Roman"/>
          <w:vanish/>
          <w:sz w:val="20"/>
          <w:szCs w:val="20"/>
        </w:rPr>
        <w:t>0879101kim:ShoppingCenterMemberkim:The1939WestGrayMember2022-12-31 0000879101kim:ShoppingCenterMemberkim:The1939WestGrayMember2022-01-012022-12-31 0000879101kim:ShoppingCenterMemberkim:The43rdStreetChaseBankBldgMember2022-12-31 0000879101kim:ShoppingCenter</w:t>
      </w:r>
      <w:r>
        <w:rPr>
          <w:rFonts w:eastAsia="Times New Roman"/>
          <w:vanish/>
          <w:sz w:val="20"/>
          <w:szCs w:val="20"/>
        </w:rPr>
        <w:t>Memberkim:The43rdStreetChaseBankBldgMember2022-01-012022-12-31 0000879101kim:ShoppingCenterMemberkim:AccentPlazaMember2022-12-31 0000879101kim:ShoppingCenterMemberkim:AccentPlazaMember2022-01-012022-12-31 0000879101kim:ShoppingCenterMemberkim:CenterOfTheHi</w:t>
      </w:r>
      <w:r>
        <w:rPr>
          <w:rFonts w:eastAsia="Times New Roman"/>
          <w:vanish/>
          <w:sz w:val="20"/>
          <w:szCs w:val="20"/>
        </w:rPr>
        <w:t>llsMember2022-12-31 0000879101kim:ShoppingCenterMemberkim:AlabamaShepherdScMember2022-12-31 0000879101kim:ShoppingCenterMemberkim:AlabamaShepherdScMember2022-01-012022-12-31 0000879101kim:ShoppingCenterMemberkim:AtascocitaCommonsShopCtrMember2022-12-31 000</w:t>
      </w:r>
      <w:r>
        <w:rPr>
          <w:rFonts w:eastAsia="Times New Roman"/>
          <w:vanish/>
          <w:sz w:val="20"/>
          <w:szCs w:val="20"/>
        </w:rPr>
        <w:t>0879101kim:ShoppingCenterMemberkim:AtascocitaCommonsShopCtrMember2022-01-012022-12-31 0000879101kim:ShoppingCenterMemberkim:BaybrookGatewayMember2022-12-31 0000879101kim:ShoppingCenterMemberkim:BaybrookGatewayMember2022-01-012022-12-31 0000879101kim:Shoppi</w:t>
      </w:r>
      <w:r>
        <w:rPr>
          <w:rFonts w:eastAsia="Times New Roman"/>
          <w:vanish/>
          <w:sz w:val="20"/>
          <w:szCs w:val="20"/>
        </w:rPr>
        <w:t>ngCenterMemberkim:BaybrookWebsterParcelMember2022-12-31 0000879101kim:ShoppingCenterMemberkim:BaybrookWebsterParcelMember2022-01-012022-12-31 0000879101kim:ShoppingCenterMemberkim:BellaireBlvdScMember2022-12-31 0000879101kim:ShoppingCenterMemberkim:Bellair</w:t>
      </w:r>
      <w:r>
        <w:rPr>
          <w:rFonts w:eastAsia="Times New Roman"/>
          <w:vanish/>
          <w:sz w:val="20"/>
          <w:szCs w:val="20"/>
        </w:rPr>
        <w:t>eBlvdScMember2022-01-012022-12-31 0000879101kim:ShoppingCenterMemberkim:BlalockMarketMember2022-12-31 0000879101kim:ShoppingCenterMemberkim:BlalockMarketMember2022-01-012022-12-31 0000879101kim:ShoppingCenterMemberkim:CenterAtBaybrookMember2022-12-31 00008</w:t>
      </w:r>
      <w:r>
        <w:rPr>
          <w:rFonts w:eastAsia="Times New Roman"/>
          <w:vanish/>
          <w:sz w:val="20"/>
          <w:szCs w:val="20"/>
        </w:rPr>
        <w:t>79101kim:ShoppingCenterMemberkim:CenterAtBaybrookMember2022-01-012022-12-31 0000879101kim:ShoppingCenterMemberkim:CenterOfTheHillsMember2022-01-012022-12-31 0000879101kim:ShoppingCenterMemberkim:CitadelBuildingMember2022-12-31 0000879101kim:ShoppingCenterM</w:t>
      </w:r>
      <w:r>
        <w:rPr>
          <w:rFonts w:eastAsia="Times New Roman"/>
          <w:vanish/>
          <w:sz w:val="20"/>
          <w:szCs w:val="20"/>
        </w:rPr>
        <w:t>emberkim:CitadelBuildingMember2022-01-012022-12-31 0000879101kim:ShoppingCenterMemberkim:ConroeMarketplaceMember2022-12-31 0000879101kim:ShoppingCenterMemberkim:ConroeMarketplaceMember2022-01-012022-12-31 0000879101kim:ShoppingCenterMemberkim:CopperfieldVi</w:t>
      </w:r>
      <w:r>
        <w:rPr>
          <w:rFonts w:eastAsia="Times New Roman"/>
          <w:vanish/>
          <w:sz w:val="20"/>
          <w:szCs w:val="20"/>
        </w:rPr>
        <w:t>llageShopCtrMember2022-12-31 0000879101kim:ShoppingCenterMemberkim:CopperfieldVillageShopCtrMember2022-01-012022-12-31 0000879101kim:ShoppingCenterMemberkim:CopperwoodVillageMember2022-12-31 0000879101kim:ShoppingCenterMemberkim:CopperwoodVillageMember2022</w:t>
      </w:r>
      <w:r>
        <w:rPr>
          <w:rFonts w:eastAsia="Times New Roman"/>
          <w:vanish/>
          <w:sz w:val="20"/>
          <w:szCs w:val="20"/>
        </w:rPr>
        <w:t>-01-012022-12-31 0000879101kim:ShoppingCenterMemberkim:CypressTowneCenterMember2022-12-31 0000879101kim:ShoppingCenterMemberkim:CypressTowneCenterMember2022-01-012022-12-31 0000879101kim:ShoppingCenterMemberkim:CypressTowneCenter2Member2022-12-31 000087910</w:t>
      </w:r>
      <w:r>
        <w:rPr>
          <w:rFonts w:eastAsia="Times New Roman"/>
          <w:vanish/>
          <w:sz w:val="20"/>
          <w:szCs w:val="20"/>
        </w:rPr>
        <w:t>1kim:ShoppingCenterMemberkim:CypressTowneCenter2Member2022-01-012022-12-31 0000879101kim:ShoppingCenterMemberkim:CypressTowneCenterPhaseIIMember2022-12-31 0000879101kim:ShoppingCenterMemberkim:CypressTowneCenterPhaseIIMember2022-01-012022-12-31 0000879101k</w:t>
      </w:r>
      <w:r>
        <w:rPr>
          <w:rFonts w:eastAsia="Times New Roman"/>
          <w:vanish/>
          <w:sz w:val="20"/>
          <w:szCs w:val="20"/>
        </w:rPr>
        <w:t>im:ShoppingCenterMemberkim:DriscollAtRiverOaksResiMember2022-12-31 0000879101kim:ShoppingCenterMemberkim:DriscollAtRiverOaksResiMember2022-01-012022-12-31 0000879101kim:ShoppingCenterMemberkim:FiestaTargetMember2022-12-31 0000879101kim:ShoppingCenterMember</w:t>
      </w:r>
      <w:r>
        <w:rPr>
          <w:rFonts w:eastAsia="Times New Roman"/>
          <w:vanish/>
          <w:sz w:val="20"/>
          <w:szCs w:val="20"/>
        </w:rPr>
        <w:t xml:space="preserve">kim:FiestaTargetMember2022-01-012022-12-31 0000879101kim:ShoppingCenterMemberkim:FiestaTrailsMember2022-12-31 0000879101kim:ShoppingCenterMemberkim:FiestaTrailsMember2022-01-012022-12-31 0000879101kim:ShoppingCenterMemberkim:GalvestonPlaceMember2022-12-31 </w:t>
      </w:r>
      <w:r>
        <w:rPr>
          <w:rFonts w:eastAsia="Times New Roman"/>
          <w:vanish/>
          <w:sz w:val="20"/>
          <w:szCs w:val="20"/>
        </w:rPr>
        <w:t>0000879101kim:ShoppingCenterMemberkim:GalvestonPlaceMember2022-01-012022-12-31 0000879101kim:ShoppingCenterMemberkim:GatewayStationMember2022-12-31 0000879101kim:ShoppingCenterMemberkim:GatewayStationMember2022-01-012022-12-31 0000879101kim:ShoppingCenterM</w:t>
      </w:r>
      <w:r>
        <w:rPr>
          <w:rFonts w:eastAsia="Times New Roman"/>
          <w:vanish/>
          <w:sz w:val="20"/>
          <w:szCs w:val="20"/>
        </w:rPr>
        <w:t>emberkim:GatewayStationPhaseIIMember2022-12-31 0000879101kim:ShoppingCenterMemberkim:GatewayStationPhaseIIMember2022-01-012022-12-31 0000879101kim:ShoppingCenterMemberkim:GrandParkwayMarketplaceIIMember2022-12-31 0000879101kim:ShoppingCenterMemberkim:Grand</w:t>
      </w:r>
      <w:r>
        <w:rPr>
          <w:rFonts w:eastAsia="Times New Roman"/>
          <w:vanish/>
          <w:sz w:val="20"/>
          <w:szCs w:val="20"/>
        </w:rPr>
        <w:t>ParkwayMarketplaceIIMember2022-01-012022-12-31 0000879101kim:ShoppingCenterMemberkim:GrandParkwayMarketplaceMember2022-12-31 0000879101kim:ShoppingCenterMemberkim:GrandParkwayMarketplaceMember2022-01-012022-12-31 0000879101kim:ShoppingCenterMemberkim:HebDa</w:t>
      </w:r>
      <w:r>
        <w:rPr>
          <w:rFonts w:eastAsia="Times New Roman"/>
          <w:vanish/>
          <w:sz w:val="20"/>
          <w:szCs w:val="20"/>
        </w:rPr>
        <w:t>iryAshfordMemorialMember2022-12-31 0000879101kim:ShoppingCenterMemberkim:HebDairyAshfordMemorialMember2022-01-012022-12-31 0000879101kim:ShoppingCenterMemberkim:HeightsPlazaMember2022-12-31 0000879101kim:ShoppingCenterMemberkim:HeightsPlazaMember2022-01-01</w:t>
      </w:r>
      <w:r>
        <w:rPr>
          <w:rFonts w:eastAsia="Times New Roman"/>
          <w:vanish/>
          <w:sz w:val="20"/>
          <w:szCs w:val="20"/>
        </w:rPr>
        <w:t>2022-12-31 0000879101kim:ShoppingCenterMemberkim:IndependencePlazaLaredoMember2022-12-31 0000879101kim:ShoppingCenterMemberkim:IndependencePlazaLaredoMember2022-01-012022-12-31 0000879101kim:ShoppingCenterMemberkim:IndependencePlazaIILaredoMember2022-12-31</w:t>
      </w:r>
      <w:r>
        <w:rPr>
          <w:rFonts w:eastAsia="Times New Roman"/>
          <w:vanish/>
          <w:sz w:val="20"/>
          <w:szCs w:val="20"/>
        </w:rPr>
        <w:t xml:space="preserve"> 0000879101kim:ShoppingCenterMemberkim:IndependencePlazaIILaredoMember2022-01-012022-12-31 0000879101kim:ShoppingCenterMemberkim:KrogerPlazaMember2022-12-31 0000879101kim:ShoppingCenterMemberkim:KrogerPlazaMember2022-01-012022-12-31 0000879101kim:ShoppingC</w:t>
      </w:r>
      <w:r>
        <w:rPr>
          <w:rFonts w:eastAsia="Times New Roman"/>
          <w:vanish/>
          <w:sz w:val="20"/>
          <w:szCs w:val="20"/>
        </w:rPr>
        <w:t>enterMemberkim:LakePrairieTownCrossingMember2022-12-31 0000879101kim:ShoppingCenterMemberkim:LakePrairieTownCrossingMember2022-01-012022-12-31 0000879101kim:ShoppingCenterMemberkim:LasTiendasPlazaMember2022-12-31 0000879101kim:ShoppingCenterMemberkim:LasTi</w:t>
      </w:r>
      <w:r>
        <w:rPr>
          <w:rFonts w:eastAsia="Times New Roman"/>
          <w:vanish/>
          <w:sz w:val="20"/>
          <w:szCs w:val="20"/>
        </w:rPr>
        <w:t>endasPlazaMember2022-01-012022-12-31 0000879101kim:ShoppingCenterMemberkim:MontgomeryPlazaMember2022-12-31 0000879101kim:ShoppingCenterMemberkim:MontgomeryPlazaMember2022-01-012022-12-31 0000879101kim:ShoppingCenterMemberkim:MeullerOutparcelMember2022-12-3</w:t>
      </w:r>
      <w:r>
        <w:rPr>
          <w:rFonts w:eastAsia="Times New Roman"/>
          <w:vanish/>
          <w:sz w:val="20"/>
          <w:szCs w:val="20"/>
        </w:rPr>
        <w:t>1 0000879101kim:ShoppingCenterMemberkim:MeullerOutparcelMember2022-01-012022-12-31 0000879101kim:ShoppingCenterMemberkim:MeullerRegionalRetailCenterMember2022-12-31 0000879101kim:ShoppingCenterMemberkim:MeullerRegionalRetailCenterMember2022-01-012022-12-31</w:t>
      </w:r>
      <w:r>
        <w:rPr>
          <w:rFonts w:eastAsia="Times New Roman"/>
          <w:vanish/>
          <w:sz w:val="20"/>
          <w:szCs w:val="20"/>
        </w:rPr>
        <w:t xml:space="preserve"> 0000879101kim:ShoppingCenterMemberkim:NorthCreekPlazaMember2022-12-31 0000879101kim:ShoppingCenterMemberkim:NorthCreekPlazaMember2022-01-012022-12-31 0000879101kim:ShoppingCenterMemberkim:OakForestMember2022-12-31 0000879101kim:ShoppingCenterMemberkim:Oak</w:t>
      </w:r>
      <w:r>
        <w:rPr>
          <w:rFonts w:eastAsia="Times New Roman"/>
          <w:vanish/>
          <w:sz w:val="20"/>
          <w:szCs w:val="20"/>
        </w:rPr>
        <w:t>ForestMember2022-01-012022-12-31 0000879101kim:ShoppingCenterMemberkim:PlantationCentreMember2022-12-31 0000879101kim:ShoppingCenterMemberkim:PlantationCentreMember2022-01-012022-12-31 0000879101kim:ShoppingCenterMemberkim:PrestonLebanonCrossingMember2022-</w:t>
      </w:r>
      <w:r>
        <w:rPr>
          <w:rFonts w:eastAsia="Times New Roman"/>
          <w:vanish/>
          <w:sz w:val="20"/>
          <w:szCs w:val="20"/>
        </w:rPr>
        <w:t>12-31 0000879101kim:ShoppingCenterMemberkim:PrestonLebanonCrossingMember2022-01-012022-12-31 0000879101kim:ShoppingCenterMemberkim:RandallsCenterKingsCrossingMember2022-12-31 0000879101kim:ShoppingCenterMemberkim:RandallsCenterKingsCrossingMember2022-01-01</w:t>
      </w:r>
      <w:r>
        <w:rPr>
          <w:rFonts w:eastAsia="Times New Roman"/>
          <w:vanish/>
          <w:sz w:val="20"/>
          <w:szCs w:val="20"/>
        </w:rPr>
        <w:t>2022-12-31 0000879101kim:ShoppingCenterMemberkim:RichmondSquareMember2022-12-31 0000879101kim:ShoppingCenterMemberkim:RichmondSquareMember2022-01-012022-12-31 0000879101kim:ShoppingCenterMemberkim:RiverOaksSCEastMember2022-12-31 0000879101kim:ShoppingCente</w:t>
      </w:r>
      <w:r>
        <w:rPr>
          <w:rFonts w:eastAsia="Times New Roman"/>
          <w:vanish/>
          <w:sz w:val="20"/>
          <w:szCs w:val="20"/>
        </w:rPr>
        <w:t>rMemberkim:RiverOaksSCEastMember2022-01-012022-12-31 0000879101kim:ShoppingCenterMemberkim:RiverOaksScWestMember2022-12-31 0000879101kim:ShoppingCenterMemberkim:RiverOaksScWestMember2022-01-012022-12-31 0000879101kim:ShoppingCenterMemberkim:RockPrairieMark</w:t>
      </w:r>
      <w:r>
        <w:rPr>
          <w:rFonts w:eastAsia="Times New Roman"/>
          <w:vanish/>
          <w:sz w:val="20"/>
          <w:szCs w:val="20"/>
        </w:rPr>
        <w:t>etplaceMember2022-12-31 0000879101kim:ShoppingCenterMemberkim:RockPrairieMarketplaceMember2022-01-012022-12-31 0000879101kim:ShoppingCenterMemberkim:ShoppesAtMemorialVillagesMember2022-12-31 0000879101kim:ShoppingCenterMemberkim:ShoppesAtMemorialVillagesMe</w:t>
      </w:r>
      <w:r>
        <w:rPr>
          <w:rFonts w:eastAsia="Times New Roman"/>
          <w:vanish/>
          <w:sz w:val="20"/>
          <w:szCs w:val="20"/>
        </w:rPr>
        <w:t>mber2022-01-012022-12-31 0000879101kim:ShoppingCenterMemberkim:ShopsAtHilshireVillageMember2022-12-31 0000879101kim:ShoppingCenterMemberkim:ShopsAtHilshireVillageMember2022-01-012022-12-31 0000879101kim:ShoppingCenterMemberkim:ShopsAtKirbyDriveMember2022-1</w:t>
      </w:r>
      <w:r>
        <w:rPr>
          <w:rFonts w:eastAsia="Times New Roman"/>
          <w:vanish/>
          <w:sz w:val="20"/>
          <w:szCs w:val="20"/>
        </w:rPr>
        <w:t>2-31 0000879101kim:ShoppingCenterMemberkim:ShopsAtKirbyDriveMember2022-01-012022-12-31 0000879101kim:ShoppingCenterMemberkim:ShopsAtThreeCornersMember2022-12-31 0000879101kim:ShoppingCenterMemberkim:ShopsAtThreeCornersMember2022-01-012022-12-31 0000879101k</w:t>
      </w:r>
      <w:r>
        <w:rPr>
          <w:rFonts w:eastAsia="Times New Roman"/>
          <w:vanish/>
          <w:sz w:val="20"/>
          <w:szCs w:val="20"/>
        </w:rPr>
        <w:t>im:ShoppingCenterMemberkim:StevensRanchMember2022-12-31 0000879101kim:ShoppingCenterMemberkim:StevensRanchMember2022-01-012022-12-31 0000879101kim:ShoppingCenterMemberkim:TheCentreAtCopperfieldMember2022-12-31 0000879101kim:ShoppingCenterMemberkim:TheCentr</w:t>
      </w:r>
      <w:r>
        <w:rPr>
          <w:rFonts w:eastAsia="Times New Roman"/>
          <w:vanish/>
          <w:sz w:val="20"/>
          <w:szCs w:val="20"/>
        </w:rPr>
        <w:t>eAtCopperfieldMember2022-01-012022-12-31 0000879101kim:ShoppingCenterMemberkim:TheCentreAtPostOakMember2022-12-31 0000879101kim:ShoppingCenterMemberkim:TheCentreAtPostOakMember2022-01-012022-12-31 0000879101kim:ShoppingCenterMemberkim:TheShoppesAtWildernes</w:t>
      </w:r>
      <w:r>
        <w:rPr>
          <w:rFonts w:eastAsia="Times New Roman"/>
          <w:vanish/>
          <w:sz w:val="20"/>
          <w:szCs w:val="20"/>
        </w:rPr>
        <w:t>sOaksMember2022-12-31 0000879101kim:ShoppingCenterMemberkim:TheShoppesAtWildernessOaksMember2022-01-012022-12-31 0000879101kim:ShoppingCenterMemberkim:TomballCrossingsMember2022-12-31 0000879101kim:ShoppingCenterMemberkim:TomballCrossingsMember2022-01-0120</w:t>
      </w:r>
      <w:r>
        <w:rPr>
          <w:rFonts w:eastAsia="Times New Roman"/>
          <w:vanish/>
          <w:sz w:val="20"/>
          <w:szCs w:val="20"/>
        </w:rPr>
        <w:t>22-12-31 0000879101kim:ShoppingCenterMemberkim:TomballMarketplaceMember2022-12-31 0000879101kim:ShoppingCenterMemberkim:TomballMarketplaceMember2022-01-012022-12-31 0000879101kim:ShoppingCenterMemberkim:TrentonCrossingNorthMcallenMember2022-12-31 000087910</w:t>
      </w:r>
      <w:r>
        <w:rPr>
          <w:rFonts w:eastAsia="Times New Roman"/>
          <w:vanish/>
          <w:sz w:val="20"/>
          <w:szCs w:val="20"/>
        </w:rPr>
        <w:t>1kim:ShoppingCenterMemberkim:TrentonCrossingNorthMcallenMember2022-01-012022-12-31 0000879101kim:ShoppingCenterMemberkim:VillagePlazaAtBunkerHillMember2022-12-31 0000879101kim:ShoppingCenterMemberkim:VillagePlazaAtBunkerHillMember2022-01-012022-12-31 00008</w:t>
      </w:r>
      <w:r>
        <w:rPr>
          <w:rFonts w:eastAsia="Times New Roman"/>
          <w:vanish/>
          <w:sz w:val="20"/>
          <w:szCs w:val="20"/>
        </w:rPr>
        <w:t>79101kim:ShoppingCenterMemberkim:WestchaseScMember2022-12-31 0000879101kim:ShoppingCenterMemberkim:WestchaseScMember2022-01-012022-12-31 0000879101kim:ShoppingCenterMemberkim:WesthillVillageMember2022-12-31 0000879101kim:ShoppingCenterMemberkim:WesthillVil</w:t>
      </w:r>
      <w:r>
        <w:rPr>
          <w:rFonts w:eastAsia="Times New Roman"/>
          <w:vanish/>
          <w:sz w:val="20"/>
          <w:szCs w:val="20"/>
        </w:rPr>
        <w:t>lageMember2022-01-012022-12-31 0000879101kim:ShoppingCenterMemberkim:WoodbridgeShoppingCenterMember2022-12-31 0000879101kim:ShoppingCenterMemberkim:WoodbridgeShoppingCenterMember2022-01-012022-12-31 0000879101kim:ShoppingCenterMemberkim:CentroArlingtonMemb</w:t>
      </w:r>
      <w:r>
        <w:rPr>
          <w:rFonts w:eastAsia="Times New Roman"/>
          <w:vanish/>
          <w:sz w:val="20"/>
          <w:szCs w:val="20"/>
        </w:rPr>
        <w:t>er2022-12-31 0000879101kim:ShoppingCenterMemberkim:CentroArlingtonMember2022-01-012022-12-31 0000879101kim:ShoppingCenterMemberkim:CentroArlingtonResiMember2022-12-31 0000879101kim:ShoppingCenterMemberkim:CentroArlingtonResiMember2022-01-012022-12-31 00008</w:t>
      </w:r>
      <w:r>
        <w:rPr>
          <w:rFonts w:eastAsia="Times New Roman"/>
          <w:vanish/>
          <w:sz w:val="20"/>
          <w:szCs w:val="20"/>
        </w:rPr>
        <w:t>79101kim:ShoppingCenterMemberkim:DocstoneCommonsMember2022-12-31 0000879101kim:ShoppingCenterMemberkim:DocstoneCommonsMember2022-01-012022-12-31 0000879101kim:ShoppingCenterMemberkim:DocstoneOPStaplesMember2022-12-31 0000879101kim:ShoppingCenterMemberkim:D</w:t>
      </w:r>
      <w:r>
        <w:rPr>
          <w:rFonts w:eastAsia="Times New Roman"/>
          <w:vanish/>
          <w:sz w:val="20"/>
          <w:szCs w:val="20"/>
        </w:rPr>
        <w:t>ocstoneOPStaplesMember2022-01-012022-12-31 0000879101kim:ShoppingCenterMemberkim:DullesTownCrossingMember2022-12-31 0000879101kim:ShoppingCenterMemberkim:DullesTownCrossingMember2022-01-012022-12-31 0000879101kim:ShoppingCenterMemberkim:GordonPlazaMember20</w:t>
      </w:r>
      <w:r>
        <w:rPr>
          <w:rFonts w:eastAsia="Times New Roman"/>
          <w:vanish/>
          <w:sz w:val="20"/>
          <w:szCs w:val="20"/>
        </w:rPr>
        <w:t>22-12-31 0000879101kim:ShoppingCenterMemberkim:GordonPlazaMember2022-01-012022-12-31 0000879101kim:ShoppingCenterMemberkim:HilltopVillageCenterMember2022-12-31 0000879101kim:ShoppingCenterMemberkim:HilltopVillageCenterMember2022-01-012022-12-31 0000879101k</w:t>
      </w:r>
      <w:r>
        <w:rPr>
          <w:rFonts w:eastAsia="Times New Roman"/>
          <w:vanish/>
          <w:sz w:val="20"/>
          <w:szCs w:val="20"/>
        </w:rPr>
        <w:t>im:ShoppingCenterMemberkim:OldTownPlazaMember2022-12-31 0000879101kim:ShoppingCenterMemberkim:OldTownPlazaMember2022-01-012022-12-31 0000879101kim:ShoppingCenterMemberkim:PotomacRunPlazaMember2022-12-31 0000879101kim:ShoppingCenterMemberkim:PotomacRunPlaza</w:t>
      </w:r>
      <w:r>
        <w:rPr>
          <w:rFonts w:eastAsia="Times New Roman"/>
          <w:vanish/>
          <w:sz w:val="20"/>
          <w:szCs w:val="20"/>
        </w:rPr>
        <w:t>Member2022-01-012022-12-31 0000879101kim:ShoppingCenterMemberkim:StaffordMarketplaceMember2022-12-31 0000879101kim:ShoppingCenterMemberkim:StaffordMarketplaceMember2022-01-012022-12-31 0000879101kim:ShoppingCenterMemberkim:WestAlexRetailMember2022-12-31 00</w:t>
      </w:r>
      <w:r>
        <w:rPr>
          <w:rFonts w:eastAsia="Times New Roman"/>
          <w:vanish/>
          <w:sz w:val="20"/>
          <w:szCs w:val="20"/>
        </w:rPr>
        <w:t>00879101kim:ShoppingCenterMemberkim:WestAlexRetailMember2022-01-012022-12-31 0000879101kim:ShoppingCenterMemberkim:WestAlexOfficeMember2022-12-31 0000879101kim:ShoppingCenterMemberkim:WestAlexOfficeMember2022-01-012022-12-31 0000879101kim:ShoppingCenterMem</w:t>
      </w:r>
      <w:r>
        <w:rPr>
          <w:rFonts w:eastAsia="Times New Roman"/>
          <w:vanish/>
          <w:sz w:val="20"/>
          <w:szCs w:val="20"/>
        </w:rPr>
        <w:t>berkim:WestAlexResiMember2022-12-31 0000879101kim:ShoppingCenterMemberkim:WestAlexResiMember2022-01-012022-12-31 0000879101kim:ShoppingCenterMemberkim:AuburnNorthMember2022-12-31 0000879101kim:ShoppingCenterMemberkim:AuburnNorthMember2022-01-012022-12-31 0</w:t>
      </w:r>
      <w:r>
        <w:rPr>
          <w:rFonts w:eastAsia="Times New Roman"/>
          <w:vanish/>
          <w:sz w:val="20"/>
          <w:szCs w:val="20"/>
        </w:rPr>
        <w:t>000879101kim:ShoppingCenterMemberkim:CovingtonEsplanadeMember2022-12-31 0000879101kim:ShoppingCenterMemberkim:CovingtonEsplanadeMember2022-01-012022-12-31 0000879101kim:ShoppingCenterMemberkim:FranklinParkCommonsMember2022-12-31 0000879101kim:ShoppingCente</w:t>
      </w:r>
      <w:r>
        <w:rPr>
          <w:rFonts w:eastAsia="Times New Roman"/>
          <w:vanish/>
          <w:sz w:val="20"/>
          <w:szCs w:val="20"/>
        </w:rPr>
        <w:t>rMemberkim:FranklinParkCommonsMember2022-01-012022-12-31 0000879101kim:ShoppingCenterMemberkim:FrontierVillageShoppingCtrMember2022-12-31 0000879101kim:ShoppingCenterMemberkim:FrontierVillageShoppingCtrMember2022-01-012022-12-31 0000879101kim:ShoppingCente</w:t>
      </w:r>
      <w:r>
        <w:rPr>
          <w:rFonts w:eastAsia="Times New Roman"/>
          <w:vanish/>
          <w:sz w:val="20"/>
          <w:szCs w:val="20"/>
        </w:rPr>
        <w:t>rMemberkim:GatewayShoppingCenterMember2022-12-31 0000879101kim:ShoppingCenterMemberkim:GatewayShoppingCenterMember2022-01-012022-12-31 0000879101kim:ShoppingCenterMemberkim:SilverdalePlazaMember2022-12-31 0000879101kim:ShoppingCenterMemberkim:SilverdalePla</w:t>
      </w:r>
      <w:r>
        <w:rPr>
          <w:rFonts w:eastAsia="Times New Roman"/>
          <w:vanish/>
          <w:sz w:val="20"/>
          <w:szCs w:val="20"/>
        </w:rPr>
        <w:t>zaMember2022-01-012022-12-31 0000879101kim:ShoppingCenterMemberkim:TheMarketplaceAtFactoriaMember2022-12-31 0000879101kim:ShoppingCenterMemberkim:TheMarketplaceAtFactoriaMember2022-01-012022-12-31 0000879101kim:ShoppingCenterMemberkim:TheWhittakerMember202</w:t>
      </w:r>
      <w:r>
        <w:rPr>
          <w:rFonts w:eastAsia="Times New Roman"/>
          <w:vanish/>
          <w:sz w:val="20"/>
          <w:szCs w:val="20"/>
        </w:rPr>
        <w:t>2-12-31 0000879101kim:ShoppingCenterMemberkim:TheWhittakerMember2022-01-012022-12-31 0000879101srt:OtherPropertyMemberkim:AsanteRetailCenterMember2022-12-31 0000879101srt:OtherPropertyMemberkim:AsanteRetailCenterMember2022-01-012022-12-31 0000879101srt:Oth</w:t>
      </w:r>
      <w:r>
        <w:rPr>
          <w:rFonts w:eastAsia="Times New Roman"/>
          <w:vanish/>
          <w:sz w:val="20"/>
          <w:szCs w:val="20"/>
        </w:rPr>
        <w:t>erPropertyMemberkim:GladdenFarmsMember2022-12-31 0000879101srt:OtherPropertyMemberkim:GladdenFarmsMember2022-01-012022-12-31 0000879101srt:OtherPropertyMemberkim:HomesteadWachtelLandLeaseMember2022-12-31 0000879101srt:OtherPropertyMemberkim:HomesteadWachte</w:t>
      </w:r>
      <w:r>
        <w:rPr>
          <w:rFonts w:eastAsia="Times New Roman"/>
          <w:vanish/>
          <w:sz w:val="20"/>
          <w:szCs w:val="20"/>
        </w:rPr>
        <w:t>lLandLeaseMember2022-01-012022-12-31 0000879101srt:OtherPropertyMemberkim:PalmCoastLandingOutparcelsMember2022-12-31 0000879101srt:OtherPropertyMemberkim:PalmCoastLandingOutparcelsMember2022-01-012022-12-31 0000879101srt:OtherPropertyMemberkim:LakeWalesSCM</w:t>
      </w:r>
      <w:r>
        <w:rPr>
          <w:rFonts w:eastAsia="Times New Roman"/>
          <w:vanish/>
          <w:sz w:val="20"/>
          <w:szCs w:val="20"/>
        </w:rPr>
        <w:t>ember2022-12-31 0000879101srt:OtherPropertyMemberkim:LakeWalesSCMember2022-01-012022-12-31 0000879101srt:OtherPropertyMemberkim:FlintVacantLandMember2022-12-31 0000879101srt:OtherPropertyMemberkim:FlintVacantLandMember2022-01-012022-12-31 0000879101srt:Oth</w:t>
      </w:r>
      <w:r>
        <w:rPr>
          <w:rFonts w:eastAsia="Times New Roman"/>
          <w:vanish/>
          <w:sz w:val="20"/>
          <w:szCs w:val="20"/>
        </w:rPr>
        <w:t>erPropertyMemberkim:CharlotteSportsFitnessCTRMember2022-12-31 0000879101srt:OtherPropertyMemberkim:CharlotteSportsFitnessCTRMember2022-01-012022-12-31 0000879101srt:OtherPropertyMemberkim:SurfCityCrossingMember2022-12-31 0000879101srt:OtherPropertyMemberki</w:t>
      </w:r>
      <w:r>
        <w:rPr>
          <w:rFonts w:eastAsia="Times New Roman"/>
          <w:vanish/>
          <w:sz w:val="20"/>
          <w:szCs w:val="20"/>
        </w:rPr>
        <w:t>m:SurfCityCrossingMember2022-01-012022-12-31 0000879101srt:OtherPropertyMemberkim:TheShoppesAtCavenessFarmsMember2022-12-31 0000879101srt:OtherPropertyMemberkim:TheShoppesAtCavenessFarmsMember2022-01-012022-12-31 0000879101srt:OtherPropertyMemberkim:WakeFo</w:t>
      </w:r>
      <w:r>
        <w:rPr>
          <w:rFonts w:eastAsia="Times New Roman"/>
          <w:vanish/>
          <w:sz w:val="20"/>
          <w:szCs w:val="20"/>
        </w:rPr>
        <w:t>restCrossingIiLandOnlyMember2022-12-31 0000879101srt:OtherPropertyMemberkim:WakeForestCrossingIiLandOnlyMember2022-01-012022-12-31 0000879101srt:OtherPropertyMemberkim:WakefieldCommonsIIIMember2022-12-31 0000879101srt:OtherPropertyMemberkim:WakefieldCommon</w:t>
      </w:r>
      <w:r>
        <w:rPr>
          <w:rFonts w:eastAsia="Times New Roman"/>
          <w:vanish/>
          <w:sz w:val="20"/>
          <w:szCs w:val="20"/>
        </w:rPr>
        <w:t>sIIIMember2022-01-012022-12-31 0000879101srt:OtherPropertyMemberkim:WakefieldCrossingsMember2022-12-31 0000879101srt:OtherPropertyMemberkim:WakefieldCrossingsMember2022-01-012022-12-31 0000879101srt:OtherPropertyMemberkim:HillsboroughPromenadeMember2022-12</w:t>
      </w:r>
      <w:r>
        <w:rPr>
          <w:rFonts w:eastAsia="Times New Roman"/>
          <w:vanish/>
          <w:sz w:val="20"/>
          <w:szCs w:val="20"/>
        </w:rPr>
        <w:t>-31 0000879101srt:OtherPropertyMemberkim:HillsboroughPromenadeMember2022-01-012022-12-31 0000879101srt:OtherPropertyMemberkim:JerichoAtriumMember2022-12-31 0000879101srt:OtherPropertyMemberkim:JerichoAtriumMember2022-01-012022-12-31 0000879101srt:OtherProp</w:t>
      </w:r>
      <w:r>
        <w:rPr>
          <w:rFonts w:eastAsia="Times New Roman"/>
          <w:vanish/>
          <w:sz w:val="20"/>
          <w:szCs w:val="20"/>
        </w:rPr>
        <w:t>ertyMemberkim:KeyBankBuildingMember2022-12-31 0000879101srt:OtherPropertyMemberkim:KeyBankBuildingMember2022-01-012022-12-31 0000879101srt:OtherPropertyMemberkim:ManhassetCenterResidentialMember2022-12-31 0000879101srt:OtherPropertyMemberkim:ManhassetCente</w:t>
      </w:r>
      <w:r>
        <w:rPr>
          <w:rFonts w:eastAsia="Times New Roman"/>
          <w:vanish/>
          <w:sz w:val="20"/>
          <w:szCs w:val="20"/>
        </w:rPr>
        <w:t>rResidentialMember2022-01-012022-12-31 0000879101srt:OtherPropertyMemberkim:MerryLaneParkingLotMember2022-12-31 0000879101srt:OtherPropertyMemberkim:MerryLaneParkingLotMember2022-01-012022-12-31 0000879101srt:OtherPropertyMemberkim:NorthportLandParcelMembe</w:t>
      </w:r>
      <w:r>
        <w:rPr>
          <w:rFonts w:eastAsia="Times New Roman"/>
          <w:vanish/>
          <w:sz w:val="20"/>
          <w:szCs w:val="20"/>
        </w:rPr>
        <w:t>r2022-12-31 0000879101srt:OtherPropertyMemberkim:NorthportLandParcelMember2022-01-012022-12-31 0000879101srt:OtherPropertyMemberkim:McMinnvillePlazaMember2022-12-31 0000879101srt:OtherPropertyMemberkim:McMinnvillePlazaMember2022-01-012022-12-31 0000879101s</w:t>
      </w:r>
      <w:r>
        <w:rPr>
          <w:rFonts w:eastAsia="Times New Roman"/>
          <w:vanish/>
          <w:sz w:val="20"/>
          <w:szCs w:val="20"/>
        </w:rPr>
        <w:t>rt:OtherPropertyMemberkim:CoulterAvenueParcelMember2022-12-31 0000879101srt:OtherPropertyMemberkim:CoulterAvenueParcelMember2022-01-012022-12-31 0000879101srt:OtherPropertyMemberkim:The1935WestGrayMember2022-12-31 0000879101srt:OtherPropertyMemberkim:The19</w:t>
      </w:r>
      <w:r>
        <w:rPr>
          <w:rFonts w:eastAsia="Times New Roman"/>
          <w:vanish/>
          <w:sz w:val="20"/>
          <w:szCs w:val="20"/>
        </w:rPr>
        <w:t>35WestGrayMember2022-01-012022-12-31 0000879101srt:OtherPropertyMemberkim:The2503MccueLLCMember2022-12-31 0000879101srt:OtherPropertyMemberkim:The2503MccueLLCMember2022-01-012022-12-31 0000879101srt:OtherPropertyMemberkim:CullenBlvdAndEastOremDrMember2022-</w:t>
      </w:r>
      <w:r>
        <w:rPr>
          <w:rFonts w:eastAsia="Times New Roman"/>
          <w:vanish/>
          <w:sz w:val="20"/>
          <w:szCs w:val="20"/>
        </w:rPr>
        <w:t>12-31 0000879101srt:OtherPropertyMemberkim:CullenBlvdAndEastOremDrMember2022-01-012022-12-31 0000879101srt:OtherPropertyMemberkim:NorthTownePlazaBrownsvilleMember2022-12-31 0000879101srt:OtherPropertyMemberkim:NorthTownePlazaBrownsvilleMember2022-01-012022</w:t>
      </w:r>
      <w:r>
        <w:rPr>
          <w:rFonts w:eastAsia="Times New Roman"/>
          <w:vanish/>
          <w:sz w:val="20"/>
          <w:szCs w:val="20"/>
        </w:rPr>
        <w:t>-12-31 0000879101srt:OtherPropertyMemberkim:RichmondSquarePadMember2022-12-31 0000879101srt:OtherPropertyMemberkim:RichmondSquarePadMember2022-01-012022-12-31 0000879101srt:OtherPropertyMemberkim:TexasCityLandMember2022-12-31 0000879101srt:OtherPropertyMem</w:t>
      </w:r>
      <w:r>
        <w:rPr>
          <w:rFonts w:eastAsia="Times New Roman"/>
          <w:vanish/>
          <w:sz w:val="20"/>
          <w:szCs w:val="20"/>
        </w:rPr>
        <w:t xml:space="preserve">berkim:TexasCityLandMember2022-01-012022-12-31 0000879101srt:OtherPropertyMemberkim:WestoverSquareMember2022-12-31 0000879101srt:OtherPropertyMemberkim:WestoverSquareMember2022-01-012022-12-31 0000879101srt:OtherPropertyMemberkim:BlueRidgeMember2022-12-31 </w:t>
      </w:r>
      <w:r>
        <w:rPr>
          <w:rFonts w:eastAsia="Times New Roman"/>
          <w:vanish/>
          <w:sz w:val="20"/>
          <w:szCs w:val="20"/>
        </w:rPr>
        <w:t>0000879101srt:OtherPropertyMemberkim:BlueRidgeMember2022-01-012022-12-31 0000879101srt:OtherPropertyMemberkim:BalanceOfPortfolioMember2022-12-31 0000879101srt:OtherPropertyMemberkim:BalanceOfPortfolioMember2022-01-012022-12-31 0000879101kim:BuildingsAndBui</w:t>
      </w:r>
      <w:r>
        <w:rPr>
          <w:rFonts w:eastAsia="Times New Roman"/>
          <w:vanish/>
          <w:sz w:val="20"/>
          <w:szCs w:val="20"/>
        </w:rPr>
        <w:t>ldingImprovementsHeldForInvestmentsMembersrt:MinimumMember2022-01-012022-12-31 0000879101kim:BuildingsAndBuildingImprovementsHeldForInvestmentsMembersrt:MaximumMember2022-01-012022-12-31 0000879101kim:BorrowerBMemberkim:MortgageLoansMembersrt:RetailSiteMem</w:t>
      </w:r>
      <w:r>
        <w:rPr>
          <w:rFonts w:eastAsia="Times New Roman"/>
          <w:vanish/>
          <w:sz w:val="20"/>
          <w:szCs w:val="20"/>
        </w:rPr>
        <w:t>berkim:LynwoodCAMember2022-01-012022-12-31 0000879101kim:BorrowerBMemberkim:MortgageLoansMembersrt:RetailSiteMemberkim:LynwoodCAMember2022-12-31 0000879101kim:BorrowerCMemberkim:MortgageLoansMembersrt:RetailSiteMemberkim:JacksonvilleFLMember2022-01-012022-</w:t>
      </w:r>
      <w:r>
        <w:rPr>
          <w:rFonts w:eastAsia="Times New Roman"/>
          <w:vanish/>
          <w:sz w:val="20"/>
          <w:szCs w:val="20"/>
        </w:rPr>
        <w:t>12-31 0000879101kim:BorrowerCMemberkim:MortgageLoansMembersrt:RetailSiteMemberkim:JacksonvilleFLMember2022-12-31 0000879101kim:BorrowerDMemberkim:MortgageLoansMembersrt:RetailSiteMemberkim:SanAntonioTexasMember2022-01-012022-12-31 0000879101kim:BorrowerDMe</w:t>
      </w:r>
      <w:r>
        <w:rPr>
          <w:rFonts w:eastAsia="Times New Roman"/>
          <w:vanish/>
          <w:sz w:val="20"/>
          <w:szCs w:val="20"/>
        </w:rPr>
        <w:t>mberkim:MortgageLoansMembersrt:RetailSiteMemberkim:SanAntonioTexasMember2022-12-31 0000879101kim:BorrowerEMemberkim:MortgageLoansMembersrt:RetailSiteMemberkim:FairfaxVAMember2022-01-012022-12-31 0000879101kim:BorrowerEMemberkim:MortgageLoansMembersrt:Retai</w:t>
      </w:r>
      <w:r>
        <w:rPr>
          <w:rFonts w:eastAsia="Times New Roman"/>
          <w:vanish/>
          <w:sz w:val="20"/>
          <w:szCs w:val="20"/>
        </w:rPr>
        <w:t>lSiteMemberkim:FairfaxVAMember2022-12-31 0000879101kim:BorrowerFMemberkim:MortgageLoansMembersrt:RetailSiteMemberkim:EulessTXMember2022-01-012022-12-31 0000879101kim:BorrowerFMemberkim:MortgageLoansMembersrt:RetailSiteMemberkim:EulessTXMember2022-12-31 000</w:t>
      </w:r>
      <w:r>
        <w:rPr>
          <w:rFonts w:eastAsia="Times New Roman"/>
          <w:vanish/>
          <w:sz w:val="20"/>
          <w:szCs w:val="20"/>
        </w:rPr>
        <w:t>0879101kim:BorrowerGMemberkim:MortgageLoansMembersrt:RetailSiteMemberkim:LasVegasNVMember2022-01-012022-12-31 0000879101kim:BorrowerGMemberkim:MortgageLoansMembersrt:RetailSiteMemberkim:LasVegasNVMember2022-12-31 0000879101kim:BorrowerHMemberkim:MortgageLo</w:t>
      </w:r>
      <w:r>
        <w:rPr>
          <w:rFonts w:eastAsia="Times New Roman"/>
          <w:vanish/>
          <w:sz w:val="20"/>
          <w:szCs w:val="20"/>
        </w:rPr>
        <w:t>ansMembersrt:RetailSiteMemberkim:LasVegasNVMember2022-01-012022-12-31 0000879101kim:BorrowerHMemberkim:MortgageLoansMembersrt:RetailSiteMemberkim:LasVegasNVMember2022-12-31 0000879101kim:BorrowerAMemberkim:MortgageLoansMemberkim:NonretailMemberkim:CommackN</w:t>
      </w:r>
      <w:r>
        <w:rPr>
          <w:rFonts w:eastAsia="Times New Roman"/>
          <w:vanish/>
          <w:sz w:val="20"/>
          <w:szCs w:val="20"/>
        </w:rPr>
        <w:t>YMember2022-01-012022-12-31 0000879101kim:BorrowerAMemberkim:MortgageLoansMemberkim:NonretailMemberkim:CommackNYMember2022-12-31 0000879101kim:BorrowerBMemberkim:MortgageLoansMemberkim:NonretailMemberkim:MelbourneFLMember2022-01-012022-12-31 0000879101kim:</w:t>
      </w:r>
      <w:r>
        <w:rPr>
          <w:rFonts w:eastAsia="Times New Roman"/>
          <w:vanish/>
          <w:sz w:val="20"/>
          <w:szCs w:val="20"/>
        </w:rPr>
        <w:t>BorrowerBMemberkim:MortgageLoansMemberkim:NonretailMemberkim:MelbourneFLMember2022-12-31 0000879101kim:BorrowerAMemberkim:OtherFinancingLoansMemberkim:NonretailMember2022-01-012022-12-31 0000879101kim:BorrowerAMemberkim:OtherFinancingLoansMemberkim:Nonreta</w:t>
      </w:r>
      <w:r>
        <w:rPr>
          <w:rFonts w:eastAsia="Times New Roman"/>
          <w:vanish/>
          <w:sz w:val="20"/>
          <w:szCs w:val="20"/>
        </w:rPr>
        <w:t>ilMember2022-12-31 0000879101kim:BorrowerBMemberkim:OtherFinancingLoansMemberkim:NonretailMember2022-01-012022-12-31 0000879101kim:BorrowerBMemberkim:OtherFinancingLoansMemberkim:NonretailMember2022-12-31 0000879101kim:MortgageLoansMember2022-12-31 0000879</w:t>
      </w:r>
      <w:r>
        <w:rPr>
          <w:rFonts w:eastAsia="Times New Roman"/>
          <w:vanish/>
          <w:sz w:val="20"/>
          <w:szCs w:val="20"/>
        </w:rPr>
        <w:t xml:space="preserve">101kim:IncomeMember2022-01-012022-12-31 0000879101us-gaap:MortgagesMember2022-01-012022-12-31 </w:t>
      </w:r>
    </w:p>
    <w:p w:rsidR="00000000" w:rsidRDefault="006954AA">
      <w:pPr>
        <w:divId w:val="1700887998"/>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spacing w:before="60" w:after="60"/>
        <w:divId w:val="1618562439"/>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6954AA">
      <w:pPr>
        <w:spacing w:after="60"/>
        <w:divId w:val="1618562439"/>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pPr>
      <w:r>
        <w:rPr>
          <w:b/>
          <w:bCs/>
        </w:rPr>
        <w:t xml:space="preserve">UNITED STATES </w:t>
      </w:r>
    </w:p>
    <w:p w:rsidR="00000000" w:rsidRDefault="006954AA">
      <w:pPr>
        <w:pStyle w:val="a3"/>
        <w:spacing w:before="0" w:beforeAutospacing="0" w:after="0" w:afterAutospacing="0"/>
        <w:jc w:val="center"/>
        <w:divId w:val="1618562439"/>
      </w:pPr>
      <w:r>
        <w:rPr>
          <w:b/>
          <w:bCs/>
        </w:rPr>
        <w:t>SECURITIES AND EXCHANGE COMMISSION</w:t>
      </w:r>
    </w:p>
    <w:p w:rsidR="00000000" w:rsidRDefault="006954AA">
      <w:pPr>
        <w:pStyle w:val="a3"/>
        <w:spacing w:before="0" w:beforeAutospacing="0" w:after="0" w:afterAutospacing="0"/>
        <w:jc w:val="center"/>
        <w:divId w:val="1618562439"/>
        <w:rPr>
          <w:sz w:val="20"/>
          <w:szCs w:val="20"/>
        </w:rPr>
      </w:pPr>
      <w:r>
        <w:rPr>
          <w:b/>
          <w:bCs/>
          <w:sz w:val="20"/>
          <w:szCs w:val="20"/>
        </w:rPr>
        <w:t>Washington, D.C. 20549</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pPr>
      <w:r>
        <w:rPr>
          <w:b/>
          <w:bCs/>
        </w:rPr>
        <w:t>FORM 10-K</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ind w:left="720"/>
        <w:jc w:val="center"/>
        <w:divId w:val="1618562439"/>
        <w:rPr>
          <w:sz w:val="20"/>
          <w:szCs w:val="20"/>
        </w:rPr>
      </w:pPr>
      <w:r>
        <w:rPr>
          <w:rFonts w:ascii="Segoe UI Emoji" w:hAnsi="Segoe UI Emoji" w:cs="Segoe UI Emoji"/>
          <w:b/>
          <w:bCs/>
          <w:sz w:val="20"/>
          <w:szCs w:val="20"/>
        </w:rPr>
        <w:t>☑</w:t>
      </w:r>
      <w:r>
        <w:rPr>
          <w:b/>
          <w:bCs/>
          <w:sz w:val="20"/>
          <w:szCs w:val="20"/>
        </w:rPr>
        <w:t>         ANNUAL REPORT PURSUANT TO SECTION 13 OR 15(d) OF THE SECURITIES EXCHANGE ACT OF 1934</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rPr>
        <w:t>Fo</w:t>
      </w:r>
      <w:r>
        <w:rPr>
          <w:b/>
          <w:bCs/>
          <w:sz w:val="20"/>
          <w:szCs w:val="20"/>
        </w:rPr>
        <w:t>r the fiscal year ended December 31, 2022</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rPr>
        <w:t>OR</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ind w:left="720"/>
        <w:jc w:val="center"/>
        <w:divId w:val="1618562439"/>
        <w:rPr>
          <w:sz w:val="20"/>
          <w:szCs w:val="20"/>
        </w:rPr>
      </w:pPr>
      <w:r>
        <w:rPr>
          <w:rFonts w:ascii="Segoe UI Symbol" w:hAnsi="Segoe UI Symbol" w:cs="Segoe UI Symbol"/>
          <w:b/>
          <w:bCs/>
          <w:sz w:val="20"/>
          <w:szCs w:val="20"/>
        </w:rPr>
        <w:t>☐</w:t>
      </w:r>
      <w:r>
        <w:rPr>
          <w:b/>
          <w:bCs/>
          <w:sz w:val="20"/>
          <w:szCs w:val="20"/>
        </w:rPr>
        <w:t>         TRANSITION REPORT PURSUANT TO SECTION 13 OR 15(d) OF THE SECURITIES EXCHANGE ACT OF 1934</w:t>
      </w:r>
    </w:p>
    <w:p w:rsidR="00000000" w:rsidRDefault="006954AA">
      <w:pPr>
        <w:pStyle w:val="a3"/>
        <w:spacing w:before="0" w:beforeAutospacing="0" w:after="0" w:afterAutospacing="0"/>
        <w:jc w:val="center"/>
        <w:divId w:val="1618562439"/>
        <w:rPr>
          <w:sz w:val="20"/>
          <w:szCs w:val="20"/>
        </w:rPr>
      </w:pPr>
      <w:r>
        <w:rPr>
          <w:b/>
          <w:bCs/>
          <w:sz w:val="20"/>
          <w:szCs w:val="20"/>
        </w:rPr>
        <w:t>For the transition period from __________ to __________</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rPr>
        <w:t xml:space="preserve">Commission file number </w:t>
      </w:r>
      <w:r>
        <w:rPr>
          <w:b/>
          <w:bCs/>
          <w:sz w:val="20"/>
          <w:szCs w:val="20"/>
          <w:u w:val="single"/>
        </w:rPr>
        <w:t>1-10899 (Kimco Realty Corpo</w:t>
      </w:r>
      <w:r>
        <w:rPr>
          <w:b/>
          <w:bCs/>
          <w:sz w:val="20"/>
          <w:szCs w:val="20"/>
          <w:u w:val="single"/>
        </w:rPr>
        <w:t>ration)</w:t>
      </w:r>
    </w:p>
    <w:p w:rsidR="00000000" w:rsidRDefault="006954AA">
      <w:pPr>
        <w:pStyle w:val="a3"/>
        <w:spacing w:before="0" w:beforeAutospacing="0" w:after="0" w:afterAutospacing="0"/>
        <w:jc w:val="center"/>
        <w:divId w:val="1618562439"/>
        <w:rPr>
          <w:sz w:val="20"/>
          <w:szCs w:val="20"/>
        </w:rPr>
      </w:pPr>
      <w:r>
        <w:rPr>
          <w:b/>
          <w:bCs/>
          <w:sz w:val="20"/>
          <w:szCs w:val="20"/>
        </w:rPr>
        <w:t xml:space="preserve">Commission file number </w:t>
      </w:r>
      <w:r>
        <w:rPr>
          <w:b/>
          <w:bCs/>
          <w:sz w:val="20"/>
          <w:szCs w:val="20"/>
          <w:u w:val="single"/>
        </w:rPr>
        <w:t>333-269102-01 (Kimco Realty OP, LLC)</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pPr>
      <w:r>
        <w:rPr>
          <w:b/>
          <w:bCs/>
          <w:u w:val="single"/>
        </w:rPr>
        <w:t>KIMCO REALTY CORPORATION</w:t>
      </w:r>
    </w:p>
    <w:p w:rsidR="00000000" w:rsidRDefault="006954AA">
      <w:pPr>
        <w:pStyle w:val="a3"/>
        <w:spacing w:before="0" w:beforeAutospacing="0" w:after="0" w:afterAutospacing="0"/>
        <w:jc w:val="center"/>
        <w:divId w:val="1618562439"/>
      </w:pPr>
      <w:r>
        <w:rPr>
          <w:b/>
          <w:bCs/>
          <w:u w:val="single"/>
        </w:rPr>
        <w:t>KIMCO REALTY OP, LLC</w:t>
      </w:r>
    </w:p>
    <w:p w:rsidR="00000000" w:rsidRDefault="006954AA">
      <w:pPr>
        <w:pStyle w:val="a3"/>
        <w:spacing w:before="0" w:beforeAutospacing="0" w:after="0" w:afterAutospacing="0"/>
        <w:jc w:val="center"/>
        <w:divId w:val="1618562439"/>
        <w:rPr>
          <w:sz w:val="20"/>
          <w:szCs w:val="20"/>
        </w:rPr>
      </w:pPr>
      <w:r>
        <w:rPr>
          <w:sz w:val="20"/>
          <w:szCs w:val="20"/>
        </w:rPr>
        <w:t>(Exact name of registrant as specified in its charter)</w:t>
      </w:r>
    </w:p>
    <w:p w:rsidR="00000000" w:rsidRDefault="006954AA">
      <w:pPr>
        <w:pStyle w:val="a3"/>
        <w:spacing w:before="0" w:beforeAutospacing="0" w:after="0" w:afterAutospacing="0"/>
        <w:divId w:val="1618562439"/>
        <w:rPr>
          <w:sz w:val="20"/>
          <w:szCs w:val="20"/>
        </w:rPr>
      </w:pPr>
      <w:r>
        <w:rPr>
          <w:sz w:val="20"/>
          <w:szCs w:val="20"/>
        </w:rPr>
        <w:t> </w:t>
      </w:r>
    </w:p>
    <w:tbl>
      <w:tblPr>
        <w:tblW w:w="3650" w:type="pct"/>
        <w:tblCellSpacing w:w="0" w:type="dxa"/>
        <w:tblCellMar>
          <w:left w:w="0" w:type="dxa"/>
          <w:right w:w="0" w:type="dxa"/>
        </w:tblCellMar>
        <w:tblLook w:val="04A0" w:firstRow="1" w:lastRow="0" w:firstColumn="1" w:lastColumn="0" w:noHBand="0" w:noVBand="1"/>
      </w:tblPr>
      <w:tblGrid>
        <w:gridCol w:w="2552"/>
        <w:gridCol w:w="758"/>
        <w:gridCol w:w="2753"/>
      </w:tblGrid>
      <w:tr w:rsidR="00000000">
        <w:trPr>
          <w:divId w:val="1618562439"/>
          <w:tblCellSpacing w:w="0" w:type="dxa"/>
        </w:trPr>
        <w:tc>
          <w:tcPr>
            <w:tcW w:w="2105"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Maryland (Kimco Realty Corporation)</w:t>
            </w:r>
          </w:p>
          <w:p w:rsidR="00000000" w:rsidRDefault="006954AA">
            <w:pPr>
              <w:pStyle w:val="a3"/>
              <w:spacing w:before="0" w:beforeAutospacing="0" w:after="0" w:afterAutospacing="0"/>
              <w:jc w:val="center"/>
              <w:rPr>
                <w:sz w:val="20"/>
                <w:szCs w:val="20"/>
              </w:rPr>
            </w:pPr>
            <w:r>
              <w:rPr>
                <w:b/>
                <w:bCs/>
                <w:sz w:val="20"/>
                <w:szCs w:val="20"/>
              </w:rPr>
              <w:t xml:space="preserve">Delaware </w:t>
            </w:r>
            <w:r>
              <w:rPr>
                <w:b/>
                <w:bCs/>
                <w:sz w:val="20"/>
                <w:szCs w:val="20"/>
              </w:rPr>
              <w:t>(Kimco Realty OP, LLC)</w:t>
            </w:r>
          </w:p>
        </w:tc>
        <w:tc>
          <w:tcPr>
            <w:tcW w:w="625" w:type="pct"/>
            <w:vAlign w:val="bottom"/>
            <w:hideMark/>
          </w:tcPr>
          <w:p w:rsidR="00000000" w:rsidRDefault="006954AA">
            <w:pPr>
              <w:rPr>
                <w:rFonts w:eastAsia="Times New Roman"/>
                <w:sz w:val="20"/>
                <w:szCs w:val="20"/>
              </w:rPr>
            </w:pPr>
            <w:r>
              <w:rPr>
                <w:rFonts w:eastAsia="Times New Roman"/>
                <w:sz w:val="20"/>
                <w:szCs w:val="20"/>
              </w:rPr>
              <w:t> </w:t>
            </w:r>
          </w:p>
        </w:tc>
        <w:tc>
          <w:tcPr>
            <w:tcW w:w="24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13-2744380</w:t>
            </w:r>
          </w:p>
          <w:p w:rsidR="00000000" w:rsidRDefault="006954AA">
            <w:pPr>
              <w:pStyle w:val="a3"/>
              <w:spacing w:before="0" w:beforeAutospacing="0" w:after="0" w:afterAutospacing="0"/>
              <w:jc w:val="center"/>
              <w:rPr>
                <w:sz w:val="20"/>
                <w:szCs w:val="20"/>
              </w:rPr>
            </w:pPr>
            <w:r>
              <w:rPr>
                <w:b/>
                <w:bCs/>
                <w:sz w:val="20"/>
                <w:szCs w:val="20"/>
              </w:rPr>
              <w:t>92-1489725</w:t>
            </w:r>
          </w:p>
        </w:tc>
      </w:tr>
      <w:tr w:rsidR="00000000">
        <w:trPr>
          <w:divId w:val="1618562439"/>
          <w:tblCellSpacing w:w="0" w:type="dxa"/>
        </w:trPr>
        <w:tc>
          <w:tcPr>
            <w:tcW w:w="2105" w:type="pct"/>
            <w:hideMark/>
          </w:tcPr>
          <w:p w:rsidR="00000000" w:rsidRDefault="006954AA">
            <w:pPr>
              <w:pStyle w:val="a3"/>
              <w:spacing w:before="0" w:beforeAutospacing="0" w:after="0" w:afterAutospacing="0"/>
              <w:jc w:val="center"/>
              <w:rPr>
                <w:sz w:val="20"/>
                <w:szCs w:val="20"/>
              </w:rPr>
            </w:pPr>
            <w:r>
              <w:rPr>
                <w:sz w:val="20"/>
                <w:szCs w:val="20"/>
              </w:rPr>
              <w:t>(State or other jurisdiction of</w:t>
            </w:r>
          </w:p>
          <w:p w:rsidR="00000000" w:rsidRDefault="006954AA">
            <w:pPr>
              <w:pStyle w:val="a3"/>
              <w:spacing w:before="0" w:beforeAutospacing="0" w:after="0" w:afterAutospacing="0"/>
              <w:jc w:val="center"/>
              <w:rPr>
                <w:sz w:val="20"/>
                <w:szCs w:val="20"/>
              </w:rPr>
            </w:pPr>
            <w:r>
              <w:rPr>
                <w:sz w:val="20"/>
                <w:szCs w:val="20"/>
              </w:rPr>
              <w:t>incorporation or organization)</w:t>
            </w:r>
          </w:p>
        </w:tc>
        <w:tc>
          <w:tcPr>
            <w:tcW w:w="625" w:type="pct"/>
            <w:vAlign w:val="bottom"/>
            <w:hideMark/>
          </w:tcPr>
          <w:p w:rsidR="00000000" w:rsidRDefault="006954AA">
            <w:pPr>
              <w:rPr>
                <w:rFonts w:eastAsia="Times New Roman"/>
                <w:sz w:val="20"/>
                <w:szCs w:val="20"/>
              </w:rPr>
            </w:pPr>
            <w:r>
              <w:rPr>
                <w:rFonts w:eastAsia="Times New Roman"/>
                <w:sz w:val="20"/>
                <w:szCs w:val="20"/>
              </w:rPr>
              <w:t> </w:t>
            </w:r>
          </w:p>
        </w:tc>
        <w:tc>
          <w:tcPr>
            <w:tcW w:w="2400" w:type="pct"/>
            <w:hideMark/>
          </w:tcPr>
          <w:p w:rsidR="00000000" w:rsidRDefault="006954AA">
            <w:pPr>
              <w:pStyle w:val="a3"/>
              <w:spacing w:before="0" w:beforeAutospacing="0" w:after="0" w:afterAutospacing="0"/>
              <w:jc w:val="center"/>
              <w:rPr>
                <w:sz w:val="20"/>
                <w:szCs w:val="20"/>
              </w:rPr>
            </w:pPr>
            <w:r>
              <w:rPr>
                <w:sz w:val="20"/>
                <w:szCs w:val="20"/>
              </w:rPr>
              <w:t>(I.R.S. Employer Identification No.)</w:t>
            </w:r>
          </w:p>
        </w:tc>
      </w:tr>
    </w:tbl>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u w:val="single"/>
        </w:rPr>
        <w:t>500 North Broadway, Suite 201, Jericho, NY 11753</w:t>
      </w:r>
    </w:p>
    <w:p w:rsidR="00000000" w:rsidRDefault="006954AA">
      <w:pPr>
        <w:pStyle w:val="a3"/>
        <w:spacing w:before="0" w:beforeAutospacing="0" w:after="0" w:afterAutospacing="0"/>
        <w:jc w:val="center"/>
        <w:divId w:val="1618562439"/>
        <w:rPr>
          <w:sz w:val="20"/>
          <w:szCs w:val="20"/>
        </w:rPr>
      </w:pPr>
      <w:r>
        <w:rPr>
          <w:sz w:val="20"/>
          <w:szCs w:val="20"/>
        </w:rPr>
        <w:t>(Address of principal executive offices)        (Zip Code)</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u w:val="single"/>
        </w:rPr>
        <w:t>(516) 869-9000</w:t>
      </w:r>
    </w:p>
    <w:p w:rsidR="00000000" w:rsidRDefault="006954AA">
      <w:pPr>
        <w:pStyle w:val="a3"/>
        <w:spacing w:before="0" w:beforeAutospacing="0" w:after="0" w:afterAutospacing="0"/>
        <w:jc w:val="center"/>
        <w:divId w:val="1618562439"/>
        <w:rPr>
          <w:sz w:val="20"/>
          <w:szCs w:val="20"/>
        </w:rPr>
      </w:pPr>
      <w:r>
        <w:rPr>
          <w:sz w:val="20"/>
          <w:szCs w:val="20"/>
        </w:rPr>
        <w:t>(Registrant’s telephone number, including area code)</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sz w:val="20"/>
          <w:szCs w:val="20"/>
        </w:rPr>
        <w:t>Securities registered pursuant to Section 12(b) of the Act:</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p>
    <w:tbl>
      <w:tblPr>
        <w:tblW w:w="5000" w:type="pct"/>
        <w:tblCellSpacing w:w="0" w:type="dxa"/>
        <w:tblCellMar>
          <w:left w:w="0" w:type="dxa"/>
          <w:right w:w="0" w:type="dxa"/>
        </w:tblCellMar>
        <w:tblLook w:val="04A0" w:firstRow="1" w:lastRow="0" w:firstColumn="1" w:lastColumn="0" w:noHBand="0" w:noVBand="1"/>
      </w:tblPr>
      <w:tblGrid>
        <w:gridCol w:w="4486"/>
        <w:gridCol w:w="251"/>
        <w:gridCol w:w="834"/>
        <w:gridCol w:w="2735"/>
      </w:tblGrid>
      <w:tr w:rsidR="00000000">
        <w:trPr>
          <w:divId w:val="1618562439"/>
          <w:tblCellSpacing w:w="0" w:type="dxa"/>
        </w:trPr>
        <w:tc>
          <w:tcPr>
            <w:tcW w:w="2720" w:type="pct"/>
            <w:vAlign w:val="bottom"/>
            <w:hideMark/>
          </w:tcPr>
          <w:p w:rsidR="00000000" w:rsidRDefault="006954AA">
            <w:pPr>
              <w:pStyle w:val="a3"/>
              <w:spacing w:before="0" w:beforeAutospacing="0" w:after="0" w:afterAutospacing="0"/>
              <w:jc w:val="center"/>
              <w:rPr>
                <w:sz w:val="20"/>
                <w:szCs w:val="20"/>
              </w:rPr>
            </w:pPr>
            <w:r>
              <w:rPr>
                <w:sz w:val="20"/>
                <w:szCs w:val="20"/>
                <w:u w:val="single"/>
              </w:rPr>
              <w:t>Title of each class</w:t>
            </w:r>
          </w:p>
        </w:tc>
        <w:tc>
          <w:tcPr>
            <w:tcW w:w="170" w:type="pct"/>
            <w:vAlign w:val="bottom"/>
            <w:hideMark/>
          </w:tcPr>
          <w:p w:rsidR="00000000" w:rsidRDefault="006954AA">
            <w:pPr>
              <w:rPr>
                <w:rFonts w:eastAsia="Times New Roman"/>
                <w:sz w:val="20"/>
                <w:szCs w:val="20"/>
              </w:rPr>
            </w:pPr>
            <w:r>
              <w:rPr>
                <w:rFonts w:eastAsia="Times New Roman"/>
                <w:sz w:val="20"/>
                <w:szCs w:val="20"/>
              </w:rPr>
              <w:t> </w:t>
            </w:r>
          </w:p>
        </w:tc>
        <w:tc>
          <w:tcPr>
            <w:tcW w:w="445" w:type="pct"/>
            <w:vAlign w:val="bottom"/>
            <w:hideMark/>
          </w:tcPr>
          <w:p w:rsidR="00000000" w:rsidRDefault="006954AA">
            <w:pPr>
              <w:pStyle w:val="a3"/>
              <w:spacing w:before="0" w:beforeAutospacing="0" w:after="0" w:afterAutospacing="0"/>
              <w:jc w:val="center"/>
              <w:rPr>
                <w:sz w:val="20"/>
                <w:szCs w:val="20"/>
              </w:rPr>
            </w:pPr>
            <w:r>
              <w:rPr>
                <w:sz w:val="20"/>
                <w:szCs w:val="20"/>
                <w:u w:val="single"/>
              </w:rPr>
              <w:t xml:space="preserve">Trading </w:t>
            </w:r>
          </w:p>
          <w:p w:rsidR="00000000" w:rsidRDefault="006954AA">
            <w:pPr>
              <w:pStyle w:val="a3"/>
              <w:spacing w:before="0" w:beforeAutospacing="0" w:after="0" w:afterAutospacing="0"/>
              <w:jc w:val="center"/>
              <w:rPr>
                <w:sz w:val="20"/>
                <w:szCs w:val="20"/>
              </w:rPr>
            </w:pPr>
            <w:r>
              <w:rPr>
                <w:sz w:val="20"/>
                <w:szCs w:val="20"/>
                <w:u w:val="single"/>
              </w:rPr>
              <w:t>Symbol(</w:t>
            </w:r>
            <w:r>
              <w:rPr>
                <w:sz w:val="20"/>
                <w:szCs w:val="20"/>
                <w:u w:val="single"/>
              </w:rPr>
              <w:t>s)</w:t>
            </w:r>
          </w:p>
        </w:tc>
        <w:tc>
          <w:tcPr>
            <w:tcW w:w="1670" w:type="pct"/>
            <w:vAlign w:val="bottom"/>
            <w:hideMark/>
          </w:tcPr>
          <w:p w:rsidR="00000000" w:rsidRDefault="006954AA">
            <w:pPr>
              <w:pStyle w:val="a3"/>
              <w:spacing w:before="0" w:beforeAutospacing="0" w:after="0" w:afterAutospacing="0"/>
              <w:jc w:val="center"/>
              <w:rPr>
                <w:sz w:val="20"/>
                <w:szCs w:val="20"/>
              </w:rPr>
            </w:pPr>
            <w:r>
              <w:rPr>
                <w:sz w:val="20"/>
                <w:szCs w:val="20"/>
                <w:u w:val="single"/>
              </w:rPr>
              <w:t>Name of each exchange on which registered</w:t>
            </w:r>
          </w:p>
        </w:tc>
      </w:tr>
      <w:tr w:rsidR="00000000">
        <w:trPr>
          <w:divId w:val="1618562439"/>
          <w:tblCellSpacing w:w="0" w:type="dxa"/>
        </w:trPr>
        <w:tc>
          <w:tcPr>
            <w:tcW w:w="2720" w:type="pct"/>
            <w:shd w:val="clear" w:color="auto" w:fill="CCEEFF"/>
            <w:vAlign w:val="center"/>
            <w:hideMark/>
          </w:tcPr>
          <w:p w:rsidR="00000000" w:rsidRDefault="006954AA">
            <w:pPr>
              <w:pStyle w:val="a3"/>
              <w:spacing w:before="0" w:beforeAutospacing="0" w:after="0" w:afterAutospacing="0"/>
              <w:rPr>
                <w:sz w:val="20"/>
                <w:szCs w:val="20"/>
              </w:rPr>
            </w:pPr>
            <w:r>
              <w:rPr>
                <w:sz w:val="20"/>
                <w:szCs w:val="20"/>
              </w:rPr>
              <w:t>Common Stock, par value $.01 per share.</w:t>
            </w:r>
          </w:p>
        </w:tc>
        <w:tc>
          <w:tcPr>
            <w:tcW w:w="17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445" w:type="pct"/>
            <w:shd w:val="clear" w:color="auto" w:fill="CCEEFF"/>
            <w:hideMark/>
          </w:tcPr>
          <w:p w:rsidR="00000000" w:rsidRDefault="006954AA">
            <w:pPr>
              <w:pStyle w:val="a3"/>
              <w:spacing w:before="0" w:beforeAutospacing="0" w:after="0" w:afterAutospacing="0"/>
              <w:jc w:val="center"/>
              <w:rPr>
                <w:sz w:val="20"/>
                <w:szCs w:val="20"/>
              </w:rPr>
            </w:pPr>
            <w:r>
              <w:rPr>
                <w:sz w:val="20"/>
                <w:szCs w:val="20"/>
              </w:rPr>
              <w:t>KIM</w:t>
            </w:r>
          </w:p>
        </w:tc>
        <w:tc>
          <w:tcPr>
            <w:tcW w:w="167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New York Stock Exchange</w:t>
            </w:r>
          </w:p>
        </w:tc>
      </w:tr>
      <w:tr w:rsidR="00000000">
        <w:trPr>
          <w:divId w:val="1618562439"/>
          <w:tblCellSpacing w:w="0" w:type="dxa"/>
        </w:trPr>
        <w:tc>
          <w:tcPr>
            <w:tcW w:w="2720" w:type="pct"/>
            <w:shd w:val="clear" w:color="auto" w:fill="FFFFFF"/>
            <w:vAlign w:val="center"/>
            <w:hideMark/>
          </w:tcPr>
          <w:p w:rsidR="00000000" w:rsidRDefault="006954AA">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170" w:type="pct"/>
            <w:shd w:val="clear" w:color="auto" w:fill="FFFFFF"/>
            <w:vAlign w:val="center"/>
            <w:hideMark/>
          </w:tcPr>
          <w:p w:rsidR="00000000" w:rsidRDefault="006954AA">
            <w:pPr>
              <w:rPr>
                <w:rFonts w:eastAsia="Times New Roman"/>
                <w:sz w:val="20"/>
                <w:szCs w:val="20"/>
              </w:rPr>
            </w:pPr>
            <w:r>
              <w:rPr>
                <w:rFonts w:eastAsia="Times New Roman"/>
                <w:sz w:val="20"/>
                <w:szCs w:val="20"/>
              </w:rPr>
              <w:t> </w:t>
            </w:r>
          </w:p>
        </w:tc>
        <w:tc>
          <w:tcPr>
            <w:tcW w:w="44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KIMprL</w:t>
            </w:r>
          </w:p>
        </w:tc>
        <w:tc>
          <w:tcPr>
            <w:tcW w:w="167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New York Stock Exchange</w:t>
            </w:r>
          </w:p>
        </w:tc>
      </w:tr>
      <w:tr w:rsidR="00000000">
        <w:trPr>
          <w:divId w:val="1618562439"/>
          <w:tblCellSpacing w:w="0" w:type="dxa"/>
        </w:trPr>
        <w:tc>
          <w:tcPr>
            <w:tcW w:w="2720" w:type="pct"/>
            <w:shd w:val="clear" w:color="auto" w:fill="CCEEFF"/>
            <w:vAlign w:val="center"/>
            <w:hideMark/>
          </w:tcPr>
          <w:p w:rsidR="00000000" w:rsidRDefault="006954AA">
            <w:pPr>
              <w:pStyle w:val="a3"/>
              <w:spacing w:before="0" w:beforeAutospacing="0" w:after="0" w:afterAutospacing="0"/>
              <w:rPr>
                <w:sz w:val="20"/>
                <w:szCs w:val="20"/>
              </w:rPr>
            </w:pPr>
            <w:r>
              <w:rPr>
                <w:sz w:val="20"/>
                <w:szCs w:val="20"/>
              </w:rPr>
              <w:t>Depositary Shares, each representing one-thousandth of a share of 5.250% C</w:t>
            </w:r>
            <w:r>
              <w:rPr>
                <w:sz w:val="20"/>
                <w:szCs w:val="20"/>
              </w:rPr>
              <w:t>lass M Cumulative Redeemable Preferred Stock, $1.00 par value per share.</w:t>
            </w:r>
          </w:p>
        </w:tc>
        <w:tc>
          <w:tcPr>
            <w:tcW w:w="17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44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KIMprM</w:t>
            </w:r>
          </w:p>
        </w:tc>
        <w:tc>
          <w:tcPr>
            <w:tcW w:w="167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New York Stock Exchange</w:t>
            </w:r>
          </w:p>
        </w:tc>
      </w:tr>
    </w:tbl>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b/>
          <w:bCs/>
          <w:sz w:val="20"/>
          <w:szCs w:val="20"/>
        </w:rPr>
        <w:t>Kimco Realty OP, LLC</w:t>
      </w:r>
    </w:p>
    <w:tbl>
      <w:tblPr>
        <w:tblW w:w="5000" w:type="pct"/>
        <w:tblCellSpacing w:w="0" w:type="dxa"/>
        <w:tblCellMar>
          <w:left w:w="0" w:type="dxa"/>
          <w:right w:w="0" w:type="dxa"/>
        </w:tblCellMar>
        <w:tblLook w:val="04A0" w:firstRow="1" w:lastRow="0" w:firstColumn="1" w:lastColumn="0" w:noHBand="0" w:noVBand="1"/>
      </w:tblPr>
      <w:tblGrid>
        <w:gridCol w:w="4486"/>
        <w:gridCol w:w="251"/>
        <w:gridCol w:w="834"/>
        <w:gridCol w:w="2735"/>
      </w:tblGrid>
      <w:tr w:rsidR="00000000">
        <w:trPr>
          <w:divId w:val="1618562439"/>
          <w:tblCellSpacing w:w="0" w:type="dxa"/>
        </w:trPr>
        <w:tc>
          <w:tcPr>
            <w:tcW w:w="2720" w:type="pct"/>
            <w:vAlign w:val="bottom"/>
            <w:hideMark/>
          </w:tcPr>
          <w:p w:rsidR="00000000" w:rsidRDefault="006954AA">
            <w:pPr>
              <w:pStyle w:val="a3"/>
              <w:spacing w:before="0" w:beforeAutospacing="0" w:after="0" w:afterAutospacing="0"/>
              <w:jc w:val="center"/>
              <w:rPr>
                <w:sz w:val="20"/>
                <w:szCs w:val="20"/>
              </w:rPr>
            </w:pPr>
            <w:r>
              <w:rPr>
                <w:sz w:val="20"/>
                <w:szCs w:val="20"/>
                <w:u w:val="single"/>
              </w:rPr>
              <w:t>Title of each class</w:t>
            </w:r>
          </w:p>
        </w:tc>
        <w:tc>
          <w:tcPr>
            <w:tcW w:w="170" w:type="pct"/>
            <w:vAlign w:val="bottom"/>
            <w:hideMark/>
          </w:tcPr>
          <w:p w:rsidR="00000000" w:rsidRDefault="006954AA">
            <w:pPr>
              <w:rPr>
                <w:rFonts w:eastAsia="Times New Roman"/>
                <w:sz w:val="20"/>
                <w:szCs w:val="20"/>
              </w:rPr>
            </w:pPr>
            <w:r>
              <w:rPr>
                <w:rFonts w:eastAsia="Times New Roman"/>
                <w:sz w:val="20"/>
                <w:szCs w:val="20"/>
              </w:rPr>
              <w:t> </w:t>
            </w:r>
          </w:p>
        </w:tc>
        <w:tc>
          <w:tcPr>
            <w:tcW w:w="445" w:type="pct"/>
            <w:vAlign w:val="bottom"/>
            <w:hideMark/>
          </w:tcPr>
          <w:p w:rsidR="00000000" w:rsidRDefault="006954AA">
            <w:pPr>
              <w:pStyle w:val="a3"/>
              <w:spacing w:before="0" w:beforeAutospacing="0" w:after="0" w:afterAutospacing="0"/>
              <w:jc w:val="center"/>
              <w:rPr>
                <w:sz w:val="20"/>
                <w:szCs w:val="20"/>
              </w:rPr>
            </w:pPr>
            <w:r>
              <w:rPr>
                <w:sz w:val="20"/>
                <w:szCs w:val="20"/>
                <w:u w:val="single"/>
              </w:rPr>
              <w:t xml:space="preserve">Trading </w:t>
            </w:r>
          </w:p>
          <w:p w:rsidR="00000000" w:rsidRDefault="006954AA">
            <w:pPr>
              <w:pStyle w:val="a3"/>
              <w:spacing w:before="0" w:beforeAutospacing="0" w:after="0" w:afterAutospacing="0"/>
              <w:jc w:val="center"/>
              <w:rPr>
                <w:sz w:val="20"/>
                <w:szCs w:val="20"/>
              </w:rPr>
            </w:pPr>
            <w:r>
              <w:rPr>
                <w:sz w:val="20"/>
                <w:szCs w:val="20"/>
                <w:u w:val="single"/>
              </w:rPr>
              <w:t>Symbol(s)</w:t>
            </w:r>
          </w:p>
        </w:tc>
        <w:tc>
          <w:tcPr>
            <w:tcW w:w="1670" w:type="pct"/>
            <w:vAlign w:val="bottom"/>
            <w:hideMark/>
          </w:tcPr>
          <w:p w:rsidR="00000000" w:rsidRDefault="006954AA">
            <w:pPr>
              <w:pStyle w:val="a3"/>
              <w:spacing w:before="0" w:beforeAutospacing="0" w:after="0" w:afterAutospacing="0"/>
              <w:jc w:val="center"/>
              <w:rPr>
                <w:sz w:val="20"/>
                <w:szCs w:val="20"/>
              </w:rPr>
            </w:pPr>
            <w:r>
              <w:rPr>
                <w:sz w:val="20"/>
                <w:szCs w:val="20"/>
                <w:u w:val="single"/>
              </w:rPr>
              <w:t>Name of each exchange on which registered</w:t>
            </w:r>
          </w:p>
        </w:tc>
      </w:tr>
      <w:tr w:rsidR="00000000">
        <w:trPr>
          <w:divId w:val="1618562439"/>
          <w:tblCellSpacing w:w="0" w:type="dxa"/>
        </w:trPr>
        <w:tc>
          <w:tcPr>
            <w:tcW w:w="2720" w:type="pct"/>
            <w:shd w:val="clear" w:color="auto" w:fill="CCEEFF"/>
            <w:vAlign w:val="center"/>
            <w:hideMark/>
          </w:tcPr>
          <w:p w:rsidR="00000000" w:rsidRDefault="006954AA">
            <w:pPr>
              <w:pStyle w:val="a3"/>
              <w:spacing w:before="0" w:beforeAutospacing="0" w:after="0" w:afterAutospacing="0"/>
              <w:rPr>
                <w:sz w:val="20"/>
                <w:szCs w:val="20"/>
              </w:rPr>
            </w:pPr>
            <w:r>
              <w:rPr>
                <w:sz w:val="20"/>
                <w:szCs w:val="20"/>
              </w:rPr>
              <w:lastRenderedPageBreak/>
              <w:t>None</w:t>
            </w:r>
          </w:p>
        </w:tc>
        <w:tc>
          <w:tcPr>
            <w:tcW w:w="17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445" w:type="pct"/>
            <w:shd w:val="clear" w:color="auto" w:fill="CCEEFF"/>
            <w:hideMark/>
          </w:tcPr>
          <w:p w:rsidR="00000000" w:rsidRDefault="006954AA">
            <w:pPr>
              <w:pStyle w:val="a3"/>
              <w:spacing w:before="0" w:beforeAutospacing="0" w:after="0" w:afterAutospacing="0"/>
              <w:jc w:val="center"/>
              <w:rPr>
                <w:sz w:val="20"/>
                <w:szCs w:val="20"/>
              </w:rPr>
            </w:pPr>
            <w:r>
              <w:rPr>
                <w:sz w:val="20"/>
                <w:szCs w:val="20"/>
              </w:rPr>
              <w:t>N/A</w:t>
            </w:r>
          </w:p>
        </w:tc>
        <w:tc>
          <w:tcPr>
            <w:tcW w:w="167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N/A</w:t>
            </w:r>
          </w:p>
        </w:tc>
      </w:tr>
    </w:tbl>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Securities registered pursuant to section 12(g) of the Act:      None</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Indicate by check mark if the registrant is a well-known seasoned issuer, as defined in Rule 405 of the Securities Act.</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r>
        <w:rPr>
          <w:sz w:val="20"/>
          <w:szCs w:val="20"/>
        </w:rPr>
        <w:t>                             </w:t>
      </w:r>
      <w:r>
        <w:rPr>
          <w:sz w:val="20"/>
          <w:szCs w:val="20"/>
        </w:rPr>
        <w:t>                         </w:t>
      </w:r>
      <w:r>
        <w:rPr>
          <w:b/>
          <w:bCs/>
          <w:sz w:val="20"/>
          <w:szCs w:val="20"/>
        </w:rPr>
        <w:t xml:space="preserve">Kimco Realty OP, LLC </w:t>
      </w:r>
      <w:r>
        <w:rPr>
          <w:sz w:val="20"/>
          <w:szCs w:val="20"/>
        </w:rPr>
        <w:t xml:space="preserve">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6954AA">
      <w:pPr>
        <w:pStyle w:val="a3"/>
        <w:spacing w:before="0" w:beforeAutospacing="0" w:after="0" w:afterAutospacing="0"/>
        <w:divId w:val="1618562439"/>
        <w:rPr>
          <w:sz w:val="20"/>
          <w:szCs w:val="20"/>
        </w:rPr>
      </w:pPr>
      <w:r>
        <w:rPr>
          <w:sz w:val="20"/>
          <w:szCs w:val="20"/>
        </w:rPr>
        <w:t>Indicate by check mark if the registrant is not required to file reports pursuant to Section 13 or Section 15(d) of the Act.</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r>
        <w:rPr>
          <w:sz w:val="20"/>
          <w:szCs w:val="20"/>
        </w:rPr>
        <w:t xml:space="preserve">                                       </w:t>
      </w:r>
      <w:r>
        <w:rPr>
          <w:sz w:val="20"/>
          <w:szCs w:val="20"/>
        </w:rPr>
        <w:t>               </w:t>
      </w:r>
      <w:r>
        <w:rPr>
          <w:b/>
          <w:bCs/>
          <w:sz w:val="20"/>
          <w:szCs w:val="20"/>
        </w:rPr>
        <w:t xml:space="preserve">Kimco Realty OP, LLC </w:t>
      </w: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rsidR="00000000" w:rsidRDefault="006954AA">
      <w:pPr>
        <w:pStyle w:val="a3"/>
        <w:spacing w:before="0" w:beforeAutospacing="0" w:after="0" w:afterAutospacing="0"/>
        <w:divId w:val="1618562439"/>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w:t>
      </w:r>
      <w:r>
        <w:rPr>
          <w:sz w:val="20"/>
          <w:szCs w:val="20"/>
        </w:rPr>
        <w:t>riod that the registrant was required to file such reports), and (2) has been subject to such filing requirements for the past 90 days.</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r>
        <w:rPr>
          <w:sz w:val="20"/>
          <w:szCs w:val="20"/>
        </w:rPr>
        <w:t>                                                      </w:t>
      </w:r>
      <w:r>
        <w:rPr>
          <w:b/>
          <w:bCs/>
          <w:sz w:val="20"/>
          <w:szCs w:val="20"/>
        </w:rPr>
        <w:t xml:space="preserve">Kimco Realty OP, LLC </w:t>
      </w:r>
      <w:r>
        <w:rPr>
          <w:sz w:val="20"/>
          <w:szCs w:val="20"/>
        </w:rPr>
        <w:t xml:space="preserve">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6954AA">
      <w:pPr>
        <w:pStyle w:val="a3"/>
        <w:spacing w:before="0" w:beforeAutospacing="0" w:after="0" w:afterAutospacing="0"/>
        <w:divId w:val="1618562439"/>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w:t>
      </w:r>
      <w:r>
        <w:rPr>
          <w:sz w:val="20"/>
          <w:szCs w:val="20"/>
        </w:rPr>
        <w:t>hat the registrant was required to submit such files).</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r>
        <w:rPr>
          <w:sz w:val="20"/>
          <w:szCs w:val="20"/>
        </w:rPr>
        <w:t>                                                      </w:t>
      </w:r>
      <w:r>
        <w:rPr>
          <w:b/>
          <w:bCs/>
          <w:sz w:val="20"/>
          <w:szCs w:val="20"/>
        </w:rPr>
        <w:t xml:space="preserve">Kimco Realty OP, LLC </w:t>
      </w:r>
      <w:r>
        <w:rPr>
          <w:sz w:val="20"/>
          <w:szCs w:val="20"/>
        </w:rPr>
        <w:t xml:space="preserve">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jc w:val="center"/>
        <w:divId w:val="1034378603"/>
        <w:rPr>
          <w:rFonts w:eastAsia="Times New Roman"/>
          <w:sz w:val="20"/>
          <w:szCs w:val="20"/>
        </w:rPr>
      </w:pPr>
      <w:r>
        <w:rPr>
          <w:rFonts w:eastAsia="Times New Roman"/>
          <w:sz w:val="20"/>
          <w:szCs w:val="20"/>
        </w:rPr>
        <w:t xml:space="preserve">  </w:t>
      </w:r>
    </w:p>
    <w:p w:rsidR="00000000" w:rsidRDefault="006954AA">
      <w:pPr>
        <w:divId w:val="686061175"/>
        <w:rPr>
          <w:rFonts w:eastAsia="Times New Roman"/>
          <w:sz w:val="20"/>
          <w:szCs w:val="20"/>
        </w:rPr>
      </w:pPr>
      <w:r>
        <w:rPr>
          <w:rFonts w:eastAsia="Times New Roman"/>
          <w:sz w:val="20"/>
          <w:szCs w:val="20"/>
        </w:rPr>
        <w:pict>
          <v:rect id="_x0000_i1027" style="width:415.3pt;height:1.5pt" o:hralign="center" o:hrstd="t" o:hrnoshade="t" o:hr="t" fillcolor="black" stroked="f"/>
        </w:pict>
      </w:r>
    </w:p>
    <w:p w:rsidR="00000000" w:rsidRDefault="006954AA">
      <w:pPr>
        <w:divId w:val="1399405549"/>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Indicate by check mark whether the registrant is a large accelerated filer, an accelerated filer, a non-acceler</w:t>
      </w:r>
      <w:r>
        <w:rPr>
          <w:sz w:val="20"/>
          <w:szCs w:val="20"/>
        </w:rPr>
        <w:t>ated filer, a smaller reporting company, or an emerging growth company. See the definitions of “large accelerated filer,” “accelerated filer,” “smaller reporting company,” and “emerging growth company” in Rule 12b-2 of the Exchange Act.</w:t>
      </w:r>
    </w:p>
    <w:p w:rsidR="00000000" w:rsidRDefault="006954AA">
      <w:pPr>
        <w:pStyle w:val="a3"/>
        <w:spacing w:before="0" w:beforeAutospacing="0" w:after="0" w:afterAutospacing="0"/>
        <w:divId w:val="1618562439"/>
        <w:rPr>
          <w:sz w:val="20"/>
          <w:szCs w:val="20"/>
        </w:rPr>
      </w:pPr>
      <w:r>
        <w:rPr>
          <w:b/>
          <w:bCs/>
          <w:sz w:val="20"/>
          <w:szCs w:val="20"/>
        </w:rPr>
        <w:t>Kimco Realty Corpor</w:t>
      </w:r>
      <w:r>
        <w:rPr>
          <w:b/>
          <w:bCs/>
          <w:sz w:val="20"/>
          <w:szCs w:val="20"/>
        </w:rPr>
        <w:t>ation:</w:t>
      </w:r>
    </w:p>
    <w:tbl>
      <w:tblPr>
        <w:tblW w:w="5000" w:type="pct"/>
        <w:tblCellSpacing w:w="0" w:type="dxa"/>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618562439"/>
          <w:tblCellSpacing w:w="0" w:type="dxa"/>
        </w:trPr>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Large accelerated filer </w:t>
            </w:r>
            <w:r>
              <w:rPr>
                <w:rFonts w:ascii="Segoe UI Emoji" w:eastAsia="Times New Roman" w:hAnsi="Segoe UI Emoji" w:cs="Segoe UI Emoji"/>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r>
    </w:tbl>
    <w:p w:rsidR="00000000" w:rsidRDefault="006954AA">
      <w:pPr>
        <w:pStyle w:val="a3"/>
        <w:spacing w:before="0" w:beforeAutospacing="0" w:after="0" w:afterAutospacing="0"/>
        <w:jc w:val="center"/>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b/>
          <w:bCs/>
          <w:sz w:val="20"/>
          <w:szCs w:val="20"/>
        </w:rPr>
        <w:t>Kimco Realty OP, LLC:</w:t>
      </w:r>
    </w:p>
    <w:tbl>
      <w:tblPr>
        <w:tblW w:w="5000" w:type="pct"/>
        <w:tblCellSpacing w:w="0" w:type="dxa"/>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618562439"/>
          <w:tblCellSpacing w:w="0" w:type="dxa"/>
        </w:trPr>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Accelerated filer </w:t>
            </w:r>
            <w:r>
              <w:rPr>
                <w:rFonts w:ascii="Segoe UI Symbol" w:eastAsia="Times New Roman" w:hAnsi="Segoe UI Symbol" w:cs="Segoe UI Symbol"/>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Non-accelerated filer </w:t>
            </w:r>
            <w:r>
              <w:rPr>
                <w:rFonts w:ascii="Segoe UI Emoji" w:eastAsia="Times New Roman" w:hAnsi="Segoe UI Emoji" w:cs="Segoe UI Emoji"/>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c>
          <w:tcPr>
            <w:tcW w:w="1000" w:type="pct"/>
            <w:vAlign w:val="center"/>
            <w:hideMark/>
          </w:tcPr>
          <w:p w:rsidR="00000000" w:rsidRDefault="006954AA">
            <w:pPr>
              <w:jc w:val="center"/>
              <w:rPr>
                <w:rFonts w:eastAsia="Times New Roman"/>
                <w:sz w:val="20"/>
                <w:szCs w:val="20"/>
              </w:rPr>
            </w:pPr>
            <w:r>
              <w:rPr>
                <w:rFonts w:eastAsia="Times New Roman"/>
                <w:sz w:val="20"/>
                <w:szCs w:val="20"/>
              </w:rPr>
              <w:t>Em</w:t>
            </w:r>
            <w:r>
              <w:rPr>
                <w:rFonts w:eastAsia="Times New Roman"/>
                <w:sz w:val="20"/>
                <w:szCs w:val="20"/>
              </w:rPr>
              <w:t xml:space="preserve">erging growth company </w:t>
            </w:r>
            <w:r>
              <w:rPr>
                <w:rFonts w:ascii="Segoe UI Symbol" w:eastAsia="Times New Roman" w:hAnsi="Segoe UI Symbol" w:cs="Segoe UI Symbol"/>
                <w:sz w:val="20"/>
                <w:szCs w:val="20"/>
              </w:rPr>
              <w:t>☐</w:t>
            </w:r>
          </w:p>
        </w:tc>
      </w:tr>
    </w:tbl>
    <w:p w:rsidR="00000000" w:rsidRDefault="006954AA">
      <w:pPr>
        <w:pStyle w:val="a3"/>
        <w:spacing w:before="0" w:beforeAutospacing="0" w:after="0" w:afterAutospacing="0"/>
        <w:jc w:val="center"/>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w:t>
      </w:r>
      <w:r>
        <w:rPr>
          <w:sz w:val="20"/>
          <w:szCs w:val="20"/>
        </w:rPr>
        <w:t xml:space="preserve"> of the Exchange Act.</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w:t>
      </w:r>
      <w:r>
        <w:rPr>
          <w:rFonts w:ascii="Segoe UI Symbol" w:hAnsi="Segoe UI Symbol" w:cs="Segoe UI Symbol"/>
          <w:sz w:val="20"/>
          <w:szCs w:val="20"/>
        </w:rPr>
        <w:t>☐</w:t>
      </w:r>
      <w:r>
        <w:rPr>
          <w:sz w:val="20"/>
          <w:szCs w:val="20"/>
        </w:rPr>
        <w:t>                                                      </w:t>
      </w:r>
      <w:r>
        <w:rPr>
          <w:b/>
          <w:bCs/>
          <w:sz w:val="20"/>
          <w:szCs w:val="20"/>
        </w:rPr>
        <w:t xml:space="preserve">Kimco Realty OP, LLC </w:t>
      </w:r>
      <w:r>
        <w:rPr>
          <w:rFonts w:ascii="Segoe UI Symbol" w:hAnsi="Segoe UI Symbol" w:cs="Segoe UI Symbol"/>
          <w:sz w:val="20"/>
          <w:szCs w:val="20"/>
        </w:rPr>
        <w:t>☐</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Indicate by check mark whether the registrant has filed a report on and attestation to its management’s assessment of the effectiveness of its internal control over financial reporting under Section 404(b) of the Sarbanes-Oxley Act (15 U.S.C. 7262(b)) by t</w:t>
      </w:r>
      <w:r>
        <w:rPr>
          <w:sz w:val="20"/>
          <w:szCs w:val="20"/>
        </w:rPr>
        <w:t>he registered public accounting firm that prepared or issued its audit report.</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w:t>
      </w:r>
      <w:r>
        <w:rPr>
          <w:rFonts w:ascii="Segoe UI Emoji" w:hAnsi="Segoe UI Emoji" w:cs="Segoe UI Emoji"/>
          <w:sz w:val="20"/>
          <w:szCs w:val="20"/>
        </w:rPr>
        <w:t>☑</w:t>
      </w:r>
      <w:r>
        <w:rPr>
          <w:sz w:val="20"/>
          <w:szCs w:val="20"/>
        </w:rPr>
        <w:t>                                                      </w:t>
      </w:r>
      <w:r>
        <w:rPr>
          <w:b/>
          <w:bCs/>
          <w:sz w:val="20"/>
          <w:szCs w:val="20"/>
        </w:rPr>
        <w:t>Kimco Realty OP, LLC </w:t>
      </w:r>
      <w:r>
        <w:rPr>
          <w:rFonts w:ascii="Segoe UI Symbol" w:hAnsi="Segoe UI Symbol" w:cs="Segoe UI Symbol"/>
          <w:sz w:val="20"/>
          <w:szCs w:val="20"/>
        </w:rPr>
        <w:t>☐</w:t>
      </w:r>
    </w:p>
    <w:p w:rsidR="00000000" w:rsidRDefault="006954AA">
      <w:pPr>
        <w:pStyle w:val="a3"/>
        <w:spacing w:before="0" w:beforeAutospacing="0" w:after="0" w:afterAutospacing="0"/>
        <w:jc w:val="center"/>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Indicate by check mark whether the registrant is a shell company (as def</w:t>
      </w:r>
      <w:r>
        <w:rPr>
          <w:sz w:val="20"/>
          <w:szCs w:val="20"/>
        </w:rPr>
        <w:t>ined in Rule 12b-2 of the Act).</w:t>
      </w:r>
    </w:p>
    <w:p w:rsidR="00000000" w:rsidRDefault="006954AA">
      <w:pPr>
        <w:pStyle w:val="a3"/>
        <w:spacing w:before="0" w:beforeAutospacing="0" w:after="0" w:afterAutospacing="0"/>
        <w:jc w:val="center"/>
        <w:divId w:val="1618562439"/>
        <w:rPr>
          <w:sz w:val="20"/>
          <w:szCs w:val="20"/>
        </w:rPr>
      </w:pPr>
      <w:r>
        <w:rPr>
          <w:b/>
          <w:bCs/>
          <w:sz w:val="20"/>
          <w:szCs w:val="20"/>
        </w:rPr>
        <w:t>Kimco Realty Corporation</w:t>
      </w:r>
      <w:r>
        <w:rPr>
          <w:sz w:val="20"/>
          <w:szCs w:val="20"/>
        </w:rPr>
        <w:t xml:space="preserve">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r>
        <w:rPr>
          <w:sz w:val="20"/>
          <w:szCs w:val="20"/>
        </w:rPr>
        <w:t>                                                      </w:t>
      </w:r>
      <w:r>
        <w:rPr>
          <w:b/>
          <w:bCs/>
          <w:sz w:val="20"/>
          <w:szCs w:val="20"/>
        </w:rPr>
        <w:t xml:space="preserve">Kimco Realty OP, LLC </w:t>
      </w: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r>
        <w:rPr>
          <w:sz w:val="20"/>
          <w:szCs w:val="20"/>
        </w:rPr>
        <w:t>         </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The aggregate market value of the voting and non-voting common equity held by non-affiliates</w:t>
      </w:r>
      <w:r>
        <w:rPr>
          <w:sz w:val="20"/>
          <w:szCs w:val="20"/>
        </w:rPr>
        <w:t xml:space="preserve"> of Kimco Realty Corporation was approximately $12.0 billion based upon the closing price on the New York Stock Exchange for such equity on June 30, 2022.</w:t>
      </w:r>
    </w:p>
    <w:p w:rsidR="00000000" w:rsidRDefault="006954AA">
      <w:pPr>
        <w:pStyle w:val="a3"/>
        <w:spacing w:before="0" w:beforeAutospacing="0" w:after="0" w:afterAutospacing="0"/>
        <w:divId w:val="1618562439"/>
        <w:rPr>
          <w:sz w:val="20"/>
          <w:szCs w:val="20"/>
        </w:rPr>
      </w:pPr>
      <w:r>
        <w:rPr>
          <w:sz w:val="20"/>
          <w:szCs w:val="20"/>
        </w:rPr>
        <w:lastRenderedPageBreak/>
        <w:t> </w:t>
      </w:r>
    </w:p>
    <w:p w:rsidR="00000000" w:rsidRDefault="006954AA">
      <w:pPr>
        <w:pStyle w:val="a3"/>
        <w:spacing w:before="0" w:beforeAutospacing="0" w:after="0" w:afterAutospacing="0"/>
        <w:jc w:val="center"/>
        <w:divId w:val="1618562439"/>
        <w:rPr>
          <w:sz w:val="20"/>
          <w:szCs w:val="20"/>
        </w:rPr>
      </w:pPr>
      <w:r>
        <w:rPr>
          <w:sz w:val="20"/>
          <w:szCs w:val="20"/>
        </w:rPr>
        <w:t>(APPLICABLE ONLY TO CORPORATE REGISTRANTS)</w:t>
      </w:r>
    </w:p>
    <w:p w:rsidR="00000000" w:rsidRDefault="006954AA">
      <w:pPr>
        <w:pStyle w:val="a3"/>
        <w:spacing w:before="0" w:beforeAutospacing="0" w:after="0" w:afterAutospacing="0"/>
        <w:divId w:val="1618562439"/>
        <w:rPr>
          <w:sz w:val="20"/>
          <w:szCs w:val="20"/>
        </w:rPr>
      </w:pPr>
      <w:r>
        <w:rPr>
          <w:sz w:val="20"/>
          <w:szCs w:val="20"/>
        </w:rPr>
        <w:t>Indicate the number of shares outstanding of each of the</w:t>
      </w:r>
      <w:r>
        <w:rPr>
          <w:sz w:val="20"/>
          <w:szCs w:val="20"/>
        </w:rPr>
        <w:t xml:space="preserve"> registrant's classes of common stock, as of the latest practicable date.</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sz w:val="20"/>
          <w:szCs w:val="20"/>
        </w:rPr>
        <w:t>As of February 10, 2023, Kimco Realty Corporation had 618,609,347 shares of common stock outstanding.</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jc w:val="center"/>
        <w:divId w:val="1618562439"/>
        <w:rPr>
          <w:sz w:val="20"/>
          <w:szCs w:val="20"/>
        </w:rPr>
      </w:pPr>
      <w:r>
        <w:rPr>
          <w:sz w:val="20"/>
          <w:szCs w:val="20"/>
        </w:rPr>
        <w:t>DOCUMENTS INCORPORATED BY REFERENCE</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Part III incorporates certain informat</w:t>
      </w:r>
      <w:r>
        <w:rPr>
          <w:sz w:val="20"/>
          <w:szCs w:val="20"/>
        </w:rPr>
        <w:t>ion by reference to the Kimco Realty Corporation's definitive proxy statement to be filed with respect to the Annual Meeting of Stockholders expected to be held on April 25, 2023.</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pStyle w:val="a3"/>
        <w:spacing w:before="0" w:beforeAutospacing="0" w:after="0" w:afterAutospacing="0"/>
        <w:divId w:val="1618562439"/>
        <w:rPr>
          <w:sz w:val="20"/>
          <w:szCs w:val="20"/>
        </w:rPr>
      </w:pPr>
      <w:r>
        <w:rPr>
          <w:sz w:val="20"/>
          <w:szCs w:val="20"/>
        </w:rPr>
        <w:t>Index to Exhibits begins on page 46.</w: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spacing w:before="60" w:after="60"/>
        <w:divId w:val="1618562439"/>
        <w:rPr>
          <w:rFonts w:eastAsia="Times New Roman"/>
          <w:sz w:val="20"/>
          <w:szCs w:val="20"/>
        </w:rPr>
      </w:pPr>
      <w:r>
        <w:rPr>
          <w:rFonts w:eastAsia="Times New Roman"/>
          <w:sz w:val="20"/>
          <w:szCs w:val="20"/>
        </w:rPr>
        <w:pict>
          <v:rect id="_x0000_i1028" style="width:415.3pt;height:.75pt" o:hralign="center" o:hrstd="t" o:hrnoshade="t" o:hr="t" fillcolor="black" stroked="f"/>
        </w:pict>
      </w:r>
    </w:p>
    <w:p w:rsidR="00000000" w:rsidRDefault="006954AA">
      <w:pPr>
        <w:spacing w:after="60"/>
        <w:divId w:val="1618562439"/>
        <w:rPr>
          <w:rFonts w:eastAsia="Times New Roman"/>
          <w:sz w:val="20"/>
          <w:szCs w:val="20"/>
        </w:rPr>
      </w:pPr>
      <w:r>
        <w:rPr>
          <w:rFonts w:eastAsia="Times New Roman"/>
          <w:sz w:val="20"/>
          <w:szCs w:val="20"/>
        </w:rPr>
        <w:pict>
          <v:rect id="_x0000_i1029" style="width:415.3pt;height:2.25pt" o:hralign="center" o:hrstd="t" o:hrnoshade="t" o:hr="t" fillcolor="black" stroked="f"/>
        </w:pict>
      </w:r>
    </w:p>
    <w:p w:rsidR="00000000" w:rsidRDefault="006954AA">
      <w:pPr>
        <w:pStyle w:val="a3"/>
        <w:spacing w:before="0" w:beforeAutospacing="0" w:after="0" w:afterAutospacing="0"/>
        <w:divId w:val="1618562439"/>
        <w:rPr>
          <w:sz w:val="20"/>
          <w:szCs w:val="20"/>
        </w:rPr>
      </w:pPr>
      <w:r>
        <w:rPr>
          <w:sz w:val="20"/>
          <w:szCs w:val="20"/>
        </w:rPr>
        <w:t> </w:t>
      </w:r>
    </w:p>
    <w:p w:rsidR="00000000" w:rsidRDefault="006954AA">
      <w:pPr>
        <w:jc w:val="center"/>
        <w:divId w:val="1179929708"/>
        <w:rPr>
          <w:rFonts w:eastAsia="Times New Roman"/>
          <w:sz w:val="20"/>
          <w:szCs w:val="20"/>
        </w:rPr>
      </w:pPr>
      <w:r>
        <w:rPr>
          <w:rFonts w:eastAsia="Times New Roman"/>
          <w:sz w:val="20"/>
          <w:szCs w:val="20"/>
        </w:rPr>
        <w:t xml:space="preserve">  </w:t>
      </w:r>
    </w:p>
    <w:p w:rsidR="00000000" w:rsidRDefault="006954AA">
      <w:pPr>
        <w:divId w:val="488667353"/>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6954AA">
      <w:pPr>
        <w:divId w:val="342324375"/>
        <w:rPr>
          <w:rFonts w:eastAsia="Times New Roman"/>
          <w:sz w:val="20"/>
          <w:szCs w:val="20"/>
        </w:rPr>
      </w:pPr>
      <w:r>
        <w:rPr>
          <w:rFonts w:eastAsia="Times New Roman"/>
          <w:sz w:val="20"/>
          <w:szCs w:val="20"/>
        </w:rPr>
        <w:t xml:space="preserve">  </w:t>
      </w:r>
    </w:p>
    <w:p w:rsidR="00000000" w:rsidRDefault="006954AA">
      <w:pPr>
        <w:divId w:val="1506945410"/>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b/>
          <w:bCs/>
          <w:sz w:val="20"/>
          <w:szCs w:val="20"/>
        </w:rPr>
        <w:t>KIMCO REALTY CORPORATION</w:t>
      </w:r>
    </w:p>
    <w:p w:rsidR="00000000" w:rsidRDefault="006954AA">
      <w:pPr>
        <w:pStyle w:val="a3"/>
        <w:spacing w:before="0" w:beforeAutospacing="0" w:after="0" w:afterAutospacing="0"/>
        <w:jc w:val="center"/>
        <w:rPr>
          <w:sz w:val="20"/>
          <w:szCs w:val="20"/>
        </w:rPr>
      </w:pPr>
      <w:r>
        <w:rPr>
          <w:b/>
          <w:bCs/>
          <w:sz w:val="20"/>
          <w:szCs w:val="20"/>
        </w:rPr>
        <w:t>KIMCO REALTY OP, LLC</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b/>
          <w:bCs/>
          <w:sz w:val="20"/>
          <w:szCs w:val="20"/>
        </w:rPr>
        <w:t>ANNUAL REPORT ON FORM 10-K</w:t>
      </w:r>
    </w:p>
    <w:p w:rsidR="00000000" w:rsidRDefault="006954AA">
      <w:pPr>
        <w:pStyle w:val="a3"/>
        <w:spacing w:before="0" w:beforeAutospacing="0" w:after="0" w:afterAutospacing="0"/>
        <w:jc w:val="center"/>
        <w:rPr>
          <w:sz w:val="20"/>
          <w:szCs w:val="20"/>
        </w:rPr>
      </w:pPr>
      <w:r>
        <w:rPr>
          <w:b/>
          <w:bCs/>
          <w:sz w:val="20"/>
          <w:szCs w:val="20"/>
        </w:rPr>
        <w:t>FISCAL YEAR ENDED 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b/>
          <w:bCs/>
          <w:sz w:val="20"/>
          <w:szCs w:val="20"/>
        </w:rPr>
        <w:t>EXPLANATORY NOTE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Prior to January 1, 2023, the business of </w:t>
      </w:r>
      <w:r>
        <w:rPr>
          <w:sz w:val="20"/>
          <w:szCs w:val="20"/>
        </w:rPr>
        <w:t>Kimco Realty Corporation (the “Company”) was conducted through a predecessor entity also known as Kimco Realty Corporation (the “Predecessor”). On December 14, 2022, the Predecessor’s Board of Directors approved the entry into an Agreement and Plan of Merg</w:t>
      </w:r>
      <w:r>
        <w:rPr>
          <w:sz w:val="20"/>
          <w:szCs w:val="20"/>
        </w:rPr>
        <w:t>er (the “UPREIT Merger”) with the company formerly known as New KRC Corp., which was a Maryland corporation and wholly owned subsidiary of the Predecessor (the “Parent Company”), and KRC Merger Sub Corp., which was a Maryland corporation and wholly owned s</w:t>
      </w:r>
      <w:r>
        <w:rPr>
          <w:sz w:val="20"/>
          <w:szCs w:val="20"/>
        </w:rPr>
        <w:t>ubsidiary of the Parent Company (“Merger Sub”), to effect the reorganization (the “Reorganization”) of the Predecessor’s business into an umbrella partnership real estate investment trust, or “UPREIT”.</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January 1, 2023, pursuant to the UPREIT Merger,</w:t>
      </w:r>
      <w:r>
        <w:rPr>
          <w:sz w:val="20"/>
          <w:szCs w:val="20"/>
        </w:rPr>
        <w:t xml:space="preserve"> Merger Sub merged with and into the Predecessor, with the Predecessor continuing as the surviving entity and a wholly-owned subsidiary of the Parent Company, and each outstanding share of capital stock of the Predecessor was converted into one equivalent </w:t>
      </w:r>
      <w:r>
        <w:rPr>
          <w:sz w:val="20"/>
          <w:szCs w:val="20"/>
        </w:rPr>
        <w:t>share of capital stock of the Parent Company (each of which has continued to trade under their respective existing ticker symbol with the same rights, powers and limitations that existed immediately prior to the Reorganization).</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connection with the Re</w:t>
      </w:r>
      <w:r>
        <w:rPr>
          <w:sz w:val="20"/>
          <w:szCs w:val="20"/>
        </w:rPr>
        <w:t>organization, the Parent Company changed its name to Kimco Realty Corporation, and replaced the Predecessor as the New York Stock Exchange-listed public company. Effective as of January 3, 2023, the Predecessor converted into a limited liability company, o</w:t>
      </w:r>
      <w:r>
        <w:rPr>
          <w:sz w:val="20"/>
          <w:szCs w:val="20"/>
        </w:rPr>
        <w:t>rganized in the State of Delaware, known as Kimco Realty OP, LLC, the entity we refer to herein as “Kimco OP”.</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Following the Reorganization, substantially all of the Company’s assets are held by, and substantially all of the Company’s operations are cond</w:t>
      </w:r>
      <w:r>
        <w:rPr>
          <w:sz w:val="20"/>
          <w:szCs w:val="20"/>
        </w:rPr>
        <w:t xml:space="preserve">ucted through, Kimco OP (either directly or through its subsidiaries), as the Company’s operating company, and the Company is the managing member of Kimco </w:t>
      </w:r>
      <w:r>
        <w:rPr>
          <w:sz w:val="20"/>
          <w:szCs w:val="20"/>
        </w:rPr>
        <w:lastRenderedPageBreak/>
        <w:t>OP. The officers and directors of the Company are the same as the officers and directors of the Prede</w:t>
      </w:r>
      <w:r>
        <w:rPr>
          <w:sz w:val="20"/>
          <w:szCs w:val="20"/>
        </w:rPr>
        <w:t>cessor immediately prior to the Reorganization.</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This Annual Report on Form 10-K (“Form 10-K” or “Annual Report”) pertains to the business and results of operations of the Predecessor for its fiscal year ended December 31, 2022. The Company and Kimco OP</w:t>
      </w:r>
      <w:r>
        <w:rPr>
          <w:sz w:val="20"/>
          <w:szCs w:val="20"/>
        </w:rPr>
        <w:t xml:space="preserve"> have elected to co-file such Annual Report of the Predecessor to ensure continuity of information to investors.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For additional information on our Reorganization, please see our Current Reports on Form 8-K filed with the SEC on January 3, 2023 and January 4, 2023.</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Throughout this Annual Report, unless the context requires otherwise:</w:t>
      </w:r>
    </w:p>
    <w:p w:rsidR="00000000" w:rsidRDefault="006954AA">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rPr>
                <w:rFonts w:eastAsia="Times New Roman"/>
                <w:sz w:val="20"/>
                <w:szCs w:val="20"/>
              </w:rPr>
            </w:pPr>
            <w:r>
              <w:rPr>
                <w:rFonts w:eastAsia="Times New Roman"/>
                <w:sz w:val="20"/>
                <w:szCs w:val="20"/>
              </w:rPr>
              <w:t>the “Company,” “we,” “our,</w:t>
            </w:r>
            <w:r>
              <w:rPr>
                <w:rFonts w:eastAsia="Times New Roman"/>
                <w:sz w:val="20"/>
                <w:szCs w:val="20"/>
              </w:rPr>
              <w:t>” “us” or refer to:</w:t>
            </w:r>
          </w:p>
        </w:tc>
      </w:tr>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rPr>
                <w:rFonts w:eastAsia="Times New Roman"/>
                <w:sz w:val="20"/>
                <w:szCs w:val="20"/>
              </w:rPr>
            </w:pPr>
            <w:r>
              <w:rPr>
                <w:rFonts w:eastAsia="Times New Roman"/>
                <w:sz w:val="20"/>
                <w:szCs w:val="20"/>
              </w:rPr>
              <w:t> </w:t>
            </w:r>
          </w:p>
        </w:tc>
        <w:tc>
          <w:tcPr>
            <w:tcW w:w="0" w:type="auto"/>
            <w:hideMark/>
          </w:tcPr>
          <w:p w:rsidR="00000000" w:rsidRDefault="006954AA">
            <w:pPr>
              <w:ind w:firstLine="180"/>
              <w:rPr>
                <w:rFonts w:eastAsia="Times New Roman"/>
                <w:sz w:val="20"/>
                <w:szCs w:val="20"/>
              </w:rPr>
            </w:pPr>
            <w:r>
              <w:rPr>
                <w:rFonts w:eastAsia="Times New Roman"/>
                <w:sz w:val="20"/>
                <w:szCs w:val="20"/>
              </w:rPr>
              <w:t>○</w:t>
            </w:r>
            <w:r>
              <w:rPr>
                <w:rFonts w:eastAsia="Times New Roman"/>
                <w:sz w:val="20"/>
                <w:szCs w:val="20"/>
              </w:rPr>
              <w:t xml:space="preserve"> for the period prior to January 1, 2023 (the period preceding the UPREIT Merger), the Predecessor and its business and operations conducted through its directly or indirectly owned subsidiaries;</w:t>
            </w:r>
          </w:p>
        </w:tc>
      </w:tr>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rPr>
                <w:rFonts w:eastAsia="Times New Roman"/>
                <w:sz w:val="20"/>
                <w:szCs w:val="20"/>
              </w:rPr>
            </w:pPr>
            <w:r>
              <w:rPr>
                <w:rFonts w:eastAsia="Times New Roman"/>
                <w:sz w:val="20"/>
                <w:szCs w:val="20"/>
              </w:rPr>
              <w:t> </w:t>
            </w:r>
          </w:p>
        </w:tc>
        <w:tc>
          <w:tcPr>
            <w:tcW w:w="0" w:type="auto"/>
            <w:hideMark/>
          </w:tcPr>
          <w:p w:rsidR="00000000" w:rsidRDefault="006954AA">
            <w:pPr>
              <w:ind w:firstLine="180"/>
              <w:rPr>
                <w:rFonts w:eastAsia="Times New Roman"/>
                <w:sz w:val="20"/>
                <w:szCs w:val="20"/>
              </w:rPr>
            </w:pPr>
            <w:r>
              <w:rPr>
                <w:rFonts w:eastAsia="Times New Roman"/>
                <w:sz w:val="20"/>
                <w:szCs w:val="20"/>
              </w:rPr>
              <w:t>○</w:t>
            </w:r>
            <w:r>
              <w:rPr>
                <w:rFonts w:eastAsia="Times New Roman"/>
                <w:sz w:val="20"/>
                <w:szCs w:val="20"/>
              </w:rPr>
              <w:t xml:space="preserve"> for the period on or after </w:t>
            </w:r>
            <w:r>
              <w:rPr>
                <w:rFonts w:eastAsia="Times New Roman"/>
                <w:sz w:val="20"/>
                <w:szCs w:val="20"/>
              </w:rPr>
              <w:t>January 1, 2023, (the period from and following the UPREIT Merger), the Parent Company and its business and operations conducted through its directly or indirectly owned subsidiaries, including Kimco OP; and</w:t>
            </w:r>
          </w:p>
        </w:tc>
      </w:tr>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rPr>
                <w:rFonts w:eastAsia="Times New Roman"/>
                <w:sz w:val="20"/>
                <w:szCs w:val="20"/>
              </w:rPr>
            </w:pPr>
            <w:r>
              <w:rPr>
                <w:rFonts w:eastAsia="Times New Roman"/>
                <w:sz w:val="20"/>
                <w:szCs w:val="20"/>
              </w:rPr>
              <w:t> </w:t>
            </w:r>
          </w:p>
        </w:tc>
        <w:tc>
          <w:tcPr>
            <w:tcW w:w="0" w:type="auto"/>
            <w:hideMark/>
          </w:tcPr>
          <w:p w:rsidR="00000000" w:rsidRDefault="006954AA">
            <w:pPr>
              <w:ind w:firstLine="180"/>
              <w:rPr>
                <w:rFonts w:eastAsia="Times New Roman"/>
                <w:sz w:val="20"/>
                <w:szCs w:val="20"/>
              </w:rPr>
            </w:pPr>
            <w:r>
              <w:rPr>
                <w:rFonts w:eastAsia="Times New Roman"/>
                <w:sz w:val="20"/>
                <w:szCs w:val="20"/>
              </w:rPr>
              <w:t>○</w:t>
            </w:r>
            <w:r>
              <w:rPr>
                <w:rFonts w:eastAsia="Times New Roman"/>
                <w:sz w:val="20"/>
                <w:szCs w:val="20"/>
              </w:rPr>
              <w:t> </w:t>
            </w:r>
            <w:r>
              <w:rPr>
                <w:rFonts w:eastAsia="Times New Roman"/>
                <w:sz w:val="20"/>
                <w:szCs w:val="20"/>
              </w:rPr>
              <w:t>in statements regarding qualification as a real estate investment trust (“REIT”), such terms refer solely to the Predecessor or Parent Company, as applicable.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“Kimco OP” refers to Kimco Realty OP, LLC, our operating company following the UPREIT Merge</w:t>
            </w:r>
            <w:r>
              <w:rPr>
                <w:sz w:val="20"/>
                <w:szCs w:val="20"/>
              </w:rPr>
              <w:t>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References to “shares” and “shareholders” refer to the shares and stockholders of the Predecessor prior to January 1, 2023 and of  the Parent Company on or after January 1, 2023, and not the limited liability company interests of Kimco OP.</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15218228"/>
        <w:rPr>
          <w:rFonts w:eastAsia="Times New Roman"/>
          <w:sz w:val="20"/>
          <w:szCs w:val="20"/>
        </w:rPr>
      </w:pPr>
      <w:r>
        <w:rPr>
          <w:rFonts w:eastAsia="Times New Roman"/>
          <w:sz w:val="20"/>
          <w:szCs w:val="20"/>
        </w:rPr>
        <w:t xml:space="preserve">  </w:t>
      </w:r>
    </w:p>
    <w:p w:rsidR="00000000" w:rsidRDefault="006954AA">
      <w:pPr>
        <w:divId w:val="1173371857"/>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6954AA">
      <w:pPr>
        <w:divId w:val="8775515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divId w:val="1727877744"/>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TABLE OF CONTENTS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97"/>
        <w:gridCol w:w="6170"/>
        <w:gridCol w:w="739"/>
      </w:tblGrid>
      <w:tr w:rsidR="00000000">
        <w:trPr>
          <w:tblCellSpacing w:w="0" w:type="dxa"/>
        </w:trPr>
        <w:tc>
          <w:tcPr>
            <w:tcW w:w="840" w:type="pct"/>
            <w:vAlign w:val="bottom"/>
            <w:hideMark/>
          </w:tcPr>
          <w:p w:rsidR="00000000" w:rsidRDefault="006954AA">
            <w:pPr>
              <w:pStyle w:val="a3"/>
              <w:spacing w:before="0" w:beforeAutospacing="0" w:after="0" w:afterAutospacing="0"/>
              <w:rPr>
                <w:sz w:val="20"/>
                <w:szCs w:val="20"/>
              </w:rPr>
            </w:pPr>
            <w:r>
              <w:rPr>
                <w:sz w:val="20"/>
                <w:szCs w:val="20"/>
                <w:u w:val="single"/>
              </w:rPr>
              <w:t>Item No</w:t>
            </w:r>
            <w:r>
              <w:rPr>
                <w:sz w:val="20"/>
                <w:szCs w:val="20"/>
              </w:rPr>
              <w:t>.</w:t>
            </w:r>
          </w:p>
        </w:tc>
        <w:tc>
          <w:tcPr>
            <w:tcW w:w="3710" w:type="pct"/>
            <w:hideMark/>
          </w:tcPr>
          <w:p w:rsidR="00000000" w:rsidRDefault="006954AA">
            <w:pPr>
              <w:rPr>
                <w:rFonts w:eastAsia="Times New Roman"/>
                <w:sz w:val="20"/>
                <w:szCs w:val="20"/>
              </w:rPr>
            </w:pPr>
            <w:r>
              <w:rPr>
                <w:rFonts w:eastAsia="Times New Roman"/>
                <w:sz w:val="20"/>
                <w:szCs w:val="20"/>
              </w:rPr>
              <w:t> </w:t>
            </w:r>
          </w:p>
        </w:tc>
        <w:tc>
          <w:tcPr>
            <w:tcW w:w="445" w:type="pct"/>
            <w:vAlign w:val="bottom"/>
            <w:hideMark/>
          </w:tcPr>
          <w:p w:rsidR="00000000" w:rsidRDefault="006954AA">
            <w:pPr>
              <w:pStyle w:val="a3"/>
              <w:spacing w:before="0" w:beforeAutospacing="0" w:after="0" w:afterAutospacing="0"/>
              <w:jc w:val="right"/>
              <w:rPr>
                <w:sz w:val="20"/>
                <w:szCs w:val="20"/>
              </w:rPr>
            </w:pPr>
            <w:r>
              <w:rPr>
                <w:sz w:val="20"/>
                <w:szCs w:val="20"/>
              </w:rPr>
              <w:t>Form 10-K </w:t>
            </w:r>
            <w:r>
              <w:rPr>
                <w:sz w:val="20"/>
                <w:szCs w:val="20"/>
              </w:rPr>
              <w:br/>
            </w:r>
            <w:r>
              <w:rPr>
                <w:sz w:val="20"/>
                <w:szCs w:val="20"/>
                <w:u w:val="single"/>
              </w:rPr>
              <w:t>Report Page</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91"/>
        <w:gridCol w:w="415"/>
      </w:tblGrid>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p1" w:history="1">
              <w:r>
                <w:rPr>
                  <w:rStyle w:val="a4"/>
                  <w:sz w:val="20"/>
                  <w:szCs w:val="20"/>
                </w:rPr>
                <w:t>PART I</w:t>
              </w:r>
            </w:hyperlink>
          </w:p>
        </w:tc>
        <w:tc>
          <w:tcPr>
            <w:tcW w:w="250" w:type="pct"/>
            <w:hideMark/>
          </w:tcPr>
          <w:p w:rsidR="00000000" w:rsidRDefault="006954AA">
            <w:pPr>
              <w:jc w:val="center"/>
              <w:rPr>
                <w:rFonts w:eastAsia="Times New Roman"/>
                <w:sz w:val="20"/>
                <w:szCs w:val="20"/>
              </w:rPr>
            </w:pPr>
            <w:hyperlink w:anchor="p1" w:history="1">
              <w:r>
                <w:rPr>
                  <w:rStyle w:val="a4"/>
                  <w:rFonts w:eastAsia="Times New Roman"/>
                  <w:sz w:val="20"/>
                  <w:szCs w:val="20"/>
                </w:rPr>
                <w:t>3</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business" w:history="1">
              <w:r>
                <w:rPr>
                  <w:rStyle w:val="a4"/>
                  <w:sz w:val="20"/>
                  <w:szCs w:val="20"/>
                </w:rPr>
                <w:t>Item 1. Business</w:t>
              </w:r>
            </w:hyperlink>
          </w:p>
        </w:tc>
        <w:tc>
          <w:tcPr>
            <w:tcW w:w="250" w:type="pct"/>
            <w:hideMark/>
          </w:tcPr>
          <w:p w:rsidR="00000000" w:rsidRDefault="006954AA">
            <w:pPr>
              <w:jc w:val="center"/>
              <w:rPr>
                <w:rFonts w:eastAsia="Times New Roman"/>
                <w:sz w:val="20"/>
                <w:szCs w:val="20"/>
              </w:rPr>
            </w:pPr>
            <w:hyperlink w:anchor="business" w:history="1">
              <w:r>
                <w:rPr>
                  <w:rStyle w:val="a4"/>
                  <w:rFonts w:eastAsia="Times New Roman"/>
                  <w:sz w:val="20"/>
                  <w:szCs w:val="20"/>
                </w:rPr>
                <w:t>3</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riskfac" w:history="1">
              <w:r>
                <w:rPr>
                  <w:rStyle w:val="a4"/>
                  <w:sz w:val="20"/>
                  <w:szCs w:val="20"/>
                </w:rPr>
                <w:t>Item 1A. Risk Factors</w:t>
              </w:r>
            </w:hyperlink>
          </w:p>
        </w:tc>
        <w:tc>
          <w:tcPr>
            <w:tcW w:w="250" w:type="pct"/>
            <w:hideMark/>
          </w:tcPr>
          <w:p w:rsidR="00000000" w:rsidRDefault="006954AA">
            <w:pPr>
              <w:jc w:val="center"/>
              <w:rPr>
                <w:rFonts w:eastAsia="Times New Roman"/>
                <w:sz w:val="20"/>
                <w:szCs w:val="20"/>
              </w:rPr>
            </w:pPr>
            <w:hyperlink w:anchor="riskfac" w:history="1">
              <w:r>
                <w:rPr>
                  <w:rStyle w:val="a4"/>
                  <w:rFonts w:eastAsia="Times New Roman"/>
                  <w:sz w:val="20"/>
                  <w:szCs w:val="20"/>
                </w:rPr>
                <w:t>11</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unresolved" w:history="1">
              <w:r>
                <w:rPr>
                  <w:rStyle w:val="a4"/>
                  <w:sz w:val="20"/>
                  <w:szCs w:val="20"/>
                </w:rPr>
                <w:t>Item 1B. Unresolved Staff Comments</w:t>
              </w:r>
            </w:hyperlink>
          </w:p>
        </w:tc>
        <w:tc>
          <w:tcPr>
            <w:tcW w:w="250" w:type="pct"/>
            <w:hideMark/>
          </w:tcPr>
          <w:p w:rsidR="00000000" w:rsidRDefault="006954AA">
            <w:pPr>
              <w:jc w:val="center"/>
              <w:rPr>
                <w:rFonts w:eastAsia="Times New Roman"/>
                <w:sz w:val="20"/>
                <w:szCs w:val="20"/>
              </w:rPr>
            </w:pPr>
            <w:hyperlink w:anchor="unresolved" w:history="1">
              <w:r>
                <w:rPr>
                  <w:rStyle w:val="a4"/>
                  <w:rFonts w:eastAsia="Times New Roman"/>
                  <w:sz w:val="20"/>
                  <w:szCs w:val="20"/>
                </w:rPr>
                <w:t>21</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properties" w:history="1">
              <w:r>
                <w:rPr>
                  <w:rStyle w:val="a4"/>
                  <w:sz w:val="20"/>
                  <w:szCs w:val="20"/>
                </w:rPr>
                <w:t>Item 2. Properties</w:t>
              </w:r>
            </w:hyperlink>
          </w:p>
        </w:tc>
        <w:tc>
          <w:tcPr>
            <w:tcW w:w="250" w:type="pct"/>
            <w:hideMark/>
          </w:tcPr>
          <w:p w:rsidR="00000000" w:rsidRDefault="006954AA">
            <w:pPr>
              <w:jc w:val="center"/>
              <w:rPr>
                <w:rFonts w:eastAsia="Times New Roman"/>
                <w:sz w:val="20"/>
                <w:szCs w:val="20"/>
              </w:rPr>
            </w:pPr>
            <w:hyperlink w:anchor="properties" w:history="1">
              <w:r>
                <w:rPr>
                  <w:rStyle w:val="a4"/>
                  <w:rFonts w:eastAsia="Times New Roman"/>
                  <w:sz w:val="20"/>
                  <w:szCs w:val="20"/>
                </w:rPr>
                <w:t>21</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legalproce" w:history="1">
              <w:r>
                <w:rPr>
                  <w:rStyle w:val="a4"/>
                  <w:sz w:val="20"/>
                  <w:szCs w:val="20"/>
                </w:rPr>
                <w:t>Item 3. Legal Proce</w:t>
              </w:r>
              <w:r>
                <w:rPr>
                  <w:rStyle w:val="a4"/>
                  <w:sz w:val="20"/>
                  <w:szCs w:val="20"/>
                </w:rPr>
                <w:t>edings</w:t>
              </w:r>
            </w:hyperlink>
          </w:p>
        </w:tc>
        <w:tc>
          <w:tcPr>
            <w:tcW w:w="250" w:type="pct"/>
            <w:hideMark/>
          </w:tcPr>
          <w:p w:rsidR="00000000" w:rsidRDefault="006954AA">
            <w:pPr>
              <w:jc w:val="center"/>
              <w:rPr>
                <w:rFonts w:eastAsia="Times New Roman"/>
                <w:sz w:val="20"/>
                <w:szCs w:val="20"/>
              </w:rPr>
            </w:pPr>
            <w:hyperlink w:anchor="legalproce" w:history="1">
              <w:r>
                <w:rPr>
                  <w:rStyle w:val="a4"/>
                  <w:rFonts w:eastAsia="Times New Roman"/>
                  <w:sz w:val="20"/>
                  <w:szCs w:val="20"/>
                </w:rPr>
                <w:t>23</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minesafety" w:history="1">
              <w:r>
                <w:rPr>
                  <w:rStyle w:val="a4"/>
                  <w:sz w:val="20"/>
                  <w:szCs w:val="20"/>
                </w:rPr>
                <w:t>Item 4. Mine Safety Disclosures</w:t>
              </w:r>
            </w:hyperlink>
          </w:p>
        </w:tc>
        <w:tc>
          <w:tcPr>
            <w:tcW w:w="250" w:type="pct"/>
            <w:hideMark/>
          </w:tcPr>
          <w:p w:rsidR="00000000" w:rsidRDefault="006954AA">
            <w:pPr>
              <w:jc w:val="center"/>
              <w:rPr>
                <w:rFonts w:eastAsia="Times New Roman"/>
                <w:sz w:val="20"/>
                <w:szCs w:val="20"/>
              </w:rPr>
            </w:pPr>
            <w:hyperlink w:anchor="minesafety" w:history="1">
              <w:r>
                <w:rPr>
                  <w:rStyle w:val="a4"/>
                  <w:rFonts w:eastAsia="Times New Roman"/>
                  <w:sz w:val="20"/>
                  <w:szCs w:val="20"/>
                </w:rPr>
                <w:t>23</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p2" w:history="1">
              <w:r>
                <w:rPr>
                  <w:rStyle w:val="a4"/>
                  <w:sz w:val="20"/>
                  <w:szCs w:val="20"/>
                </w:rPr>
                <w:t>PART II</w:t>
              </w:r>
            </w:hyperlink>
          </w:p>
        </w:tc>
        <w:tc>
          <w:tcPr>
            <w:tcW w:w="250" w:type="pct"/>
            <w:hideMark/>
          </w:tcPr>
          <w:p w:rsidR="00000000" w:rsidRDefault="006954AA">
            <w:pPr>
              <w:jc w:val="center"/>
              <w:rPr>
                <w:rFonts w:eastAsia="Times New Roman"/>
                <w:sz w:val="20"/>
                <w:szCs w:val="20"/>
              </w:rPr>
            </w:pPr>
            <w:hyperlink w:anchor="p2" w:history="1">
              <w:r>
                <w:rPr>
                  <w:rStyle w:val="a4"/>
                  <w:rFonts w:eastAsia="Times New Roman"/>
                  <w:sz w:val="20"/>
                  <w:szCs w:val="20"/>
                </w:rPr>
                <w:t>24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marketfor" w:history="1">
              <w:r>
                <w:rPr>
                  <w:rStyle w:val="a4"/>
                  <w:sz w:val="20"/>
                  <w:szCs w:val="20"/>
                </w:rPr>
                <w:t>Item 5. Market for the Registrant's Common Equity, Related Stockholder Matters and Issuer Purchases of Equity Securities</w:t>
              </w:r>
            </w:hyperlink>
          </w:p>
        </w:tc>
        <w:tc>
          <w:tcPr>
            <w:tcW w:w="250" w:type="pct"/>
            <w:hideMark/>
          </w:tcPr>
          <w:p w:rsidR="00000000" w:rsidRDefault="006954AA">
            <w:pPr>
              <w:jc w:val="center"/>
              <w:rPr>
                <w:rFonts w:eastAsia="Times New Roman"/>
                <w:sz w:val="20"/>
                <w:szCs w:val="20"/>
              </w:rPr>
            </w:pPr>
            <w:hyperlink w:anchor="marketfor" w:history="1">
              <w:r>
                <w:rPr>
                  <w:rStyle w:val="a4"/>
                  <w:rFonts w:eastAsia="Times New Roman"/>
                  <w:sz w:val="20"/>
                  <w:szCs w:val="20"/>
                </w:rPr>
                <w:t>24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reserved" w:history="1">
              <w:r>
                <w:rPr>
                  <w:rStyle w:val="a4"/>
                  <w:sz w:val="20"/>
                  <w:szCs w:val="20"/>
                </w:rPr>
                <w:t>Item 6. Reserved</w:t>
              </w:r>
            </w:hyperlink>
          </w:p>
        </w:tc>
        <w:tc>
          <w:tcPr>
            <w:tcW w:w="250" w:type="pct"/>
            <w:hideMark/>
          </w:tcPr>
          <w:p w:rsidR="00000000" w:rsidRDefault="006954AA">
            <w:pPr>
              <w:jc w:val="center"/>
              <w:rPr>
                <w:rFonts w:eastAsia="Times New Roman"/>
                <w:sz w:val="20"/>
                <w:szCs w:val="20"/>
              </w:rPr>
            </w:pPr>
            <w:hyperlink w:anchor="reserved" w:history="1">
              <w:r>
                <w:rPr>
                  <w:rStyle w:val="a4"/>
                  <w:rFonts w:eastAsia="Times New Roman"/>
                  <w:sz w:val="20"/>
                  <w:szCs w:val="20"/>
                </w:rPr>
                <w:t>25</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mda" w:history="1">
              <w:r>
                <w:rPr>
                  <w:rStyle w:val="a4"/>
                  <w:sz w:val="20"/>
                  <w:szCs w:val="20"/>
                </w:rPr>
                <w:t>Item 7. Management's Discussion and Analysis of Financial Condition and Results of Operations</w:t>
              </w:r>
            </w:hyperlink>
          </w:p>
        </w:tc>
        <w:tc>
          <w:tcPr>
            <w:tcW w:w="250" w:type="pct"/>
            <w:hideMark/>
          </w:tcPr>
          <w:p w:rsidR="00000000" w:rsidRDefault="006954AA">
            <w:pPr>
              <w:jc w:val="center"/>
              <w:rPr>
                <w:rFonts w:eastAsia="Times New Roman"/>
                <w:sz w:val="20"/>
                <w:szCs w:val="20"/>
              </w:rPr>
            </w:pPr>
            <w:hyperlink w:anchor="mda" w:history="1">
              <w:r>
                <w:rPr>
                  <w:rStyle w:val="a4"/>
                  <w:rFonts w:eastAsia="Times New Roman"/>
                  <w:sz w:val="20"/>
                  <w:szCs w:val="20"/>
                </w:rPr>
                <w:t>26</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qandq" w:history="1">
              <w:r>
                <w:rPr>
                  <w:rStyle w:val="a4"/>
                  <w:sz w:val="20"/>
                  <w:szCs w:val="20"/>
                </w:rPr>
                <w:t>Item 7A. Quantitative and Qualitative Disclosures About Market Risk</w:t>
              </w:r>
            </w:hyperlink>
          </w:p>
        </w:tc>
        <w:tc>
          <w:tcPr>
            <w:tcW w:w="250" w:type="pct"/>
            <w:hideMark/>
          </w:tcPr>
          <w:p w:rsidR="00000000" w:rsidRDefault="006954AA">
            <w:pPr>
              <w:jc w:val="center"/>
              <w:rPr>
                <w:rFonts w:eastAsia="Times New Roman"/>
                <w:sz w:val="20"/>
                <w:szCs w:val="20"/>
              </w:rPr>
            </w:pPr>
            <w:hyperlink w:anchor="qandq" w:history="1">
              <w:r>
                <w:rPr>
                  <w:rStyle w:val="a4"/>
                  <w:rFonts w:eastAsia="Times New Roman"/>
                  <w:sz w:val="20"/>
                  <w:szCs w:val="20"/>
                </w:rPr>
                <w:t>42</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finstate" w:history="1">
              <w:r>
                <w:rPr>
                  <w:rStyle w:val="a4"/>
                  <w:sz w:val="20"/>
                  <w:szCs w:val="20"/>
                </w:rPr>
                <w:t>Item 8. Financial Statements and Supplementary Data</w:t>
              </w:r>
            </w:hyperlink>
          </w:p>
        </w:tc>
        <w:tc>
          <w:tcPr>
            <w:tcW w:w="250" w:type="pct"/>
            <w:hideMark/>
          </w:tcPr>
          <w:p w:rsidR="00000000" w:rsidRDefault="006954AA">
            <w:pPr>
              <w:jc w:val="center"/>
              <w:rPr>
                <w:rFonts w:eastAsia="Times New Roman"/>
                <w:sz w:val="20"/>
                <w:szCs w:val="20"/>
              </w:rPr>
            </w:pPr>
            <w:hyperlink w:anchor="finstate" w:history="1">
              <w:r>
                <w:rPr>
                  <w:rStyle w:val="a4"/>
                  <w:rFonts w:eastAsia="Times New Roman"/>
                  <w:sz w:val="20"/>
                  <w:szCs w:val="20"/>
                </w:rPr>
                <w:t>42</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cahngesin" w:history="1">
              <w:r>
                <w:rPr>
                  <w:rStyle w:val="a4"/>
                  <w:sz w:val="20"/>
                  <w:szCs w:val="20"/>
                </w:rPr>
                <w:t>Item 9. Changes in and Disagreements With Accountants on Accounting and Financial Disclosure</w:t>
              </w:r>
            </w:hyperlink>
          </w:p>
        </w:tc>
        <w:tc>
          <w:tcPr>
            <w:tcW w:w="250" w:type="pct"/>
            <w:hideMark/>
          </w:tcPr>
          <w:p w:rsidR="00000000" w:rsidRDefault="006954AA">
            <w:pPr>
              <w:jc w:val="center"/>
              <w:rPr>
                <w:rFonts w:eastAsia="Times New Roman"/>
                <w:sz w:val="20"/>
                <w:szCs w:val="20"/>
              </w:rPr>
            </w:pPr>
            <w:hyperlink w:anchor="cahngesin" w:history="1">
              <w:r>
                <w:rPr>
                  <w:rStyle w:val="a4"/>
                  <w:rFonts w:eastAsia="Times New Roman"/>
                  <w:sz w:val="20"/>
                  <w:szCs w:val="20"/>
                </w:rPr>
                <w:t>42</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candp" w:history="1">
              <w:r>
                <w:rPr>
                  <w:rStyle w:val="a4"/>
                  <w:sz w:val="20"/>
                  <w:szCs w:val="20"/>
                </w:rPr>
                <w:t>Item 9A. Controls and Procedures</w:t>
              </w:r>
            </w:hyperlink>
          </w:p>
        </w:tc>
        <w:tc>
          <w:tcPr>
            <w:tcW w:w="250" w:type="pct"/>
            <w:hideMark/>
          </w:tcPr>
          <w:p w:rsidR="00000000" w:rsidRDefault="006954AA">
            <w:pPr>
              <w:jc w:val="center"/>
              <w:rPr>
                <w:rFonts w:eastAsia="Times New Roman"/>
                <w:sz w:val="20"/>
                <w:szCs w:val="20"/>
              </w:rPr>
            </w:pPr>
            <w:hyperlink w:anchor="candp" w:history="1">
              <w:r>
                <w:rPr>
                  <w:rStyle w:val="a4"/>
                  <w:rFonts w:eastAsia="Times New Roman"/>
                  <w:sz w:val="20"/>
                  <w:szCs w:val="20"/>
                </w:rPr>
                <w:t>42</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otherinfo" w:history="1">
              <w:r>
                <w:rPr>
                  <w:rStyle w:val="a4"/>
                  <w:sz w:val="20"/>
                  <w:szCs w:val="20"/>
                </w:rPr>
                <w:t>Item 9B. Other Information</w:t>
              </w:r>
            </w:hyperlink>
          </w:p>
        </w:tc>
        <w:tc>
          <w:tcPr>
            <w:tcW w:w="250" w:type="pct"/>
            <w:hideMark/>
          </w:tcPr>
          <w:p w:rsidR="00000000" w:rsidRDefault="006954AA">
            <w:pPr>
              <w:jc w:val="center"/>
              <w:rPr>
                <w:rFonts w:eastAsia="Times New Roman"/>
                <w:sz w:val="20"/>
                <w:szCs w:val="20"/>
              </w:rPr>
            </w:pPr>
            <w:hyperlink w:anchor="otherinfo" w:history="1">
              <w:r>
                <w:rPr>
                  <w:rStyle w:val="a4"/>
                  <w:rFonts w:eastAsia="Times New Roman"/>
                  <w:sz w:val="20"/>
                  <w:szCs w:val="20"/>
                </w:rPr>
                <w:t>43</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disclosurereg" w:history="1">
              <w:r>
                <w:rPr>
                  <w:rStyle w:val="a4"/>
                  <w:sz w:val="20"/>
                  <w:szCs w:val="20"/>
                </w:rPr>
                <w:t>Item 9C. Disclosure Regarding Foreign Jurisdictions that Prevent Inspections</w:t>
              </w:r>
            </w:hyperlink>
          </w:p>
        </w:tc>
        <w:tc>
          <w:tcPr>
            <w:tcW w:w="250" w:type="pct"/>
            <w:hideMark/>
          </w:tcPr>
          <w:p w:rsidR="00000000" w:rsidRDefault="006954AA">
            <w:pPr>
              <w:jc w:val="center"/>
              <w:rPr>
                <w:rFonts w:eastAsia="Times New Roman"/>
                <w:sz w:val="20"/>
                <w:szCs w:val="20"/>
              </w:rPr>
            </w:pPr>
            <w:hyperlink w:anchor="disclosurereg" w:history="1">
              <w:r>
                <w:rPr>
                  <w:rStyle w:val="a4"/>
                  <w:rFonts w:eastAsia="Times New Roman"/>
                  <w:sz w:val="20"/>
                  <w:szCs w:val="20"/>
                </w:rPr>
                <w:t>43</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p3" w:history="1">
              <w:r>
                <w:rPr>
                  <w:rStyle w:val="a4"/>
                  <w:sz w:val="20"/>
                  <w:szCs w:val="20"/>
                </w:rPr>
                <w:t>PART III</w:t>
              </w:r>
            </w:hyperlink>
          </w:p>
        </w:tc>
        <w:tc>
          <w:tcPr>
            <w:tcW w:w="250" w:type="pct"/>
            <w:hideMark/>
          </w:tcPr>
          <w:p w:rsidR="00000000" w:rsidRDefault="006954AA">
            <w:pPr>
              <w:jc w:val="center"/>
              <w:rPr>
                <w:rFonts w:eastAsia="Times New Roman"/>
                <w:sz w:val="20"/>
                <w:szCs w:val="20"/>
              </w:rPr>
            </w:pPr>
            <w:hyperlink w:anchor="p3" w:history="1">
              <w:r>
                <w:rPr>
                  <w:rStyle w:val="a4"/>
                  <w:rFonts w:eastAsia="Times New Roman"/>
                  <w:sz w:val="20"/>
                  <w:szCs w:val="20"/>
                </w:rPr>
                <w:t>44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direcectorsexecu" w:history="1">
              <w:r>
                <w:rPr>
                  <w:rStyle w:val="a4"/>
                  <w:sz w:val="20"/>
                  <w:szCs w:val="20"/>
                </w:rPr>
                <w:t>Item 10. Directors, Executive Officers and Corporate Governance</w:t>
              </w:r>
            </w:hyperlink>
          </w:p>
        </w:tc>
        <w:tc>
          <w:tcPr>
            <w:tcW w:w="250" w:type="pct"/>
            <w:hideMark/>
          </w:tcPr>
          <w:p w:rsidR="00000000" w:rsidRDefault="006954AA">
            <w:pPr>
              <w:jc w:val="center"/>
              <w:rPr>
                <w:rFonts w:eastAsia="Times New Roman"/>
                <w:sz w:val="20"/>
                <w:szCs w:val="20"/>
              </w:rPr>
            </w:pPr>
            <w:hyperlink w:anchor="direcectorsexecu" w:history="1">
              <w:r>
                <w:rPr>
                  <w:rStyle w:val="a4"/>
                  <w:rFonts w:eastAsia="Times New Roman"/>
                  <w:sz w:val="20"/>
                  <w:szCs w:val="20"/>
                </w:rPr>
                <w:t>44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executivecomp" w:history="1">
              <w:r>
                <w:rPr>
                  <w:rStyle w:val="a4"/>
                  <w:sz w:val="20"/>
                  <w:szCs w:val="20"/>
                </w:rPr>
                <w:t>Item 11. Executive Compensation</w:t>
              </w:r>
            </w:hyperlink>
          </w:p>
        </w:tc>
        <w:tc>
          <w:tcPr>
            <w:tcW w:w="250" w:type="pct"/>
            <w:hideMark/>
          </w:tcPr>
          <w:p w:rsidR="00000000" w:rsidRDefault="006954AA">
            <w:pPr>
              <w:jc w:val="center"/>
              <w:rPr>
                <w:rFonts w:eastAsia="Times New Roman"/>
                <w:sz w:val="20"/>
                <w:szCs w:val="20"/>
              </w:rPr>
            </w:pPr>
            <w:hyperlink w:anchor="executivecomp" w:history="1">
              <w:r>
                <w:rPr>
                  <w:rStyle w:val="a4"/>
                  <w:rFonts w:eastAsia="Times New Roman"/>
                  <w:sz w:val="20"/>
                  <w:szCs w:val="20"/>
                </w:rPr>
                <w:t>44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securityowener" w:history="1">
              <w:r>
                <w:rPr>
                  <w:rStyle w:val="a4"/>
                  <w:sz w:val="20"/>
                  <w:szCs w:val="20"/>
                </w:rPr>
                <w:t>Item 12. Security Ownership of Certain Beneficial Owners and Management and Related Stockholder Matters</w:t>
              </w:r>
            </w:hyperlink>
          </w:p>
        </w:tc>
        <w:tc>
          <w:tcPr>
            <w:tcW w:w="250" w:type="pct"/>
            <w:hideMark/>
          </w:tcPr>
          <w:p w:rsidR="00000000" w:rsidRDefault="006954AA">
            <w:pPr>
              <w:jc w:val="center"/>
              <w:rPr>
                <w:rFonts w:eastAsia="Times New Roman"/>
                <w:sz w:val="20"/>
                <w:szCs w:val="20"/>
              </w:rPr>
            </w:pPr>
            <w:hyperlink w:anchor="securityowener" w:history="1">
              <w:r>
                <w:rPr>
                  <w:rStyle w:val="a4"/>
                  <w:rFonts w:eastAsia="Times New Roman"/>
                  <w:sz w:val="20"/>
                  <w:szCs w:val="20"/>
                </w:rPr>
                <w:t>44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certainrealtions" w:history="1">
              <w:r>
                <w:rPr>
                  <w:rStyle w:val="a4"/>
                  <w:sz w:val="20"/>
                  <w:szCs w:val="20"/>
                </w:rPr>
                <w:t>Item 13. Certain Relationships and Related Transactions, and Director Independence</w:t>
              </w:r>
            </w:hyperlink>
          </w:p>
        </w:tc>
        <w:tc>
          <w:tcPr>
            <w:tcW w:w="250" w:type="pct"/>
            <w:hideMark/>
          </w:tcPr>
          <w:p w:rsidR="00000000" w:rsidRDefault="006954AA">
            <w:pPr>
              <w:jc w:val="center"/>
              <w:rPr>
                <w:rFonts w:eastAsia="Times New Roman"/>
                <w:sz w:val="20"/>
                <w:szCs w:val="20"/>
              </w:rPr>
            </w:pPr>
            <w:hyperlink w:anchor="certainrealtions" w:history="1">
              <w:r>
                <w:rPr>
                  <w:rStyle w:val="a4"/>
                  <w:rFonts w:eastAsia="Times New Roman"/>
                  <w:sz w:val="20"/>
                  <w:szCs w:val="20"/>
                </w:rPr>
                <w:t>44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principalaccount" w:history="1">
              <w:r>
                <w:rPr>
                  <w:rStyle w:val="a4"/>
                  <w:sz w:val="20"/>
                  <w:szCs w:val="20"/>
                </w:rPr>
                <w:t>Item 14. Principal Accountant Fees and Services</w:t>
              </w:r>
            </w:hyperlink>
          </w:p>
        </w:tc>
        <w:tc>
          <w:tcPr>
            <w:tcW w:w="250" w:type="pct"/>
            <w:hideMark/>
          </w:tcPr>
          <w:p w:rsidR="00000000" w:rsidRDefault="006954AA">
            <w:pPr>
              <w:jc w:val="center"/>
              <w:rPr>
                <w:rFonts w:eastAsia="Times New Roman"/>
                <w:sz w:val="20"/>
                <w:szCs w:val="20"/>
              </w:rPr>
            </w:pPr>
            <w:hyperlink w:anchor="principalaccount" w:history="1">
              <w:r>
                <w:rPr>
                  <w:rStyle w:val="a4"/>
                  <w:rFonts w:eastAsia="Times New Roman"/>
                  <w:sz w:val="20"/>
                  <w:szCs w:val="20"/>
                </w:rPr>
                <w:t>44</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p4" w:history="1">
              <w:r>
                <w:rPr>
                  <w:rStyle w:val="a4"/>
                  <w:sz w:val="20"/>
                  <w:szCs w:val="20"/>
                </w:rPr>
                <w:t>PART IV</w:t>
              </w:r>
            </w:hyperlink>
          </w:p>
        </w:tc>
        <w:tc>
          <w:tcPr>
            <w:tcW w:w="250" w:type="pct"/>
            <w:hideMark/>
          </w:tcPr>
          <w:p w:rsidR="00000000" w:rsidRDefault="006954AA">
            <w:pPr>
              <w:jc w:val="center"/>
              <w:rPr>
                <w:rFonts w:eastAsia="Times New Roman"/>
                <w:sz w:val="20"/>
                <w:szCs w:val="20"/>
              </w:rPr>
            </w:pPr>
            <w:hyperlink w:anchor="p4" w:history="1">
              <w:r>
                <w:rPr>
                  <w:rStyle w:val="a4"/>
                  <w:rFonts w:eastAsia="Times New Roman"/>
                  <w:sz w:val="20"/>
                  <w:szCs w:val="20"/>
                </w:rPr>
                <w:t>45</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exsandfin" w:history="1">
              <w:r>
                <w:rPr>
                  <w:rStyle w:val="a4"/>
                  <w:sz w:val="20"/>
                  <w:szCs w:val="20"/>
                </w:rPr>
                <w:t>Item 15. Exhibits and Financial Statement Schedules</w:t>
              </w:r>
            </w:hyperlink>
          </w:p>
        </w:tc>
        <w:tc>
          <w:tcPr>
            <w:tcW w:w="250" w:type="pct"/>
            <w:hideMark/>
          </w:tcPr>
          <w:p w:rsidR="00000000" w:rsidRDefault="006954AA">
            <w:pPr>
              <w:jc w:val="center"/>
              <w:rPr>
                <w:rFonts w:eastAsia="Times New Roman"/>
                <w:sz w:val="20"/>
                <w:szCs w:val="20"/>
              </w:rPr>
            </w:pPr>
            <w:hyperlink w:anchor="exsandfin" w:history="1">
              <w:r>
                <w:rPr>
                  <w:rStyle w:val="a4"/>
                  <w:rFonts w:eastAsia="Times New Roman"/>
                  <w:sz w:val="20"/>
                  <w:szCs w:val="20"/>
                </w:rPr>
                <w:t>45</w:t>
              </w:r>
            </w:hyperlink>
          </w:p>
        </w:tc>
      </w:tr>
      <w:tr w:rsidR="00000000">
        <w:trPr>
          <w:tblCellSpacing w:w="0" w:type="dxa"/>
        </w:trPr>
        <w:tc>
          <w:tcPr>
            <w:tcW w:w="4750" w:type="pct"/>
            <w:hideMark/>
          </w:tcPr>
          <w:p w:rsidR="00000000" w:rsidRDefault="006954AA">
            <w:pPr>
              <w:rPr>
                <w:rFonts w:eastAsia="Times New Roman"/>
                <w:sz w:val="20"/>
                <w:szCs w:val="20"/>
              </w:rPr>
            </w:pPr>
            <w:r>
              <w:rPr>
                <w:rFonts w:eastAsia="Times New Roman"/>
                <w:sz w:val="20"/>
                <w:szCs w:val="20"/>
              </w:rPr>
              <w:t> </w:t>
            </w:r>
          </w:p>
        </w:tc>
        <w:tc>
          <w:tcPr>
            <w:tcW w:w="2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50" w:type="pct"/>
            <w:hideMark/>
          </w:tcPr>
          <w:p w:rsidR="00000000" w:rsidRDefault="006954AA">
            <w:pPr>
              <w:pStyle w:val="a3"/>
              <w:spacing w:before="0" w:beforeAutospacing="0" w:after="0" w:afterAutospacing="0"/>
              <w:rPr>
                <w:sz w:val="20"/>
                <w:szCs w:val="20"/>
              </w:rPr>
            </w:pPr>
            <w:hyperlink w:anchor="form10summary" w:history="1">
              <w:r>
                <w:rPr>
                  <w:rStyle w:val="a4"/>
                  <w:sz w:val="20"/>
                  <w:szCs w:val="20"/>
                </w:rPr>
                <w:t>Item 16. Form 10-K Summary</w:t>
              </w:r>
            </w:hyperlink>
          </w:p>
        </w:tc>
        <w:tc>
          <w:tcPr>
            <w:tcW w:w="250" w:type="pct"/>
            <w:hideMark/>
          </w:tcPr>
          <w:p w:rsidR="00000000" w:rsidRDefault="006954AA">
            <w:pPr>
              <w:jc w:val="center"/>
              <w:rPr>
                <w:rFonts w:eastAsia="Times New Roman"/>
                <w:sz w:val="20"/>
                <w:szCs w:val="20"/>
              </w:rPr>
            </w:pPr>
            <w:hyperlink w:anchor="form10summary" w:history="1">
              <w:r>
                <w:rPr>
                  <w:rStyle w:val="a4"/>
                  <w:rFonts w:eastAsia="Times New Roman"/>
                  <w:sz w:val="20"/>
                  <w:szCs w:val="20"/>
                </w:rPr>
                <w:t>45</w:t>
              </w:r>
            </w:hyperlink>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94263879"/>
        <w:rPr>
          <w:rFonts w:eastAsia="Times New Roman"/>
          <w:sz w:val="20"/>
          <w:szCs w:val="20"/>
        </w:rPr>
      </w:pPr>
      <w:r>
        <w:rPr>
          <w:rFonts w:eastAsia="Times New Roman"/>
          <w:sz w:val="20"/>
          <w:szCs w:val="20"/>
        </w:rPr>
        <w:t xml:space="preserve">2 </w:t>
      </w:r>
    </w:p>
    <w:p w:rsidR="00000000" w:rsidRDefault="006954AA">
      <w:pPr>
        <w:divId w:val="1694263879"/>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6954AA">
      <w:pPr>
        <w:divId w:val="21277713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b/>
          <w:bCs/>
          <w:sz w:val="20"/>
          <w:szCs w:val="20"/>
        </w:rPr>
        <w:t>FORWARD-LOOKING STATEMENTS</w:t>
      </w:r>
    </w:p>
    <w:p w:rsidR="00000000" w:rsidRDefault="006954AA">
      <w:pPr>
        <w:pStyle w:val="a3"/>
        <w:spacing w:before="0" w:beforeAutospacing="0" w:after="0" w:afterAutospacing="0"/>
        <w:jc w:val="center"/>
        <w:rPr>
          <w:sz w:val="20"/>
          <w:szCs w:val="20"/>
        </w:rPr>
      </w:pPr>
      <w:r>
        <w:rPr>
          <w:sz w:val="20"/>
          <w:szCs w:val="20"/>
        </w:rPr>
        <w:t> </w:t>
      </w:r>
    </w:p>
    <w:p w:rsidR="00000000" w:rsidRDefault="006954AA">
      <w:pPr>
        <w:pStyle w:val="a3"/>
        <w:spacing w:before="0" w:beforeAutospacing="0" w:after="0" w:afterAutospacing="0"/>
        <w:ind w:left="-20"/>
        <w:jc w:val="both"/>
        <w:rPr>
          <w:sz w:val="20"/>
          <w:szCs w:val="20"/>
        </w:rPr>
      </w:pPr>
      <w:r>
        <w:rPr>
          <w:sz w:val="20"/>
          <w:szCs w:val="20"/>
        </w:rPr>
        <w:t>This annual report on Form 10-K (“Form 10-K”), together with other state</w:t>
      </w:r>
      <w:r>
        <w:rPr>
          <w:sz w:val="20"/>
          <w:szCs w:val="20"/>
        </w:rPr>
        <w:t>ments and information publicly disseminated by the Company contains certain forward-looking statements within the meaning of Section 27A of the Securities Act of 1933, as amended (the “Securities Act”), and Section 21E of the Securities Exchange Act of 193</w:t>
      </w:r>
      <w:r>
        <w:rPr>
          <w:sz w:val="20"/>
          <w:szCs w:val="20"/>
        </w:rPr>
        <w:t>4, as amended (the “Exchange Act”).  The Company intends such forward-looking statements to be covered by the safe harbor provisions for forward-looking statements contained in the Private Securities Litigation Reform Act of 1995 and includes this statemen</w:t>
      </w:r>
      <w:r>
        <w:rPr>
          <w:sz w:val="20"/>
          <w:szCs w:val="20"/>
        </w:rPr>
        <w:t>t for purposes of complying with the safe harbor provisions.  Forward-looking statements, which are based on certain assumptions and describe the Company’s future plans, strategies and expectations, are generally identifiable by use of the words “believe,”</w:t>
      </w:r>
      <w:r>
        <w:rPr>
          <w:sz w:val="20"/>
          <w:szCs w:val="20"/>
        </w:rPr>
        <w:t xml:space="preserve"> “expect,” “intend,” “commit,” “anticipate,” “estimate,” “project,” “will,” “target,” “forecast” or similar expressions. You should not rely on forward-looking statements since they involve known and unknown risks, uncertainties and other factors which, in</w:t>
      </w:r>
      <w:r>
        <w:rPr>
          <w:sz w:val="20"/>
          <w:szCs w:val="20"/>
        </w:rPr>
        <w:t xml:space="preserve"> some cases, are beyond the Company’s control and could materially affect actual results, performances or achievements.  Factors which may cause actual results to differ materially from current expectations include, but are not limited to, (i) general adve</w:t>
      </w:r>
      <w:r>
        <w:rPr>
          <w:sz w:val="20"/>
          <w:szCs w:val="20"/>
        </w:rPr>
        <w:t>rse economic and local real estate conditions, (ii) the impact of competition, including the availability of acquisition or development opportunities and the costs associated with purchasing and maintaining assets; (iii) the inability of major tenants to c</w:t>
      </w:r>
      <w:r>
        <w:rPr>
          <w:sz w:val="20"/>
          <w:szCs w:val="20"/>
        </w:rPr>
        <w:t xml:space="preserve">ontinue paying their rent obligations due to bankruptcy, insolvency or a general downturn in their business, (iv) the reduction in the Company’s income in the event of multiple lease terminations by tenants or a failure of multiple tenants to occupy their </w:t>
      </w:r>
      <w:r>
        <w:rPr>
          <w:sz w:val="20"/>
          <w:szCs w:val="20"/>
        </w:rPr>
        <w:t xml:space="preserve">premises in a shopping center, (v) the potential impact of e-commerce and other changes in </w:t>
      </w:r>
      <w:r>
        <w:rPr>
          <w:sz w:val="20"/>
          <w:szCs w:val="20"/>
        </w:rPr>
        <w:lastRenderedPageBreak/>
        <w:t>consumer buying practices, and changing trends in the retail industry and perceptions by retailers or shoppers, including safety and convenience, (vi) the availabili</w:t>
      </w:r>
      <w:r>
        <w:rPr>
          <w:sz w:val="20"/>
          <w:szCs w:val="20"/>
        </w:rPr>
        <w:t>ty of suitable acquisition, disposition, development and redevelopment opportunities, and risks related to acquisitions not performing in accordance with our expectations, (vii) the Company’s ability to raise capital by selling its assets, (viii) disruptio</w:t>
      </w:r>
      <w:r>
        <w:rPr>
          <w:sz w:val="20"/>
          <w:szCs w:val="20"/>
        </w:rPr>
        <w:t>ns and increases in operating costs due to inflation and supply chain issues, (ix) risks associated with the development of mixed-use commercial properties, including risks associated with the development and ownership of non-retail real estate, (x) change</w:t>
      </w:r>
      <w:r>
        <w:rPr>
          <w:sz w:val="20"/>
          <w:szCs w:val="20"/>
        </w:rPr>
        <w:t>s in governmental laws and regulations, including, but not limited to, changes in data privacy, environmental (including climate change), safety and health laws, and management’s ability to estimate the impact of such changes, (xi) valuation and risks rela</w:t>
      </w:r>
      <w:r>
        <w:rPr>
          <w:sz w:val="20"/>
          <w:szCs w:val="20"/>
        </w:rPr>
        <w:t>ted to the Company’s joint venture and preferred equity investments and other investments, (xii) valuation of marketable securities and other investments, including the shares of Albertsons Companies, Inc. common stock held by the Company, (xiii) impairmen</w:t>
      </w:r>
      <w:r>
        <w:rPr>
          <w:sz w:val="20"/>
          <w:szCs w:val="20"/>
        </w:rPr>
        <w:t>t charges, (xiv) criminal cybersecurity attacks disruption, data loss or other security incidents and breaches, (xv) impact of natural disasters and weather and climate-related events, (xvi) pandemics or other health crises, such as coronavirus disease 201</w:t>
      </w:r>
      <w:r>
        <w:rPr>
          <w:sz w:val="20"/>
          <w:szCs w:val="20"/>
        </w:rPr>
        <w:t>9 (“COVID-19”), (xvii) our ability to attract, retain and motivate key personnel, (xviii) financing risks, such as the inability to obtain equity, debt or other sources of financing or refinancing on favorable terms to the Company, (xix) the level and vola</w:t>
      </w:r>
      <w:r>
        <w:rPr>
          <w:sz w:val="20"/>
          <w:szCs w:val="20"/>
        </w:rPr>
        <w:t xml:space="preserve">tility of interest rates and management’s ability to estimate the impact thereof, (xx) changes in the dividend policy for the Company’s common and preferred stock and the Company’s ability to pay dividends at current levels, (xxi) unanticipated changes in </w:t>
      </w:r>
      <w:r>
        <w:rPr>
          <w:sz w:val="20"/>
          <w:szCs w:val="20"/>
        </w:rPr>
        <w:t>the Company’s intention or ability to prepay certain debt prior to maturity and/or hold certain securities until maturity, and (xxii) the Company’s ability to continue to maintain its status as a REIT for federal income tax purposes and potential risks and</w:t>
      </w:r>
      <w:r>
        <w:rPr>
          <w:sz w:val="20"/>
          <w:szCs w:val="20"/>
        </w:rPr>
        <w:t xml:space="preserve"> uncertainties in connection with its UPREIT structure, and (xxiii) the other risks and uncertainties identified under Item 1A, “Risk Factors” and elsewhere in this Form 10-K and in the Company’s other filings with the Securities and Exchange Commission (“</w:t>
      </w:r>
      <w:r>
        <w:rPr>
          <w:sz w:val="20"/>
          <w:szCs w:val="20"/>
        </w:rPr>
        <w:t>SEC”). Accordingly, there is no assurance that the Company’s expectations will be realized.  The Company disclaims any intention or obligation to update the forward-looking statements, whether as a result of new information, future events or otherwise.  Yo</w:t>
      </w:r>
      <w:r>
        <w:rPr>
          <w:sz w:val="20"/>
          <w:szCs w:val="20"/>
        </w:rPr>
        <w:t>u are advised to refer to any further disclosures the Company makes or related subjects in the Company’s quarterly reports on Form 10-Q and current reports on Form 8-K that the Company files with the SEC.</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u w:val="single"/>
        </w:rPr>
        <w:t>PART I</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 Business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Overview</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is North America’s largest publicly traded owner and operator of open-air, grocery-anchored shopping centers, and a growing portfolio of mixed-use assets. The Company’s mission is to create destinat</w:t>
      </w:r>
      <w:r>
        <w:rPr>
          <w:sz w:val="20"/>
          <w:szCs w:val="20"/>
        </w:rPr>
        <w:t>ions for everyday living that inspire a sense of community and deliver value to our many stakeholders.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began operations through its predecessor, The Kimco Corporation, which was organized in 1966 upon the contribution of several shopping center properties owned by its principal stockholders. In 1973, these principals formed the Company as a Dela</w:t>
      </w:r>
      <w:r>
        <w:rPr>
          <w:sz w:val="20"/>
          <w:szCs w:val="20"/>
        </w:rPr>
        <w:t>ware corporation, and, in 1985, the operations of The Kimco Corporation were merged into the Company. The Company completed its initial public stock offering (the “IPO”) in November 1991, and, commencing with its taxable year which began January 1, 1992, e</w:t>
      </w:r>
      <w:r>
        <w:rPr>
          <w:sz w:val="20"/>
          <w:szCs w:val="20"/>
        </w:rPr>
        <w:t>lected to qualify as a REIT in accordance with Sections 856 through 860 of the Internal Revenue Code of 1986, as amended (the “Code”). To qualify as a REIT, the Company must meet several organizational and operational requirements, and is required to annua</w:t>
      </w:r>
      <w:r>
        <w:rPr>
          <w:sz w:val="20"/>
          <w:szCs w:val="20"/>
        </w:rPr>
        <w:t>lly distribute at least 90% of its net taxable income, determined without regard to the dividends paid deduction and excluding any net capital gain. In addition, the Company will be subject to federal income tax at regular corporate rates to the extent tha</w:t>
      </w:r>
      <w:r>
        <w:rPr>
          <w:sz w:val="20"/>
          <w:szCs w:val="20"/>
        </w:rPr>
        <w:t>t it distributes less than 100% of its net taxable income, including any net capital gains.  In January of 2023, the Company consummated the Reorganization into an UPREIT structure as described in the Explanatory Note at the beginning of this Annual Report</w:t>
      </w:r>
      <w:r>
        <w:rPr>
          <w:sz w:val="20"/>
          <w:szCs w:val="20"/>
        </w:rPr>
        <w:t>.  If, as the Company believes, it is organized and operates in such a manner so as to qualify and remain qualified as a REIT under the Code, the Company, generally will not be subject to U.S. federal income tax, provided that distributions to its stockhol</w:t>
      </w:r>
      <w:r>
        <w:rPr>
          <w:sz w:val="20"/>
          <w:szCs w:val="20"/>
        </w:rPr>
        <w:t xml:space="preserve">ders equal at least the amount of its REIT taxable income, as defined in the Code. The Company maintains certain subsidiaries that made joint elections with the Company to be treated as taxable REIT subsidiaries (“TRSs”), that permit the Company to engage </w:t>
      </w:r>
      <w:r>
        <w:rPr>
          <w:sz w:val="20"/>
          <w:szCs w:val="20"/>
        </w:rPr>
        <w:t>through such TRSs in certain business activities that the REIT may not conduct directly. A TRS is subject to federal and state taxes on its income, and the Company includes a provision for taxes in its consolidated financial statements. In 1994, the Predec</w:t>
      </w:r>
      <w:r>
        <w:rPr>
          <w:sz w:val="20"/>
          <w:szCs w:val="20"/>
        </w:rPr>
        <w:t>essor reorganized as a Maryland corporation. In March 2006, the Predecessor was added to the S&amp;P 500 Index, an index containing the stock of 500 Large Cap companies, most of which are U.S. corporations. The Company's common stock, Class L Depositary Shares</w:t>
      </w:r>
      <w:r>
        <w:rPr>
          <w:sz w:val="20"/>
          <w:szCs w:val="20"/>
        </w:rPr>
        <w:t xml:space="preserve"> and Class M Depositary Shares are traded on the New York Stock Exchange (“NYSE”) under the trading symbols “KIM”, “KIMprL”, and “KIMprM”, respectively.</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is a self-administered REIT and has not engaged, nor does it expect to retain, any REIT a</w:t>
      </w:r>
      <w:r>
        <w:rPr>
          <w:sz w:val="20"/>
          <w:szCs w:val="20"/>
        </w:rPr>
        <w:t>dvisors in connection with the operation of its properties. The Company’s ownership interests in real estate consist of its consolidated portfolio and portfolios where the Company owns an economic interest, such as properties in the Company’s investment re</w:t>
      </w:r>
      <w:r>
        <w:rPr>
          <w:sz w:val="20"/>
          <w:szCs w:val="20"/>
        </w:rPr>
        <w:t>al estate management programs, where the Company partners with institutional investors and also retains management.</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024213785"/>
        <w:rPr>
          <w:rFonts w:eastAsia="Times New Roman"/>
          <w:sz w:val="20"/>
          <w:szCs w:val="20"/>
        </w:rPr>
      </w:pPr>
      <w:r>
        <w:rPr>
          <w:rFonts w:eastAsia="Times New Roman"/>
          <w:sz w:val="20"/>
          <w:szCs w:val="20"/>
        </w:rPr>
        <w:t xml:space="preserve">3 </w:t>
      </w:r>
    </w:p>
    <w:p w:rsidR="00000000" w:rsidRDefault="006954AA">
      <w:pPr>
        <w:divId w:val="2039887708"/>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6954AA">
      <w:pPr>
        <w:divId w:val="8242010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 began to expand its operations through the development of real estate and the construction of shopping centers but revised its growth strategy to focus on the acquisition and redevelopment of existing </w:t>
      </w:r>
      <w:r>
        <w:rPr>
          <w:sz w:val="20"/>
          <w:szCs w:val="20"/>
        </w:rPr>
        <w:t>shopping centers that include a grocery component. The Company also expanded internationally within Canada, Mexico, Chile, Brazil and Peru, but has since exited all international investments. Additionally, the Company developed various residential and mixe</w:t>
      </w:r>
      <w:r>
        <w:rPr>
          <w:sz w:val="20"/>
          <w:szCs w:val="20"/>
        </w:rPr>
        <w:t>d-use operating properties and continues to obtain entitlements to embark on additional projects of this nature through re-development opportunities. In August 2021, the Company expanded through a merger with Weingarten Realty Investors (“Weingarten”), whe</w:t>
      </w:r>
      <w:r>
        <w:rPr>
          <w:sz w:val="20"/>
          <w:szCs w:val="20"/>
        </w:rPr>
        <w:t>reby Weingarten merged with and into the Predecessor, with the Predecessor continuing as the surviving public company (the “Merger”), pursuant to the definitive merger agreement (the “Merger Agreement”) between the Predecessor and Weingarten which was ente</w:t>
      </w:r>
      <w:r>
        <w:rPr>
          <w:sz w:val="20"/>
          <w:szCs w:val="20"/>
        </w:rPr>
        <w:t>red into on April 15, 2021. The Merger brought together two industry-leading retail real estate platforms with highly complementary portfolios and created the preeminent open-air shopping center and mixed-use real estate owner in the country. The Merger fu</w:t>
      </w:r>
      <w:r>
        <w:rPr>
          <w:sz w:val="20"/>
          <w:szCs w:val="20"/>
        </w:rPr>
        <w:t>rther enhanced the Company’s portfolio in coastal and sun belt regions.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implemented its investment real estate management format through the establishment of various institutional joint venture programs, in which the Company has noncontro</w:t>
      </w:r>
      <w:r>
        <w:rPr>
          <w:sz w:val="20"/>
          <w:szCs w:val="20"/>
        </w:rPr>
        <w:t>lling interests. The Company earns management fees, acquisition fees, disposition fees as well as promoted interests based on achieving certain performance metrics.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the Company has capitalized on its established expertise in retail real esta</w:t>
      </w:r>
      <w:r>
        <w:rPr>
          <w:sz w:val="20"/>
          <w:szCs w:val="20"/>
        </w:rPr>
        <w:t>te by establishing other ventures in which the Company owns a smaller equity interest and provides management, leasing and operational support for those properties. The Company has also provided preferred equity capital to real estate professionals and, fr</w:t>
      </w:r>
      <w:r>
        <w:rPr>
          <w:sz w:val="20"/>
          <w:szCs w:val="20"/>
        </w:rPr>
        <w:t>om time to time, provides real estate capital and management services to both healthy and distressed retailers. The Company has also made selective investments in secondary market opportunities where a security or other investment is, in management’s judgm</w:t>
      </w:r>
      <w:r>
        <w:rPr>
          <w:sz w:val="20"/>
          <w:szCs w:val="20"/>
        </w:rPr>
        <w:t>ent, priced below the value of the underlying assets, however these investments are subject to volatility within the equity and debt markets.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As described in greater detail in the Explanatory Note to this Form 10-K, (i) on January 1, 2023, as a result of</w:t>
      </w:r>
      <w:r>
        <w:rPr>
          <w:sz w:val="20"/>
          <w:szCs w:val="20"/>
        </w:rPr>
        <w:t xml:space="preserve"> the Reorganization, the Parent Company, a Maryland corporation, became the successor issuer to the Predecessor, and (ii) on January 3, 2023 the Predecessor converted into Kimco OP, a limited liability company, organized in the State of Delaware. Parent Co</w:t>
      </w:r>
      <w:r>
        <w:rPr>
          <w:sz w:val="20"/>
          <w:szCs w:val="20"/>
        </w:rPr>
        <w:t>mpany is the managing member of Kimco OP and owns 100% of the limited liability company interests, and exercises exclusive control over Kimco OP.</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As of December 31, 2022, the Company had interests in 532 shopping center properties (the “Combined Shopping</w:t>
      </w:r>
      <w:r>
        <w:rPr>
          <w:sz w:val="20"/>
          <w:szCs w:val="20"/>
        </w:rPr>
        <w:t xml:space="preserve"> Center Portfolio”), aggregating 90.8 million square feet of gross leasable area (“GLA”), located in 28 states. In addition, the Company had 23 other property interests, primarily through the Company’s preferred equity investments and other investments, to</w:t>
      </w:r>
      <w:r>
        <w:rPr>
          <w:sz w:val="20"/>
          <w:szCs w:val="20"/>
        </w:rPr>
        <w:t>taling 5.7 million square feet of GLA.</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u w:val="single"/>
        </w:rPr>
        <w:t>Economic Conditions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economy continues to face several issues including the lack of qualified employees, inflation risk, supply chain issues and new COVID-19 variants, which could impact the Company and its ten</w:t>
      </w:r>
      <w:r>
        <w:rPr>
          <w:sz w:val="20"/>
          <w:szCs w:val="20"/>
        </w:rPr>
        <w:t>ants. In response to the rising rate of inflation the Federal Reserve has steadily increased interest rates, and may continue to increase interest rates, until the rate of inflation begins to decrease. These increases in interest rates could adversely impa</w:t>
      </w:r>
      <w:r>
        <w:rPr>
          <w:sz w:val="20"/>
          <w:szCs w:val="20"/>
        </w:rPr>
        <w:t>ct the business and financial results of the Company and its tenants. In addition, slower economic growth and the potential for a recession could have an adverse effect on the Company and its tenants. This could negatively affect the overall demand for ret</w:t>
      </w:r>
      <w:r>
        <w:rPr>
          <w:sz w:val="20"/>
          <w:szCs w:val="20"/>
        </w:rPr>
        <w:t xml:space="preserve">ail space, including the demand for leasable space in the Company’s properties. As a result, the Company could feel pricing pressure on rents that it is able to charge to new or renewing tenants, such that future rents and rent spreads could be negatively </w:t>
      </w:r>
      <w:r>
        <w:rPr>
          <w:sz w:val="20"/>
          <w:szCs w:val="20"/>
        </w:rPr>
        <w:t>impacted. Any of these events could materially adversely impact the Company’s business, financial condition, results of operations or stock price. The Company continues to monitor economic, financial, and social conditions and will assess its asset portfol</w:t>
      </w:r>
      <w:r>
        <w:rPr>
          <w:sz w:val="20"/>
          <w:szCs w:val="20"/>
        </w:rPr>
        <w:t>io for any impairment indicators. If the Company determines that any of its assets are impaired, the Company would be required to take impairment charges, and such amounts could be material.</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20142417"/>
        <w:rPr>
          <w:rFonts w:eastAsia="Times New Roman"/>
          <w:sz w:val="20"/>
          <w:szCs w:val="20"/>
        </w:rPr>
      </w:pPr>
      <w:r>
        <w:rPr>
          <w:rFonts w:eastAsia="Times New Roman"/>
          <w:sz w:val="20"/>
          <w:szCs w:val="20"/>
        </w:rPr>
        <w:t xml:space="preserve">4 </w:t>
      </w:r>
    </w:p>
    <w:p w:rsidR="00000000" w:rsidRDefault="006954AA">
      <w:pPr>
        <w:divId w:val="1872108359"/>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6954AA">
      <w:pPr>
        <w:divId w:val="16773404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Business Objective and Strategies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developed a strong nationally diversified portfolio of open-air, shopping centers located in drivable first-ring suburbs primarily within 19 major metropolitan sun belt and coastal markets, which are supported by strong demographics, signif</w:t>
      </w:r>
      <w:r>
        <w:rPr>
          <w:sz w:val="20"/>
          <w:szCs w:val="20"/>
        </w:rPr>
        <w:t>icant projected population growth, and where the Company perceives significant barriers to entry.  As of December 31, 2022, the Company derived 85% of its annualized base rent from these top major metro markets. The Company’s shopping centers provide essen</w:t>
      </w:r>
      <w:r>
        <w:rPr>
          <w:sz w:val="20"/>
          <w:szCs w:val="20"/>
        </w:rPr>
        <w:t>tial, necessity-based goods and services to the local communities and are primarily anchored by grocers, home improvement, and pharmacy.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focus on high-quality locations has led to significant opportunities for value creation through the rei</w:t>
      </w:r>
      <w:r>
        <w:rPr>
          <w:sz w:val="20"/>
          <w:szCs w:val="20"/>
        </w:rPr>
        <w:t>nvestment in its assets to add density, replace outdated shopping center concepts, and better meet changing consumer demands.  In order to add density to existing properties, the Company has obtained multi-family entitlements for 8,818 units of which 2,218</w:t>
      </w:r>
      <w:r>
        <w:rPr>
          <w:sz w:val="20"/>
          <w:szCs w:val="20"/>
        </w:rPr>
        <w:t xml:space="preserve"> units have been constructed as of December 31, 2022. The Company continues to place strategic emphasis on live/work/play environments and in reinvesting in its existing assets, while building shareholder value. This philosophy is exemplified by the Compan</w:t>
      </w:r>
      <w:r>
        <w:rPr>
          <w:sz w:val="20"/>
          <w:szCs w:val="20"/>
        </w:rPr>
        <w:t>y’s Signature Serie</w:t>
      </w:r>
      <w:r>
        <w:rPr>
          <w:sz w:val="20"/>
          <w:szCs w:val="20"/>
        </w:rPr>
        <w:t>s</w:t>
      </w:r>
      <w:r>
        <w:rPr>
          <w:sz w:val="20"/>
          <w:szCs w:val="20"/>
          <w:vertAlign w:val="superscript"/>
        </w:rPr>
        <w:t>TM</w:t>
      </w:r>
      <w:r>
        <w:rPr>
          <w:sz w:val="20"/>
          <w:szCs w:val="20"/>
        </w:rPr>
        <w:t xml:space="preserve"> properties which include key value creation projects in our portfolio that exemplify our transformation and highlight our focus on quality, concentration around core MSAs, and growth through redevelopment and development opportunitie</w:t>
      </w:r>
      <w:r>
        <w:rPr>
          <w:sz w:val="20"/>
          <w:szCs w:val="20"/>
        </w:rPr>
        <w:t>s. Signature Series properties also include fully entitled, shovel-ready mixed-use projects, and opportunities that we continue to identify and entitle as we seek to achieve the highest and best use of our real estate, enhance our communities, and create v</w:t>
      </w:r>
      <w:r>
        <w:rPr>
          <w:sz w:val="20"/>
          <w:szCs w:val="20"/>
        </w:rPr>
        <w:t>alue for our stakeholders for years to come.</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strength and security of the Company’s balance sheet remains central to its strategy.  The Company’s strong balance sheet and liquidity position are evidenced by its investment grade unsecured debt ratings</w:t>
      </w:r>
      <w:r>
        <w:rPr>
          <w:sz w:val="20"/>
          <w:szCs w:val="20"/>
        </w:rPr>
        <w:t xml:space="preserve"> (Baa1/BBB+) by two major ratings agencies.  The Company maintains one of the longest weighted average debt maturity profiles in the REIT industry, now at 9.5 years.  The Company expects to continue to take steps to reduce leverage, unencumber assets and i</w:t>
      </w:r>
      <w:r>
        <w:rPr>
          <w:sz w:val="20"/>
          <w:szCs w:val="20"/>
        </w:rPr>
        <w:t>mprove its debt coverage metrics as mixed-use projects and redevelopments continue to come online and contribute additional cash flow growth.</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Business Objective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primary business objective is to be the premier owner and operator of open-ai</w:t>
      </w:r>
      <w:r>
        <w:rPr>
          <w:sz w:val="20"/>
          <w:szCs w:val="20"/>
        </w:rPr>
        <w:t>r, grocery-anchored shopping centers, and a growing portfolio of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the value of its existing portfolio of properties and generating higher levels of portfolio</w:t>
            </w:r>
            <w:r>
              <w:rPr>
                <w:sz w:val="20"/>
                <w:szCs w:val="20"/>
              </w:rPr>
              <w:t xml:space="preserve"> growth;</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cash flows for reinvestment and/or for distribution to shareholders while maintaining conservative payout ratios;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improving debt metrics and upgraded unsecured debt ratings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continuing growth in desirable demographic areas with successful retailers, primarily focused on grocery anchors;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the number of entitlements for residential use.</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Business Strategies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believes with its strong core portfolio and its recent acquisitions, it will continue to achieve higher occupancy levels, increased rental rates and rental grow</w:t>
      </w:r>
      <w:r>
        <w:rPr>
          <w:sz w:val="20"/>
          <w:szCs w:val="20"/>
        </w:rPr>
        <w:t>th in the future. To effectively execute the Company’s strategy and achieve its strategic goals the Company identified the following growth components to focus on:</w:t>
      </w:r>
    </w:p>
    <w:p w:rsidR="00000000" w:rsidRDefault="006954AA">
      <w:pPr>
        <w:pStyle w:val="a3"/>
        <w:spacing w:before="0" w:beforeAutospacing="0" w:after="0" w:afterAutospacing="0"/>
      </w:pPr>
      <w:r>
        <w:t> </w:t>
      </w:r>
    </w:p>
    <w:p w:rsidR="00000000" w:rsidRDefault="006954AA">
      <w:pPr>
        <w:divId w:val="443110094"/>
        <w:rPr>
          <w:rFonts w:eastAsia="Times New Roman"/>
          <w:sz w:val="20"/>
          <w:szCs w:val="20"/>
        </w:rPr>
      </w:pPr>
      <w:r>
        <w:rPr>
          <w:rFonts w:eastAsia="Times New Roman"/>
          <w:noProof/>
          <w:sz w:val="20"/>
          <w:szCs w:val="20"/>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954AA">
      <w:pPr>
        <w:pStyle w:val="a3"/>
        <w:spacing w:before="0" w:beforeAutospacing="0" w:after="0" w:afterAutospacing="0"/>
        <w:jc w:val="both"/>
        <w:rPr>
          <w:sz w:val="20"/>
          <w:szCs w:val="20"/>
        </w:rPr>
      </w:pPr>
      <w:r>
        <w:rPr>
          <w:sz w:val="20"/>
          <w:szCs w:val="20"/>
        </w:rPr>
        <w:t>The Company believes it is well positioned for sustainable growth with its high-quality portfolio,</w:t>
      </w:r>
      <w:r>
        <w:rPr>
          <w:sz w:val="20"/>
          <w:szCs w:val="20"/>
        </w:rPr>
        <w:t xml:space="preserve"> accretive and opportunistic capital allocation, financial strength and environmental, social and governance leadership.         </w:t>
      </w:r>
    </w:p>
    <w:p w:rsidR="00000000" w:rsidRDefault="006954AA">
      <w:pPr>
        <w:jc w:val="center"/>
        <w:divId w:val="1299726067"/>
        <w:rPr>
          <w:rFonts w:eastAsia="Times New Roman"/>
          <w:sz w:val="20"/>
          <w:szCs w:val="20"/>
        </w:rPr>
      </w:pPr>
      <w:r>
        <w:rPr>
          <w:rFonts w:eastAsia="Times New Roman"/>
          <w:sz w:val="20"/>
          <w:szCs w:val="20"/>
        </w:rPr>
        <w:t xml:space="preserve">5 </w:t>
      </w:r>
    </w:p>
    <w:p w:rsidR="00000000" w:rsidRDefault="006954AA">
      <w:pPr>
        <w:divId w:val="183132445"/>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6954AA">
      <w:pPr>
        <w:divId w:val="3464507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sz w:val="20"/>
          <w:szCs w:val="20"/>
        </w:rPr>
        <w:t>The Company has identified the following areas where it is well pos</w:t>
      </w:r>
      <w:r>
        <w:rPr>
          <w:sz w:val="20"/>
          <w:szCs w:val="20"/>
        </w:rPr>
        <w:t>itioned for sustainable growth in the future.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reduces its operating and leasing risks through diversification achieved by the geographic distribution of its properties and a large tenant base. As of December 31, 2022, no</w:t>
      </w:r>
      <w:r>
        <w:rPr>
          <w:sz w:val="20"/>
          <w:szCs w:val="20"/>
        </w:rPr>
        <w:t xml:space="preserve"> single open-air shopping center accounted for more than 1.3% of the Company's annualized base rental revenues, including the proportionate share of base rental revenues from properties in which the Company has less than a 100% economic interest, or more t</w:t>
      </w:r>
      <w:r>
        <w:rPr>
          <w:sz w:val="20"/>
          <w:szCs w:val="20"/>
        </w:rPr>
        <w:t>han 1.4% of the Company’s total shopping center GLA. Furthermore, at December 31, 2022, the Company’s single largest tenant represented only 3.7%, and the Company’s five largest tenants aggregated less than 11.4%, of the Company’s annualized base rental re</w:t>
      </w:r>
      <w:r>
        <w:rPr>
          <w:sz w:val="20"/>
          <w:szCs w:val="20"/>
        </w:rPr>
        <w:t>venues, including the proportionate share of base rental revenues from properties in which the Company has less than a 100% economic interest.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As one of the original participants in the growth of the shopping center industry and the nation's largest owne</w:t>
      </w:r>
      <w:r>
        <w:rPr>
          <w:sz w:val="20"/>
          <w:szCs w:val="20"/>
        </w:rPr>
        <w:t>rs and operators of open-air shopping centers, the Company has established close relationships with major national and regional retailers and maintains a broad network of industry contacts. Management is associated with and/or actively participates in many</w:t>
      </w:r>
      <w:r>
        <w:rPr>
          <w:sz w:val="20"/>
          <w:szCs w:val="20"/>
        </w:rPr>
        <w:t xml:space="preserve"> shopping center and REIT industry organizations. Notwithstanding these relationships, there are numerous regional and local commercial developers, real estate companies, financial institutions and other investors who compete with the Company for the acqui</w:t>
      </w:r>
      <w:r>
        <w:rPr>
          <w:sz w:val="20"/>
          <w:szCs w:val="20"/>
        </w:rPr>
        <w:t>sition of properties and other investment opportunities and in seeking tenants who will lease space in the Company’s properties.</w:t>
      </w:r>
    </w:p>
    <w:p w:rsidR="00000000" w:rsidRDefault="006954AA">
      <w:pPr>
        <w:pStyle w:val="a3"/>
        <w:spacing w:before="0" w:beforeAutospacing="0" w:after="0" w:afterAutospacing="0"/>
        <w:ind w:firstLine="18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u w:val="single"/>
        </w:rPr>
        <w:t>Government Regulation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Compliance with various governmental regulations has an impact on our business, including our capital</w:t>
      </w:r>
      <w:r>
        <w:rPr>
          <w:sz w:val="20"/>
          <w:szCs w:val="20"/>
        </w:rPr>
        <w:t xml:space="preserve"> expenditures, earnings and competitive position, which can be material. We incur costs to monitor and take actions to comply with governmental regulations that are applicable to our business, which include, among others, federal securities laws and regula</w:t>
      </w:r>
      <w:r>
        <w:rPr>
          <w:sz w:val="20"/>
          <w:szCs w:val="20"/>
        </w:rPr>
        <w:t>tions, applicable stock exchange requirements, REIT and other tax laws and regulations, environmental and health and safety laws and regulations, local zoning, usage and other regulations relating to real property and the Americans with Disabilities Act of</w:t>
      </w:r>
      <w:r>
        <w:rPr>
          <w:sz w:val="20"/>
          <w:szCs w:val="20"/>
        </w:rPr>
        <w:t xml:space="preserve"> 1990.</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see Item 1A. Risk Factors for a discussion of material risks to us, including, to the extent material, to our competitive position, relating to governmental regulations, and see “Item 7. Management’s Discussion and Analysis of Financi</w:t>
      </w:r>
      <w:r>
        <w:rPr>
          <w:sz w:val="20"/>
          <w:szCs w:val="20"/>
        </w:rPr>
        <w:t>al Condition and Results of Operations” together with our audited consolidated financial statements and the related notes thereto for a discussion of material information relevant to an assessment of our financial condition and results of operations, inclu</w:t>
      </w:r>
      <w:r>
        <w:rPr>
          <w:sz w:val="20"/>
          <w:szCs w:val="20"/>
        </w:rPr>
        <w:t>ding, to the extent material, the effects that compliance with governmental regulations may have upon our capital expenditures and earnings.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723598701"/>
        <w:rPr>
          <w:rFonts w:eastAsia="Times New Roman"/>
          <w:sz w:val="20"/>
          <w:szCs w:val="20"/>
        </w:rPr>
      </w:pPr>
      <w:r>
        <w:rPr>
          <w:rFonts w:eastAsia="Times New Roman"/>
          <w:sz w:val="20"/>
          <w:szCs w:val="20"/>
        </w:rPr>
        <w:t xml:space="preserve">6 </w:t>
      </w:r>
    </w:p>
    <w:p w:rsidR="00000000" w:rsidRDefault="006954AA">
      <w:pPr>
        <w:divId w:val="503129570"/>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6954AA">
      <w:pPr>
        <w:divId w:val="2186350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b/>
          <w:bCs/>
          <w:sz w:val="20"/>
          <w:szCs w:val="20"/>
          <w:u w:val="single"/>
        </w:rPr>
        <w:t>Human Capital Resources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believes that our associates are one of our strongest resources and</w:t>
      </w:r>
      <w:r>
        <w:rPr>
          <w:sz w:val="20"/>
          <w:szCs w:val="20"/>
        </w:rPr>
        <w:t xml:space="preserve"> that a variety of perspectives and experiences found in a diverse workforce spark innovation and enrich company culture. The Company is committed to diversity, equity and inclusion best practices in all phases of the associate life cycle, including recrui</w:t>
      </w:r>
      <w:r>
        <w:rPr>
          <w:sz w:val="20"/>
          <w:szCs w:val="20"/>
        </w:rPr>
        <w:t>tment, training and development and promotion. By cultivating high levels of associate satisfaction and improving the diversity of our team, management’s goal is to ensure the Company will remain a significant driving force in commercial real estate well i</w:t>
      </w:r>
      <w:r>
        <w:rPr>
          <w:sz w:val="20"/>
          <w:szCs w:val="20"/>
        </w:rPr>
        <w:t>nto the future.</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been and will continue to be an equal opportunity employer committed to hiring, developing, and supporting a diverse, equitable, and inclusive workplace.  To ensure full implementation of this equal employment policy, we take steps to ensur</w:t>
      </w:r>
      <w:r>
        <w:rPr>
          <w:sz w:val="20"/>
          <w:szCs w:val="20"/>
        </w:rPr>
        <w:t>e that persons are recruited, hired, assigned and promoted without regard to race, creed, national origin, ancestry, citizenship status, religion, age, color, sex, gender (including pregnancy, childbirth and related medical conditions), gender identity and</w:t>
      </w:r>
      <w:r>
        <w:rPr>
          <w:sz w:val="20"/>
          <w:szCs w:val="20"/>
        </w:rPr>
        <w:t xml:space="preserve"> expression, sexual orientation, marital status, disability, genetic information, protected veteran status, or any other characteristic protected by local, state, or federal laws, rules, or regulations.  All of our employees must adhere to a Code of Busine</w:t>
      </w:r>
      <w:r>
        <w:rPr>
          <w:sz w:val="20"/>
          <w:szCs w:val="20"/>
        </w:rPr>
        <w:t>ss Conduct and Ethics that sets standards for appropriate behavior and includes required, regular internal training on preventing, identifying, reporting and stopping any type of discrimination and/or retaliation.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To attract and retain high performing in</w:t>
      </w:r>
      <w:r>
        <w:rPr>
          <w:sz w:val="20"/>
          <w:szCs w:val="20"/>
        </w:rPr>
        <w:t xml:space="preserve">dividuals, we are committed to partnering with our associates to provide opportunities for their professional development and promote their health and well-being. We offer a broad range of benefits, and we believe our compensation package and benefits are </w:t>
      </w:r>
      <w:r>
        <w:rPr>
          <w:sz w:val="20"/>
          <w:szCs w:val="20"/>
        </w:rPr>
        <w:t>competitive with others in our industry. Our benefits programs include a robust offering of medical, dental, vision, life, disability and a number of exciting ancillary benefits, all of which require very low associate contributions or are offered at no co</w:t>
      </w:r>
      <w:r>
        <w:rPr>
          <w:sz w:val="20"/>
          <w:szCs w:val="20"/>
        </w:rPr>
        <w:t>st to associates. The Company also provides a Safe Harbor 401(k) program with both pretax and Roth offering including a robust, fully vested matching contribution.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been recognized as a Great Place to Work® for five consecutive years as we</w:t>
      </w:r>
      <w:r>
        <w:rPr>
          <w:sz w:val="20"/>
          <w:szCs w:val="20"/>
        </w:rPr>
        <w:t>ll as a One of the 2022 Best Workplaces in Real Estate™, both of which are based on anonymous third-party surveys and feedback collected from our associates. Additionally, the Company was designated a Best Place to Work for LGBTQ+ Equality and has achieved</w:t>
      </w:r>
      <w:r>
        <w:rPr>
          <w:sz w:val="20"/>
          <w:szCs w:val="20"/>
        </w:rPr>
        <w:t xml:space="preserve"> a perfect score on the Human Rights Campaign Foundation’s 2022 Corporate Equality Index, a nationally recognized benchmarking survey and report measuring corporate policies and practices related to LGBTQ+ workplace equality.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operates under a</w:t>
      </w:r>
      <w:r>
        <w:rPr>
          <w:sz w:val="20"/>
          <w:szCs w:val="20"/>
        </w:rPr>
        <w:t xml:space="preserve"> hybrid work model, which balances associates’ need for valuable face-to-face interactions with individual preferences for ideal work conditions. By continuing to focus on communication, collaboration, and innovation, and by encouraging associates to prote</w:t>
      </w:r>
      <w:r>
        <w:rPr>
          <w:sz w:val="20"/>
          <w:szCs w:val="20"/>
        </w:rPr>
        <w:t>ct their personal time and be deliberate in where and how they choose to work, management is confident that the model results in a happier, engaged, and more efficient workforce.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executive and management team promotes a true “open door” env</w:t>
      </w:r>
      <w:r>
        <w:rPr>
          <w:sz w:val="20"/>
          <w:szCs w:val="20"/>
        </w:rPr>
        <w:t>ironment in which all feedback and suggestions are welcome. Whether it be through regular all employee calls, department meetings, frequent training sessions, Coffee Connections with the executive team, use of our BRAVO recognition program, awarding of iPa</w:t>
      </w:r>
      <w:r>
        <w:rPr>
          <w:sz w:val="20"/>
          <w:szCs w:val="20"/>
        </w:rPr>
        <w:t>ds for Ideas, or participation in our LABS (Leaders Advancing Business Strategy) program, associates are encouraged to be inquisitive and share ideas. Those ideas have resulted in a number of programs and benefit enhancements.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promotes physic</w:t>
      </w:r>
      <w:r>
        <w:rPr>
          <w:sz w:val="20"/>
          <w:szCs w:val="20"/>
        </w:rPr>
        <w:t>al health, including access to a national gym membership program for associates and their family members as well as host to regular wellness and nutrition seminars and health screenings. The Company also feels it is important that our associates are engage</w:t>
      </w:r>
      <w:r>
        <w:rPr>
          <w:sz w:val="20"/>
          <w:szCs w:val="20"/>
        </w:rPr>
        <w:t>d and active in the community. Across our numerous offices, associates host volunteer and social activities. Whether we’re participating in walks, runs, food or toy drives, the Company promotes and supports associate volunteerism with two volunteer days of</w:t>
      </w:r>
      <w:r>
        <w:rPr>
          <w:sz w:val="20"/>
          <w:szCs w:val="20"/>
        </w:rPr>
        <w:t>f per year and a company matching program in support of each associates charitable endeavors. The Company also encourages associates to directly drive strategy around the Company’s environmental, social and governance initiatives through participation in f</w:t>
      </w:r>
      <w:r>
        <w:rPr>
          <w:sz w:val="20"/>
          <w:szCs w:val="20"/>
        </w:rPr>
        <w:t>ive associate-driven KIMunity Councils focused in the areas of diversity, equity and inclusion, giving, wellness, sustainability, and tenant engagement.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recognizes the importance of advanced education. Each year, the Company funds $100,000 in</w:t>
      </w:r>
      <w:r>
        <w:rPr>
          <w:sz w:val="20"/>
          <w:szCs w:val="20"/>
        </w:rPr>
        <w:t xml:space="preserve"> college scholarships to benefit the children of our associates. In addition, the Company recently announced, in partnership with ICSC, it is providing $100,000 in scholarships to students wishing to pursue careers in real estate, of which no less than 50%</w:t>
      </w:r>
      <w:r>
        <w:rPr>
          <w:sz w:val="20"/>
          <w:szCs w:val="20"/>
        </w:rPr>
        <w:t xml:space="preserve"> will be awarded to students of under-represented groups. Both programs are managed by independent third parties who consider an equal balance of academics and financial need as determining factors.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executive offices are located at 500 Nort</w:t>
      </w:r>
      <w:r>
        <w:rPr>
          <w:sz w:val="20"/>
          <w:szCs w:val="20"/>
        </w:rPr>
        <w:t>h Broadway, Suite 201, Jericho, NY 11753, a mixed-use property that is wholly owned by the Company, and its telephone number is (516) 869-9000 or 1-800-764-7114. Nearly all corporate functions, including legal, data processing, finance and accounting are a</w:t>
      </w:r>
      <w:r>
        <w:rPr>
          <w:sz w:val="20"/>
          <w:szCs w:val="20"/>
        </w:rPr>
        <w:t>dministered by the Company from its executive offices in Jericho, New York and supported by the Company’s regional offices. As of December 31, 2022, a total of 639 persons were employed by the Company, of which 31% were located in our corporate office with</w:t>
      </w:r>
      <w:r>
        <w:rPr>
          <w:sz w:val="20"/>
          <w:szCs w:val="20"/>
        </w:rPr>
        <w:t xml:space="preserve"> the remainder located in 28 offices throughout the United States. The average tenure of our employees was 9.0 years.</w:t>
      </w:r>
    </w:p>
    <w:p w:rsidR="00000000" w:rsidRDefault="006954AA">
      <w:pPr>
        <w:jc w:val="center"/>
        <w:divId w:val="1466695816"/>
        <w:rPr>
          <w:rFonts w:eastAsia="Times New Roman"/>
          <w:sz w:val="20"/>
          <w:szCs w:val="20"/>
        </w:rPr>
      </w:pPr>
      <w:r>
        <w:rPr>
          <w:rFonts w:eastAsia="Times New Roman"/>
          <w:sz w:val="20"/>
          <w:szCs w:val="20"/>
        </w:rPr>
        <w:t xml:space="preserve">7 </w:t>
      </w:r>
    </w:p>
    <w:p w:rsidR="00000000" w:rsidRDefault="006954AA">
      <w:pPr>
        <w:divId w:val="850528767"/>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6954AA">
      <w:pPr>
        <w:divId w:val="17080935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b/>
          <w:bCs/>
          <w:sz w:val="20"/>
          <w:szCs w:val="20"/>
          <w:u w:val="single"/>
        </w:rPr>
        <w:t>Cybersecurity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Company’s Audit Committee receives quarterly briefings from the Company’s Chief Information Officer regarding the emerging </w:t>
      </w:r>
      <w:r>
        <w:rPr>
          <w:sz w:val="20"/>
          <w:szCs w:val="20"/>
        </w:rPr>
        <w:t>cybersecurity threat and risk landscape as well as the Company’s security program and related readiness, resiliency, and response efforts.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a Cyber Risk Committee (“Cyber Committee”) which reviews and reports on technology-based security i</w:t>
      </w:r>
      <w:r>
        <w:rPr>
          <w:sz w:val="20"/>
          <w:szCs w:val="20"/>
        </w:rPr>
        <w:t>ssues. The Cyber Committee is comprised of senior management from various business units within the Company and meets quarterly to review the status of the Company’s overall security program as well as controls and procedures and to stay up-to-date of rele</w:t>
      </w:r>
      <w:r>
        <w:rPr>
          <w:sz w:val="20"/>
          <w:szCs w:val="20"/>
        </w:rPr>
        <w:t>vant legislative, regulatory and technical developments.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utilizes a variety of administrative, technical and physical safeguards that take into account the nature of our IT environment, information assets and cyber risks posed by both interna</w:t>
      </w:r>
      <w:r>
        <w:rPr>
          <w:sz w:val="20"/>
          <w:szCs w:val="20"/>
        </w:rPr>
        <w:t>l and external threats. The Company has incorporated cybersecurity coverage in its insurance policies. The Company’s goal is to keep its data and systems, as well as its employees safe from cybersecurity threats.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conducts employee security awareness training and internal phishing exercises. When security issues arise, the Company conducts a prompt investigation and initiates response protocols and other measures to protect the Company and its valued emp</w:t>
      </w:r>
      <w:r>
        <w:rPr>
          <w:sz w:val="20"/>
          <w:szCs w:val="20"/>
        </w:rPr>
        <w:t>loyees and key stakeholders.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Environmental, Social and Governance (</w:t>
      </w:r>
      <w:r>
        <w:rPr>
          <w:sz w:val="20"/>
          <w:szCs w:val="20"/>
          <w:u w:val="single"/>
        </w:rPr>
        <w:t>“</w:t>
      </w:r>
      <w:r>
        <w:rPr>
          <w:b/>
          <w:bCs/>
          <w:sz w:val="20"/>
          <w:szCs w:val="20"/>
          <w:u w:val="single"/>
        </w:rPr>
        <w:t>ESG</w:t>
      </w:r>
      <w:r>
        <w:rPr>
          <w:sz w:val="20"/>
          <w:szCs w:val="20"/>
          <w:u w:val="single"/>
        </w:rPr>
        <w:t>”</w:t>
      </w:r>
      <w:r>
        <w:rPr>
          <w:b/>
          <w:bCs/>
          <w:sz w:val="20"/>
          <w:szCs w:val="20"/>
          <w:u w:val="single"/>
        </w:rPr>
        <w:t>) Programs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strives to build a thriving and viable business, one that succeeds by delivering long-term value for its stakeholders. We believe that the Company’s ESG prog</w:t>
      </w:r>
      <w:r>
        <w:rPr>
          <w:sz w:val="20"/>
          <w:szCs w:val="20"/>
        </w:rPr>
        <w:t>rams are aligned with its core business strategy of creating destinations for everyday living that inspire a sense of community and deliver value to its many stakeholders.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3081606"/>
        <w:rPr>
          <w:rFonts w:eastAsia="Times New Roman"/>
          <w:sz w:val="20"/>
          <w:szCs w:val="20"/>
        </w:rPr>
      </w:pPr>
      <w:r>
        <w:rPr>
          <w:rFonts w:eastAsia="Times New Roman"/>
          <w:sz w:val="20"/>
          <w:szCs w:val="20"/>
        </w:rPr>
        <w:t xml:space="preserve">8 </w:t>
      </w:r>
    </w:p>
    <w:p w:rsidR="00000000" w:rsidRDefault="006954AA">
      <w:pPr>
        <w:divId w:val="1495998705"/>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6954AA">
      <w:pPr>
        <w:divId w:val="1813576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identified the following five pillars that outline the Company’s current strategic priori</w:t>
      </w:r>
      <w:r>
        <w:rPr>
          <w:sz w:val="20"/>
          <w:szCs w:val="20"/>
        </w:rPr>
        <w:t>ties within our ESG program. The Company has defined 16 ESG goals that expand upon the Company’s commitment with clear targets in each pillar:</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954AA">
      <w:pPr>
        <w:pStyle w:val="a3"/>
        <w:spacing w:before="0" w:beforeAutospacing="0" w:after="0" w:afterAutospacing="0"/>
        <w:ind w:firstLine="36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aligned its annual reporting with standards from the Global Reporting Initiative (“GRI”), Sustainability Accounting Standards Board (“SASB”) and Task Force on C</w:t>
      </w:r>
      <w:r>
        <w:rPr>
          <w:sz w:val="20"/>
          <w:szCs w:val="20"/>
        </w:rPr>
        <w:t xml:space="preserve">limate-related Financial Disclosures (“TCFD”).  The Company also discloses aggregate-level EEO-1 workforce diversity data that can be found on the Company’s website, which data and website contents are not incorporated by reference hereto.  Additional ESG </w:t>
      </w:r>
      <w:r>
        <w:rPr>
          <w:sz w:val="20"/>
          <w:szCs w:val="20"/>
        </w:rPr>
        <w:t>information of relevance to stakeholders can be found on the Company’s website, the contents of which are not incorporated by reference and do not form a part of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Board of Directors sets the Company’s overall ESG program obje</w:t>
      </w:r>
      <w:r>
        <w:rPr>
          <w:sz w:val="20"/>
          <w:szCs w:val="20"/>
        </w:rPr>
        <w:t>ctives and oversees enterprise risk management. The Nominating and Corporate Governance Committee of the Board of Directors is responsible for overseeing the Company's efforts with regard to the Company's ESG matters.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 recognizes that climate </w:t>
      </w:r>
      <w:r>
        <w:rPr>
          <w:sz w:val="20"/>
          <w:szCs w:val="20"/>
        </w:rPr>
        <w:t>change is one of the most significant stakeholder issues of our times, threatening the viability of economic and environmental systems globally. The scientific community has studied climate change and a consensus exists that warming is occurring outside th</w:t>
      </w:r>
      <w:r>
        <w:rPr>
          <w:sz w:val="20"/>
          <w:szCs w:val="20"/>
        </w:rPr>
        <w:t>e boundaries of historical planetary trends due in significant part, to human activity. As a real estate portfolio owner, the Company monitors physical and transition risks as well as opportunities posed to its business by climate change and quantifies and</w:t>
      </w:r>
      <w:r>
        <w:rPr>
          <w:sz w:val="20"/>
          <w:szCs w:val="20"/>
        </w:rPr>
        <w:t xml:space="preserve"> discloses the climate impacts of its activities.   The Company’s science-based GHG emissions reduction goals are aligned with the Paris Climate Accord and while there can be no guarantees, we believe they could  put the Company on pace to achieve Scope 1 </w:t>
      </w:r>
      <w:r>
        <w:rPr>
          <w:sz w:val="20"/>
          <w:szCs w:val="20"/>
        </w:rPr>
        <w:t>and Scope 2 net zero GHG emissions by 2050.</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49582510"/>
        <w:rPr>
          <w:rFonts w:eastAsia="Times New Roman"/>
          <w:sz w:val="20"/>
          <w:szCs w:val="20"/>
        </w:rPr>
      </w:pPr>
      <w:r>
        <w:rPr>
          <w:rFonts w:eastAsia="Times New Roman"/>
          <w:sz w:val="20"/>
          <w:szCs w:val="20"/>
        </w:rPr>
        <w:t xml:space="preserve">9 </w:t>
      </w:r>
    </w:p>
    <w:p w:rsidR="00000000" w:rsidRDefault="006954AA">
      <w:pPr>
        <w:divId w:val="1432160303"/>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6954AA">
      <w:pPr>
        <w:divId w:val="5821063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Climate risks and opportunities are generally evaluated at both the corporate and individual asset level. The following table summarizes relevant climate risks identified as a part of the Company’s ongoing risk assessment process. The Company may be subjec</w:t>
      </w:r>
      <w:r>
        <w:rPr>
          <w:sz w:val="20"/>
          <w:szCs w:val="20"/>
        </w:rPr>
        <w:t>t to other climate risks not included below.</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179"/>
        <w:gridCol w:w="1667"/>
        <w:gridCol w:w="5629"/>
      </w:tblGrid>
      <w:tr w:rsidR="00000000">
        <w:trPr>
          <w:tblCellSpacing w:w="0" w:type="dxa"/>
        </w:trPr>
        <w:tc>
          <w:tcPr>
            <w:tcW w:w="1235" w:type="pct"/>
            <w:gridSpan w:val="2"/>
            <w:tcBorders>
              <w:bottom w:val="single" w:sz="6" w:space="0" w:color="000000"/>
            </w:tcBorders>
            <w:vAlign w:val="bottom"/>
            <w:hideMark/>
          </w:tcPr>
          <w:p w:rsidR="00000000" w:rsidRDefault="006954AA">
            <w:pPr>
              <w:pStyle w:val="a3"/>
              <w:spacing w:before="0" w:beforeAutospacing="0" w:after="0" w:afterAutospacing="0"/>
              <w:jc w:val="both"/>
              <w:rPr>
                <w:sz w:val="20"/>
                <w:szCs w:val="20"/>
              </w:rPr>
            </w:pPr>
            <w:r>
              <w:rPr>
                <w:b/>
                <w:bCs/>
                <w:sz w:val="20"/>
                <w:szCs w:val="20"/>
              </w:rPr>
              <w:t>Climate Risk</w:t>
            </w:r>
          </w:p>
        </w:tc>
        <w:tc>
          <w:tcPr>
            <w:tcW w:w="3825" w:type="pct"/>
            <w:tcBorders>
              <w:bottom w:val="single" w:sz="6" w:space="0" w:color="000000"/>
            </w:tcBorders>
            <w:vAlign w:val="bottom"/>
            <w:hideMark/>
          </w:tcPr>
          <w:p w:rsidR="00000000" w:rsidRDefault="006954AA">
            <w:pPr>
              <w:pStyle w:val="a3"/>
              <w:spacing w:before="0" w:beforeAutospacing="0" w:after="0" w:afterAutospacing="0"/>
              <w:jc w:val="both"/>
              <w:rPr>
                <w:sz w:val="20"/>
                <w:szCs w:val="20"/>
              </w:rPr>
            </w:pPr>
            <w:r>
              <w:rPr>
                <w:b/>
                <w:bCs/>
                <w:sz w:val="20"/>
                <w:szCs w:val="20"/>
              </w:rPr>
              <w:t>Description</w:t>
            </w:r>
          </w:p>
        </w:tc>
      </w:tr>
      <w:tr w:rsidR="00000000">
        <w:trPr>
          <w:tblCellSpacing w:w="0" w:type="dxa"/>
        </w:trPr>
        <w:tc>
          <w:tcPr>
            <w:tcW w:w="1235" w:type="pct"/>
            <w:gridSpan w:val="2"/>
            <w:vAlign w:val="bottom"/>
            <w:hideMark/>
          </w:tcPr>
          <w:p w:rsidR="00000000" w:rsidRDefault="006954AA">
            <w:pPr>
              <w:rPr>
                <w:rFonts w:eastAsia="Times New Roman"/>
                <w:sz w:val="20"/>
                <w:szCs w:val="20"/>
              </w:rPr>
            </w:pPr>
            <w:r>
              <w:rPr>
                <w:rFonts w:eastAsia="Times New Roman"/>
                <w:sz w:val="20"/>
                <w:szCs w:val="20"/>
              </w:rPr>
              <w:t> </w:t>
            </w:r>
          </w:p>
        </w:tc>
        <w:tc>
          <w:tcPr>
            <w:tcW w:w="3825"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235" w:type="pct"/>
            <w:gridSpan w:val="2"/>
            <w:vAlign w:val="bottom"/>
            <w:hideMark/>
          </w:tcPr>
          <w:p w:rsidR="00000000" w:rsidRDefault="006954AA">
            <w:pPr>
              <w:pStyle w:val="a3"/>
              <w:spacing w:before="0" w:beforeAutospacing="0" w:after="0" w:afterAutospacing="0"/>
              <w:jc w:val="both"/>
              <w:rPr>
                <w:sz w:val="20"/>
                <w:szCs w:val="20"/>
              </w:rPr>
            </w:pPr>
            <w:r>
              <w:rPr>
                <w:sz w:val="20"/>
                <w:szCs w:val="20"/>
                <w:u w:val="single"/>
              </w:rPr>
              <w:t>Physical</w:t>
            </w:r>
          </w:p>
        </w:tc>
        <w:tc>
          <w:tcPr>
            <w:tcW w:w="3825"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2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Windstorms</w:t>
            </w:r>
          </w:p>
        </w:tc>
        <w:tc>
          <w:tcPr>
            <w:tcW w:w="382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Increased frequency and intensity of windstorms, such as hurricanes, could lead to property damage, loss of property value and interruptions to busine</w:t>
            </w:r>
            <w:r>
              <w:rPr>
                <w:sz w:val="20"/>
                <w:szCs w:val="20"/>
              </w:rPr>
              <w:t>ss operations</w:t>
            </w:r>
          </w:p>
        </w:tc>
      </w:tr>
      <w:tr w:rsidR="00000000">
        <w:trPr>
          <w:tblCellSpacing w:w="0" w:type="dxa"/>
        </w:trPr>
        <w:tc>
          <w:tcPr>
            <w:tcW w:w="12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FFFFFF"/>
            <w:hideMark/>
          </w:tcPr>
          <w:p w:rsidR="00000000" w:rsidRDefault="006954AA">
            <w:pPr>
              <w:pStyle w:val="a3"/>
              <w:spacing w:before="0" w:beforeAutospacing="0" w:after="0" w:afterAutospacing="0"/>
              <w:jc w:val="both"/>
              <w:rPr>
                <w:sz w:val="20"/>
                <w:szCs w:val="20"/>
              </w:rPr>
            </w:pPr>
            <w:r>
              <w:rPr>
                <w:sz w:val="20"/>
                <w:szCs w:val="20"/>
              </w:rPr>
              <w:t>Sea Level Rise</w:t>
            </w:r>
          </w:p>
        </w:tc>
        <w:tc>
          <w:tcPr>
            <w:tcW w:w="3825" w:type="pct"/>
            <w:shd w:val="clear" w:color="auto" w:fill="FFFFFF"/>
            <w:hideMark/>
          </w:tcPr>
          <w:p w:rsidR="00000000" w:rsidRDefault="006954AA">
            <w:pPr>
              <w:pStyle w:val="a3"/>
              <w:spacing w:before="0" w:beforeAutospacing="0" w:after="0" w:afterAutospacing="0"/>
              <w:jc w:val="both"/>
              <w:rPr>
                <w:sz w:val="20"/>
                <w:szCs w:val="20"/>
              </w:rPr>
            </w:pPr>
            <w:r>
              <w:rPr>
                <w:sz w:val="20"/>
                <w:szCs w:val="20"/>
              </w:rPr>
              <w:t>Rising sea levels could lead to storm surge and other potential impacts for low-lying coastal properties leading to damage, loss of property value and interruptions to business operations</w:t>
            </w:r>
          </w:p>
        </w:tc>
      </w:tr>
      <w:tr w:rsidR="00000000">
        <w:trPr>
          <w:tblCellSpacing w:w="0" w:type="dxa"/>
        </w:trPr>
        <w:tc>
          <w:tcPr>
            <w:tcW w:w="12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Flooding</w:t>
            </w:r>
          </w:p>
        </w:tc>
        <w:tc>
          <w:tcPr>
            <w:tcW w:w="382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Change in rainfall conditions leading to increased frequ</w:t>
            </w:r>
            <w:r>
              <w:rPr>
                <w:sz w:val="20"/>
                <w:szCs w:val="20"/>
              </w:rPr>
              <w:t>ency and severity of flooding could lead to property damage, loss of property value and interruptions to business operations</w:t>
            </w:r>
          </w:p>
        </w:tc>
      </w:tr>
      <w:tr w:rsidR="00000000">
        <w:trPr>
          <w:tblCellSpacing w:w="0" w:type="dxa"/>
        </w:trPr>
        <w:tc>
          <w:tcPr>
            <w:tcW w:w="12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FFFFFF"/>
            <w:hideMark/>
          </w:tcPr>
          <w:p w:rsidR="00000000" w:rsidRDefault="006954AA">
            <w:pPr>
              <w:pStyle w:val="a3"/>
              <w:spacing w:before="0" w:beforeAutospacing="0" w:after="0" w:afterAutospacing="0"/>
              <w:jc w:val="both"/>
              <w:rPr>
                <w:sz w:val="20"/>
                <w:szCs w:val="20"/>
              </w:rPr>
            </w:pPr>
            <w:r>
              <w:rPr>
                <w:sz w:val="20"/>
                <w:szCs w:val="20"/>
              </w:rPr>
              <w:t>Wildfires</w:t>
            </w:r>
          </w:p>
        </w:tc>
        <w:tc>
          <w:tcPr>
            <w:tcW w:w="3825" w:type="pct"/>
            <w:shd w:val="clear" w:color="auto" w:fill="FFFFFF"/>
            <w:hideMark/>
          </w:tcPr>
          <w:p w:rsidR="00000000" w:rsidRDefault="006954AA">
            <w:pPr>
              <w:pStyle w:val="a3"/>
              <w:spacing w:before="0" w:beforeAutospacing="0" w:after="0" w:afterAutospacing="0"/>
              <w:jc w:val="both"/>
              <w:rPr>
                <w:sz w:val="20"/>
                <w:szCs w:val="20"/>
              </w:rPr>
            </w:pPr>
            <w:r>
              <w:rPr>
                <w:sz w:val="20"/>
                <w:szCs w:val="20"/>
              </w:rPr>
              <w:t xml:space="preserve">Change in fire potential could lead to permanent loss of property, stress on human health (air quality) and stress on </w:t>
            </w:r>
            <w:r>
              <w:rPr>
                <w:sz w:val="20"/>
                <w:szCs w:val="20"/>
              </w:rPr>
              <w:t>ecosystem services</w:t>
            </w:r>
          </w:p>
        </w:tc>
      </w:tr>
      <w:tr w:rsidR="00000000">
        <w:trPr>
          <w:tblCellSpacing w:w="0" w:type="dxa"/>
        </w:trPr>
        <w:tc>
          <w:tcPr>
            <w:tcW w:w="12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Heat and Water Stress</w:t>
            </w:r>
          </w:p>
        </w:tc>
        <w:tc>
          <w:tcPr>
            <w:tcW w:w="382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Increases in temperature could lead to droughts and decreased available water supply could lead to higher utility usage, supply interruptions and reputational issues in local communities</w:t>
            </w:r>
          </w:p>
        </w:tc>
      </w:tr>
      <w:tr w:rsidR="00000000">
        <w:trPr>
          <w:tblCellSpacing w:w="0" w:type="dxa"/>
        </w:trPr>
        <w:tc>
          <w:tcPr>
            <w:tcW w:w="1235" w:type="pct"/>
            <w:gridSpan w:val="2"/>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825" w:type="pct"/>
            <w:shd w:val="clear" w:color="auto" w:fill="FFFFFF"/>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235" w:type="pct"/>
            <w:gridSpan w:val="2"/>
            <w:shd w:val="clear" w:color="auto" w:fill="CCEEFF"/>
            <w:vAlign w:val="bottom"/>
            <w:hideMark/>
          </w:tcPr>
          <w:p w:rsidR="00000000" w:rsidRDefault="006954AA">
            <w:pPr>
              <w:pStyle w:val="a3"/>
              <w:spacing w:before="0" w:beforeAutospacing="0" w:after="0" w:afterAutospacing="0"/>
              <w:jc w:val="both"/>
              <w:rPr>
                <w:sz w:val="20"/>
                <w:szCs w:val="20"/>
              </w:rPr>
            </w:pPr>
            <w:r>
              <w:rPr>
                <w:sz w:val="20"/>
                <w:szCs w:val="20"/>
                <w:u w:val="single"/>
              </w:rPr>
              <w:t>Transition</w:t>
            </w:r>
          </w:p>
        </w:tc>
        <w:tc>
          <w:tcPr>
            <w:tcW w:w="3825" w:type="pct"/>
            <w:shd w:val="clear" w:color="auto" w:fill="CCEEFF"/>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2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FFFFFF"/>
            <w:hideMark/>
          </w:tcPr>
          <w:p w:rsidR="00000000" w:rsidRDefault="006954AA">
            <w:pPr>
              <w:pStyle w:val="a3"/>
              <w:spacing w:before="0" w:beforeAutospacing="0" w:after="0" w:afterAutospacing="0"/>
              <w:jc w:val="both"/>
              <w:rPr>
                <w:sz w:val="20"/>
                <w:szCs w:val="20"/>
              </w:rPr>
            </w:pPr>
            <w:r>
              <w:rPr>
                <w:sz w:val="20"/>
                <w:szCs w:val="20"/>
              </w:rPr>
              <w:t>Regulation</w:t>
            </w:r>
          </w:p>
        </w:tc>
        <w:tc>
          <w:tcPr>
            <w:tcW w:w="3825" w:type="pct"/>
            <w:shd w:val="clear" w:color="auto" w:fill="FFFFFF"/>
            <w:hideMark/>
          </w:tcPr>
          <w:p w:rsidR="00000000" w:rsidRDefault="006954AA">
            <w:pPr>
              <w:pStyle w:val="a3"/>
              <w:spacing w:before="0" w:beforeAutospacing="0" w:after="0" w:afterAutospacing="0"/>
              <w:jc w:val="both"/>
              <w:rPr>
                <w:sz w:val="20"/>
                <w:szCs w:val="20"/>
              </w:rPr>
            </w:pPr>
            <w:r>
              <w:rPr>
                <w:sz w:val="20"/>
                <w:szCs w:val="20"/>
              </w:rPr>
              <w:t>Regulations at the federal, state and local levels could impose additional operating and capital costs associated with utilities, energy efficiency, building materials and building design</w:t>
            </w:r>
          </w:p>
        </w:tc>
      </w:tr>
      <w:tr w:rsidR="00000000">
        <w:trPr>
          <w:tblCellSpacing w:w="0" w:type="dxa"/>
        </w:trPr>
        <w:tc>
          <w:tcPr>
            <w:tcW w:w="12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Reputation</w:t>
            </w:r>
          </w:p>
        </w:tc>
        <w:tc>
          <w:tcPr>
            <w:tcW w:w="3825" w:type="pct"/>
            <w:shd w:val="clear" w:color="auto" w:fill="CCEEFF"/>
            <w:hideMark/>
          </w:tcPr>
          <w:p w:rsidR="00000000" w:rsidRDefault="006954AA">
            <w:pPr>
              <w:pStyle w:val="a3"/>
              <w:spacing w:before="0" w:beforeAutospacing="0" w:after="0" w:afterAutospacing="0"/>
              <w:jc w:val="both"/>
              <w:rPr>
                <w:sz w:val="20"/>
                <w:szCs w:val="20"/>
              </w:rPr>
            </w:pPr>
            <w:r>
              <w:rPr>
                <w:sz w:val="20"/>
                <w:szCs w:val="20"/>
              </w:rPr>
              <w:t xml:space="preserve">Increased interest among retail tenants in </w:t>
            </w:r>
            <w:r>
              <w:rPr>
                <w:sz w:val="20"/>
                <w:szCs w:val="20"/>
              </w:rPr>
              <w:t>building efficiency, sustainable design criteria and "green leases", which incorporate provisions intended to promote sustainability at the property, could result in decreased demand for outdated space</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w:t>
      </w:r>
      <w:r>
        <w:rPr>
          <w:sz w:val="20"/>
          <w:szCs w:val="20"/>
        </w:rPr>
        <w:t>s approach in mitigating these risks include but are not limited to (i) carrying additional insurance coverage relating to flooding and windstorms, (ii) maintaining a geographically diversified portfolio, which limits exposure to event driven risks and (ii</w:t>
      </w:r>
      <w:r>
        <w:rPr>
          <w:sz w:val="20"/>
          <w:szCs w:val="20"/>
        </w:rPr>
        <w:t>i) creating a form “green lease” for its tenants which incorporates varied criteria that align landlord and tenant sustainability priorities as well as establishing green construction criteria.</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2020, the Company issued $500.0 million in 2.70% notes due 2030 in its inaugural green bond offering. The net proceeds from this offering are allocated to finance or refinance, in whole or in part, recently completed, existing or future eligible green p</w:t>
      </w:r>
      <w:r>
        <w:rPr>
          <w:sz w:val="20"/>
          <w:szCs w:val="20"/>
        </w:rPr>
        <w:t>rojects, with projects are to be aligned with the four core components of the Green Bond Principles, 2018 as administered by the International Capital Market Association. Additionally, the Company’s $2.0 billion Credit Facility (as defined below) is a gree</w:t>
      </w:r>
      <w:r>
        <w:rPr>
          <w:sz w:val="20"/>
          <w:szCs w:val="20"/>
        </w:rPr>
        <w:t>n credit facility which incorporates rate adjustments associated with attainment (or nonattainment) of Scope 1 and 2 greenhouse gas emissions reductions.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Information About Our Executive Officers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The following table sets forth information with respect t</w:t>
      </w:r>
      <w:r>
        <w:rPr>
          <w:sz w:val="20"/>
          <w:szCs w:val="20"/>
        </w:rPr>
        <w:t>o the executive officers of the Company as of December 31, 2022:</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1315"/>
        <w:gridCol w:w="1316"/>
        <w:gridCol w:w="3050"/>
        <w:gridCol w:w="1794"/>
      </w:tblGrid>
      <w:tr w:rsidR="00000000">
        <w:trPr>
          <w:tblCellSpacing w:w="0" w:type="dxa"/>
        </w:trPr>
        <w:tc>
          <w:tcPr>
            <w:tcW w:w="880" w:type="pct"/>
            <w:tcBorders>
              <w:bottom w:val="single" w:sz="6" w:space="0" w:color="000000"/>
            </w:tcBorders>
            <w:hideMark/>
          </w:tcPr>
          <w:p w:rsidR="00000000" w:rsidRDefault="006954AA">
            <w:pPr>
              <w:pStyle w:val="a3"/>
              <w:spacing w:before="0" w:beforeAutospacing="0" w:after="0" w:afterAutospacing="0"/>
              <w:rPr>
                <w:sz w:val="20"/>
                <w:szCs w:val="20"/>
              </w:rPr>
            </w:pPr>
            <w:r>
              <w:rPr>
                <w:b/>
                <w:bCs/>
                <w:sz w:val="20"/>
                <w:szCs w:val="20"/>
              </w:rPr>
              <w:t>Name</w:t>
            </w:r>
          </w:p>
        </w:tc>
        <w:tc>
          <w:tcPr>
            <w:tcW w:w="880"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Age</w:t>
            </w:r>
          </w:p>
        </w:tc>
        <w:tc>
          <w:tcPr>
            <w:tcW w:w="2040"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Position</w:t>
            </w:r>
          </w:p>
        </w:tc>
        <w:tc>
          <w:tcPr>
            <w:tcW w:w="1250"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Joined Kimco</w:t>
            </w:r>
          </w:p>
        </w:tc>
      </w:tr>
      <w:tr w:rsidR="00000000">
        <w:trPr>
          <w:tblCellSpacing w:w="0" w:type="dxa"/>
        </w:trPr>
        <w:tc>
          <w:tcPr>
            <w:tcW w:w="880" w:type="pct"/>
            <w:shd w:val="clear" w:color="auto" w:fill="CCEEFF"/>
            <w:vAlign w:val="center"/>
            <w:hideMark/>
          </w:tcPr>
          <w:p w:rsidR="00000000" w:rsidRDefault="006954AA">
            <w:pPr>
              <w:pStyle w:val="a3"/>
              <w:spacing w:before="0" w:beforeAutospacing="0" w:after="0" w:afterAutospacing="0"/>
              <w:jc w:val="both"/>
              <w:rPr>
                <w:sz w:val="20"/>
                <w:szCs w:val="20"/>
              </w:rPr>
            </w:pPr>
            <w:r>
              <w:rPr>
                <w:sz w:val="20"/>
                <w:szCs w:val="20"/>
              </w:rPr>
              <w:t>Milton Cooper</w:t>
            </w:r>
          </w:p>
        </w:tc>
        <w:tc>
          <w:tcPr>
            <w:tcW w:w="88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93</w:t>
            </w:r>
          </w:p>
        </w:tc>
        <w:tc>
          <w:tcPr>
            <w:tcW w:w="204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Executive Chairman of the Board of Directors</w:t>
            </w:r>
          </w:p>
        </w:tc>
        <w:tc>
          <w:tcPr>
            <w:tcW w:w="125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Co-Founder</w:t>
            </w:r>
          </w:p>
        </w:tc>
      </w:tr>
      <w:tr w:rsidR="00000000">
        <w:trPr>
          <w:tblCellSpacing w:w="0" w:type="dxa"/>
        </w:trPr>
        <w:tc>
          <w:tcPr>
            <w:tcW w:w="880" w:type="pct"/>
            <w:shd w:val="clear" w:color="auto" w:fill="FFFFFF"/>
            <w:vAlign w:val="center"/>
            <w:hideMark/>
          </w:tcPr>
          <w:p w:rsidR="00000000" w:rsidRDefault="006954AA">
            <w:pPr>
              <w:pStyle w:val="a3"/>
              <w:spacing w:before="0" w:beforeAutospacing="0" w:after="0" w:afterAutospacing="0"/>
              <w:jc w:val="both"/>
              <w:rPr>
                <w:sz w:val="20"/>
                <w:szCs w:val="20"/>
              </w:rPr>
            </w:pPr>
            <w:r>
              <w:rPr>
                <w:sz w:val="20"/>
                <w:szCs w:val="20"/>
              </w:rPr>
              <w:t>Conor C. Flynn</w:t>
            </w:r>
          </w:p>
        </w:tc>
        <w:tc>
          <w:tcPr>
            <w:tcW w:w="88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42</w:t>
            </w:r>
          </w:p>
        </w:tc>
        <w:tc>
          <w:tcPr>
            <w:tcW w:w="204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Chief Executive Officer</w:t>
            </w:r>
          </w:p>
        </w:tc>
        <w:tc>
          <w:tcPr>
            <w:tcW w:w="125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2003</w:t>
            </w:r>
          </w:p>
        </w:tc>
      </w:tr>
      <w:tr w:rsidR="00000000">
        <w:trPr>
          <w:tblCellSpacing w:w="0" w:type="dxa"/>
        </w:trPr>
        <w:tc>
          <w:tcPr>
            <w:tcW w:w="880" w:type="pct"/>
            <w:shd w:val="clear" w:color="auto" w:fill="CCEEFF"/>
            <w:vAlign w:val="center"/>
            <w:hideMark/>
          </w:tcPr>
          <w:p w:rsidR="00000000" w:rsidRDefault="006954AA">
            <w:pPr>
              <w:pStyle w:val="a3"/>
              <w:spacing w:before="0" w:beforeAutospacing="0" w:after="0" w:afterAutospacing="0"/>
              <w:jc w:val="both"/>
              <w:rPr>
                <w:sz w:val="20"/>
                <w:szCs w:val="20"/>
              </w:rPr>
            </w:pPr>
            <w:r>
              <w:rPr>
                <w:sz w:val="20"/>
                <w:szCs w:val="20"/>
              </w:rPr>
              <w:t>Ross Cooper</w:t>
            </w:r>
          </w:p>
        </w:tc>
        <w:tc>
          <w:tcPr>
            <w:tcW w:w="88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40</w:t>
            </w:r>
          </w:p>
        </w:tc>
        <w:tc>
          <w:tcPr>
            <w:tcW w:w="204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President and Chief Investment Officer</w:t>
            </w:r>
          </w:p>
        </w:tc>
        <w:tc>
          <w:tcPr>
            <w:tcW w:w="125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2006</w:t>
            </w:r>
          </w:p>
        </w:tc>
      </w:tr>
      <w:tr w:rsidR="00000000">
        <w:trPr>
          <w:tblCellSpacing w:w="0" w:type="dxa"/>
        </w:trPr>
        <w:tc>
          <w:tcPr>
            <w:tcW w:w="880" w:type="pct"/>
            <w:shd w:val="clear" w:color="auto" w:fill="FFFFFF"/>
            <w:vAlign w:val="center"/>
            <w:hideMark/>
          </w:tcPr>
          <w:p w:rsidR="00000000" w:rsidRDefault="006954AA">
            <w:pPr>
              <w:pStyle w:val="a3"/>
              <w:spacing w:before="0" w:beforeAutospacing="0" w:after="0" w:afterAutospacing="0"/>
              <w:jc w:val="both"/>
              <w:rPr>
                <w:sz w:val="20"/>
                <w:szCs w:val="20"/>
              </w:rPr>
            </w:pPr>
            <w:r>
              <w:rPr>
                <w:sz w:val="20"/>
                <w:szCs w:val="20"/>
              </w:rPr>
              <w:t>Glenn G. Cohen</w:t>
            </w:r>
          </w:p>
        </w:tc>
        <w:tc>
          <w:tcPr>
            <w:tcW w:w="88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58</w:t>
            </w:r>
          </w:p>
        </w:tc>
        <w:tc>
          <w:tcPr>
            <w:tcW w:w="204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Executive Vice President,</w:t>
            </w:r>
            <w:r>
              <w:rPr>
                <w:sz w:val="20"/>
                <w:szCs w:val="20"/>
              </w:rPr>
              <w:br/>
              <w:t>Chief Financial Officer and Treasurer</w:t>
            </w:r>
          </w:p>
        </w:tc>
        <w:tc>
          <w:tcPr>
            <w:tcW w:w="1250" w:type="pct"/>
            <w:shd w:val="clear" w:color="auto" w:fill="FFFFFF"/>
            <w:vAlign w:val="center"/>
            <w:hideMark/>
          </w:tcPr>
          <w:p w:rsidR="00000000" w:rsidRDefault="006954AA">
            <w:pPr>
              <w:pStyle w:val="a3"/>
              <w:spacing w:before="0" w:beforeAutospacing="0" w:after="0" w:afterAutospacing="0"/>
              <w:jc w:val="center"/>
              <w:rPr>
                <w:sz w:val="20"/>
                <w:szCs w:val="20"/>
              </w:rPr>
            </w:pPr>
            <w:r>
              <w:rPr>
                <w:sz w:val="20"/>
                <w:szCs w:val="20"/>
              </w:rPr>
              <w:t>1995</w:t>
            </w:r>
          </w:p>
        </w:tc>
      </w:tr>
      <w:tr w:rsidR="00000000">
        <w:trPr>
          <w:tblCellSpacing w:w="0" w:type="dxa"/>
        </w:trPr>
        <w:tc>
          <w:tcPr>
            <w:tcW w:w="880" w:type="pct"/>
            <w:shd w:val="clear" w:color="auto" w:fill="CCEEFF"/>
            <w:vAlign w:val="center"/>
            <w:hideMark/>
          </w:tcPr>
          <w:p w:rsidR="00000000" w:rsidRDefault="006954AA">
            <w:pPr>
              <w:pStyle w:val="a3"/>
              <w:spacing w:before="0" w:beforeAutospacing="0" w:after="0" w:afterAutospacing="0"/>
              <w:jc w:val="both"/>
              <w:rPr>
                <w:sz w:val="20"/>
                <w:szCs w:val="20"/>
              </w:rPr>
            </w:pPr>
            <w:r>
              <w:rPr>
                <w:sz w:val="20"/>
                <w:szCs w:val="20"/>
              </w:rPr>
              <w:t>David Jamieson</w:t>
            </w:r>
          </w:p>
        </w:tc>
        <w:tc>
          <w:tcPr>
            <w:tcW w:w="88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42</w:t>
            </w:r>
          </w:p>
        </w:tc>
        <w:tc>
          <w:tcPr>
            <w:tcW w:w="204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Executive Vice President,</w:t>
            </w:r>
            <w:r>
              <w:rPr>
                <w:sz w:val="20"/>
                <w:szCs w:val="20"/>
              </w:rPr>
              <w:br/>
              <w:t>Chief Operating Officer</w:t>
            </w:r>
          </w:p>
        </w:tc>
        <w:tc>
          <w:tcPr>
            <w:tcW w:w="1250" w:type="pct"/>
            <w:shd w:val="clear" w:color="auto" w:fill="CCEEFF"/>
            <w:vAlign w:val="center"/>
            <w:hideMark/>
          </w:tcPr>
          <w:p w:rsidR="00000000" w:rsidRDefault="006954AA">
            <w:pPr>
              <w:pStyle w:val="a3"/>
              <w:spacing w:before="0" w:beforeAutospacing="0" w:after="0" w:afterAutospacing="0"/>
              <w:jc w:val="center"/>
              <w:rPr>
                <w:sz w:val="20"/>
                <w:szCs w:val="20"/>
              </w:rPr>
            </w:pPr>
            <w:r>
              <w:rPr>
                <w:sz w:val="20"/>
                <w:szCs w:val="20"/>
              </w:rPr>
              <w:t>2007</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Available Information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w:t>
      </w:r>
      <w:r>
        <w:rPr>
          <w:sz w:val="20"/>
          <w:szCs w:val="20"/>
        </w:rPr>
        <w:t xml:space="preserve">s website is located at </w:t>
      </w:r>
      <w:r>
        <w:rPr>
          <w:i/>
          <w:iCs/>
          <w:sz w:val="20"/>
          <w:szCs w:val="20"/>
          <w:u w:val="single"/>
        </w:rPr>
        <w:t>http://www.kimcorealty.com</w:t>
      </w:r>
      <w:r>
        <w:rPr>
          <w:sz w:val="20"/>
          <w:szCs w:val="20"/>
        </w:rPr>
        <w:t>. The information contained on our website does not constitute part of this Form 10-K. On the Company’s website you can obtain, free of charge, a copy of this Form 10-K, quarterly reports on Form 10-Q, curr</w:t>
      </w:r>
      <w:r>
        <w:rPr>
          <w:sz w:val="20"/>
          <w:szCs w:val="20"/>
        </w:rPr>
        <w:t>ent reports on Form 8-K and amendments to those reports filed or furnished pursuant to Section 13(a) or 15(d) of the Exchange Act, as soon as reasonably practicable, after we file such material electronically with, or furnish it to, the SEC. The public may</w:t>
      </w:r>
      <w:r>
        <w:rPr>
          <w:sz w:val="20"/>
          <w:szCs w:val="20"/>
        </w:rPr>
        <w:t xml:space="preserve"> read and obtain a copy of any materials we file electronically with the SEC at </w:t>
      </w:r>
      <w:r>
        <w:rPr>
          <w:i/>
          <w:iCs/>
          <w:sz w:val="20"/>
          <w:szCs w:val="20"/>
          <w:u w:val="single"/>
        </w:rPr>
        <w:t>http://www.sec.gov</w:t>
      </w:r>
      <w:r>
        <w:rPr>
          <w:sz w:val="20"/>
          <w:szCs w:val="20"/>
        </w:rPr>
        <w:t>.</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jc w:val="center"/>
        <w:divId w:val="615865725"/>
        <w:rPr>
          <w:rFonts w:eastAsia="Times New Roman"/>
          <w:sz w:val="20"/>
          <w:szCs w:val="20"/>
        </w:rPr>
      </w:pPr>
      <w:r>
        <w:rPr>
          <w:rFonts w:eastAsia="Times New Roman"/>
          <w:sz w:val="20"/>
          <w:szCs w:val="20"/>
        </w:rPr>
        <w:t xml:space="preserve">10 </w:t>
      </w:r>
    </w:p>
    <w:p w:rsidR="00000000" w:rsidRDefault="006954AA">
      <w:pPr>
        <w:divId w:val="615865725"/>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6954AA">
      <w:pPr>
        <w:divId w:val="14779941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Item 1A. Risk Factors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We are subject to certain business and legal risks including, but not limited to, the f</w:t>
      </w:r>
      <w:r>
        <w:rPr>
          <w:sz w:val="20"/>
          <w:szCs w:val="20"/>
        </w:rPr>
        <w:t>ollowing: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Risks Related to Our Business and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 xml:space="preserve">Adverse global market and economic conditions may impede our ability to generate sufficient income and maintain our properties.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properties consist primarily of open-air shopping centers, inc</w:t>
      </w:r>
      <w:r>
        <w:rPr>
          <w:sz w:val="20"/>
          <w:szCs w:val="20"/>
        </w:rPr>
        <w:t>luding mixed-use assets, and other retail properties. Our performance, therefore, is generally linked to economic conditions in the market for retail space. The economic performance and value of our properties is subject to all of the risks associated with</w:t>
      </w:r>
      <w:r>
        <w:rPr>
          <w:sz w:val="20"/>
          <w:szCs w:val="20"/>
        </w:rPr>
        <w:t xml:space="preserve"> owning and operating real estate, including but not limited to:</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changes in the national, regional and local economic climate;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local conditions, including an oversupply of, or a reduction in demand for, space in properties like those that we own or operate;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trends toward smaller store sizes as retailers reduce inventory and develop new prototypes;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use by cus</w:t>
            </w:r>
            <w:r>
              <w:rPr>
                <w:sz w:val="20"/>
                <w:szCs w:val="20"/>
              </w:rPr>
              <w:t>tomers of e-commerce and online store sites;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attractiveness of our properties to tenants;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market disruptions due to global pandemics;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ability of tenants to pay rent, particularly anchor tenants with leases in multiple locations;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tenants who may declare bankruptcy and/or close stores;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competition from other available properties to attract and retain tenants;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changes </w:t>
            </w:r>
            <w:r>
              <w:rPr>
                <w:sz w:val="20"/>
                <w:szCs w:val="20"/>
              </w:rPr>
              <w:t>in market rental rates;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need to periodically pay for costs to repair, renovate and re-let space;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ongoing consolidation in the retail sector;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excess amount of retail space in a number of markets;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changes in operating costs, including costs for maintenance, insurance and real estate taxes;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expenses of owning and operating properties, which are not necessarily reduced when circ</w:t>
            </w:r>
            <w:r>
              <w:rPr>
                <w:sz w:val="20"/>
                <w:szCs w:val="20"/>
              </w:rPr>
              <w:t>umstances such as market factors and competition cause a reduction in income from the properties;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changes in laws and governmental regulations, including those governing usage, zoning, the environment and taxes;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acts of terrorism and war and acts of God, including physical and weather-related damage to our properties;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the continued service </w:t>
            </w:r>
            <w:r>
              <w:rPr>
                <w:sz w:val="20"/>
                <w:szCs w:val="20"/>
              </w:rPr>
              <w:t>and availability of key personnel;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risk of functional obsolescence of properties over time.</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Competition may limit our ability to purchase new properties or generate sufficient income from tenants and may decrease the occupancy and rental r</w:t>
      </w:r>
      <w:r>
        <w:rPr>
          <w:b/>
          <w:bCs/>
          <w:sz w:val="20"/>
          <w:szCs w:val="20"/>
        </w:rPr>
        <w:t>ates for our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Numerous commercial developers and real estate companies compete with us in seeking tenants for our existing properties and properties for acquisition. Open-air shopping centers, including mixed-use assets, or other retail shopping centers with more conven</w:t>
      </w:r>
      <w:r>
        <w:rPr>
          <w:sz w:val="20"/>
          <w:szCs w:val="20"/>
        </w:rPr>
        <w:t>ient locations or better rents may attract tenants or cause them to seek more favorable lease terms at or prior to renewal. Retailers at our properties may face increasing competition from other retailers, e-commerce, outlet malls, discount shopping clubs,</w:t>
      </w:r>
      <w:r>
        <w:rPr>
          <w:sz w:val="20"/>
          <w:szCs w:val="20"/>
        </w:rPr>
        <w:t xml:space="preserve"> telemarketing or home shopping networks, all of which could (i) reduce rents payable to us; (ii) reduce our ability to attract and retain tenants at our properties; or (iii) lead to increased vacancy rates at our properties. We may fail to anticipate the </w:t>
      </w:r>
      <w:r>
        <w:rPr>
          <w:sz w:val="20"/>
          <w:szCs w:val="20"/>
        </w:rPr>
        <w:t xml:space="preserve">effects of changes in consumer buying practices, particularly of growing online sales and the resulting retailing practices and space needs of our tenants or a general downturn in our tenants’ businesses, which may cause tenants to close stores or default </w:t>
      </w:r>
      <w:r>
        <w:rPr>
          <w:sz w:val="20"/>
          <w:szCs w:val="20"/>
        </w:rPr>
        <w:t>in payment of rent.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face competition in the acquisition or development of real property from others engaged in real estate investment that could increase our costs associated with purchasing and maintaining assets. Some of these competitors may have g</w:t>
      </w:r>
      <w:r>
        <w:rPr>
          <w:sz w:val="20"/>
          <w:szCs w:val="20"/>
        </w:rPr>
        <w:t>reater financial resources than we do. This could result in competition for the acquisition of properties for tenants who lease or consider leasing space in our existing and subsequently acquired properties and for other investment or development opportuni</w:t>
      </w:r>
      <w:r>
        <w:rPr>
          <w:sz w:val="20"/>
          <w:szCs w:val="20"/>
        </w:rPr>
        <w:t>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Our performance depends on our ability to collect rent from tenants, including anchor tenants, our tenants</w:t>
      </w:r>
      <w:r>
        <w:rPr>
          <w:sz w:val="20"/>
          <w:szCs w:val="20"/>
        </w:rPr>
        <w:t>’</w:t>
      </w:r>
      <w:r>
        <w:rPr>
          <w:b/>
          <w:bCs/>
          <w:sz w:val="20"/>
          <w:szCs w:val="20"/>
        </w:rPr>
        <w:t xml:space="preserve"> financial condition and our tenants maintaining leases for our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At any time, our tenants may experience a downturn in their bus</w:t>
      </w:r>
      <w:r>
        <w:rPr>
          <w:sz w:val="20"/>
          <w:szCs w:val="20"/>
        </w:rPr>
        <w:t>iness that may significantly weaken their financial condition. As a result, our tenants may delay a number of lease commencements, decline to extend or renew leases upon expiration, fail to make rental payments when due, close stores or declare bankruptcy.</w:t>
      </w:r>
      <w:r>
        <w:rPr>
          <w:sz w:val="20"/>
          <w:szCs w:val="20"/>
        </w:rPr>
        <w:t xml:space="preserve"> Any of these actions could result in the termination of tenants’ leases and the loss of rental income attributable to these tenants’ leases. In the event of a default by a tenant, we may experience delays and costs in enforcing our rights as landlord unde</w:t>
      </w:r>
      <w:r>
        <w:rPr>
          <w:sz w:val="20"/>
          <w:szCs w:val="20"/>
        </w:rPr>
        <w:t>r the terms of the leases.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77252827"/>
        <w:rPr>
          <w:rFonts w:eastAsia="Times New Roman"/>
          <w:sz w:val="20"/>
          <w:szCs w:val="20"/>
        </w:rPr>
      </w:pPr>
      <w:r>
        <w:rPr>
          <w:rFonts w:eastAsia="Times New Roman"/>
          <w:sz w:val="20"/>
          <w:szCs w:val="20"/>
        </w:rPr>
        <w:t xml:space="preserve">11 </w:t>
      </w:r>
    </w:p>
    <w:p w:rsidR="00000000" w:rsidRDefault="006954AA">
      <w:pPr>
        <w:divId w:val="1560559064"/>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6954AA">
      <w:pPr>
        <w:divId w:val="352000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multiple lease terminations by tenants, including anchor tenants, or a failure by multiple t</w:t>
      </w:r>
      <w:r>
        <w:rPr>
          <w:sz w:val="20"/>
          <w:szCs w:val="20"/>
        </w:rPr>
        <w:t xml:space="preserve">enants to occupy their premises in a shopping center could result in lease terminations or significant reductions in rent by other tenants in the same shopping centers under the terms of some leases. In that event, we may be unable to re-lease the vacated </w:t>
      </w:r>
      <w:r>
        <w:rPr>
          <w:sz w:val="20"/>
          <w:szCs w:val="20"/>
        </w:rPr>
        <w:t>space at attractive rents or at all, and our rental payments from our continuing tenants could significantly decrease. The occurrence of any of the situations described above, particularly involving a substantial tenant with leases in multiple locations, c</w:t>
      </w:r>
      <w:r>
        <w:rPr>
          <w:sz w:val="20"/>
          <w:szCs w:val="20"/>
        </w:rPr>
        <w:t>ould have a material adverse effect on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 tenant that files for bankruptcy protection may not continue to pay us rent. A bankruptcy filing by, or relating to, one of our tenants or a lease gua</w:t>
      </w:r>
      <w:r>
        <w:rPr>
          <w:sz w:val="20"/>
          <w:szCs w:val="20"/>
        </w:rPr>
        <w:t>rantor would bar all efforts by us to collect pre-bankruptcy debts from the tenant or the lease guarantor, or their property, unless the bankruptcy court permits us to do so. A tenant bankruptcy could delay our efforts to collect past due balances under th</w:t>
      </w:r>
      <w:r>
        <w:rPr>
          <w:sz w:val="20"/>
          <w:szCs w:val="20"/>
        </w:rPr>
        <w:t>e relevant leases and could ultimately preclude collection of these sums. If a lease is rejected by a tenant in bankruptcy, we would have only a general unsecured claim for damages. As a result, it is likely that we would recover substantially less than th</w:t>
      </w:r>
      <w:r>
        <w:rPr>
          <w:sz w:val="20"/>
          <w:szCs w:val="20"/>
        </w:rPr>
        <w:t>e full value of any unsecured claims we hold, if at all.</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E-commerce and other changes in consumer buying practices present challenges for many of our tenants and may require us to modify our properties, diversify our tenant composition and adapt our leas</w:t>
      </w:r>
      <w:r>
        <w:rPr>
          <w:b/>
          <w:bCs/>
          <w:sz w:val="20"/>
          <w:szCs w:val="20"/>
        </w:rPr>
        <w:t>ing practices to remain competitive.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Many of our tenants face increasing competition from e-commerce and other sources that could cause them to reduce their size, limit the number of locations and/or suffer a general downturn in their businesses and abil</w:t>
      </w:r>
      <w:r>
        <w:rPr>
          <w:sz w:val="20"/>
          <w:szCs w:val="20"/>
        </w:rPr>
        <w:t xml:space="preserve">ity to pay rent. We may also fail to anticipate the effects of changes in consumer buying practices, particularly of growing online sales and the resulting change in retailing practices and space needs of our tenants, which could have an adverse effect on </w:t>
      </w:r>
      <w:r>
        <w:rPr>
          <w:sz w:val="20"/>
          <w:szCs w:val="20"/>
        </w:rPr>
        <w:t>our results of operations and cash flows. We are focused on anchoring and diversifying our properties with tenants that are more resistant to competition from e-commerce (e.g., groceries, essential retailers, restaurants and service providers), but there c</w:t>
      </w:r>
      <w:r>
        <w:rPr>
          <w:sz w:val="20"/>
          <w:szCs w:val="20"/>
        </w:rPr>
        <w:t>an be no assurance that we will be successful in modifying our properties, diversifying our tenant composition and/or adapting our leasing practices.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Our expenses may remain constant or increase, even if income from our Combined Shopping Center Portfolio</w:t>
      </w:r>
      <w:r>
        <w:rPr>
          <w:b/>
          <w:bCs/>
          <w:sz w:val="20"/>
          <w:szCs w:val="20"/>
        </w:rPr>
        <w:t xml:space="preserve"> decreases, which could adversely affect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Costs associated with our business, such as common area expenses, utilities, insurance, real estate taxes, mortgage payments, and corporate expenses a</w:t>
      </w:r>
      <w:r>
        <w:rPr>
          <w:sz w:val="20"/>
          <w:szCs w:val="20"/>
        </w:rPr>
        <w:t>re relatively inflexible and generally do not decrease in the event that a property is not fully occupied, rental rates decrease, a tenant fails to pay rent or other circumstances cause our revenues to decrease. In addition, inflation could result in highe</w:t>
      </w:r>
      <w:r>
        <w:rPr>
          <w:sz w:val="20"/>
          <w:szCs w:val="20"/>
        </w:rPr>
        <w:t>r operating costs. If we are unable to lower our operating costs when revenues decline and/or are unable to pass along cost increases to our tenants, our financial condition, results of operations and cash flows could be adversely impacted.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may be una</w:t>
      </w:r>
      <w:r>
        <w:rPr>
          <w:b/>
          <w:bCs/>
          <w:sz w:val="20"/>
          <w:szCs w:val="20"/>
        </w:rPr>
        <w:t xml:space="preserve">ble to sell our real estate property investments when appropriate or on terms favorable to us.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Real estate property investments are illiquid and generally cannot be disposed of quickly. The capitalization rates at which properties may be sold could be higher than historic rates, thereby reducing our potential proceeds from sale. In addition, the Cod</w:t>
      </w:r>
      <w:r>
        <w:rPr>
          <w:sz w:val="20"/>
          <w:szCs w:val="20"/>
        </w:rPr>
        <w:t>e includes certain restrictions on a REIT’s ability to dispose of properties that are not applicable to other types of real estate companies. Therefore, we may not be able to vary our portfolio in response to economic or other conditions promptly or on ter</w:t>
      </w:r>
      <w:r>
        <w:rPr>
          <w:sz w:val="20"/>
          <w:szCs w:val="20"/>
        </w:rPr>
        <w:t>ms favorable to us within a time frame that we would need. All of these factors reduce our ability to respond to changes in the performance of our investments and could adversely affect our business, financial condition and results of operations.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Certain</w:t>
      </w:r>
      <w:r>
        <w:rPr>
          <w:sz w:val="20"/>
          <w:szCs w:val="20"/>
        </w:rPr>
        <w:t xml:space="preserve"> properties we own have a low tax basis, which may result in a taxable gain on sale. We may utilize like-kind exchanges qualifying under Section 1031 of the Code (“1031 Exchanges”) to mitigate taxable income; however, there can be no assurance that we will</w:t>
      </w:r>
      <w:r>
        <w:rPr>
          <w:sz w:val="20"/>
          <w:szCs w:val="20"/>
        </w:rPr>
        <w:t xml:space="preserve"> identify properties that meet our investment objectives for acquisitions. In the event that we do not utilize 1031 Exchanges, we may be required to distribute the gain proceeds to shareholders or pay income tax, which may reduce our cash flow available to</w:t>
      </w:r>
      <w:r>
        <w:rPr>
          <w:sz w:val="20"/>
          <w:szCs w:val="20"/>
        </w:rPr>
        <w:t xml:space="preserve"> fund our commitments.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may acquire or develop properties or acquire other real estate related companies, and this may create risks.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may acquire or develop properties or acquire other real estate related companies when we believe that an acquisiti</w:t>
      </w:r>
      <w:r>
        <w:rPr>
          <w:sz w:val="20"/>
          <w:szCs w:val="20"/>
        </w:rPr>
        <w:t>on or development is consistent with our business strategies. We may not succeed in consummating desired acquisitions or in completing developments on time or within budget. When we do pursue a project or acquisition, we may not succeed in leasing newly de</w:t>
      </w:r>
      <w:r>
        <w:rPr>
          <w:sz w:val="20"/>
          <w:szCs w:val="20"/>
        </w:rPr>
        <w:t>veloped or acquired properties at rents sufficient to cover the costs of acquisition or development and operations. Difficulties in integrating acquisitions may prove costly or time-consuming and could divert management’s attention from other activities. A</w:t>
      </w:r>
      <w:r>
        <w:rPr>
          <w:sz w:val="20"/>
          <w:szCs w:val="20"/>
        </w:rPr>
        <w:t>cquisitions or developments in new markets or industries where we do not have the same level of market knowledge may result in poorer than anticipated performance. We may also abandon acquisition or development opportunities that management has begun pursu</w:t>
      </w:r>
      <w:r>
        <w:rPr>
          <w:sz w:val="20"/>
          <w:szCs w:val="20"/>
        </w:rPr>
        <w:t>ing and consequently fail to recover expenses already incurred and will have devoted management’s time to a matter not consummated. Furthermore, our acquisitions of new properties or companies will expose us to the liabilities of those properties or compan</w:t>
      </w:r>
      <w:r>
        <w:rPr>
          <w:sz w:val="20"/>
          <w:szCs w:val="20"/>
        </w:rPr>
        <w:t>ies, some of which we may not be aware of at the time of the acquisition. In addition, development of our existing properties presents similar risks.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843282206"/>
        <w:rPr>
          <w:rFonts w:eastAsia="Times New Roman"/>
          <w:sz w:val="20"/>
          <w:szCs w:val="20"/>
        </w:rPr>
      </w:pPr>
      <w:r>
        <w:rPr>
          <w:rFonts w:eastAsia="Times New Roman"/>
          <w:sz w:val="20"/>
          <w:szCs w:val="20"/>
        </w:rPr>
        <w:t xml:space="preserve">12 </w:t>
      </w:r>
    </w:p>
    <w:p w:rsidR="00000000" w:rsidRDefault="006954AA">
      <w:pPr>
        <w:divId w:val="743340287"/>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6954AA">
      <w:pPr>
        <w:divId w:val="18687613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Newly acquired or re-developed properties may have characteristics or</w:t>
      </w:r>
      <w:r>
        <w:rPr>
          <w:sz w:val="20"/>
          <w:szCs w:val="20"/>
        </w:rPr>
        <w:t xml:space="preserve"> deficiencies currently unknown to us that affect their value or revenue potential. It is also possible that the operating performance of these properties may decline under our management. As we acquire additional properties, we will be subject to risks as</w:t>
      </w:r>
      <w:r>
        <w:rPr>
          <w:sz w:val="20"/>
          <w:szCs w:val="20"/>
        </w:rPr>
        <w:t>sociated with managing new properties, including lease-up and tenant retention. In addition, our ability to manage our growth effectively will require us to successfully integrate our new acquisitions into our existing management structure. We may not succ</w:t>
      </w:r>
      <w:r>
        <w:rPr>
          <w:sz w:val="20"/>
          <w:szCs w:val="20"/>
        </w:rPr>
        <w:t>eed with this integration or effectively manage additional properties, particularly in secondary markets. Also, newly acquired properties may not perform as expected.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face risks associated with the development of</w:t>
      </w:r>
      <w:r>
        <w:rPr>
          <w:sz w:val="20"/>
          <w:szCs w:val="20"/>
        </w:rPr>
        <w:t> </w:t>
      </w:r>
      <w:r>
        <w:rPr>
          <w:b/>
          <w:bCs/>
          <w:sz w:val="20"/>
          <w:szCs w:val="20"/>
        </w:rPr>
        <w:t>mixed-use</w:t>
      </w:r>
      <w:r>
        <w:rPr>
          <w:sz w:val="20"/>
          <w:szCs w:val="20"/>
        </w:rPr>
        <w:t> </w:t>
      </w:r>
      <w:r>
        <w:rPr>
          <w:b/>
          <w:bCs/>
          <w:sz w:val="20"/>
          <w:szCs w:val="20"/>
        </w:rPr>
        <w:t>commercial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We </w:t>
      </w:r>
      <w:r>
        <w:rPr>
          <w:sz w:val="20"/>
          <w:szCs w:val="20"/>
        </w:rPr>
        <w:t>operate, are currently developing, and may in the future develop, properties either alone or through joint ventures with other persons that are known as “mixed-use” developments. This means that in addition to the development of retail space, the project m</w:t>
      </w:r>
      <w:r>
        <w:rPr>
          <w:sz w:val="20"/>
          <w:szCs w:val="20"/>
        </w:rPr>
        <w:t>ay also include space for residential, office, hotel or other commercial purposes. We have less experience in developing and managing non-retail real estate than we do with retail real estate. As a result, if a development project includes a non-retail use</w:t>
      </w:r>
      <w:r>
        <w:rPr>
          <w:sz w:val="20"/>
          <w:szCs w:val="20"/>
        </w:rPr>
        <w:t>, we may seek to develop that component ourselves, sell the rights to that component to a third-party developer with experience developing properties for such use or partner with such a developer. If we do not sell the rights or partner with such a develop</w:t>
      </w:r>
      <w:r>
        <w:rPr>
          <w:sz w:val="20"/>
          <w:szCs w:val="20"/>
        </w:rPr>
        <w:t>er, or if we choose to develop the other component ourselves, we would be exposed not only to those risks typically associated with the development of commercial real estate generally, but also to specific risks associated with the development and ownershi</w:t>
      </w:r>
      <w:r>
        <w:rPr>
          <w:sz w:val="20"/>
          <w:szCs w:val="20"/>
        </w:rPr>
        <w:t>p of non-retail real estate. In addition, even if we sell the rights to develop the other component or elect to participate in the development through a joint venture, we may be exposed to the risks associated with the failure of the other party to complet</w:t>
      </w:r>
      <w:r>
        <w:rPr>
          <w:sz w:val="20"/>
          <w:szCs w:val="20"/>
        </w:rPr>
        <w:t>e the development as expected. These include the risk that the other party would default on its obligations necessitating that we complete the other component ourselves, including providing any necessary financing. In the case of residential properties, th</w:t>
      </w:r>
      <w:r>
        <w:rPr>
          <w:sz w:val="20"/>
          <w:szCs w:val="20"/>
        </w:rPr>
        <w:t>ese risks include competition for prospective residents from other operators whose properties may be perceived to offer a better location or better amenities or whose rent may be perceived as a better value given the quality, location and amenities that th</w:t>
      </w:r>
      <w:r>
        <w:rPr>
          <w:sz w:val="20"/>
          <w:szCs w:val="20"/>
        </w:rPr>
        <w:t>e resident seeks. We will also compete against condominiums and single-family homes that are for sale or rent. In the case of office properties, the risks also include changes in space utilization by tenants due to technology, economic conditions and busin</w:t>
      </w:r>
      <w:r>
        <w:rPr>
          <w:sz w:val="20"/>
          <w:szCs w:val="20"/>
        </w:rPr>
        <w:t xml:space="preserve">ess culture, declines in financial condition of these tenants and competition for credit worthy office tenants. In the case of hotel properties, the risks also include increases in inflation and utilities that may not be offset by increases in room rates. </w:t>
      </w:r>
      <w:r>
        <w:rPr>
          <w:sz w:val="20"/>
          <w:szCs w:val="20"/>
        </w:rPr>
        <w:t>We are also dependent on business and commercial travelers and tourism.  Because we have less experience with residential, office and hotel properties than with retail properties, we expect to retain third parties to manage our residential and other non-re</w:t>
      </w:r>
      <w:r>
        <w:rPr>
          <w:sz w:val="20"/>
          <w:szCs w:val="20"/>
        </w:rPr>
        <w:t>tail components as deemed warranted. If we decide to not sell or participate in a joint venture and instead hire a third-party manager, we would be dependent on them and their key personnel who provide services to us, and we may not find a suitable replace</w:t>
      </w:r>
      <w:r>
        <w:rPr>
          <w:sz w:val="20"/>
          <w:szCs w:val="20"/>
        </w:rPr>
        <w:t>ment if the management agreement is terminated, or if key personnel leave or otherwise become unavailable to us.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Construction projects are subject to risks that materially increase the costs of completion.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the event that we decide to redevelop exis</w:t>
      </w:r>
      <w:r>
        <w:rPr>
          <w:sz w:val="20"/>
          <w:szCs w:val="20"/>
        </w:rPr>
        <w:t>ting properties, we will be subject to risks and uncertainties associated with construction and development. These risks include, but are not limited to, risks related to obtaining all necessary zoning, land-use, building occupancy and other governmental p</w:t>
      </w:r>
      <w:r>
        <w:rPr>
          <w:sz w:val="20"/>
          <w:szCs w:val="20"/>
        </w:rPr>
        <w:t xml:space="preserve">ermits and authorizations, risks related to the environmental concerns of government entities or community groups, risks related to changes in economic and market conditions between development commencement and stabilization, risks related to construction </w:t>
      </w:r>
      <w:r>
        <w:rPr>
          <w:sz w:val="20"/>
          <w:szCs w:val="20"/>
        </w:rPr>
        <w:t>labor disruptions, adverse weather, acts of God or shortages of materials and labor which could cause construction delays and risks related to increases in the cost of labor and materials which could cause construction costs to be greater than projected an</w:t>
      </w:r>
      <w:r>
        <w:rPr>
          <w:sz w:val="20"/>
          <w:szCs w:val="20"/>
        </w:rPr>
        <w:t>d adversely impact the amount of our development fees or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 xml:space="preserve">Supply chain disruptions and unexpected construction expenses and delays could impact our ability to timely deliver spaces to tenants </w:t>
      </w:r>
      <w:r>
        <w:rPr>
          <w:b/>
          <w:bCs/>
          <w:sz w:val="20"/>
          <w:szCs w:val="20"/>
        </w:rPr>
        <w:t>and/or our ability to achieve the expected value of a construction project or lease, thereby adversely affecting our profitability.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construction and building industry, similar to many other industries, are experiencing worldwide supply chain disruptions due to a multitude of factors that are beyond our control. Materials, parts and labor have also increased in cost over the past ye</w:t>
      </w:r>
      <w:r>
        <w:rPr>
          <w:sz w:val="20"/>
          <w:szCs w:val="20"/>
        </w:rPr>
        <w:t>ar or more, sometimes significantly and over a short period of time. We may incur costs for a property renovation or tenant buildout that exceeds our original estimates due to increased costs for materials or labor or other costs that are unexpected. We al</w:t>
      </w:r>
      <w:r>
        <w:rPr>
          <w:sz w:val="20"/>
          <w:szCs w:val="20"/>
        </w:rPr>
        <w:t xml:space="preserve">so may be unable to complete renovation of a property or tenant space on schedule due to supply chain disruptions or labor shortages, which could result in increased debt service expense or construction costs. Additionally, some tenants may have the right </w:t>
      </w:r>
      <w:r>
        <w:rPr>
          <w:sz w:val="20"/>
          <w:szCs w:val="20"/>
        </w:rPr>
        <w:t>to terminate their leases if a renovation project is not completed on time. The time frame required to recoup our renovation and construction costs and to realize a return on such costs can often be significant and materially adversely affect our profitabi</w:t>
      </w:r>
      <w:r>
        <w:rPr>
          <w:sz w:val="20"/>
          <w:szCs w:val="20"/>
        </w:rPr>
        <w:t>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The Americans with Disabilities Act of 1990 could require us to take remedial steps with respect to existing or newly acquired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existing properties, as well as properties we may acquire, as commercial facilities, are required to comply wit</w:t>
      </w:r>
      <w:r>
        <w:rPr>
          <w:sz w:val="20"/>
          <w:szCs w:val="20"/>
        </w:rPr>
        <w:t xml:space="preserve">h Title III of the Americans with Disabilities Act of 1990 (the “ADA”). Investigation of a property may reveal non-compliance with the ADA. The requirements of the ADA, or of other federal, state or local laws or regulations, also may change in the future </w:t>
      </w:r>
      <w:r>
        <w:rPr>
          <w:sz w:val="20"/>
          <w:szCs w:val="20"/>
        </w:rPr>
        <w:t>and restrict further renovations of our properties with respect to access for disabled persons. Future compliance with the ADA may require expensive changes to the properties.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982034619"/>
        <w:rPr>
          <w:rFonts w:eastAsia="Times New Roman"/>
          <w:sz w:val="20"/>
          <w:szCs w:val="20"/>
        </w:rPr>
      </w:pPr>
      <w:r>
        <w:rPr>
          <w:rFonts w:eastAsia="Times New Roman"/>
          <w:sz w:val="20"/>
          <w:szCs w:val="20"/>
        </w:rPr>
        <w:t xml:space="preserve">13 </w:t>
      </w:r>
    </w:p>
    <w:p w:rsidR="00000000" w:rsidRDefault="006954AA">
      <w:pPr>
        <w:divId w:val="552081037"/>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6954AA">
      <w:pPr>
        <w:divId w:val="1605899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do not have exclusive control over our joint venture and preferred e</w:t>
      </w:r>
      <w:r>
        <w:rPr>
          <w:b/>
          <w:bCs/>
          <w:sz w:val="20"/>
          <w:szCs w:val="20"/>
        </w:rPr>
        <w:t>quity investments, such that we are unable to ensure that our objectives will be pursued.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have invested in some properties as a co-venturer or a partner, instead of owning directly. In these investments, we do not have exclusive control over the devel</w:t>
      </w:r>
      <w:r>
        <w:rPr>
          <w:sz w:val="20"/>
          <w:szCs w:val="20"/>
        </w:rPr>
        <w:t xml:space="preserve">opment, financing, leasing, management and other aspects of these investments. As a result, the co-venturer or partner might have interests or goals that are inconsistent with ours, take action contrary to our interests or otherwise impede our objectives. </w:t>
      </w:r>
      <w:r>
        <w:rPr>
          <w:sz w:val="20"/>
          <w:szCs w:val="20"/>
        </w:rPr>
        <w:t>These investments involve risks and uncertainties. The co-venturer or partner may fail to provide capital or fulfill its obligations, which may result in certain liabilities to us for guarantees and other commitments. Conflicts arising between us and our p</w:t>
      </w:r>
      <w:r>
        <w:rPr>
          <w:sz w:val="20"/>
          <w:szCs w:val="20"/>
        </w:rPr>
        <w:t>artners may be difficult to manage and/or resolve and it could be difficult to manage or otherwise monitor the existing business arrangements. The co-venturer or partner also might become insolvent or bankrupt, which may result in significant losses to us.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joint venture arrangements may decrease our ability to manage risk and implicate additional risks, such as: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joint venture partner having potentially inferior financial capacity, diverging business goals and strategies and the need</w:t>
            </w:r>
            <w:r>
              <w:rPr>
                <w:sz w:val="20"/>
                <w:szCs w:val="20"/>
              </w:rPr>
              <w:t xml:space="preserve"> for their continued cooperation;</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inability to take actions with respect to the joint venture activities that we believe are favorable to us if our joint venture partner does not agree;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inability to control the legal entity that has title to the real estate associated with th</w:t>
            </w:r>
            <w:r>
              <w:rPr>
                <w:sz w:val="20"/>
                <w:szCs w:val="20"/>
              </w:rPr>
              <w:t>e joint venture;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lenders may not be easily able to sell our joint venture assets and investments or may view them less favorably as collateral, which could negatively affect our liquidity and capital resources;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joint venture partners ca</w:t>
            </w:r>
            <w:r>
              <w:rPr>
                <w:sz w:val="20"/>
                <w:szCs w:val="20"/>
              </w:rPr>
              <w:t>n take actions that we may not be able to anticipate or prevent, which could result in negative impacts on our debt and equity;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joint venture partners’ business decisions or other actions or omissions may result in harm to our reputation or a</w:t>
            </w:r>
            <w:r>
              <w:rPr>
                <w:sz w:val="20"/>
                <w:szCs w:val="20"/>
              </w:rPr>
              <w:t>dversely affect the value of our investments.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joint venture and preferred equity investments generally own real estate properties for which the economic performance and value is subject to all the risks associated with owning and operating real estate as described above.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may not be able to re</w:t>
      </w:r>
      <w:r>
        <w:rPr>
          <w:b/>
          <w:bCs/>
          <w:sz w:val="20"/>
          <w:szCs w:val="20"/>
        </w:rPr>
        <w:t>cover our investments in marketable securities, mortgage receivables or other investments, which may result in significant losses to us.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investments in marketable securities are subject to specific risks relating to the particular issuer of the secur</w:t>
      </w:r>
      <w:r>
        <w:rPr>
          <w:sz w:val="20"/>
          <w:szCs w:val="20"/>
        </w:rPr>
        <w:t>ities, including the financial condition and business outlook of the issuer, which may result in significant losses to us. Marketable securities are generally unsecured and may also be subordinated to other obligations of the issuer. As a result, investmen</w:t>
      </w:r>
      <w:r>
        <w:rPr>
          <w:sz w:val="20"/>
          <w:szCs w:val="20"/>
        </w:rPr>
        <w:t>ts in marketable securities are subject to risks of:</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limited liquidity in the secondary trading market;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substantial market price volatility, resulting from changes in prevailing interest rates;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subordination to the prior claims of banks a</w:t>
            </w:r>
            <w:r>
              <w:rPr>
                <w:sz w:val="20"/>
                <w:szCs w:val="20"/>
              </w:rPr>
              <w:t>nd other senior lenders to the issuer;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possibility that earnings of the issuer may be insufficient to meet its debt service and distribution obligations;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the declining creditworthiness and potential for insolvency of the issuer during periods of rising interest rates and economic </w:t>
            </w:r>
            <w:r>
              <w:rPr>
                <w:sz w:val="20"/>
                <w:szCs w:val="20"/>
              </w:rPr>
              <w:t>downturn.</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These risks may adversely affect the value of outstanding marketable securities and the ability of the issuers to make distribution payments.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See “Management’s Discussion and Analysis of Financial Condition and Results of Operations” and Foo</w:t>
      </w:r>
      <w:r>
        <w:rPr>
          <w:sz w:val="20"/>
          <w:szCs w:val="20"/>
        </w:rPr>
        <w:t>tnote 9 of the Notes to the Consolidated Financial Statements included in this Form 10-K for additional discussion regarding the shares held by the Company of Albertsons Companies, Inc. (“ACI”).</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investments in mortgage receivables are subject to spec</w:t>
      </w:r>
      <w:r>
        <w:rPr>
          <w:sz w:val="20"/>
          <w:szCs w:val="20"/>
        </w:rPr>
        <w:t>ific risks relating to the borrower and the underlying property. In the event of a default by a borrower, it may be necessary for us to foreclose our mortgage or engage in costly negotiations. Delays in liquidating defaulted mortgage loans and repossessing</w:t>
      </w:r>
      <w:r>
        <w:rPr>
          <w:sz w:val="20"/>
          <w:szCs w:val="20"/>
        </w:rPr>
        <w:t xml:space="preserve"> and selling the underlying properties could reduce our investment returns. Furthermore, in the event of default, the actual value of the property collateralizing the mortgage may decrease. A decline in real estate values will adversely affect the value of</w:t>
      </w:r>
      <w:r>
        <w:rPr>
          <w:sz w:val="20"/>
          <w:szCs w:val="20"/>
        </w:rPr>
        <w:t xml:space="preserve"> our loans and the value of the properties collateralizing our loans.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mortgage receivables may be or become subordinated to mechanics' or materialmen's liens or property tax liens. In these instances, we may need to protect a particular investment by</w:t>
      </w:r>
      <w:r>
        <w:rPr>
          <w:sz w:val="20"/>
          <w:szCs w:val="20"/>
        </w:rPr>
        <w:t xml:space="preserve"> making payments to maintain the current status of a prior lien or discharge it entirely. Where that occurs, the total amount we recover may be less than our total investment, resulting in a loss. In the event of a major loan default or several loan defaul</w:t>
      </w:r>
      <w:r>
        <w:rPr>
          <w:sz w:val="20"/>
          <w:szCs w:val="20"/>
        </w:rPr>
        <w:t>ts resulting in losses, our investments in mortgage receivables would be materially and adversely affected.</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2082021478"/>
        <w:rPr>
          <w:rFonts w:eastAsia="Times New Roman"/>
          <w:sz w:val="20"/>
          <w:szCs w:val="20"/>
        </w:rPr>
      </w:pPr>
      <w:r>
        <w:rPr>
          <w:rFonts w:eastAsia="Times New Roman"/>
          <w:sz w:val="20"/>
          <w:szCs w:val="20"/>
        </w:rPr>
        <w:t xml:space="preserve">14 </w:t>
      </w:r>
    </w:p>
    <w:p w:rsidR="00000000" w:rsidRDefault="006954AA">
      <w:pPr>
        <w:divId w:val="358163455"/>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6954AA">
      <w:pPr>
        <w:divId w:val="18067016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economic performance and value of our other investments, which we do not control and are in retail operations, are subject to risks associated with owning and operating retail businesses, including:</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changes in the national, regional and local eco</w:t>
            </w:r>
            <w:r>
              <w:rPr>
                <w:sz w:val="20"/>
                <w:szCs w:val="20"/>
              </w:rPr>
              <w:t>nomic climate;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adverse financial condition of some large retailing companies;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use by customers of e-commerce and online store sites;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ongoing consolidation in the retail sector.</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 decline in the value of our other investments may require us to recognize an other-than-temporary impairment (“OTTI”) against such assets. When the fair value of an investment is determined to be less than its amortized cost at the balance sheet date, we</w:t>
      </w:r>
      <w:r>
        <w:rPr>
          <w:sz w:val="20"/>
          <w:szCs w:val="20"/>
        </w:rPr>
        <w:t xml:space="preserve"> assess whether the decline is temporary or other-than-temporary. If we intend to sell an impaired asset, or it is more likely than not that we will be required to sell the impaired asset before any anticipated recovery, then we must recognize an OTTI thro</w:t>
      </w:r>
      <w:r>
        <w:rPr>
          <w:sz w:val="20"/>
          <w:szCs w:val="20"/>
        </w:rPr>
        <w:t>ugh charges to earnings equal to the entire difference between the asset’s amortized cost and its fair value at the balance sheet date. When an OTTI is recognized through earnings, a new cost basis is established for the asset, and the new cost basis may n</w:t>
      </w:r>
      <w:r>
        <w:rPr>
          <w:sz w:val="20"/>
          <w:szCs w:val="20"/>
        </w:rPr>
        <w:t>ot be adjusted through earnings for subsequent recoveries in fair value.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Our real estate assets may be subject to impairment charges.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periodically assess whether there are any indicators that the value of our real estate assets and other investments</w:t>
      </w:r>
      <w:r>
        <w:rPr>
          <w:sz w:val="20"/>
          <w:szCs w:val="20"/>
        </w:rPr>
        <w:t xml:space="preserve"> may be impaired. A property’s value is considered to be impaired only if the estimated aggregate future undiscounted property cash flows are less than the carrying value of the property. In our estimate of cash flows, we consider factors such as trends an</w:t>
      </w:r>
      <w:r>
        <w:rPr>
          <w:sz w:val="20"/>
          <w:szCs w:val="20"/>
        </w:rPr>
        <w:t>d prospects and the effects of demand and competition on expected future operating income. If we are evaluating the potential sale of an asset or redevelopment alternatives, the undiscounted future cash flows consider the most likely course of action as of</w:t>
      </w:r>
      <w:r>
        <w:rPr>
          <w:sz w:val="20"/>
          <w:szCs w:val="20"/>
        </w:rPr>
        <w:t xml:space="preserve"> the balance sheet date based on current plans, intended holding periods and available market information. We are required to make subjective assessments as to whether there are impairments in the value of our real estate assets and other investments. Impa</w:t>
      </w:r>
      <w:r>
        <w:rPr>
          <w:sz w:val="20"/>
          <w:szCs w:val="20"/>
        </w:rPr>
        <w:t>irment charges have an immediate direct impact on our earnings. There can be no assurance that we will not take additional charges in the future related to the impairment of our assets. Any future impairment could have a material adverse effect on our resu</w:t>
      </w:r>
      <w:r>
        <w:rPr>
          <w:sz w:val="20"/>
          <w:szCs w:val="20"/>
        </w:rPr>
        <w:t>lts of operations in the period in which the charge is taken.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intend to continue to sell our lesser quality assets and may not be able to recover our investments, which may result in significant losses to us.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There can be no assurance that we will b</w:t>
      </w:r>
      <w:r>
        <w:rPr>
          <w:sz w:val="20"/>
          <w:szCs w:val="20"/>
        </w:rPr>
        <w:t>e able to recover the current carrying amount of all of our lesser quality properties and investments and those of our unconsolidated joint ventures in the future. Our failure to do so would require us to recognize impairment charges for the period in whic</w:t>
      </w:r>
      <w:r>
        <w:rPr>
          <w:sz w:val="20"/>
          <w:szCs w:val="20"/>
        </w:rPr>
        <w:t>h we reached that conclusion, which could materially and adversely affect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have completed our efforts to exit Mexico, Chile, Brazil, Peru and Canada, however, we cannot predict the impact o</w:t>
      </w:r>
      <w:r>
        <w:rPr>
          <w:b/>
          <w:bCs/>
          <w:sz w:val="20"/>
          <w:szCs w:val="20"/>
        </w:rPr>
        <w:t>f laws and regulations affecting these international operations, including the United States Foreign Corrupt Practices Act, or the potential that we may face regulatory sanctions.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international operations have included properties in Mexico, Chile, Br</w:t>
      </w:r>
      <w:r>
        <w:rPr>
          <w:sz w:val="20"/>
          <w:szCs w:val="20"/>
        </w:rPr>
        <w:t>azil, Peru and Canada and are subject to a variety of United States and foreign laws and regulations, including the United States Foreign Corrupt Practices Act and foreign tax laws and regulations. Although we have completed our efforts to exit our investm</w:t>
      </w:r>
      <w:r>
        <w:rPr>
          <w:sz w:val="20"/>
          <w:szCs w:val="20"/>
        </w:rPr>
        <w:t>ents in Mexico, South America and Canada, we cannot assure you that our past practices will continue to be found to be in compliance with such laws or regulations. In addition, we cannot predict the manner in which such laws or regulations might be adminis</w:t>
      </w:r>
      <w:r>
        <w:rPr>
          <w:sz w:val="20"/>
          <w:szCs w:val="20"/>
        </w:rPr>
        <w:t>tered or interpreted, or when, or the potential that we may face regulatory sanctions or tax audits as a result of our international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 xml:space="preserve">We have experienced cybersecurity attacks and could in the future be subject to significant disruption, data </w:t>
      </w:r>
      <w:r>
        <w:rPr>
          <w:b/>
          <w:bCs/>
          <w:sz w:val="20"/>
          <w:szCs w:val="20"/>
        </w:rPr>
        <w:t>loss or other security incidents or breaches.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information technology (“IT”) networks and related systems are essential to the operation of our business and our ability to perform day-to-day operations and, in some cases, may be critical to the opera</w:t>
      </w:r>
      <w:r>
        <w:rPr>
          <w:sz w:val="20"/>
          <w:szCs w:val="20"/>
        </w:rPr>
        <w:t>tions of certain of our tenants. While we maintain some of our own critical IT networks and related systems, we also depend on third parties to provide important software, technologies, tools and a broad array of services and operational functions, includi</w:t>
      </w:r>
      <w:r>
        <w:rPr>
          <w:sz w:val="20"/>
          <w:szCs w:val="20"/>
        </w:rPr>
        <w:t>ng payroll, human resources, electronic communications and finance functions.  In the ordinary course of our business, we and our third-party service providers collect, process, transmit and store sensitive information and data, including intellectual prop</w:t>
      </w:r>
      <w:r>
        <w:rPr>
          <w:sz w:val="20"/>
          <w:szCs w:val="20"/>
        </w:rPr>
        <w:t>erty, our proprietary business information and that of our customers, suppliers and business partners, as well as personally identifiable information.</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and our third-party service providers like all businesses, are subject to cyberattacks and security</w:t>
      </w:r>
      <w:r>
        <w:rPr>
          <w:sz w:val="20"/>
          <w:szCs w:val="20"/>
        </w:rPr>
        <w:t xml:space="preserve"> incidents, which threaten the confidentiality, integrity, and availability of our systems and information resources. Those attacks and incidents may be due to intentional or unintentional acts by employees, customers, contractors or third parties, who see</w:t>
      </w:r>
      <w:r>
        <w:rPr>
          <w:sz w:val="20"/>
          <w:szCs w:val="20"/>
        </w:rPr>
        <w:t>k to gain unauthorized access to our or our service providers’ systems to disrupt operations, corrupt data, or steal confidential or personal information through malware, computer viruses, ransomware, software or hardware vulnerabilities, social engineerin</w:t>
      </w:r>
      <w:r>
        <w:rPr>
          <w:sz w:val="20"/>
          <w:szCs w:val="20"/>
        </w:rPr>
        <w:t>g (e.g., phishing attachments to e-mails) or other vectors.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risk of a cybersecurity attack, breach or operational disruption, particularly through a cyber incident, including by computer hackers, foreign governments or cyber terrorists, has generally</w:t>
      </w:r>
      <w:r>
        <w:rPr>
          <w:sz w:val="20"/>
          <w:szCs w:val="20"/>
        </w:rPr>
        <w:t xml:space="preserve"> increased. Although we make efforts to maintain the security and integrity of IT networks and related systems on which we rely, and we have implemented various measures to manage the risk of a cyberattack, security breach or security related disruption, t</w:t>
      </w:r>
      <w:r>
        <w:rPr>
          <w:sz w:val="20"/>
          <w:szCs w:val="20"/>
        </w:rPr>
        <w:t>here can be no assurance that our efforts and measures or those of our third-party services providers will be effective or that attempted security breaches or disruptions would not be successful or damaging.</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54532560"/>
        <w:rPr>
          <w:rFonts w:eastAsia="Times New Roman"/>
          <w:sz w:val="20"/>
          <w:szCs w:val="20"/>
        </w:rPr>
      </w:pPr>
      <w:r>
        <w:rPr>
          <w:rFonts w:eastAsia="Times New Roman"/>
          <w:sz w:val="20"/>
          <w:szCs w:val="20"/>
        </w:rPr>
        <w:t xml:space="preserve">15 </w:t>
      </w:r>
    </w:p>
    <w:p w:rsidR="00000000" w:rsidRDefault="006954AA">
      <w:pPr>
        <w:divId w:val="817921446"/>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6954AA">
      <w:pPr>
        <w:divId w:val="11664392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ind w:left="-20"/>
        <w:jc w:val="both"/>
        <w:rPr>
          <w:sz w:val="20"/>
          <w:szCs w:val="20"/>
        </w:rPr>
      </w:pPr>
      <w:r>
        <w:rPr>
          <w:sz w:val="20"/>
          <w:szCs w:val="20"/>
        </w:rPr>
        <w:t> </w:t>
      </w:r>
    </w:p>
    <w:p w:rsidR="00000000" w:rsidRDefault="006954AA">
      <w:pPr>
        <w:pStyle w:val="a3"/>
        <w:spacing w:before="0" w:beforeAutospacing="0" w:after="0" w:afterAutospacing="0"/>
        <w:ind w:left="-20"/>
        <w:jc w:val="both"/>
        <w:rPr>
          <w:sz w:val="20"/>
          <w:szCs w:val="20"/>
        </w:rPr>
      </w:pPr>
      <w:r>
        <w:rPr>
          <w:sz w:val="20"/>
          <w:szCs w:val="20"/>
        </w:rPr>
        <w:t>Attack methodologies change frequently or are not recognized until launched, and we may be unable to investigate or remediate incidents because attackers increasingly use techniques and tools designed to circumven</w:t>
      </w:r>
      <w:r>
        <w:rPr>
          <w:sz w:val="20"/>
          <w:szCs w:val="20"/>
        </w:rPr>
        <w:t>t controls, to avoid detection, and to remove or obfuscate forensic evidence.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have in the past experienced adverse events that have not resulted, and are not expected to result, in a material impact on the Company’s business operations or financial r</w:t>
      </w:r>
      <w:r>
        <w:rPr>
          <w:sz w:val="20"/>
          <w:szCs w:val="20"/>
        </w:rPr>
        <w:t>esults. For example, in February 2023, the Company experienced a criminal ransomware attack affecting data contained on legacy servers of Weingarten Realty Investors (“WRI”). The Company acquired WRI in August 2021. The affected servers and exfiltrated dat</w:t>
      </w:r>
      <w:r>
        <w:rPr>
          <w:sz w:val="20"/>
          <w:szCs w:val="20"/>
        </w:rPr>
        <w:t>a were on the WRI network. The WRI network is separate and is not connected to the Company’s network. The Company promptly initiated an investigation and its response protocols, including deploying containment measures such as taking affected systems offli</w:t>
      </w:r>
      <w:r>
        <w:rPr>
          <w:sz w:val="20"/>
          <w:szCs w:val="20"/>
        </w:rPr>
        <w:t>ne, implementing enhanced monitoring technology and data recovery processes. The Company also notified federal law enforcement, engaged the services of cybersecurity and forensics professionals, and restored affected systems. The WRI network data is histor</w:t>
      </w:r>
      <w:r>
        <w:rPr>
          <w:sz w:val="20"/>
          <w:szCs w:val="20"/>
        </w:rPr>
        <w:t>ical and stored for archival purposes.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 cyber incident could:</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disrupt the proper functioning of our networks and systems and therefore our operations and/or those of certain of our tenants;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result in misstated financial reports, violations o</w:t>
            </w:r>
            <w:r>
              <w:rPr>
                <w:sz w:val="20"/>
                <w:szCs w:val="20"/>
              </w:rPr>
              <w:t>f loan covenants and/or missed reporting deadlines;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result in our inability to properly monitor our compliance with the rules and regulations regarding our qualification as a REIT;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result in the unauthorized access to, and destruction, loss, theft, misappropriation or release of proprietary, confident</w:t>
            </w:r>
            <w:r>
              <w:rPr>
                <w:sz w:val="20"/>
                <w:szCs w:val="20"/>
              </w:rPr>
              <w:t>ial, sensitive or otherwise valuable information of ours or others, which others could use to compete against us or for disruptive, destructive or otherwise harmful purposes and outcomes;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result in our inability to maintain the building systems relie</w:t>
            </w:r>
            <w:r>
              <w:rPr>
                <w:sz w:val="20"/>
                <w:szCs w:val="20"/>
              </w:rPr>
              <w:t>d upon by our tenants for the efficient use of their leased space;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require significant management attention and resources to remediate systems, fulfill compliance requirements and/or to remedy any damages that result;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subject us to regulatory enforcement, including investigative costs and fines or penalties, as the White House, SEC and other regulators have increased their focus on companies’ cybersecurity vulnerabilities and risks;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subject us to litigation claims</w:t>
            </w:r>
            <w:r>
              <w:rPr>
                <w:sz w:val="20"/>
                <w:szCs w:val="20"/>
              </w:rPr>
              <w:t xml:space="preserve"> for negligence, breach of contract or other agreements or other causes of action, potentially resulting in remedies such as damages, credits, penalties or termination of leases or other agreements; or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damage our reputation among our tenants, investors and associates.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occurrence or perception of a cyberattack or security incident could result in operational interruption, damage to our relationship with our tenants, and confidential data exposure. </w:t>
      </w:r>
      <w:r>
        <w:rPr>
          <w:sz w:val="20"/>
          <w:szCs w:val="20"/>
        </w:rPr>
        <w:t xml:space="preserve"> In addition, federal and state governments and agencies have enacted, and continue to develop, broad data protection legislation, regulations, and guidance that require companies to increasingly implement, monitor and enforce reasonable cybersecurity meas</w:t>
      </w:r>
      <w:r>
        <w:rPr>
          <w:sz w:val="20"/>
          <w:szCs w:val="20"/>
        </w:rPr>
        <w:t>ures. These governmental entities and agencies are aggressively investigating and enforcing such legislation, regulations and guidance across industry sectors and companies. We may be required to expend significant capital and other resources to address an</w:t>
      </w:r>
      <w:r>
        <w:rPr>
          <w:sz w:val="20"/>
          <w:szCs w:val="20"/>
        </w:rPr>
        <w:t xml:space="preserve"> attack or incident, including those as a result of the February 2023 incident involving the WRI legacy servers, and our insurance may not cover some or all of our losses resulting from an attack or incident. These losses may include payments for investiga</w:t>
      </w:r>
      <w:r>
        <w:rPr>
          <w:sz w:val="20"/>
          <w:szCs w:val="20"/>
        </w:rPr>
        <w:t xml:space="preserve">tions, forensic analyses, legal advice, public relations advice, system repair or replacement, or other services, in addition to any remedies or relief that may result from legal proceedings. The incurrence of these losses, costs or business interruptions </w:t>
      </w:r>
      <w:r>
        <w:rPr>
          <w:sz w:val="20"/>
          <w:szCs w:val="20"/>
        </w:rPr>
        <w:t>may adversely affect our reputation as well as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may be subject to liability under environmental laws, ordinances and regulations.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Under various federal, state, and local laws, ordinances </w:t>
      </w:r>
      <w:r>
        <w:rPr>
          <w:sz w:val="20"/>
          <w:szCs w:val="20"/>
        </w:rPr>
        <w:t>and regulations, we may be considered an owner or operator of real property and may be responsible for paying for the disposal or treatment of hazardous or toxic substances released on or in our property, as well as certain other potential costs relating t</w:t>
      </w:r>
      <w:r>
        <w:rPr>
          <w:sz w:val="20"/>
          <w:szCs w:val="20"/>
        </w:rPr>
        <w:t>o hazardous or toxic substances (including governmental fines and injuries to persons and property). This liability may be imposed whether or not we knew about, or were responsible for, the presence of hazardous or toxic substances. The Company has environ</w:t>
      </w:r>
      <w:r>
        <w:rPr>
          <w:sz w:val="20"/>
          <w:szCs w:val="20"/>
        </w:rPr>
        <w:t>mental insurance coverage on certain of its properties, however this coverage may not be sufficient to cover any or all expenses associated with the aforementioned risks.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433328534"/>
        <w:rPr>
          <w:rFonts w:eastAsia="Times New Roman"/>
          <w:sz w:val="20"/>
          <w:szCs w:val="20"/>
        </w:rPr>
      </w:pPr>
      <w:r>
        <w:rPr>
          <w:rFonts w:eastAsia="Times New Roman"/>
          <w:sz w:val="20"/>
          <w:szCs w:val="20"/>
        </w:rPr>
        <w:t xml:space="preserve">16 </w:t>
      </w:r>
    </w:p>
    <w:p w:rsidR="00000000" w:rsidRDefault="006954AA">
      <w:pPr>
        <w:divId w:val="851143548"/>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6954AA">
      <w:pPr>
        <w:divId w:val="7947154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Natural disasters, severe weather conditions and the effects of climate change could have an adverse impact on our financial condition, results of operations and cash flows.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operations are located in areas that are subject to natural disasters and</w:t>
      </w:r>
      <w:r>
        <w:rPr>
          <w:sz w:val="20"/>
          <w:szCs w:val="20"/>
        </w:rPr>
        <w:t xml:space="preserve"> severe weather conditions such as hurricanes, tornados, earthquakes, snowstorms, floods and fires, and the frequency of these natural disasters and severe weather conditions may increase due to climate change. The occurrence of natural disasters, severe w</w:t>
      </w:r>
      <w:r>
        <w:rPr>
          <w:sz w:val="20"/>
          <w:szCs w:val="20"/>
        </w:rPr>
        <w:t>eather conditions and the effects of climate change, including extreme temperatures and ambient temperature increases, can delay new development or redevelopment projects, decrease the attractiveness of locations, increase investment costs to repair or rep</w:t>
      </w:r>
      <w:r>
        <w:rPr>
          <w:sz w:val="20"/>
          <w:szCs w:val="20"/>
        </w:rPr>
        <w:t>lace damaged properties (or make repair or replacement impossible), increase operation costs, including the cost of energy at our properties, increase costs for future property insurance, negatively impact the tenant demand for lease space and cause substa</w:t>
      </w:r>
      <w:r>
        <w:rPr>
          <w:sz w:val="20"/>
          <w:szCs w:val="20"/>
        </w:rPr>
        <w:t>ntial damages or losses to our properties which could exceed any applicable insurance coverage. The incurrence of any of these losses, costs or business interruptions may adversely affect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We </w:t>
      </w:r>
      <w:r>
        <w:rPr>
          <w:sz w:val="20"/>
          <w:szCs w:val="20"/>
        </w:rPr>
        <w:t>anticipate the potential effects of climate change will increasingly impact the decisions and analysis we make with respect to our properties, since climate change considerations can impact the relative desirability of locations and the cost of operating a</w:t>
      </w:r>
      <w:r>
        <w:rPr>
          <w:sz w:val="20"/>
          <w:szCs w:val="20"/>
        </w:rPr>
        <w:t>nd insuring real estate properties. In addition, changes in government legislation and regulation on climate change could result in increased capital expenditures to improve the energy efficiency of our existing properties and could also require us to spen</w:t>
      </w:r>
      <w:r>
        <w:rPr>
          <w:sz w:val="20"/>
          <w:szCs w:val="20"/>
        </w:rPr>
        <w:t>d more on our development or redevelopment projects without a corresponding increase in revenues, which may adversely affect our financial condition, results of operations and cash flows. Transition impacts of climate change may subject us to increased reg</w:t>
      </w:r>
      <w:r>
        <w:rPr>
          <w:sz w:val="20"/>
          <w:szCs w:val="20"/>
        </w:rPr>
        <w:t>ulations, reporting requirements (such as the SEC’s proposed climate change disclosure rule), standards, or expectations regarding the environmental impacts of our or our tenants’ business. Failure to disclose accurate information in a timely manner may al</w:t>
      </w:r>
      <w:r>
        <w:rPr>
          <w:sz w:val="20"/>
          <w:szCs w:val="20"/>
        </w:rPr>
        <w:t>so adversely affect our reputation, business, or financial performance.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Pandemics or other health crises may adversely affect our tenants</w:t>
      </w:r>
      <w:r>
        <w:rPr>
          <w:sz w:val="20"/>
          <w:szCs w:val="20"/>
        </w:rPr>
        <w:t>’</w:t>
      </w:r>
      <w:r>
        <w:rPr>
          <w:b/>
          <w:bCs/>
          <w:sz w:val="20"/>
          <w:szCs w:val="20"/>
        </w:rPr>
        <w:t xml:space="preserve"> financial condition and the profitability of our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business and the businesses of our tenants could</w:t>
      </w:r>
      <w:r>
        <w:rPr>
          <w:sz w:val="20"/>
          <w:szCs w:val="20"/>
        </w:rPr>
        <w:t xml:space="preserve"> be materially and adversely affected by the risks, or the public perception of the risks, related to a pandemic or other health crisis, such as the outbreak of novel coronavirus (COVID-19).</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Such events could result in the complete or partial closure of </w:t>
      </w:r>
      <w:r>
        <w:rPr>
          <w:sz w:val="20"/>
          <w:szCs w:val="20"/>
        </w:rPr>
        <w:t>one or more of our tenants’ manufacturing facilities or distribution centers, temporary or long-term disruption in our tenants’ supply chains from local and international suppliers, and /or delays in the delivery of our tenants’ inventory.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profitabil</w:t>
      </w:r>
      <w:r>
        <w:rPr>
          <w:sz w:val="20"/>
          <w:szCs w:val="20"/>
        </w:rPr>
        <w:t>ity of our properties depends, in part, on the willingness of customers to visit our tenants’ businesses. The risk, or public perception of the risk, of a pandemic or media coverage of infectious diseases could cause employees or customers to avoid our pro</w:t>
      </w:r>
      <w:r>
        <w:rPr>
          <w:sz w:val="20"/>
          <w:szCs w:val="20"/>
        </w:rPr>
        <w:t>perties, which could adversely affect foot traffic to our tenants’ businesses and our tenants’ ability to adequately staff their businesses. Such events could adversely impact tenants’ sales and/or cause the temporary closure of our tenants’ businesses, wh</w:t>
      </w:r>
      <w:r>
        <w:rPr>
          <w:sz w:val="20"/>
          <w:szCs w:val="20"/>
        </w:rPr>
        <w:t>ich could severely disrupt their operations and have a material adverse effect on our business, financial condition and results of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Financial disruption or a prolonged economic downturn could materially and adversely affect the Company</w:t>
      </w:r>
      <w:r>
        <w:rPr>
          <w:sz w:val="20"/>
          <w:szCs w:val="20"/>
        </w:rPr>
        <w:t>’</w:t>
      </w:r>
      <w:r>
        <w:rPr>
          <w:b/>
          <w:bCs/>
          <w:sz w:val="20"/>
          <w:szCs w:val="20"/>
        </w:rPr>
        <w:t>s busin</w:t>
      </w:r>
      <w:r>
        <w:rPr>
          <w:b/>
          <w:bCs/>
          <w:sz w:val="20"/>
          <w:szCs w:val="20"/>
        </w:rPr>
        <w:t>ess.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Worldwide financial markets have recently experienced periods of extraordinary disruption and volatility, resulting in heightened credit risk, reduced valuation of investments and decreased economic activity. Moreover, many companies have experience</w:t>
      </w:r>
      <w:r>
        <w:rPr>
          <w:sz w:val="20"/>
          <w:szCs w:val="20"/>
        </w:rPr>
        <w:t>d reduced liquidity and uncertainty as to their ability to raise capital during such periods of market disruption and volatility. In the event that these conditions recur or result in a prolonged economic downturn, our results of operations, financial posi</w:t>
      </w:r>
      <w:r>
        <w:rPr>
          <w:sz w:val="20"/>
          <w:szCs w:val="20"/>
        </w:rPr>
        <w:t>tion or liquidity could be materially and adversely affected. These market conditions may affect the Company's ability to access debt and equity capital markets. In addition, as a result of recent financial events, we may face increased regulation.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Corpo</w:t>
      </w:r>
      <w:r>
        <w:rPr>
          <w:b/>
          <w:bCs/>
          <w:sz w:val="20"/>
          <w:szCs w:val="20"/>
        </w:rPr>
        <w:t>rate responsibility, specifically related to</w:t>
      </w:r>
      <w:r>
        <w:rPr>
          <w:sz w:val="20"/>
          <w:szCs w:val="20"/>
        </w:rPr>
        <w:t> </w:t>
      </w:r>
      <w:r>
        <w:rPr>
          <w:b/>
          <w:bCs/>
          <w:sz w:val="20"/>
          <w:szCs w:val="20"/>
        </w:rPr>
        <w:t>ESG factors and commitments, imposes additional costs and expose us to new risks.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Sustainability evaluations is becoming more broadly accepted or expected by investors and shareholders. Certain organizations t</w:t>
      </w:r>
      <w:r>
        <w:rPr>
          <w:sz w:val="20"/>
          <w:szCs w:val="20"/>
        </w:rPr>
        <w:t>hat provide corporate governance and other corporate risk information to investors and shareholders have developed scores and ratings to evaluate companies and investment funds based upon ESG or “sustainability” metrics. Many investment funds focus on posi</w:t>
      </w:r>
      <w:r>
        <w:rPr>
          <w:sz w:val="20"/>
          <w:szCs w:val="20"/>
        </w:rPr>
        <w:t>tive ESG business practices and sustainability scores when making investments and may consider a company’s sustainability score as a reputational or other factor in making an investment decision. In addition, investors, particularly institutional investors</w:t>
      </w:r>
      <w:r>
        <w:rPr>
          <w:sz w:val="20"/>
          <w:szCs w:val="20"/>
        </w:rPr>
        <w:t xml:space="preserve">, use these scores to benchmark companies against their peers and if a company is perceived as lagging, these investors may engage with companies to require improved ESG disclosure or performance. We may face reputational damage or additional costs in the </w:t>
      </w:r>
      <w:r>
        <w:rPr>
          <w:sz w:val="20"/>
          <w:szCs w:val="20"/>
        </w:rPr>
        <w:t>event our corporate responsibility procedures or standards do not meet the standards set by various constituencies. In addition, the criteria by which companies are rated may change, which could cause us to receive lower scores than previous years. A low s</w:t>
      </w:r>
      <w:r>
        <w:rPr>
          <w:sz w:val="20"/>
          <w:szCs w:val="20"/>
        </w:rPr>
        <w:t>ustainability score could result in a negative perception of the Company, or exclusion of our common stock from consideration by certain investors who may elect to invest with our competition instead. In addition, as part of our corporate responsibility, w</w:t>
      </w:r>
      <w:r>
        <w:rPr>
          <w:sz w:val="20"/>
          <w:szCs w:val="20"/>
        </w:rPr>
        <w:t>e have adopted certain ESG goals, including greenhouse gas emissions reduction targets and other sustainability initiatives. If we cannot not meet these goals fully or on time, we may face reputational damage.</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Moreover, while we may create and publish vo</w:t>
      </w:r>
      <w:r>
        <w:rPr>
          <w:sz w:val="20"/>
          <w:szCs w:val="20"/>
        </w:rPr>
        <w:t>luntary disclosures regarding ESG matters from time to time, many of the statements in those voluntary disclosures are based on hypothetical expectations and assumptions that may or may not be representative of current or actual risks or events or forecast</w:t>
      </w:r>
      <w:r>
        <w:rPr>
          <w:sz w:val="20"/>
          <w:szCs w:val="20"/>
        </w:rPr>
        <w:t xml:space="preserve">s of expected risks or events, including the costs associated therewith. Such expectations and assumptions are necessarily uncertain and may be prone to error or subject to misinterpretation given the long timelines involved and the lack of an established </w:t>
      </w:r>
      <w:r>
        <w:rPr>
          <w:sz w:val="20"/>
          <w:szCs w:val="20"/>
        </w:rPr>
        <w:t>single approach to identifying, measuring and reporting on many ESG matters. Such disclosures may also be at least partially reliant on third-party information that we have not independently verified or cannot be independently verified. In addition, we exp</w:t>
      </w:r>
      <w:r>
        <w:rPr>
          <w:sz w:val="20"/>
          <w:szCs w:val="20"/>
        </w:rPr>
        <w:t>ect there will likely be increasing levels of regulation, disclosure-related and otherwise, with respect to ESG matters, and increased regulation will likely lead to increased compliance costs as well as scrutiny that could heighten all of the risks identi</w:t>
      </w:r>
      <w:r>
        <w:rPr>
          <w:sz w:val="20"/>
          <w:szCs w:val="20"/>
        </w:rPr>
        <w:t>fied in this risk factor. Such ESG matters may also impact our suppliers or customers, which may adversely impact our business, financial condition, or results of operations.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409423238"/>
        <w:rPr>
          <w:rFonts w:eastAsia="Times New Roman"/>
          <w:sz w:val="20"/>
          <w:szCs w:val="20"/>
        </w:rPr>
      </w:pPr>
      <w:r>
        <w:rPr>
          <w:rFonts w:eastAsia="Times New Roman"/>
          <w:sz w:val="20"/>
          <w:szCs w:val="20"/>
        </w:rPr>
        <w:t xml:space="preserve">17 </w:t>
      </w:r>
    </w:p>
    <w:p w:rsidR="00000000" w:rsidRDefault="006954AA">
      <w:pPr>
        <w:divId w:val="1344432911"/>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6954AA">
      <w:pPr>
        <w:divId w:val="8731508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Our success depends largely on the continued service and availability of key personnel.</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We depend on the deep industry knowledge and efforts of key personnel, including our executive officers, to manage our day-to-day operations and </w:t>
      </w:r>
      <w:r>
        <w:rPr>
          <w:sz w:val="20"/>
          <w:szCs w:val="20"/>
        </w:rPr>
        <w:t>strategic business direction. Our ability to attract, retain and motivate key personnel may significantly impact our future performance, and if any of our executive officers or other key personnel depart the Company, for any reason, we may not be able to e</w:t>
      </w:r>
      <w:r>
        <w:rPr>
          <w:sz w:val="20"/>
          <w:szCs w:val="20"/>
        </w:rPr>
        <w:t>asily replace such individual. The loss of the services of our executive officers and other key personnel could have a material adverse effect on our financial condition, results of operations and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Retail operating conditions may adversely aff</w:t>
      </w:r>
      <w:r>
        <w:rPr>
          <w:b/>
          <w:bCs/>
          <w:sz w:val="20"/>
          <w:szCs w:val="20"/>
        </w:rPr>
        <w:t>ect our results of operations.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 retail property’s revenues and value may be adversely affected by a number of factors, many of which apply to real estate investment generally, but which also include trends in the retail industry and perceptions by reta</w:t>
      </w:r>
      <w:r>
        <w:rPr>
          <w:sz w:val="20"/>
          <w:szCs w:val="20"/>
        </w:rPr>
        <w:t>ilers or shoppers of the safety, convenience and attractiveness of the retail property. Our retail properties are public locations, and any incidents of crime or violence, including acts of terrorism, could result in a reduction of business traffic to tena</w:t>
      </w:r>
      <w:r>
        <w:rPr>
          <w:sz w:val="20"/>
          <w:szCs w:val="20"/>
        </w:rPr>
        <w:t>nt stores in our properties. Any such incidents may also expose us to civil liability or harm our reputation. In addition, to the extent that the investing public has a negative perception of the retail sector, the value of our retail properties may be neg</w:t>
      </w:r>
      <w:r>
        <w:rPr>
          <w:sz w:val="20"/>
          <w:szCs w:val="20"/>
        </w:rPr>
        <w:t>atively impacted.</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Our Umbrella Partnership Real Estate Investment Trust (</w:t>
      </w:r>
      <w:r>
        <w:rPr>
          <w:sz w:val="20"/>
          <w:szCs w:val="20"/>
        </w:rPr>
        <w:t>“</w:t>
      </w:r>
      <w:r>
        <w:rPr>
          <w:b/>
          <w:bCs/>
          <w:sz w:val="20"/>
          <w:szCs w:val="20"/>
        </w:rPr>
        <w:t>UPREIT</w:t>
      </w:r>
      <w:r>
        <w:rPr>
          <w:sz w:val="20"/>
          <w:szCs w:val="20"/>
        </w:rPr>
        <w:t>”</w:t>
      </w:r>
      <w:r>
        <w:rPr>
          <w:b/>
          <w:bCs/>
          <w:sz w:val="20"/>
          <w:szCs w:val="20"/>
        </w:rPr>
        <w:t>) structure may result in potential conflicts of interest with members of Kimco OP whose interests may not be aligned with those of our stockholders.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directors and off</w:t>
      </w:r>
      <w:r>
        <w:rPr>
          <w:sz w:val="20"/>
          <w:szCs w:val="20"/>
        </w:rPr>
        <w:t>icers have duties to our corporation and our stockholders under Maryland law in connection with their management of the corporation. At the same time, we, as managing member of Kimco OP, our operating company, have fiduciary duties under Delaware law to ou</w:t>
      </w:r>
      <w:r>
        <w:rPr>
          <w:sz w:val="20"/>
          <w:szCs w:val="20"/>
        </w:rPr>
        <w:t>r operating company and to its members in connection with the management of our operating company. If we admit outside members to our operating company, our duties as managing member of our operating company and to its members may come into conflict with t</w:t>
      </w:r>
      <w:r>
        <w:rPr>
          <w:sz w:val="20"/>
          <w:szCs w:val="20"/>
        </w:rPr>
        <w:t>he duties of our directors and officers to the corporation and our stockholders. While the operating agreement contains provisions limiting the fiduciary duties of the managing member to the operating company and its members, the provisions of Delaware law</w:t>
      </w:r>
      <w:r>
        <w:rPr>
          <w:sz w:val="20"/>
          <w:szCs w:val="20"/>
        </w:rPr>
        <w:t xml:space="preserve"> that allow for such limitations have not been fully tested in a court of law.</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Risks Related to Our Debt and Equity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may be unable to obtain financing through the debt and equity markets, which would have a material adverse effect on our g</w:t>
      </w:r>
      <w:r>
        <w:rPr>
          <w:b/>
          <w:bCs/>
          <w:sz w:val="20"/>
          <w:szCs w:val="20"/>
        </w:rPr>
        <w:t>rowth strategy, our financial condition and our results of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cannot assure you that we will be able to access the credit and/or equity markets to obtain additional debt or equity financing or that we will be able to obtain financing on terms</w:t>
      </w:r>
      <w:r>
        <w:rPr>
          <w:sz w:val="20"/>
          <w:szCs w:val="20"/>
        </w:rPr>
        <w:t xml:space="preserve"> favorable to us. The inability to obtain financing on a timely basis could have negative effects on our business, such as: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could have great difficulty acquiring or developing properties, which would materially adversely affect our investment stra</w:t>
            </w:r>
            <w:r>
              <w:rPr>
                <w:sz w:val="20"/>
                <w:szCs w:val="20"/>
              </w:rPr>
              <w:t>tegy;</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liquidity could be adversely affected;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may be unable to repay or refinance our indebtedness;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may need to make higher interest and principal payments or sell some of our assets on terms unfavorable to us to fund our indebtedness; or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may need to issue additional capital stock, which could further dilute the ownership of our existing stak</w:t>
            </w:r>
            <w:r>
              <w:rPr>
                <w:sz w:val="20"/>
                <w:szCs w:val="20"/>
              </w:rPr>
              <w:t>eholders.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Adverse changes in our credit ratings could impair our ability to obtain additional debt and equity financing on terms favorable to us, if at all, and could significantly reduce the market price of our publicly traded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are subject to financial covenants that may restrict our operating and acquisition activities.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Credit Facility and the indentures under which our senior unsecured debt is issued contain certain financial and operating covenants, including, among o</w:t>
      </w:r>
      <w:r>
        <w:rPr>
          <w:sz w:val="20"/>
          <w:szCs w:val="20"/>
        </w:rPr>
        <w:t>ther things, certain coverage ratios and limitations on our ability to incur debt, make dividend payments, sell all or substantially all of our assets and engage in mergers and consolidations and certain acquisitions. These covenants may restrict our abili</w:t>
      </w:r>
      <w:r>
        <w:rPr>
          <w:sz w:val="20"/>
          <w:szCs w:val="20"/>
        </w:rPr>
        <w:t>ty to pursue certain business initiatives or certain acquisition transactions that might otherwise be advantageous. In addition, failure to meet any of the financial covenants could cause an event of default under our Credit Facility and the indentures and</w:t>
      </w:r>
      <w:r>
        <w:rPr>
          <w:sz w:val="20"/>
          <w:szCs w:val="20"/>
        </w:rPr>
        <w:t>/or accelerate some or all of our indebtedness, which would have a material adverse effect on us.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have a substantial amount of indebtedness and may need to incur more in the future.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have substantial indebtedness. The level of indebtedness could h</w:t>
      </w:r>
      <w:r>
        <w:rPr>
          <w:sz w:val="20"/>
          <w:szCs w:val="20"/>
        </w:rPr>
        <w:t>ave adverse consequences on our business, such as: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requiring the Company to use a substantial portion of our cash flow from operations to service our indebtedness, which would reduce the available cash flow to fund working capital, capital expenditur</w:t>
            </w:r>
            <w:r>
              <w:rPr>
                <w:sz w:val="20"/>
                <w:szCs w:val="20"/>
              </w:rPr>
              <w:t>es, development projects, and other general corporate purposes and reduce cash for distributions;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limiting our ability to obtain additional financing to fund our working capital needs, acquisitions, capital expenditures, or other debt service require</w:t>
            </w:r>
            <w:r>
              <w:rPr>
                <w:sz w:val="20"/>
                <w:szCs w:val="20"/>
              </w:rPr>
              <w:t>ments or for other purposes;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our costs of incurring additional debt;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subjecting us to floating interest rates;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limiting our ability to compete with other companies that are not as highly leveraged, as we may be less capable of responding to adverse economic and industry conditions;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043751732"/>
        <w:rPr>
          <w:rFonts w:eastAsia="Times New Roman"/>
          <w:sz w:val="20"/>
          <w:szCs w:val="20"/>
        </w:rPr>
      </w:pPr>
      <w:r>
        <w:rPr>
          <w:rFonts w:eastAsia="Times New Roman"/>
          <w:sz w:val="20"/>
          <w:szCs w:val="20"/>
        </w:rPr>
        <w:t xml:space="preserve">18 </w:t>
      </w:r>
    </w:p>
    <w:p w:rsidR="00000000" w:rsidRDefault="006954AA">
      <w:pPr>
        <w:divId w:val="1900675588"/>
        <w:rPr>
          <w:rFonts w:eastAsia="Times New Roman"/>
          <w:sz w:val="20"/>
          <w:szCs w:val="20"/>
        </w:rPr>
      </w:pPr>
      <w:r>
        <w:rPr>
          <w:rFonts w:eastAsia="Times New Roman"/>
          <w:sz w:val="20"/>
          <w:szCs w:val="20"/>
        </w:rPr>
        <w:pict>
          <v:rect id="_x0000_i1051" style="width:415.3pt;height:1.5pt" o:hralign="center" o:hrstd="t" o:hrnoshade="t" o:hr="t" fillcolor="black" stroked="f"/>
        </w:pict>
      </w:r>
    </w:p>
    <w:p w:rsidR="00000000" w:rsidRDefault="006954AA">
      <w:pPr>
        <w:divId w:val="14210282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restricting the Company from making strategic acquisitions, developing properties, or exploiting business opportunities;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restricting the way in which we conduct our business because of financial and operating covenants in the agreements governing our existing and future indebtedness;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exposing the Company to potential events of default (if not cured or waived) under cov</w:t>
            </w:r>
            <w:r>
              <w:rPr>
                <w:sz w:val="20"/>
                <w:szCs w:val="20"/>
              </w:rPr>
              <w:t>enants contained in our debt instruments that could have a material adverse effect on our business, financial condition, and operating results;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increasing our vulnerability to a downturn in general economic conditions;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limiting our ability </w:t>
            </w:r>
            <w:r>
              <w:rPr>
                <w:sz w:val="20"/>
                <w:szCs w:val="20"/>
              </w:rPr>
              <w:t>to react to changing market conditions in its industry.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impact of any of these potential adverse consequences could have a material adverse effect on our results of operations, financial condition, and liquidity.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Changes in market conditions could adversely affect the market price of our publicly traded s</w:t>
      </w:r>
      <w:r>
        <w:rPr>
          <w:b/>
          <w:bCs/>
          <w:sz w:val="20"/>
          <w:szCs w:val="20"/>
        </w:rPr>
        <w:t>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market price of our publicly traded securities depends on various market conditions, which may change from time-to-time. Among the market conditions that may affect the market price of our publicly traded securities are the following:</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the extent </w:t>
            </w:r>
            <w:r>
              <w:rPr>
                <w:sz w:val="20"/>
                <w:szCs w:val="20"/>
              </w:rPr>
              <w:t>of institutional investor interest in us;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reputation of REITs generally and the reputation of REITs with portfolios similar to ours;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attractiveness of the securities of REITs in comparison to securities issued by other entities, includi</w:t>
            </w:r>
            <w:r>
              <w:rPr>
                <w:sz w:val="20"/>
                <w:szCs w:val="20"/>
              </w:rPr>
              <w:t>ng securities issued by other real estate companies;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our financial condition and performance;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market’</w:t>
            </w:r>
            <w:r>
              <w:rPr>
                <w:sz w:val="20"/>
                <w:szCs w:val="20"/>
              </w:rPr>
              <w:t>s perception of our growth potential, potential future cash dividends and risk profile;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an increase in market interest rates, which may lead prospective investors to demand a higher distribution rate in relation to the price paid for our shares;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general economic and financial market conditions.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We may change the dividend policy for our common stock in the future.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decision to declare and pay dividends on our common stock in the future, as well as the timing, amount and composition of</w:t>
      </w:r>
      <w:r>
        <w:rPr>
          <w:sz w:val="20"/>
          <w:szCs w:val="20"/>
        </w:rPr>
        <w:t xml:space="preserve"> any such future dividends, will be at the sole discretion of our Board of Directors and will depend on our earnings, operating cash flows, liquidity, financial condition, capital requirements, contractual prohibitions or other limitations under our indebt</w:t>
      </w:r>
      <w:r>
        <w:rPr>
          <w:sz w:val="20"/>
          <w:szCs w:val="20"/>
        </w:rPr>
        <w:t>edness including preferred stock, the annual distribution requirements under the REIT provisions of the Code, state law and such other factors as our Board of Directors deems relevant or are requirements under the Code or state or federal laws. Any negativ</w:t>
      </w:r>
      <w:r>
        <w:rPr>
          <w:sz w:val="20"/>
          <w:szCs w:val="20"/>
        </w:rPr>
        <w:t>e change in our dividend policy could have a material adverse effect on the market price of our 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Our charter and bylaws and Maryland law contain provisions that may delay, defer or prevent a change of control transaction, even if such a chan</w:t>
      </w:r>
      <w:r>
        <w:rPr>
          <w:b/>
          <w:bCs/>
          <w:sz w:val="20"/>
          <w:szCs w:val="20"/>
        </w:rPr>
        <w:t>ge in control may be in our best interest, and as a result may depress the market price of our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charter contains certain ownership limits. Our charter contains various provisions that are intended to preserve our qualification as a REIT and, subject to certain exceptions, authorize our directors to take such actions as are necessary or appropriat</w:t>
      </w:r>
      <w:r>
        <w:rPr>
          <w:sz w:val="20"/>
          <w:szCs w:val="20"/>
        </w:rPr>
        <w:t>e to preserve our qualification as a REIT</w:t>
      </w:r>
      <w:r>
        <w:rPr>
          <w:b/>
          <w:bCs/>
          <w:sz w:val="20"/>
          <w:szCs w:val="20"/>
        </w:rPr>
        <w:t>.</w:t>
      </w:r>
      <w:r>
        <w:rPr>
          <w:sz w:val="20"/>
          <w:szCs w:val="20"/>
        </w:rPr>
        <w:t xml:space="preserve"> For example, our charter prohibits the actual, beneficial or constructive ownership by any person of more than 9.8% in value or number of shares, whichever is more restrictive, of the outstanding shares of our com</w:t>
      </w:r>
      <w:r>
        <w:rPr>
          <w:sz w:val="20"/>
          <w:szCs w:val="20"/>
        </w:rPr>
        <w:t>mon stock, and more than 9.8% in value of the aggregate outstanding shares of all classes and series of our stock. Our Board of Directors, in its sole and absolute discretion, may exempt a person, prospectively or retroactively, from these ownership limits</w:t>
      </w:r>
      <w:r>
        <w:rPr>
          <w:sz w:val="20"/>
          <w:szCs w:val="20"/>
        </w:rPr>
        <w:t xml:space="preserve"> if certain conditions are satisfied. The restrictions on ownership and transfer of our stock may:</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discourage a tender offer or other transactions or a change in management or of control that might involve a premium price for our common stock or that</w:t>
            </w:r>
            <w:r>
              <w:rPr>
                <w:sz w:val="20"/>
                <w:szCs w:val="20"/>
              </w:rPr>
              <w:t xml:space="preserve"> our stockholders otherwise believe to be in their best interests; or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result in the transfer of shares acquired in excess of the restrictions to a trust for the benefit of a charitable beneficiary and, as a result, the forfeiture by the acquirer of t</w:t>
            </w:r>
            <w:r>
              <w:rPr>
                <w:sz w:val="20"/>
                <w:szCs w:val="20"/>
              </w:rPr>
              <w:t>he benefits of owning the additional shares.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b/>
          <w:bCs/>
          <w:sz w:val="20"/>
          <w:szCs w:val="20"/>
          <w:u w:val="single"/>
        </w:rPr>
        <w:t>Risks Related to Our Status as a REIT and Related U.S. Federal Income Tax Matters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 xml:space="preserve">Loss of our tax status as a REIT or changes in U.S. federal income tax laws, regulations, administrative interpretations or </w:t>
      </w:r>
      <w:r>
        <w:rPr>
          <w:b/>
          <w:bCs/>
          <w:sz w:val="20"/>
          <w:szCs w:val="20"/>
        </w:rPr>
        <w:t>court decisions relating to REITs could have significant adverse consequences to us and the value of our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have elected to be taxed as a REIT for U.S. federal income tax purposes under the Code. We believe that we are organized and operate i</w:t>
      </w:r>
      <w:r>
        <w:rPr>
          <w:sz w:val="20"/>
          <w:szCs w:val="20"/>
        </w:rPr>
        <w:t>n a manner that has allowed us to qualify and will allow us to remain qualified as a REIT under the Code. However, there can be no assurance that we have qualified or will continue to qualify as a REIT for U.S. federal income tax purposes.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45359652"/>
        <w:rPr>
          <w:rFonts w:eastAsia="Times New Roman"/>
          <w:sz w:val="20"/>
          <w:szCs w:val="20"/>
        </w:rPr>
      </w:pPr>
      <w:r>
        <w:rPr>
          <w:rFonts w:eastAsia="Times New Roman"/>
          <w:sz w:val="20"/>
          <w:szCs w:val="20"/>
        </w:rPr>
        <w:t xml:space="preserve">19 </w:t>
      </w:r>
    </w:p>
    <w:p w:rsidR="00000000" w:rsidRDefault="006954AA">
      <w:pPr>
        <w:divId w:val="1279144706"/>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6954AA">
      <w:pPr>
        <w:divId w:val="458372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Qualification as a REIT involves the application of highly technical and complex Code provisions, for which there are only limited judicial and administrative interpretations. The determination of various factual matters and circumstances not entirely with</w:t>
      </w:r>
      <w:r>
        <w:rPr>
          <w:sz w:val="20"/>
          <w:szCs w:val="20"/>
        </w:rPr>
        <w:t>in our control may affect our ability to qualify as a REIT. The rules dealing with U.S. federal income taxation are constantly under review by persons involved in the legislative process and by the U.S. Internal Revenue Service (the “IRS”) and U.S. Departm</w:t>
      </w:r>
      <w:r>
        <w:rPr>
          <w:sz w:val="20"/>
          <w:szCs w:val="20"/>
        </w:rPr>
        <w:t>ent of the Treasury. We cannot predict how changes in the tax laws might affect our investors or us. New legislation, regulations, administrative interpretations or court decisions could significantly and negatively change the tax laws with respect to qual</w:t>
      </w:r>
      <w:r>
        <w:rPr>
          <w:sz w:val="20"/>
          <w:szCs w:val="20"/>
        </w:rPr>
        <w:t>ification as a REIT, the U.S. federal income tax consequences of such qualification or the desirability of an investment in a REIT relative to other investments.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order to qualify as a REIT, we must satisfy a number of requirements, including requireme</w:t>
      </w:r>
      <w:r>
        <w:rPr>
          <w:sz w:val="20"/>
          <w:szCs w:val="20"/>
        </w:rPr>
        <w:t>nts regarding the ownership of our stock, the composition of our assets and the sources of our gross income. Also, we must make distributions to stockholders aggregating annually at least 90% of our REIT taxable income, excluding net capital gains. Further</w:t>
      </w:r>
      <w:r>
        <w:rPr>
          <w:sz w:val="20"/>
          <w:szCs w:val="20"/>
        </w:rPr>
        <w:t>more, we own a direct or indirect interest in certain subsidiary REITs which have elected to be taxed as REITs for U.S. federal income tax purposes under the Code. Provided that each subsidiary REIT qualifies as a REIT, our interest in such subsidiary REIT</w:t>
      </w:r>
      <w:r>
        <w:rPr>
          <w:sz w:val="20"/>
          <w:szCs w:val="20"/>
        </w:rPr>
        <w:t xml:space="preserve"> will be treated as a qualifying real estate asset for purposes of the REIT asset tests. To qualify as a REIT, the subsidiary REIT must independently satisfy all of the REIT qualification requirements. The failure of a subsidiary REIT to qualify as a REIT </w:t>
      </w:r>
      <w:r>
        <w:rPr>
          <w:sz w:val="20"/>
          <w:szCs w:val="20"/>
        </w:rPr>
        <w:t>could have an adverse effect on our ability to comply with the REIT income and asset tests, and thus our ability to qualify as a REIT.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If we were to lose our REIT status, we would face serious tax consequences that would substantially reduce the funds av</w:t>
      </w:r>
      <w:r>
        <w:rPr>
          <w:sz w:val="20"/>
          <w:szCs w:val="20"/>
        </w:rPr>
        <w:t>ailable to pay distributions to stockholders for each of the years involved because:</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would not be allowed a deduction for dividends to stockholders in computing our taxable income, and we would be subject to the regular U.S. federal corporate inco</w:t>
            </w:r>
            <w:r>
              <w:rPr>
                <w:sz w:val="20"/>
                <w:szCs w:val="20"/>
              </w:rPr>
              <w:t>me tax;</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could possibly be subject to a federal alternative minimum tax or increased state and local taxes;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unless we were entitled to relief under statutory provisions, we could not elect to be taxed as a REIT for four taxable years followin</w:t>
            </w:r>
            <w:r>
              <w:rPr>
                <w:sz w:val="20"/>
                <w:szCs w:val="20"/>
              </w:rPr>
              <w:t>g the year during which we were disqualified;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we would not be required to make distributions to stockholders.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failure to qualify as a REIT or new legislation or changes in U.S. federal income tax laws including with respect to qualification as a REIT or the tax consequences of such qualification, could also impair our ability to expand our business or raise ca</w:t>
      </w:r>
      <w:r>
        <w:rPr>
          <w:sz w:val="20"/>
          <w:szCs w:val="20"/>
        </w:rPr>
        <w:t>pital and have a materially adverse effect on the value of our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To maintain our REIT status, we may be forced to borrow funds during unfavorable market conditions, and the unavailability of such capital on favorable terms at the desired times,</w:t>
      </w:r>
      <w:r>
        <w:rPr>
          <w:b/>
          <w:bCs/>
          <w:sz w:val="20"/>
          <w:szCs w:val="20"/>
        </w:rPr>
        <w:t xml:space="preserve"> or at all, may cause us to curtail our investment activities and/or to dispose of assets at inopportune times, which could adversely affect our financial condition, results of operations, cash flows and per share trading price of our 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To qu</w:t>
      </w:r>
      <w:r>
        <w:rPr>
          <w:sz w:val="20"/>
          <w:szCs w:val="20"/>
        </w:rPr>
        <w:t>alify as a REIT, we generally must distribute to our stockholders at least 90% of our REIT taxable income each year, excluding net capital gains, and we will be subject to regular U.S. federal corporate income taxes on the amount we distribute that is less</w:t>
      </w:r>
      <w:r>
        <w:rPr>
          <w:sz w:val="20"/>
          <w:szCs w:val="20"/>
        </w:rPr>
        <w:t xml:space="preserve"> than 100% of our net taxable income each year, including capital gains. In addition, we will be subject to a 4% nondeductible excise tax on the amount, if any, by which distributions paid by us in any calendar year are less than the sum of 85% of our ordi</w:t>
      </w:r>
      <w:r>
        <w:rPr>
          <w:sz w:val="20"/>
          <w:szCs w:val="20"/>
        </w:rPr>
        <w:t>nary income, 95% of our capital gain net income and 100% of our undistributed income from prior years. While we have historically satisfied these distribution requirements by making cash distributions to our stockholders, a REIT is permitted to satisfy the</w:t>
      </w:r>
      <w:r>
        <w:rPr>
          <w:sz w:val="20"/>
          <w:szCs w:val="20"/>
        </w:rPr>
        <w:t>se requirements by making distributions of cash or other property, including, in limited circumstances, its own stock. Assuming we continue to satisfy these distribution requirements with cash, we may need to borrow funds to meet the REIT distribution requ</w:t>
      </w:r>
      <w:r>
        <w:rPr>
          <w:sz w:val="20"/>
          <w:szCs w:val="20"/>
        </w:rPr>
        <w:t>irements and avoid the payment of income and excise taxes even if the then prevailing market conditions are not favorable for these borrowings. These borrowing needs could result from differences in timing between the actual receipt of cash and inclusion o</w:t>
      </w:r>
      <w:r>
        <w:rPr>
          <w:sz w:val="20"/>
          <w:szCs w:val="20"/>
        </w:rPr>
        <w:t>f income for U.S. federal income tax purposes, or the effect of non-deductible capital expenditures, the creation of cash reserves or required debt or amortization payments. These sources, however, may not be available on favorable terms or at all. Our acc</w:t>
      </w:r>
      <w:r>
        <w:rPr>
          <w:sz w:val="20"/>
          <w:szCs w:val="20"/>
        </w:rPr>
        <w:t xml:space="preserve">ess to third-party sources of capital depends on a number of factors, including the market's perception of our growth potential, our current debt levels, the market price of our common stock, and our current and potential future earnings. We cannot assure </w:t>
      </w:r>
      <w:r>
        <w:rPr>
          <w:sz w:val="20"/>
          <w:szCs w:val="20"/>
        </w:rPr>
        <w:t>you that we will have access to such capital on favorable terms at the desired times, or at all, which may cause us to curtail our investment activities and/or to dispose of assets at inopportune times, and could adversely affect our financial condition, r</w:t>
      </w:r>
      <w:r>
        <w:rPr>
          <w:sz w:val="20"/>
          <w:szCs w:val="20"/>
        </w:rPr>
        <w:t>esults of operations, cash flows and per share trading price of our 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 xml:space="preserve">The tax imposed on REITs engaging in </w:t>
      </w:r>
      <w:r>
        <w:rPr>
          <w:sz w:val="20"/>
          <w:szCs w:val="20"/>
        </w:rPr>
        <w:t>“</w:t>
      </w:r>
      <w:r>
        <w:rPr>
          <w:b/>
          <w:bCs/>
          <w:sz w:val="20"/>
          <w:szCs w:val="20"/>
        </w:rPr>
        <w:t>prohibited transactions</w:t>
      </w:r>
      <w:r>
        <w:rPr>
          <w:sz w:val="20"/>
          <w:szCs w:val="20"/>
        </w:rPr>
        <w:t>”</w:t>
      </w:r>
      <w:r>
        <w:rPr>
          <w:b/>
          <w:bCs/>
          <w:sz w:val="20"/>
          <w:szCs w:val="20"/>
        </w:rPr>
        <w:t xml:space="preserve"> may limit our ability to engage in transactions which would be treated as sales for U.S. federal income tax p</w:t>
      </w:r>
      <w:r>
        <w:rPr>
          <w:b/>
          <w:bCs/>
          <w:sz w:val="20"/>
          <w:szCs w:val="20"/>
        </w:rPr>
        <w:t>urposes.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 REIT's net income from prohibited transactions is subject to a 100% penalty tax. In general, prohibited transactions are sales or other dispositions of property, other than foreclosure property, held primarily for sale to customers in the ordi</w:t>
      </w:r>
      <w:r>
        <w:rPr>
          <w:sz w:val="20"/>
          <w:szCs w:val="20"/>
        </w:rPr>
        <w:t>nary course of business. Although we do not intend to hold any properties that would be characterized as held for sale to customers in the ordinary course of our business, unless a sale or disposition qualifies under certain statutory safe harbors, or is h</w:t>
      </w:r>
      <w:r>
        <w:rPr>
          <w:sz w:val="20"/>
          <w:szCs w:val="20"/>
        </w:rPr>
        <w:t>eld through a taxable REIT subsidiary, such characterization is a factual determination and no guarantee can be given that the IRS would agree with our characterization of our properties or that we will always be able to make use of the available safe harb</w:t>
      </w:r>
      <w:r>
        <w:rPr>
          <w:sz w:val="20"/>
          <w:szCs w:val="20"/>
        </w:rPr>
        <w:t>ors.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534389398"/>
        <w:rPr>
          <w:rFonts w:eastAsia="Times New Roman"/>
          <w:sz w:val="20"/>
          <w:szCs w:val="20"/>
        </w:rPr>
      </w:pPr>
      <w:r>
        <w:rPr>
          <w:rFonts w:eastAsia="Times New Roman"/>
          <w:sz w:val="20"/>
          <w:szCs w:val="20"/>
        </w:rPr>
        <w:t xml:space="preserve">20 </w:t>
      </w:r>
    </w:p>
    <w:p w:rsidR="00000000" w:rsidRDefault="006954AA">
      <w:pPr>
        <w:divId w:val="618680358"/>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6954AA">
      <w:pPr>
        <w:divId w:val="19772496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b/>
          <w:bCs/>
          <w:sz w:val="20"/>
          <w:szCs w:val="20"/>
        </w:rPr>
        <w:t>Dividends payable by REITs do not qualify for the reduced tax rates available for some dividends.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maximum tax rate applicable to “qualified dividend income” payable to U.S. stockholders that are individuals, trusts and estates is 20%. Dividends payable by REITs, however, generally are not eligible for these reduced rates. U.S. stockholders that are</w:t>
      </w:r>
      <w:r>
        <w:rPr>
          <w:sz w:val="20"/>
          <w:szCs w:val="20"/>
        </w:rPr>
        <w:t xml:space="preserve"> individuals, trusts and estates generally may deduct up to 20% of the ordinary dividends (i.e., dividends not designated as capital gain dividends or qualified dividend income) received from a REIT for taxable years beginning before January 1, 2026. Altho</w:t>
      </w:r>
      <w:r>
        <w:rPr>
          <w:sz w:val="20"/>
          <w:szCs w:val="20"/>
        </w:rPr>
        <w:t>ugh this deduction reduces the effective tax rate applicable to certain dividends paid by REITs (generally to 29.6% assuming the shareholder is subject to the 37% maximum rate), such tax rate is still higher than the tax rate applicable to corporate divide</w:t>
      </w:r>
      <w:r>
        <w:rPr>
          <w:sz w:val="20"/>
          <w:szCs w:val="20"/>
        </w:rPr>
        <w:t>nds that constitute qualified dividend income. Accordingly, investors who are individuals, trusts and estates may perceive investments in REITs to be relatively less attractive than investments in the stocks of non-REIT corporations that pay dividends trea</w:t>
      </w:r>
      <w:r>
        <w:rPr>
          <w:sz w:val="20"/>
          <w:szCs w:val="20"/>
        </w:rPr>
        <w:t>ted as qualified dividend income, which could materially and adversely affect the value of the shares of REITs, including the per share trading price of our 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1B. Unresolved Staff Comments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None.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2.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Real Estate Portfolio.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As of December 31, 2022, the Company had interests in 532 shopping center properties aggregating 90.8 million square feet of GLA located in 28 states. In addition, the Company had 23 other property interests, primarily through the Company’s preferred equit</w:t>
      </w:r>
      <w:r>
        <w:rPr>
          <w:sz w:val="20"/>
          <w:szCs w:val="20"/>
        </w:rPr>
        <w:t>y investments and other investments, totaling 5.7 million square feet of GLA. Open-air shopping centers comprise the primary focus of the Company's current portfolio.  As of December 31, 2022, the Company’s Combined Shopping Center Portfolio, including non</w:t>
      </w:r>
      <w:r>
        <w:rPr>
          <w:sz w:val="20"/>
          <w:szCs w:val="20"/>
        </w:rPr>
        <w:t>controlling interests, was 95.7% leased.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open-air shopping center properties, which are generally owned and operated through subsidiaries or joint ventures, had an average size of 170,754 square feet as of December 31, 2022. The Company gen</w:t>
      </w:r>
      <w:r>
        <w:rPr>
          <w:sz w:val="20"/>
          <w:szCs w:val="20"/>
        </w:rPr>
        <w:t>erally retains its shopping centers for long-term investment and consequently pursues a program of regular physical maintenance together with redevelopment, major renovations and refurbishing to preserve and increase the value of its properties. This inclu</w:t>
      </w:r>
      <w:r>
        <w:rPr>
          <w:sz w:val="20"/>
          <w:szCs w:val="20"/>
        </w:rPr>
        <w:t>des renovating existing facades, installing uniform signage, resurfacing parking lots and enhancing parking lot lighting. During 2022, the Company expended $113.9 million in connection with property redevelopments and $79.8 million related to improvements.</w:t>
      </w:r>
    </w:p>
    <w:p w:rsidR="00000000" w:rsidRDefault="006954AA">
      <w:pPr>
        <w:jc w:val="center"/>
        <w:divId w:val="1427112395"/>
        <w:rPr>
          <w:rFonts w:eastAsia="Times New Roman"/>
          <w:sz w:val="20"/>
          <w:szCs w:val="20"/>
        </w:rPr>
      </w:pPr>
      <w:r>
        <w:rPr>
          <w:rFonts w:eastAsia="Times New Roman"/>
          <w:sz w:val="20"/>
          <w:szCs w:val="20"/>
        </w:rPr>
        <w:t xml:space="preserve">21 </w:t>
      </w:r>
    </w:p>
    <w:p w:rsidR="00000000" w:rsidRDefault="006954AA">
      <w:pPr>
        <w:divId w:val="1850607166"/>
        <w:rPr>
          <w:rFonts w:eastAsia="Times New Roman"/>
          <w:sz w:val="20"/>
          <w:szCs w:val="20"/>
        </w:rPr>
      </w:pPr>
      <w:r>
        <w:rPr>
          <w:rFonts w:eastAsia="Times New Roman"/>
          <w:sz w:val="20"/>
          <w:szCs w:val="20"/>
        </w:rPr>
        <w:pict>
          <v:rect id="_x0000_i1054" style="width:415.3pt;height:1.5pt" o:hralign="center" o:hrstd="t" o:hrnoshade="t" o:hr="t" fillcolor="black" stroked="f"/>
        </w:pict>
      </w:r>
    </w:p>
    <w:p w:rsidR="00000000" w:rsidRDefault="006954AA">
      <w:pPr>
        <w:divId w:val="1134955724"/>
        <w:rPr>
          <w:rFonts w:eastAsia="Times New Roman"/>
          <w:sz w:val="20"/>
          <w:szCs w:val="20"/>
        </w:rPr>
      </w:pPr>
      <w:hyperlink w:anchor="toc" w:history="1">
        <w:r>
          <w:rPr>
            <w:rStyle w:val="a4"/>
            <w:rFonts w:eastAsia="Times New Roman"/>
            <w:sz w:val="20"/>
            <w:szCs w:val="20"/>
          </w:rPr>
          <w:t>Table of Con</w:t>
        </w:r>
        <w:r>
          <w:rPr>
            <w:rStyle w:val="a4"/>
            <w:rFonts w:eastAsia="Times New Roman"/>
            <w:sz w:val="20"/>
            <w:szCs w:val="20"/>
          </w:rPr>
          <w:t>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management believes its experience in the real estate industry and its relationships with numerous national and regional tenants gives it an advantage in an industry where ownership is fragmented among a large number of property owne</w:t>
      </w:r>
      <w:r>
        <w:rPr>
          <w:sz w:val="20"/>
          <w:szCs w:val="20"/>
        </w:rPr>
        <w:t>rs. The Company's open-air shopping centers are usually "anchored" by a grocery store, home improvement centers, off-price retailer, discounter or service-oriented tenant. As one of the original participants in the growth of the shopping center industry an</w:t>
      </w:r>
      <w:r>
        <w:rPr>
          <w:sz w:val="20"/>
          <w:szCs w:val="20"/>
        </w:rPr>
        <w:t>d the nation's largest owner and operator of shopping centers, the Company has established close relationships with a large number of major national and regional retailers. Some of the major national and regional companies that are tenants in the Company's</w:t>
      </w:r>
      <w:r>
        <w:rPr>
          <w:sz w:val="20"/>
          <w:szCs w:val="20"/>
        </w:rPr>
        <w:t xml:space="preserve"> shopping center properties include TJX Companies, The Home Depot, Albertsons Companies, Ross Stores, Amazon/Whole Foods Market, PetSmart, Ahold Delhaize, Kroger, Burlington Stores and Walmart.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 reduces its operating and leasing risks through </w:t>
      </w:r>
      <w:r>
        <w:rPr>
          <w:sz w:val="20"/>
          <w:szCs w:val="20"/>
        </w:rPr>
        <w:t>diversification achieved by the geographic distribution of its properties and a large tenant base. As of December 31, 2022, no single open-air shopping center accounted for more than 1.3% of the Company's annualized base rental revenues, including the prop</w:t>
      </w:r>
      <w:r>
        <w:rPr>
          <w:sz w:val="20"/>
          <w:szCs w:val="20"/>
        </w:rPr>
        <w:t xml:space="preserve">ortionate share of base rental revenues from properties in which the Company has less than a 100% economic interest, or more than 1.4% of the Company’s total shopping center GLA. At December 31, 2022, the Company’s five largest tenants were TJX Companies, </w:t>
      </w:r>
      <w:r>
        <w:rPr>
          <w:sz w:val="20"/>
          <w:szCs w:val="20"/>
        </w:rPr>
        <w:t>The Home Depot, Ross Stores, Albertsons Companies and Amazon/Whole Foods Market, which represented 3.7%, 2.1%, 1.9%, 1.9% and 1.8%, respectively, of the Company’s annualized base rental revenues, including the proportionate share of base rental revenues fr</w:t>
      </w:r>
      <w:r>
        <w:rPr>
          <w:sz w:val="20"/>
          <w:szCs w:val="20"/>
        </w:rPr>
        <w:t>om properties in which the Company has less than a 100% economic interest.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 substantial portion of the Company's income consists of rent received under long-term leases. Most of the leases provide for the payment of fixed-base rentals monthly in advance</w:t>
      </w:r>
      <w:r>
        <w:rPr>
          <w:sz w:val="20"/>
          <w:szCs w:val="20"/>
        </w:rPr>
        <w:t xml:space="preserve"> and for the payment by tenants of an allocable share of the real estate taxes, insurance, utilities and common area maintenance expenses incurred in operating the shopping centers (certain of the leases provide for the payment of a fixed-rate reimbursemen</w:t>
      </w:r>
      <w:r>
        <w:rPr>
          <w:sz w:val="20"/>
          <w:szCs w:val="20"/>
        </w:rPr>
        <w:t>t of these such expenses). Although many of the leases require the Company to make roof and structural repairs as needed, a number of tenant leases place that responsibility on the tenant, and the Company's standard small store lease provides for reimburse</w:t>
      </w:r>
      <w:r>
        <w:rPr>
          <w:sz w:val="20"/>
          <w:szCs w:val="20"/>
        </w:rPr>
        <w:t>ments by the tenant as part of common area maintenance. Additionally, many of the leases provide for reimbursements by the tenant of capital expenditures.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Minimum base rental revenues and operating expense reimbursements accounted for 97% and other reven</w:t>
      </w:r>
      <w:r>
        <w:rPr>
          <w:sz w:val="20"/>
          <w:szCs w:val="20"/>
        </w:rPr>
        <w:t>ues, including percentage rents, accounted for 3% of the Company's total revenues from rental properties for the year ended December 31, 2022. The Company's management believes that the base rent per leased square foot for many of the Company's existing le</w:t>
      </w:r>
      <w:r>
        <w:rPr>
          <w:sz w:val="20"/>
          <w:szCs w:val="20"/>
        </w:rPr>
        <w:t>ases is generally lower than the prevailing market-rate base rents in the geographic regions where the Company operates, reflecting the potential for future growth. Additionally, a majority of the Company’s leases have provisions requiring contractual rent</w:t>
      </w:r>
      <w:r>
        <w:rPr>
          <w:sz w:val="20"/>
          <w:szCs w:val="20"/>
        </w:rPr>
        <w:t xml:space="preserve"> increases. The Company’s leases may also include escalation clauses, which provide for increases based upon changes in the consumer price index or similar inflation indices.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As of December 31, 2022, the Company’s consolidated operating portfolio, compri</w:t>
      </w:r>
      <w:r>
        <w:rPr>
          <w:sz w:val="20"/>
          <w:szCs w:val="20"/>
        </w:rPr>
        <w:t>sed of 428 shopping center properties aggregating 70.6 million square feet of GLA, was 95.5% leased. The consolidated operating portfolio consists entirely of properties located in the U.S., inclusive of Puerto Rico.  For the period of January 1, 2022 to D</w:t>
      </w:r>
      <w:r>
        <w:rPr>
          <w:sz w:val="20"/>
          <w:szCs w:val="20"/>
        </w:rPr>
        <w:t>ecember 31, 2022, the Company increased the average base rent per leased square foot, which includes the impact of tenant concessions, in its consolidated portfolio of open-air shopping centers from $19.05 to $19.60, an increase of $0.55.  This increase pr</w:t>
      </w:r>
      <w:r>
        <w:rPr>
          <w:sz w:val="20"/>
          <w:szCs w:val="20"/>
        </w:rPr>
        <w:t>imarily consists of (i) a $0.28 increase relating to rent step-ups within the portfolio and new leases signed, net of leases vacated, (ii) a $0.17 increase relating to acquisitions and (iii) a $0.10 increase relating to dispositions.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 has a total of 8,292 leases in the consolidated operating portfolio. The following table sets forth the aggregate lease expirations for each of the next ten years, assuming no renewal options are exercised. For purposes of the table, the Total </w:t>
      </w:r>
      <w:r>
        <w:rPr>
          <w:sz w:val="20"/>
          <w:szCs w:val="20"/>
        </w:rPr>
        <w:t>Annual Base Rent Expiring represents annualized rental revenue, excluding the impact of straight-line rent, for each lease that expires during the respective year. Amounts in thousands, except for number of leases data:</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1414"/>
        <w:gridCol w:w="433"/>
        <w:gridCol w:w="1545"/>
        <w:gridCol w:w="433"/>
        <w:gridCol w:w="1102"/>
        <w:gridCol w:w="86"/>
        <w:gridCol w:w="255"/>
        <w:gridCol w:w="476"/>
        <w:gridCol w:w="721"/>
        <w:gridCol w:w="129"/>
        <w:gridCol w:w="197"/>
        <w:gridCol w:w="426"/>
        <w:gridCol w:w="401"/>
        <w:gridCol w:w="273"/>
      </w:tblGrid>
      <w:tr w:rsidR="00000000">
        <w:trPr>
          <w:tblCellSpacing w:w="0" w:type="dxa"/>
        </w:trPr>
        <w:tc>
          <w:tcPr>
            <w:tcW w:w="855"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Ending</w:t>
            </w:r>
          </w:p>
          <w:p w:rsidR="00000000" w:rsidRDefault="006954AA">
            <w:pPr>
              <w:pStyle w:val="a3"/>
              <w:spacing w:before="0" w:beforeAutospacing="0" w:after="0" w:afterAutospacing="0"/>
              <w:jc w:val="center"/>
              <w:rPr>
                <w:sz w:val="20"/>
                <w:szCs w:val="20"/>
              </w:rPr>
            </w:pPr>
            <w:r>
              <w:rPr>
                <w:b/>
                <w:bCs/>
                <w:sz w:val="20"/>
                <w:szCs w:val="20"/>
              </w:rPr>
              <w:t>December 31,</w:t>
            </w:r>
          </w:p>
        </w:tc>
        <w:tc>
          <w:tcPr>
            <w:tcW w:w="275" w:type="pct"/>
            <w:vAlign w:val="bottom"/>
            <w:hideMark/>
          </w:tcPr>
          <w:p w:rsidR="00000000" w:rsidRDefault="006954AA">
            <w:pPr>
              <w:rPr>
                <w:rFonts w:eastAsia="Times New Roman"/>
                <w:sz w:val="20"/>
                <w:szCs w:val="20"/>
              </w:rPr>
            </w:pPr>
            <w:r>
              <w:rPr>
                <w:rFonts w:eastAsia="Times New Roman"/>
                <w:sz w:val="20"/>
                <w:szCs w:val="20"/>
              </w:rPr>
              <w:t> </w:t>
            </w:r>
          </w:p>
        </w:tc>
        <w:tc>
          <w:tcPr>
            <w:tcW w:w="695"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Number</w:t>
            </w:r>
            <w:r>
              <w:rPr>
                <w:sz w:val="20"/>
                <w:szCs w:val="20"/>
              </w:rPr>
              <w:t> </w:t>
            </w:r>
            <w:r>
              <w:rPr>
                <w:b/>
                <w:bCs/>
                <w:sz w:val="20"/>
                <w:szCs w:val="20"/>
              </w:rPr>
              <w:t>of</w:t>
            </w:r>
            <w:r>
              <w:rPr>
                <w:sz w:val="20"/>
                <w:szCs w:val="20"/>
              </w:rPr>
              <w:t> </w:t>
            </w:r>
            <w:r>
              <w:rPr>
                <w:b/>
                <w:bCs/>
                <w:sz w:val="20"/>
                <w:szCs w:val="20"/>
              </w:rPr>
              <w:t>Leases</w:t>
            </w:r>
          </w:p>
          <w:p w:rsidR="00000000" w:rsidRDefault="006954AA">
            <w:pPr>
              <w:pStyle w:val="a3"/>
              <w:spacing w:before="0" w:beforeAutospacing="0" w:after="0" w:afterAutospacing="0"/>
              <w:jc w:val="center"/>
              <w:rPr>
                <w:sz w:val="20"/>
                <w:szCs w:val="20"/>
              </w:rPr>
            </w:pPr>
            <w:r>
              <w:rPr>
                <w:b/>
                <w:bCs/>
                <w:sz w:val="20"/>
                <w:szCs w:val="20"/>
              </w:rPr>
              <w:t> Expiring</w:t>
            </w:r>
          </w:p>
        </w:tc>
        <w:tc>
          <w:tcPr>
            <w:tcW w:w="275" w:type="pct"/>
            <w:vAlign w:val="bottom"/>
            <w:hideMark/>
          </w:tcPr>
          <w:p w:rsidR="00000000" w:rsidRDefault="006954AA">
            <w:pPr>
              <w:rPr>
                <w:rFonts w:eastAsia="Times New Roman"/>
                <w:sz w:val="20"/>
                <w:szCs w:val="20"/>
              </w:rPr>
            </w:pPr>
            <w:r>
              <w:rPr>
                <w:rFonts w:eastAsia="Times New Roman"/>
                <w:sz w:val="20"/>
                <w:szCs w:val="20"/>
              </w:rPr>
              <w:t> </w:t>
            </w:r>
          </w:p>
        </w:tc>
        <w:tc>
          <w:tcPr>
            <w:tcW w:w="67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Square</w:t>
            </w:r>
            <w:r>
              <w:rPr>
                <w:sz w:val="20"/>
                <w:szCs w:val="20"/>
              </w:rPr>
              <w:t> </w:t>
            </w:r>
            <w:r>
              <w:rPr>
                <w:b/>
                <w:bCs/>
                <w:sz w:val="20"/>
                <w:szCs w:val="20"/>
              </w:rPr>
              <w:t>Feet</w:t>
            </w:r>
            <w:r>
              <w:rPr>
                <w:sz w:val="20"/>
                <w:szCs w:val="20"/>
              </w:rPr>
              <w:t> </w:t>
            </w:r>
          </w:p>
          <w:p w:rsidR="00000000" w:rsidRDefault="006954AA">
            <w:pPr>
              <w:pStyle w:val="a3"/>
              <w:spacing w:before="0" w:beforeAutospacing="0" w:after="0" w:afterAutospacing="0"/>
              <w:jc w:val="center"/>
              <w:rPr>
                <w:sz w:val="20"/>
                <w:szCs w:val="20"/>
              </w:rPr>
            </w:pPr>
            <w:r>
              <w:rPr>
                <w:b/>
                <w:bCs/>
                <w:sz w:val="20"/>
                <w:szCs w:val="20"/>
              </w:rPr>
              <w:t>Expiring</w:t>
            </w:r>
          </w:p>
        </w:tc>
        <w:tc>
          <w:tcPr>
            <w:tcW w:w="70" w:type="pct"/>
            <w:vAlign w:val="bottom"/>
            <w:hideMark/>
          </w:tcPr>
          <w:p w:rsidR="00000000" w:rsidRDefault="006954AA">
            <w:pPr>
              <w:rPr>
                <w:rFonts w:eastAsia="Times New Roman"/>
                <w:sz w:val="20"/>
                <w:szCs w:val="20"/>
              </w:rPr>
            </w:pPr>
            <w:r>
              <w:rPr>
                <w:rFonts w:eastAsia="Times New Roman"/>
                <w:sz w:val="20"/>
                <w:szCs w:val="20"/>
              </w:rPr>
              <w:t> </w:t>
            </w:r>
          </w:p>
        </w:tc>
        <w:tc>
          <w:tcPr>
            <w:tcW w:w="170" w:type="pct"/>
            <w:vAlign w:val="bottom"/>
            <w:hideMark/>
          </w:tcPr>
          <w:p w:rsidR="00000000" w:rsidRDefault="006954AA">
            <w:pPr>
              <w:rPr>
                <w:rFonts w:eastAsia="Times New Roman"/>
                <w:sz w:val="20"/>
                <w:szCs w:val="20"/>
              </w:rPr>
            </w:pPr>
            <w:r>
              <w:rPr>
                <w:rFonts w:eastAsia="Times New Roman"/>
                <w:sz w:val="20"/>
                <w:szCs w:val="20"/>
              </w:rPr>
              <w:t> </w:t>
            </w:r>
          </w:p>
        </w:tc>
        <w:tc>
          <w:tcPr>
            <w:tcW w:w="745"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r>
              <w:rPr>
                <w:sz w:val="20"/>
                <w:szCs w:val="20"/>
              </w:rPr>
              <w:t> </w:t>
            </w:r>
            <w:r>
              <w:rPr>
                <w:b/>
                <w:bCs/>
                <w:sz w:val="20"/>
                <w:szCs w:val="20"/>
              </w:rPr>
              <w:t>Annual Base</w:t>
            </w:r>
          </w:p>
          <w:p w:rsidR="00000000" w:rsidRDefault="006954AA">
            <w:pPr>
              <w:pStyle w:val="a3"/>
              <w:spacing w:before="0" w:beforeAutospacing="0" w:after="0" w:afterAutospacing="0"/>
              <w:jc w:val="center"/>
              <w:rPr>
                <w:sz w:val="20"/>
                <w:szCs w:val="20"/>
              </w:rPr>
            </w:pPr>
            <w:r>
              <w:rPr>
                <w:b/>
                <w:bCs/>
                <w:sz w:val="20"/>
                <w:szCs w:val="20"/>
              </w:rPr>
              <w:t>Rent Expiring</w:t>
            </w:r>
          </w:p>
        </w:tc>
        <w:tc>
          <w:tcPr>
            <w:tcW w:w="80" w:type="pct"/>
            <w:vAlign w:val="bottom"/>
            <w:hideMark/>
          </w:tcPr>
          <w:p w:rsidR="00000000" w:rsidRDefault="006954AA">
            <w:pPr>
              <w:rPr>
                <w:rFonts w:eastAsia="Times New Roman"/>
                <w:sz w:val="20"/>
                <w:szCs w:val="20"/>
              </w:rPr>
            </w:pPr>
            <w:r>
              <w:rPr>
                <w:rFonts w:eastAsia="Times New Roman"/>
                <w:sz w:val="20"/>
                <w:szCs w:val="20"/>
              </w:rPr>
              <w:t> </w:t>
            </w:r>
          </w:p>
        </w:tc>
        <w:tc>
          <w:tcPr>
            <w:tcW w:w="135" w:type="pct"/>
            <w:vAlign w:val="bottom"/>
            <w:hideMark/>
          </w:tcPr>
          <w:p w:rsidR="00000000" w:rsidRDefault="006954AA">
            <w:pPr>
              <w:rPr>
                <w:rFonts w:eastAsia="Times New Roman"/>
                <w:sz w:val="20"/>
                <w:szCs w:val="20"/>
              </w:rPr>
            </w:pPr>
            <w:r>
              <w:rPr>
                <w:rFonts w:eastAsia="Times New Roman"/>
                <w:sz w:val="20"/>
                <w:szCs w:val="20"/>
              </w:rPr>
              <w:t> </w:t>
            </w:r>
          </w:p>
        </w:tc>
        <w:tc>
          <w:tcPr>
            <w:tcW w:w="675" w:type="pct"/>
            <w:gridSpan w:val="3"/>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t>
            </w:r>
            <w:r>
              <w:rPr>
                <w:sz w:val="20"/>
                <w:szCs w:val="20"/>
              </w:rPr>
              <w:t> </w:t>
            </w:r>
            <w:r>
              <w:rPr>
                <w:b/>
                <w:bCs/>
                <w:sz w:val="20"/>
                <w:szCs w:val="20"/>
              </w:rPr>
              <w:t>of</w:t>
            </w:r>
            <w:r>
              <w:rPr>
                <w:sz w:val="20"/>
                <w:szCs w:val="20"/>
              </w:rPr>
              <w:t> </w:t>
            </w:r>
            <w:r>
              <w:rPr>
                <w:b/>
                <w:bCs/>
                <w:sz w:val="20"/>
                <w:szCs w:val="20"/>
              </w:rPr>
              <w:t>Gross</w:t>
            </w:r>
          </w:p>
          <w:p w:rsidR="00000000" w:rsidRDefault="006954AA">
            <w:pPr>
              <w:pStyle w:val="a3"/>
              <w:spacing w:before="0" w:beforeAutospacing="0" w:after="0" w:afterAutospacing="0"/>
              <w:jc w:val="center"/>
              <w:rPr>
                <w:sz w:val="20"/>
                <w:szCs w:val="20"/>
              </w:rPr>
            </w:pPr>
            <w:r>
              <w:rPr>
                <w:b/>
                <w:bCs/>
                <w:sz w:val="20"/>
                <w:szCs w:val="20"/>
              </w:rPr>
              <w:t>Annual Rent</w:t>
            </w:r>
          </w:p>
        </w:tc>
      </w:tr>
      <w:tr w:rsidR="00000000">
        <w:trPr>
          <w:tblCellSpacing w:w="0" w:type="dxa"/>
        </w:trPr>
        <w:tc>
          <w:tcPr>
            <w:tcW w:w="855" w:type="pct"/>
            <w:shd w:val="clear" w:color="auto" w:fill="CCEE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(1)</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167</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469</w:t>
            </w:r>
          </w:p>
        </w:tc>
        <w:tc>
          <w:tcPr>
            <w:tcW w:w="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CCEE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11,527</w:t>
            </w:r>
          </w:p>
        </w:tc>
        <w:tc>
          <w:tcPr>
            <w:tcW w:w="95"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0.9</w:t>
            </w:r>
          </w:p>
        </w:tc>
        <w:tc>
          <w:tcPr>
            <w:tcW w:w="18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FFFF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2023</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867</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4,771</w:t>
            </w:r>
          </w:p>
        </w:tc>
        <w:tc>
          <w:tcPr>
            <w:tcW w:w="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FFFF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89,735</w:t>
            </w:r>
          </w:p>
        </w:tc>
        <w:tc>
          <w:tcPr>
            <w:tcW w:w="95" w:type="pct"/>
            <w:shd w:val="clear" w:color="auto" w:fill="FFFF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7.2</w:t>
            </w:r>
          </w:p>
        </w:tc>
        <w:tc>
          <w:tcPr>
            <w:tcW w:w="18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CCEE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2024</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1,185</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w:t>
            </w:r>
            <w:r>
              <w:rPr>
                <w:sz w:val="20"/>
                <w:szCs w:val="20"/>
              </w:rPr>
              <w:t>7,648</w:t>
            </w:r>
          </w:p>
        </w:tc>
        <w:tc>
          <w:tcPr>
            <w:tcW w:w="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CCEE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146,985</w:t>
            </w:r>
          </w:p>
        </w:tc>
        <w:tc>
          <w:tcPr>
            <w:tcW w:w="95"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11.8</w:t>
            </w:r>
          </w:p>
        </w:tc>
        <w:tc>
          <w:tcPr>
            <w:tcW w:w="18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FFFF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2025</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1,149</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8,134</w:t>
            </w:r>
          </w:p>
        </w:tc>
        <w:tc>
          <w:tcPr>
            <w:tcW w:w="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FFFF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152,931</w:t>
            </w:r>
          </w:p>
        </w:tc>
        <w:tc>
          <w:tcPr>
            <w:tcW w:w="95" w:type="pct"/>
            <w:shd w:val="clear" w:color="auto" w:fill="FFFF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12.3</w:t>
            </w:r>
          </w:p>
        </w:tc>
        <w:tc>
          <w:tcPr>
            <w:tcW w:w="18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CCEE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2026</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1,071</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9,563</w:t>
            </w:r>
          </w:p>
        </w:tc>
        <w:tc>
          <w:tcPr>
            <w:tcW w:w="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CCEE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158,673</w:t>
            </w:r>
          </w:p>
        </w:tc>
        <w:tc>
          <w:tcPr>
            <w:tcW w:w="95"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12.7</w:t>
            </w:r>
          </w:p>
        </w:tc>
        <w:tc>
          <w:tcPr>
            <w:tcW w:w="18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FFFF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2027</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1,138</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9,726</w:t>
            </w:r>
          </w:p>
        </w:tc>
        <w:tc>
          <w:tcPr>
            <w:tcW w:w="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FFFF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175,091</w:t>
            </w:r>
          </w:p>
        </w:tc>
        <w:tc>
          <w:tcPr>
            <w:tcW w:w="95" w:type="pct"/>
            <w:shd w:val="clear" w:color="auto" w:fill="FFFF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14.0</w:t>
            </w:r>
          </w:p>
        </w:tc>
        <w:tc>
          <w:tcPr>
            <w:tcW w:w="18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CCEE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2028</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790</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7,860</w:t>
            </w:r>
          </w:p>
        </w:tc>
        <w:tc>
          <w:tcPr>
            <w:tcW w:w="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CCEE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141,934</w:t>
            </w:r>
          </w:p>
        </w:tc>
        <w:tc>
          <w:tcPr>
            <w:tcW w:w="95"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11.4</w:t>
            </w:r>
          </w:p>
        </w:tc>
        <w:tc>
          <w:tcPr>
            <w:tcW w:w="18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FFFF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2029</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432</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3,915</w:t>
            </w:r>
          </w:p>
        </w:tc>
        <w:tc>
          <w:tcPr>
            <w:tcW w:w="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FFFF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73,695</w:t>
            </w:r>
          </w:p>
        </w:tc>
        <w:tc>
          <w:tcPr>
            <w:tcW w:w="95" w:type="pct"/>
            <w:shd w:val="clear" w:color="auto" w:fill="FFFF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5.9</w:t>
            </w:r>
          </w:p>
        </w:tc>
        <w:tc>
          <w:tcPr>
            <w:tcW w:w="18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CCEE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2030</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321</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2,612</w:t>
            </w:r>
          </w:p>
        </w:tc>
        <w:tc>
          <w:tcPr>
            <w:tcW w:w="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CCEE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58,702</w:t>
            </w:r>
          </w:p>
        </w:tc>
        <w:tc>
          <w:tcPr>
            <w:tcW w:w="95"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4.7</w:t>
            </w:r>
          </w:p>
        </w:tc>
        <w:tc>
          <w:tcPr>
            <w:tcW w:w="18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FFFF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2031</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338</w:t>
            </w:r>
          </w:p>
        </w:tc>
        <w:tc>
          <w:tcPr>
            <w:tcW w:w="27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FFFFFF"/>
            <w:hideMark/>
          </w:tcPr>
          <w:p w:rsidR="00000000" w:rsidRDefault="006954AA">
            <w:pPr>
              <w:pStyle w:val="a3"/>
              <w:spacing w:before="0" w:beforeAutospacing="0" w:after="0" w:afterAutospacing="0"/>
              <w:ind w:left="180" w:hanging="180"/>
              <w:jc w:val="center"/>
              <w:rPr>
                <w:sz w:val="20"/>
                <w:szCs w:val="20"/>
              </w:rPr>
            </w:pPr>
            <w:r>
              <w:rPr>
                <w:sz w:val="20"/>
                <w:szCs w:val="20"/>
              </w:rPr>
              <w:t> 2,385</w:t>
            </w:r>
          </w:p>
        </w:tc>
        <w:tc>
          <w:tcPr>
            <w:tcW w:w="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FFFF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54,674</w:t>
            </w:r>
          </w:p>
        </w:tc>
        <w:tc>
          <w:tcPr>
            <w:tcW w:w="95" w:type="pct"/>
            <w:shd w:val="clear" w:color="auto" w:fill="FFFF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FFFFFF"/>
            <w:hideMark/>
          </w:tcPr>
          <w:p w:rsidR="00000000" w:rsidRDefault="006954AA">
            <w:pPr>
              <w:pStyle w:val="a3"/>
              <w:spacing w:before="0" w:beforeAutospacing="0" w:after="0" w:afterAutospacing="0"/>
              <w:ind w:left="180" w:hanging="180"/>
              <w:jc w:val="right"/>
              <w:rPr>
                <w:sz w:val="20"/>
                <w:szCs w:val="20"/>
              </w:rPr>
            </w:pPr>
            <w:r>
              <w:rPr>
                <w:sz w:val="20"/>
                <w:szCs w:val="20"/>
              </w:rPr>
              <w:t> 4.4</w:t>
            </w:r>
          </w:p>
        </w:tc>
        <w:tc>
          <w:tcPr>
            <w:tcW w:w="18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r>
      <w:tr w:rsidR="00000000">
        <w:trPr>
          <w:tblCellSpacing w:w="0" w:type="dxa"/>
        </w:trPr>
        <w:tc>
          <w:tcPr>
            <w:tcW w:w="855" w:type="pct"/>
            <w:shd w:val="clear" w:color="auto" w:fill="CCEEFF"/>
            <w:vAlign w:val="bottom"/>
            <w:hideMark/>
          </w:tcPr>
          <w:p w:rsidR="00000000" w:rsidRDefault="006954AA">
            <w:pPr>
              <w:pStyle w:val="a3"/>
              <w:spacing w:before="0" w:beforeAutospacing="0" w:after="0" w:afterAutospacing="0"/>
              <w:ind w:left="180" w:hanging="180"/>
              <w:jc w:val="center"/>
              <w:rPr>
                <w:sz w:val="20"/>
                <w:szCs w:val="20"/>
              </w:rPr>
            </w:pPr>
            <w:r>
              <w:rPr>
                <w:sz w:val="20"/>
                <w:szCs w:val="20"/>
              </w:rPr>
              <w:t>2032</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95"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402</w:t>
            </w:r>
          </w:p>
        </w:tc>
        <w:tc>
          <w:tcPr>
            <w:tcW w:w="27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70" w:type="pct"/>
            <w:shd w:val="clear" w:color="auto" w:fill="CCEEFF"/>
            <w:hideMark/>
          </w:tcPr>
          <w:p w:rsidR="00000000" w:rsidRDefault="006954AA">
            <w:pPr>
              <w:pStyle w:val="a3"/>
              <w:spacing w:before="0" w:beforeAutospacing="0" w:after="0" w:afterAutospacing="0"/>
              <w:ind w:left="180" w:hanging="180"/>
              <w:jc w:val="center"/>
              <w:rPr>
                <w:sz w:val="20"/>
                <w:szCs w:val="20"/>
              </w:rPr>
            </w:pPr>
            <w:r>
              <w:rPr>
                <w:sz w:val="20"/>
                <w:szCs w:val="20"/>
              </w:rPr>
              <w:t> 2,901</w:t>
            </w:r>
          </w:p>
        </w:tc>
        <w:tc>
          <w:tcPr>
            <w:tcW w:w="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00" w:type="pct"/>
            <w:shd w:val="clear" w:color="auto" w:fill="CCEEFF"/>
            <w:hideMark/>
          </w:tcPr>
          <w:p w:rsidR="00000000" w:rsidRDefault="006954AA">
            <w:pPr>
              <w:pStyle w:val="a3"/>
              <w:spacing w:before="0" w:beforeAutospacing="0" w:after="0" w:afterAutospacing="0"/>
              <w:rPr>
                <w:sz w:val="20"/>
                <w:szCs w:val="20"/>
              </w:rPr>
            </w:pPr>
            <w:r>
              <w:rPr>
                <w:sz w:val="20"/>
                <w:szCs w:val="20"/>
              </w:rPr>
              <w:t> $</w:t>
            </w:r>
          </w:p>
        </w:tc>
        <w:tc>
          <w:tcPr>
            <w:tcW w:w="4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56,550</w:t>
            </w:r>
          </w:p>
        </w:tc>
        <w:tc>
          <w:tcPr>
            <w:tcW w:w="95"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3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7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pct"/>
            <w:shd w:val="clear" w:color="auto" w:fill="CCEEFF"/>
            <w:hideMark/>
          </w:tcPr>
          <w:p w:rsidR="00000000" w:rsidRDefault="006954AA">
            <w:pPr>
              <w:pStyle w:val="a3"/>
              <w:spacing w:before="0" w:beforeAutospacing="0" w:after="0" w:afterAutospacing="0"/>
              <w:ind w:left="180" w:hanging="180"/>
              <w:jc w:val="right"/>
              <w:rPr>
                <w:sz w:val="20"/>
                <w:szCs w:val="20"/>
              </w:rPr>
            </w:pPr>
            <w:r>
              <w:rPr>
                <w:sz w:val="20"/>
                <w:szCs w:val="20"/>
              </w:rPr>
              <w:t> 4.5</w:t>
            </w:r>
          </w:p>
        </w:tc>
        <w:tc>
          <w:tcPr>
            <w:tcW w:w="18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0" w:type="auto"/>
            <w:hideMark/>
          </w:tcPr>
          <w:p w:rsidR="00000000" w:rsidRDefault="006954AA">
            <w:pPr>
              <w:pStyle w:val="a3"/>
              <w:spacing w:before="0" w:beforeAutospacing="0" w:after="0" w:afterAutospacing="0"/>
              <w:rPr>
                <w:sz w:val="20"/>
                <w:szCs w:val="20"/>
              </w:rPr>
            </w:pPr>
            <w:r>
              <w:rPr>
                <w:sz w:val="20"/>
                <w:szCs w:val="20"/>
              </w:rPr>
              <w:t>Leases currently under a month-to-month lease or in process of renewal.</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01942289"/>
        <w:rPr>
          <w:rFonts w:eastAsia="Times New Roman"/>
          <w:sz w:val="20"/>
          <w:szCs w:val="20"/>
        </w:rPr>
      </w:pPr>
      <w:r>
        <w:rPr>
          <w:rFonts w:eastAsia="Times New Roman"/>
          <w:sz w:val="20"/>
          <w:szCs w:val="20"/>
        </w:rPr>
        <w:t xml:space="preserve">22 </w:t>
      </w:r>
    </w:p>
    <w:p w:rsidR="00000000" w:rsidRDefault="006954AA">
      <w:pPr>
        <w:divId w:val="618030087"/>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6954AA">
      <w:pPr>
        <w:divId w:val="10071692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2022, the Company exec</w:t>
      </w:r>
      <w:r>
        <w:rPr>
          <w:sz w:val="20"/>
          <w:szCs w:val="20"/>
        </w:rPr>
        <w:t>uted 1,696 leases totaling 10.7 million square feet in the Company’s consolidated operating portfolio comprised of 525 new leases and 1,171 renewals and options. The leasing costs associated with these new leases are estimated to aggregate $107.4 million o</w:t>
      </w:r>
      <w:r>
        <w:rPr>
          <w:sz w:val="20"/>
          <w:szCs w:val="20"/>
        </w:rPr>
        <w:t xml:space="preserve">r $39.40 per square foot. These costs include $84.3 million of tenant improvements and $23.1 million of external leasing commissions. The average rent per square foot for (i) new leases was $21.76 and (ii) renewals and options was $18.20. The Company will </w:t>
      </w:r>
      <w:r>
        <w:rPr>
          <w:sz w:val="20"/>
          <w:szCs w:val="20"/>
        </w:rPr>
        <w:t>seek to obtain rents that are higher than amounts within its expiring leases, however, there are many variables and uncertainties which can significantly affect the leasing market at any time; as such, the Company cannot guarantee that future leases will c</w:t>
      </w:r>
      <w:r>
        <w:rPr>
          <w:sz w:val="20"/>
          <w:szCs w:val="20"/>
        </w:rPr>
        <w:t>ontinue to be signed for rents that are equal to or higher than current amounts.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Ground-Leased Properties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 has interests in 40 consolidated shopping center properties that are subject to long-term ground leases where a third party owns and </w:t>
      </w:r>
      <w:r>
        <w:rPr>
          <w:sz w:val="20"/>
          <w:szCs w:val="20"/>
        </w:rPr>
        <w:t xml:space="preserve">has leased the underlying land to the Company to construct and/or operate a shopping center. The Company pays rent for the use of the land and generally is responsible for all costs and expenses associated with the building and improvements. At the end of </w:t>
      </w:r>
      <w:r>
        <w:rPr>
          <w:sz w:val="20"/>
          <w:szCs w:val="20"/>
        </w:rPr>
        <w:t>these long-term leases, unless extended, the land together with all improvements reverts to the landowner.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More specific information with respect to each of the Company's property interests is set forth in Exhibit 99.1, which is incorporated herein by re</w:t>
      </w:r>
      <w:r>
        <w:rPr>
          <w:sz w:val="20"/>
          <w:szCs w:val="20"/>
        </w:rPr>
        <w:t>ference.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3. Legal Proceedings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is not presently involved in any litigation nor, to its knowledge, is any litigation threatened against the Company or its subsidiaries that, in management's opinion, would</w:t>
      </w:r>
      <w:r>
        <w:rPr>
          <w:sz w:val="20"/>
          <w:szCs w:val="20"/>
        </w:rPr>
        <w:t xml:space="preserve"> result in any material effect on the Company's ownership, management or operation of its properties taken as a whole, or which is not covered by the Company's insurance.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4. Mine Safety Disclosures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Not applicable.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81854744"/>
        <w:rPr>
          <w:rFonts w:eastAsia="Times New Roman"/>
          <w:sz w:val="20"/>
          <w:szCs w:val="20"/>
        </w:rPr>
      </w:pPr>
      <w:r>
        <w:rPr>
          <w:rFonts w:eastAsia="Times New Roman"/>
          <w:sz w:val="20"/>
          <w:szCs w:val="20"/>
        </w:rPr>
        <w:t xml:space="preserve">23 </w:t>
      </w:r>
    </w:p>
    <w:p w:rsidR="00000000" w:rsidRDefault="006954AA">
      <w:pPr>
        <w:divId w:val="1681854744"/>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6954AA">
      <w:pPr>
        <w:divId w:val="3665700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u w:val="single"/>
        </w:rPr>
        <w:t>PART II</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 xml:space="preserve">Item 5. Market for the Registrant's Common Equity, Related Stockholder Matters and Issuer Purchases of Equity </w:t>
      </w:r>
      <w:r>
        <w:rPr>
          <w:sz w:val="20"/>
          <w:szCs w:val="20"/>
          <w:u w:val="single"/>
        </w:rPr>
        <w:t>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Market Information:</w:t>
      </w:r>
      <w:r>
        <w:rPr>
          <w:sz w:val="20"/>
          <w:szCs w:val="20"/>
        </w:rPr>
        <w:t xml:space="preserve"> The Company’s common stock is traded on the NYSE under the trading symbol "KIM".</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Holders:</w:t>
      </w:r>
      <w:r>
        <w:rPr>
          <w:sz w:val="20"/>
          <w:szCs w:val="20"/>
        </w:rPr>
        <w:t xml:space="preserve"> The number of holders of record of the Company's common stock, par value $0.01 per share, was 2,767 as of January 31, 2023.</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Divid</w:t>
      </w:r>
      <w:r>
        <w:rPr>
          <w:sz w:val="20"/>
          <w:szCs w:val="20"/>
          <w:u w:val="single"/>
        </w:rPr>
        <w:t>ends:</w:t>
      </w:r>
      <w:r>
        <w:rPr>
          <w:sz w:val="20"/>
          <w:szCs w:val="20"/>
        </w:rPr>
        <w:t xml:space="preserve"> Since the IPO, the Company has paid regular quarterly cash dividends to its stockholders. While the Company intends to continue paying regular quarterly cash dividends, future dividend declarations will be paid at the discretion of the Board of Direc</w:t>
      </w:r>
      <w:r>
        <w:rPr>
          <w:sz w:val="20"/>
          <w:szCs w:val="20"/>
        </w:rPr>
        <w:t>tors and will depend on the actual cash flows of the Company, its financial condition, capital requirements, the annual distribution requirements under the REIT provisions of the Code and such other factors as the Board of Directors deems relevant. The Com</w:t>
      </w:r>
      <w:r>
        <w:rPr>
          <w:sz w:val="20"/>
          <w:szCs w:val="20"/>
        </w:rPr>
        <w:t>pany’s Board of Directors will continue to evaluate the Company’s dividend policy on a quarterly basis as they monitor sources of capital and evaluate operating fundamentals.  The Company is required by the Code to distribute at least 90% of its REIT taxab</w:t>
      </w:r>
      <w:r>
        <w:rPr>
          <w:sz w:val="20"/>
          <w:szCs w:val="20"/>
        </w:rPr>
        <w:t>le income determined without regard to the dividends paid deduction and excluding any net capital gain. In addition, the Company will be subject to federal income tax at regular corporate rates to the extent that it distributes less than 100% of its net ta</w:t>
      </w:r>
      <w:r>
        <w:rPr>
          <w:sz w:val="20"/>
          <w:szCs w:val="20"/>
        </w:rPr>
        <w:t>xable income, including any net capital gains. The actual cash flow available to pay dividends will be affected by a number of factors, including the revenues received from operating properties, the operating expenses of the Company, the interest expense o</w:t>
      </w:r>
      <w:r>
        <w:rPr>
          <w:sz w:val="20"/>
          <w:szCs w:val="20"/>
        </w:rPr>
        <w:t xml:space="preserve">n its borrowings, the ability of lessees to meet their obligations to the Company, the ability to refinance near-term debt maturities and any unanticipated capital expenditures. The following table reflects the income tax status of distributions per share </w:t>
      </w:r>
      <w:r>
        <w:rPr>
          <w:sz w:val="20"/>
          <w:szCs w:val="20"/>
        </w:rPr>
        <w:t>paid to holders of shares of our common stock:</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66"/>
        <w:gridCol w:w="50"/>
        <w:gridCol w:w="100"/>
        <w:gridCol w:w="972"/>
        <w:gridCol w:w="167"/>
        <w:gridCol w:w="50"/>
        <w:gridCol w:w="100"/>
        <w:gridCol w:w="973"/>
        <w:gridCol w:w="1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Dividend paid per share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0.84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0.68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Capital gains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to common stock offerings, the Company has capitalized on the growth in its business through the issuance of unsecured fixed rate medium-term notes, underwritten bonds, unsecured bank debt, mortgage debt and perpetual preferred stock. Borrowing</w:t>
      </w:r>
      <w:r>
        <w:rPr>
          <w:sz w:val="20"/>
          <w:szCs w:val="20"/>
        </w:rPr>
        <w:t>s under the Company's unsecured revolving credit facility have also been an interim source of funds to both finance the purchase of properties and other investments and meet any short-term working capital requirements. The various instruments governing the</w:t>
      </w:r>
      <w:r>
        <w:rPr>
          <w:sz w:val="20"/>
          <w:szCs w:val="20"/>
        </w:rPr>
        <w:t xml:space="preserve"> Company's issuance of its unsecured public debt, bank debt, mortgage debt and preferred stock impose certain restrictions on the Company regarding dividends, voting, liquidation and other preferential rights available to the holders of such instruments. S</w:t>
      </w:r>
      <w:r>
        <w:rPr>
          <w:sz w:val="20"/>
          <w:szCs w:val="20"/>
        </w:rPr>
        <w:t>ee "Management's Discussion and Analysis of Financial Condition and Results of Operations" and Footnotes 13, 14 and 19 of the Notes to Consolidated Financial Statements included in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does not believe that the preferential rights</w:t>
      </w:r>
      <w:r>
        <w:rPr>
          <w:sz w:val="20"/>
          <w:szCs w:val="20"/>
        </w:rPr>
        <w:t xml:space="preserve"> available to the holders of its Class L Preferred Stock and Class M Preferred Stock, the financial covenants contained in its public bond indentures, as amended, or the credit agreement for its Credit Facility will have an adverse impact on the Company's </w:t>
      </w:r>
      <w:r>
        <w:rPr>
          <w:sz w:val="20"/>
          <w:szCs w:val="20"/>
        </w:rPr>
        <w:t>ability to pay dividends in the normal course to its common stockholders or to distribute amounts necessary to maintain its qualification as a REIT.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maintains a dividend reinvestment and direct stock purchase plan (the "Plan") pursuant to whi</w:t>
      </w:r>
      <w:r>
        <w:rPr>
          <w:sz w:val="20"/>
          <w:szCs w:val="20"/>
        </w:rPr>
        <w:t xml:space="preserve">ch common and preferred stockholders and other interested investors may elect to automatically reinvest their dividends to purchase shares of the Company’s common stock or, through optional cash payments, purchase shares of the Company’s common stock. The </w:t>
      </w:r>
      <w:r>
        <w:rPr>
          <w:sz w:val="20"/>
          <w:szCs w:val="20"/>
        </w:rPr>
        <w:t>Company may, from time-to-time, either (i) purchase shares of its common stock in the open market or (ii) issue new shares of its common stock for the purpose of fulfilling its obligations under the Plan.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Recent Sales of Unregistered Securities:</w:t>
      </w:r>
      <w:r>
        <w:rPr>
          <w:sz w:val="20"/>
          <w:szCs w:val="20"/>
        </w:rPr>
        <w:t xml:space="preserve"> None.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Issuer Purchases of Equity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Board of Directors had authorized the repurchase of up to 900,000 depositary shares of Class L preferred stock and 1,058,000 depositary shares of Class M preferred stock through December 31, 2022, whic</w:t>
      </w:r>
      <w:r>
        <w:rPr>
          <w:sz w:val="20"/>
          <w:szCs w:val="20"/>
        </w:rPr>
        <w:t xml:space="preserve">h represented up to an aggregate of 1,958 shares of the Company’s preferred stock, par value $1.00 per share. During the year ended December 31, 2022, the Company repurchased 54,508 depositary shares of Class L preferred stock and 90,760 depositary shares </w:t>
      </w:r>
      <w:r>
        <w:rPr>
          <w:sz w:val="20"/>
          <w:szCs w:val="20"/>
        </w:rPr>
        <w:t>of Class M preferred stock for a purchase price of $1.3 million and $2.1 million,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February 2018, the Company’s Board of Directors authorized a share repurchase program, which is scheduled to expire February 29, 2024. Under this progr</w:t>
      </w:r>
      <w:r>
        <w:rPr>
          <w:sz w:val="20"/>
          <w:szCs w:val="20"/>
        </w:rPr>
        <w:t>am, the Company may repurchase shares of its common stock, par value $0.01 per share, with an aggregate gross purchase price of up to $300.0 million. The Company did not repurchase any shares under the share repurchase program during the year ended Decembe</w:t>
      </w:r>
      <w:r>
        <w:rPr>
          <w:sz w:val="20"/>
          <w:szCs w:val="20"/>
        </w:rPr>
        <w:t>r 31, 2022. As of December 31, 2022, the Company had $224.9 million available under this common share repurchase program.</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825658022"/>
        <w:rPr>
          <w:rFonts w:eastAsia="Times New Roman"/>
          <w:sz w:val="20"/>
          <w:szCs w:val="20"/>
        </w:rPr>
      </w:pPr>
      <w:r>
        <w:rPr>
          <w:rFonts w:eastAsia="Times New Roman"/>
          <w:sz w:val="20"/>
          <w:szCs w:val="20"/>
        </w:rPr>
        <w:t xml:space="preserve">24 </w:t>
      </w:r>
    </w:p>
    <w:p w:rsidR="00000000" w:rsidRDefault="006954AA">
      <w:pPr>
        <w:divId w:val="262150094"/>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6954AA">
      <w:pPr>
        <w:divId w:val="2599956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sz w:val="20"/>
          <w:szCs w:val="20"/>
        </w:rPr>
        <w:t xml:space="preserve">During the year ended December 31, 2022, the Company repurchased 567,450 shares of the Company’s common stock for an aggregate purchase price of $13.7 million (weighted average price of $24.11 per share) in connection with common shares </w:t>
      </w:r>
      <w:r>
        <w:rPr>
          <w:sz w:val="20"/>
          <w:szCs w:val="20"/>
        </w:rPr>
        <w:t>surrendered or deemed surrendered to the Company to satisfy statutory minimum tax withholding obligations in connection with equity-based compensation plans.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The following table presents information regarding the shares of common stock repurchased by the</w:t>
      </w:r>
      <w:r>
        <w:rPr>
          <w:sz w:val="20"/>
          <w:szCs w:val="20"/>
        </w:rPr>
        <w:t xml:space="preserve"> Company during the three months ended December 31, 2022.</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5"/>
        <w:gridCol w:w="80"/>
        <w:gridCol w:w="80"/>
        <w:gridCol w:w="1160"/>
        <w:gridCol w:w="80"/>
        <w:gridCol w:w="80"/>
        <w:gridCol w:w="101"/>
        <w:gridCol w:w="1161"/>
        <w:gridCol w:w="81"/>
        <w:gridCol w:w="81"/>
        <w:gridCol w:w="81"/>
        <w:gridCol w:w="1161"/>
        <w:gridCol w:w="81"/>
        <w:gridCol w:w="81"/>
        <w:gridCol w:w="101"/>
        <w:gridCol w:w="1161"/>
        <w:gridCol w:w="81"/>
      </w:tblGrid>
      <w:tr w:rsidR="00000000">
        <w:trPr>
          <w:tblCellSpacing w:w="0" w:type="dxa"/>
        </w:trPr>
        <w:tc>
          <w:tcPr>
            <w:tcW w:w="16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Period</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p w:rsidR="00000000" w:rsidRDefault="006954AA">
            <w:pPr>
              <w:pStyle w:val="a3"/>
              <w:spacing w:before="0" w:beforeAutospacing="0" w:after="0" w:afterAutospacing="0"/>
              <w:jc w:val="center"/>
              <w:rPr>
                <w:sz w:val="20"/>
                <w:szCs w:val="20"/>
              </w:rPr>
            </w:pPr>
            <w:r>
              <w:rPr>
                <w:b/>
                <w:bCs/>
                <w:sz w:val="20"/>
                <w:szCs w:val="20"/>
              </w:rPr>
              <w:t>Number of</w:t>
            </w:r>
          </w:p>
          <w:p w:rsidR="00000000" w:rsidRDefault="006954AA">
            <w:pPr>
              <w:pStyle w:val="a3"/>
              <w:spacing w:before="0" w:beforeAutospacing="0" w:after="0" w:afterAutospacing="0"/>
              <w:jc w:val="center"/>
              <w:rPr>
                <w:sz w:val="20"/>
                <w:szCs w:val="20"/>
              </w:rPr>
            </w:pPr>
            <w:r>
              <w:rPr>
                <w:b/>
                <w:bCs/>
                <w:sz w:val="20"/>
                <w:szCs w:val="20"/>
              </w:rPr>
              <w:t>Shares</w:t>
            </w:r>
          </w:p>
          <w:p w:rsidR="00000000" w:rsidRDefault="006954AA">
            <w:pPr>
              <w:pStyle w:val="a3"/>
              <w:spacing w:before="0" w:beforeAutospacing="0" w:after="0" w:afterAutospacing="0"/>
              <w:jc w:val="center"/>
              <w:rPr>
                <w:sz w:val="20"/>
                <w:szCs w:val="20"/>
              </w:rPr>
            </w:pPr>
            <w:r>
              <w:rPr>
                <w:b/>
                <w:bCs/>
                <w:sz w:val="20"/>
                <w:szCs w:val="20"/>
              </w:rPr>
              <w:t>Purchased</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Average</w:t>
            </w:r>
          </w:p>
          <w:p w:rsidR="00000000" w:rsidRDefault="006954AA">
            <w:pPr>
              <w:pStyle w:val="a3"/>
              <w:spacing w:before="0" w:beforeAutospacing="0" w:after="0" w:afterAutospacing="0"/>
              <w:jc w:val="center"/>
              <w:rPr>
                <w:sz w:val="20"/>
                <w:szCs w:val="20"/>
              </w:rPr>
            </w:pPr>
            <w:r>
              <w:rPr>
                <w:b/>
                <w:bCs/>
                <w:sz w:val="20"/>
                <w:szCs w:val="20"/>
              </w:rPr>
              <w:t>Price</w:t>
            </w:r>
          </w:p>
          <w:p w:rsidR="00000000" w:rsidRDefault="006954AA">
            <w:pPr>
              <w:pStyle w:val="a3"/>
              <w:spacing w:before="0" w:beforeAutospacing="0" w:after="0" w:afterAutospacing="0"/>
              <w:jc w:val="center"/>
              <w:rPr>
                <w:sz w:val="20"/>
                <w:szCs w:val="20"/>
              </w:rPr>
            </w:pPr>
            <w:r>
              <w:rPr>
                <w:b/>
                <w:bCs/>
                <w:sz w:val="20"/>
                <w:szCs w:val="20"/>
              </w:rPr>
              <w:t>Paid per</w:t>
            </w:r>
          </w:p>
          <w:p w:rsidR="00000000" w:rsidRDefault="006954AA">
            <w:pPr>
              <w:pStyle w:val="a3"/>
              <w:spacing w:before="0" w:beforeAutospacing="0" w:after="0" w:afterAutospacing="0"/>
              <w:jc w:val="center"/>
              <w:rPr>
                <w:sz w:val="20"/>
                <w:szCs w:val="20"/>
              </w:rPr>
            </w:pPr>
            <w:r>
              <w:rPr>
                <w:b/>
                <w:bCs/>
                <w:sz w:val="20"/>
                <w:szCs w:val="20"/>
              </w:rPr>
              <w:t>Share</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Total Number of </w:t>
            </w:r>
          </w:p>
          <w:p w:rsidR="00000000" w:rsidRDefault="006954AA">
            <w:pPr>
              <w:pStyle w:val="a3"/>
              <w:spacing w:before="0" w:beforeAutospacing="0" w:after="0" w:afterAutospacing="0"/>
              <w:jc w:val="center"/>
              <w:rPr>
                <w:sz w:val="20"/>
                <w:szCs w:val="20"/>
              </w:rPr>
            </w:pPr>
            <w:r>
              <w:rPr>
                <w:b/>
                <w:bCs/>
                <w:sz w:val="20"/>
                <w:szCs w:val="20"/>
              </w:rPr>
              <w:t xml:space="preserve">Shares Purchased </w:t>
            </w:r>
          </w:p>
          <w:p w:rsidR="00000000" w:rsidRDefault="006954AA">
            <w:pPr>
              <w:pStyle w:val="a3"/>
              <w:spacing w:before="0" w:beforeAutospacing="0" w:after="0" w:afterAutospacing="0"/>
              <w:jc w:val="center"/>
              <w:rPr>
                <w:sz w:val="20"/>
                <w:szCs w:val="20"/>
              </w:rPr>
            </w:pPr>
            <w:r>
              <w:rPr>
                <w:b/>
                <w:bCs/>
                <w:sz w:val="20"/>
                <w:szCs w:val="20"/>
              </w:rPr>
              <w:t>as Part of Publicly</w:t>
            </w:r>
          </w:p>
          <w:p w:rsidR="00000000" w:rsidRDefault="006954AA">
            <w:pPr>
              <w:pStyle w:val="a3"/>
              <w:spacing w:before="0" w:beforeAutospacing="0" w:after="0" w:afterAutospacing="0"/>
              <w:jc w:val="center"/>
              <w:rPr>
                <w:sz w:val="20"/>
                <w:szCs w:val="20"/>
              </w:rPr>
            </w:pPr>
            <w:r>
              <w:rPr>
                <w:b/>
                <w:bCs/>
                <w:sz w:val="20"/>
                <w:szCs w:val="20"/>
              </w:rPr>
              <w:t>Announced Plans</w:t>
            </w:r>
          </w:p>
          <w:p w:rsidR="00000000" w:rsidRDefault="006954AA">
            <w:pPr>
              <w:pStyle w:val="a3"/>
              <w:spacing w:before="0" w:beforeAutospacing="0" w:after="0" w:afterAutospacing="0"/>
              <w:jc w:val="center"/>
              <w:rPr>
                <w:sz w:val="20"/>
                <w:szCs w:val="20"/>
              </w:rPr>
            </w:pPr>
            <w:r>
              <w:rPr>
                <w:b/>
                <w:bCs/>
                <w:sz w:val="20"/>
                <w:szCs w:val="20"/>
              </w:rPr>
              <w:t>or Programs</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Approximate Dollar </w:t>
            </w:r>
          </w:p>
          <w:p w:rsidR="00000000" w:rsidRDefault="006954AA">
            <w:pPr>
              <w:pStyle w:val="a3"/>
              <w:spacing w:before="0" w:beforeAutospacing="0" w:after="0" w:afterAutospacing="0"/>
              <w:jc w:val="center"/>
              <w:rPr>
                <w:sz w:val="20"/>
                <w:szCs w:val="20"/>
              </w:rPr>
            </w:pPr>
            <w:r>
              <w:rPr>
                <w:b/>
                <w:bCs/>
                <w:sz w:val="20"/>
                <w:szCs w:val="20"/>
              </w:rPr>
              <w:t xml:space="preserve">Value of Shares that May </w:t>
            </w:r>
          </w:p>
          <w:p w:rsidR="00000000" w:rsidRDefault="006954AA">
            <w:pPr>
              <w:pStyle w:val="a3"/>
              <w:spacing w:before="0" w:beforeAutospacing="0" w:after="0" w:afterAutospacing="0"/>
              <w:jc w:val="center"/>
              <w:rPr>
                <w:sz w:val="20"/>
                <w:szCs w:val="20"/>
              </w:rPr>
            </w:pPr>
            <w:r>
              <w:rPr>
                <w:b/>
                <w:bCs/>
                <w:sz w:val="20"/>
                <w:szCs w:val="20"/>
              </w:rPr>
              <w:t>Yet Be Purchased Under</w:t>
            </w:r>
          </w:p>
          <w:p w:rsidR="00000000" w:rsidRDefault="006954AA">
            <w:pPr>
              <w:pStyle w:val="a3"/>
              <w:spacing w:before="0" w:beforeAutospacing="0" w:after="0" w:afterAutospacing="0"/>
              <w:jc w:val="center"/>
              <w:rPr>
                <w:sz w:val="20"/>
                <w:szCs w:val="20"/>
              </w:rPr>
            </w:pPr>
            <w:r>
              <w:rPr>
                <w:b/>
                <w:bCs/>
                <w:sz w:val="20"/>
                <w:szCs w:val="20"/>
              </w:rPr>
              <w:t>the Plans or Programs</w:t>
            </w:r>
          </w:p>
          <w:p w:rsidR="00000000" w:rsidRDefault="006954AA">
            <w:pPr>
              <w:pStyle w:val="a3"/>
              <w:spacing w:before="0" w:beforeAutospacing="0" w:after="0" w:afterAutospacing="0"/>
              <w:jc w:val="center"/>
              <w:rPr>
                <w:sz w:val="20"/>
                <w:szCs w:val="20"/>
              </w:rPr>
            </w:pPr>
            <w:r>
              <w:rPr>
                <w:b/>
                <w:bCs/>
                <w:sz w:val="20"/>
                <w:szCs w:val="20"/>
              </w:rPr>
              <w:t>(in millions)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October 1, 2022 – October 31, 2022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1,791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November 1, 2022 – November 30, 2022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December 1, 2022 – December 31, 2022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4,472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21.49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224.9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6,263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20.67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Total Stockholder Return Performance:</w:t>
      </w:r>
      <w:r>
        <w:rPr>
          <w:sz w:val="20"/>
          <w:szCs w:val="20"/>
        </w:rPr>
        <w:t xml:space="preserve"> </w:t>
      </w:r>
      <w:r>
        <w:rPr>
          <w:sz w:val="20"/>
          <w:szCs w:val="20"/>
        </w:rPr>
        <w:t>The following performance chart compares, over the five years ended December 31, 2022, the cumulative total stockholder return on the Company’s common stock with the cumulative total return of the S&amp;P 500 Index and the cumulative total return of the NAREIT</w:t>
      </w:r>
      <w:r>
        <w:rPr>
          <w:sz w:val="20"/>
          <w:szCs w:val="20"/>
        </w:rPr>
        <w:t xml:space="preserve"> Equity REITs Index (the “NAREIT Equity REITs”) prepared and published by the National Association of Real Estate Investment Trusts (“NAREIT”). The NAREIT Equity REITs Index is a free-float adjusted, market capitalization-weighted index of U.S. equity REIT</w:t>
      </w:r>
      <w:r>
        <w:rPr>
          <w:sz w:val="20"/>
          <w:szCs w:val="20"/>
        </w:rPr>
        <w:t>s. Constituents of the index include all tax-qualified REITs with more than 50% of total assets in qualifying real estate assets other than mortgages secured by real property.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Stockholder return performance, presented annually for the five years ended De</w:t>
      </w:r>
      <w:r>
        <w:rPr>
          <w:sz w:val="20"/>
          <w:szCs w:val="20"/>
        </w:rPr>
        <w:t>cember 31, 2022, is not necessarily indicative of future results. All stockholder return performance assumes the reinvestment of dividends. The information in this paragraph and the following performance chart are deemed to be furnished, not filed.</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451"/>
        <w:gridCol w:w="55"/>
        <w:gridCol w:w="100"/>
        <w:gridCol w:w="654"/>
        <w:gridCol w:w="55"/>
        <w:gridCol w:w="55"/>
        <w:gridCol w:w="101"/>
        <w:gridCol w:w="654"/>
        <w:gridCol w:w="55"/>
        <w:gridCol w:w="55"/>
        <w:gridCol w:w="100"/>
        <w:gridCol w:w="654"/>
        <w:gridCol w:w="55"/>
        <w:gridCol w:w="56"/>
        <w:gridCol w:w="100"/>
        <w:gridCol w:w="655"/>
        <w:gridCol w:w="56"/>
        <w:gridCol w:w="56"/>
        <w:gridCol w:w="100"/>
        <w:gridCol w:w="655"/>
        <w:gridCol w:w="56"/>
        <w:gridCol w:w="56"/>
        <w:gridCol w:w="100"/>
        <w:gridCol w:w="655"/>
        <w:gridCol w:w="56"/>
      </w:tblGrid>
      <w:tr w:rsidR="00000000">
        <w:trPr>
          <w:tblCellSpacing w:w="0" w:type="dxa"/>
        </w:trPr>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Comparison of 5 year cumulative total return data points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Dec-17</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Dec-18</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Dec-19</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Dec-20</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Dec-21</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Kimco Realty Corporation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S&amp;P 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NAREIT Equity REITs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6. Reserved</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479155001"/>
        <w:rPr>
          <w:rFonts w:eastAsia="Times New Roman"/>
          <w:sz w:val="20"/>
          <w:szCs w:val="20"/>
        </w:rPr>
      </w:pPr>
      <w:r>
        <w:rPr>
          <w:rFonts w:eastAsia="Times New Roman"/>
          <w:sz w:val="20"/>
          <w:szCs w:val="20"/>
        </w:rPr>
        <w:t xml:space="preserve">25 </w:t>
      </w:r>
    </w:p>
    <w:p w:rsidR="00000000" w:rsidRDefault="006954AA">
      <w:pPr>
        <w:divId w:val="1479155001"/>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6954AA">
      <w:pPr>
        <w:divId w:val="21046889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7. Management's Discussion and Analysis of Financial Condition and Results of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following discu</w:t>
      </w:r>
      <w:r>
        <w:rPr>
          <w:sz w:val="20"/>
          <w:szCs w:val="20"/>
        </w:rPr>
        <w:t>ssion should be read in conjunction with the Consolidated Financial Statements and Notes thereto included in this Form 10-K. Historical results and percentage relationships set forth in the Consolidated Statements of Income contained in the Consolidated Fi</w:t>
      </w:r>
      <w:r>
        <w:rPr>
          <w:sz w:val="20"/>
          <w:szCs w:val="20"/>
        </w:rPr>
        <w:t>nancial Statements, including trends, should not be taken as indicative of future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Consolidated Financial Statements of the Company include the accounts of the Company, its wholly owned subsidiaries and all entities in which the Company ha</w:t>
      </w:r>
      <w:r>
        <w:rPr>
          <w:sz w:val="20"/>
          <w:szCs w:val="20"/>
        </w:rPr>
        <w:t>s a controlling interest, including where the Company has been determined to be a primary beneficiary of a variable interest entity in accordance with the consolidation guidance of the FASB Accounting Standards Codification. The Company applies these provi</w:t>
      </w:r>
      <w:r>
        <w:rPr>
          <w:sz w:val="20"/>
          <w:szCs w:val="20"/>
        </w:rPr>
        <w:t>sions to each of its joint venture investments to determine whether the cost, equity or consolidation method of accounting is appropriate. The Company evaluates performance on a property specific or transactional basis and does not distinguish its principa</w:t>
      </w:r>
      <w:r>
        <w:rPr>
          <w:sz w:val="20"/>
          <w:szCs w:val="20"/>
        </w:rPr>
        <w:t>l business or group its operations on a geographical basis for purposes of measuring performance. Accordingly, the Company believes it has a single reportable segment for disclosure purposes in accordance with accounting principles generally accepted in th</w:t>
      </w:r>
      <w:r>
        <w:rPr>
          <w:sz w:val="20"/>
          <w:szCs w:val="20"/>
        </w:rPr>
        <w:t>e United States of America (“GAAP”).</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Critical Accounting Estimates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w:t>
      </w:r>
      <w:r>
        <w:rPr>
          <w:sz w:val="20"/>
          <w:szCs w:val="20"/>
        </w:rPr>
        <w:t>preparation of financial statements in conformity with GAAP requires management to make estimates and assumptions in certain circumstances that affect amounts reported in the accompanying Consolidated Financial Statements and related notes.  In preparing t</w:t>
      </w:r>
      <w:r>
        <w:rPr>
          <w:sz w:val="20"/>
          <w:szCs w:val="20"/>
        </w:rPr>
        <w:t>hese financial statements, management has made its best estimates and assumptions that affect the reported amounts of assets and liabilities.  These estimates are based on, but not limited to, historical results, industry standards and current economic con</w:t>
      </w:r>
      <w:r>
        <w:rPr>
          <w:sz w:val="20"/>
          <w:szCs w:val="20"/>
        </w:rPr>
        <w:t>ditions, giving due consideration to materiality. The Company’s significant accounting policies are more fully described in Footnote 1 to the Consolidated Financial Statements.  The Company is required to make subjective assessments, of which, the most sig</w:t>
      </w:r>
      <w:r>
        <w:rPr>
          <w:sz w:val="20"/>
          <w:szCs w:val="20"/>
        </w:rPr>
        <w:t>nificant assumptions and estimates relate to the recoverability of trade accounts receivable, depreciable lives, valuation of real estate and intangible assets and liabilities, and valuation of joint venture investments and other investments.  The Company’</w:t>
      </w:r>
      <w:r>
        <w:rPr>
          <w:sz w:val="20"/>
          <w:szCs w:val="20"/>
        </w:rPr>
        <w:t>s reported net earnings are directly affected by management’s estimate of impairments.  Application of these assumptions requires the exercise of judgment as to future uncertainties, and, as a result, actual results could materially differ from these estim</w:t>
      </w:r>
      <w:r>
        <w:rPr>
          <w:sz w:val="20"/>
          <w:szCs w:val="20"/>
        </w:rPr>
        <w:t>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Trade Accounts Receivable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reviews its trade accounts receivable, related to base rents, straight-line rent, expense reimbursements and other revenues for collectability. The Company evaluates the probability of the collection of the l</w:t>
      </w:r>
      <w:r>
        <w:rPr>
          <w:sz w:val="20"/>
          <w:szCs w:val="20"/>
        </w:rPr>
        <w:t>essee’s total accounts receivable, including the corresponding straight-line rent receivable balance on a lease-by-lease basis. Determining the probability of collection of substantially all lease payments during a lease term requires significant judgment.</w:t>
      </w:r>
      <w:r>
        <w:rPr>
          <w:sz w:val="20"/>
          <w:szCs w:val="20"/>
        </w:rPr>
        <w:t xml:space="preserve"> The Company’s analysis of its accounts receivable included (i) customer credit worthiness, (ii) assessment of risk associated with the tenant, and (iii) current economic trends.  In addition, tenants in bankruptcy are analyzed and considerations are made </w:t>
      </w:r>
      <w:r>
        <w:rPr>
          <w:sz w:val="20"/>
          <w:szCs w:val="20"/>
        </w:rPr>
        <w:t>in connection with the expected recovery of pre-petition and post-petition bankruptcy claims. The Company includes provision for doubtful accounts in Revenues from rental properties, net.  If a lessee’s accounts receivable balance is considered uncollectib</w:t>
      </w:r>
      <w:r>
        <w:rPr>
          <w:sz w:val="20"/>
          <w:szCs w:val="20"/>
        </w:rPr>
        <w:t>le, the Company will write-off the receivable balances associated with the lease and will only recognize lease income on a cash basis. In addition to the lease-specific collectability assessment, the analysis also recognizes a general reserve, as a reducti</w:t>
      </w:r>
      <w:r>
        <w:rPr>
          <w:sz w:val="20"/>
          <w:szCs w:val="20"/>
        </w:rPr>
        <w:t>on to Revenues from rental properties, for its portfolio of operating lease receivables which are not expected to be fully collectible based on the Company’s historical and current collection experience and the potential for settlement of arrears. Although</w:t>
      </w:r>
      <w:r>
        <w:rPr>
          <w:sz w:val="20"/>
          <w:szCs w:val="20"/>
        </w:rPr>
        <w:t xml:space="preserve"> the Company estimates uncollectible receivables and provides for them through charges against Revenues from rental properties, actual results may differ from those estimates. For example, in the event that the Company’s collectability determinations are n</w:t>
      </w:r>
      <w:r>
        <w:rPr>
          <w:sz w:val="20"/>
          <w:szCs w:val="20"/>
        </w:rPr>
        <w:t xml:space="preserve">ot accurate, and we are required to write off additional receivables equaling 1% of the outstanding accounts receivable balance at December 31, 2022, the Company’s rental income and net income would decrease by $3.0 million for the year ended December 31, </w:t>
      </w:r>
      <w:r>
        <w:rPr>
          <w:sz w:val="20"/>
          <w:szCs w:val="20"/>
        </w:rPr>
        <w:t>2022. If the Company subsequently determines that it is probable it will collect the remaining lessee’s lease payments under the lease term, any outstanding lease receivables (including straight-line rent receivables) are reinstated with a corresponding in</w:t>
      </w:r>
      <w:r>
        <w:rPr>
          <w:sz w:val="20"/>
          <w:szCs w:val="20"/>
        </w:rPr>
        <w:t>crease to rental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 xml:space="preserve">Real Estate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Valuation of Real Estate, and Intangible Assets and Liabilities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w:t>
      </w:r>
      <w:r>
        <w:rPr>
          <w:sz w:val="20"/>
          <w:szCs w:val="20"/>
        </w:rPr>
        <w:t>s investments in real estate properties are stated at cost, less accumulated depreciation and amortization. Expenditures for maintenance and repairs are charged to operations as incurred. Significant renovations and replacements, which improve and extend t</w:t>
      </w:r>
      <w:r>
        <w:rPr>
          <w:sz w:val="20"/>
          <w:szCs w:val="20"/>
        </w:rPr>
        <w:t>he life of the asset, are capitalized.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Transaction costs related to acquisitions that qualify as asset acquisitions are capitalized as part of the cost basis of the acquired assets, while transaction costs for acquisitions that are deemed to be business </w:t>
      </w:r>
      <w:r>
        <w:rPr>
          <w:sz w:val="20"/>
          <w:szCs w:val="20"/>
        </w:rPr>
        <w:t>combinations are expensed as incurred. Also, upon acquisition of real estate operating properties in either an asset acquisition or business combination, the Company estimates the fair value of acquired tangible assets (consisting of land, building, buildi</w:t>
      </w:r>
      <w:r>
        <w:rPr>
          <w:sz w:val="20"/>
          <w:szCs w:val="20"/>
        </w:rPr>
        <w:t>ng improvements and tenant improvements) and identified intangible assets and liabilities (consisting of above and below-market leases, in-place leases, and tenant relationships, where applicable), assumed debt and redeemable units issued at the date of ac</w:t>
      </w:r>
      <w:r>
        <w:rPr>
          <w:sz w:val="20"/>
          <w:szCs w:val="20"/>
        </w:rPr>
        <w:t>quisition, based on evaluation of information and estimates available at that date. Fair value is determined based on a market approach, which contemplates the price that would be received to sell an asset or paid to transfer a liability in an orderly tran</w:t>
      </w:r>
      <w:r>
        <w:rPr>
          <w:sz w:val="20"/>
          <w:szCs w:val="20"/>
        </w:rPr>
        <w:t>saction between market participants at the measurement date.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358749104"/>
        <w:rPr>
          <w:rFonts w:eastAsia="Times New Roman"/>
          <w:sz w:val="20"/>
          <w:szCs w:val="20"/>
        </w:rPr>
      </w:pPr>
      <w:r>
        <w:rPr>
          <w:rFonts w:eastAsia="Times New Roman"/>
          <w:sz w:val="20"/>
          <w:szCs w:val="20"/>
        </w:rPr>
        <w:t xml:space="preserve">26 </w:t>
      </w:r>
    </w:p>
    <w:p w:rsidR="00000000" w:rsidRDefault="006954AA">
      <w:pPr>
        <w:divId w:val="639579001"/>
        <w:rPr>
          <w:rFonts w:eastAsia="Times New Roman"/>
          <w:sz w:val="20"/>
          <w:szCs w:val="20"/>
        </w:rPr>
      </w:pPr>
      <w:r>
        <w:rPr>
          <w:rFonts w:eastAsia="Times New Roman"/>
          <w:sz w:val="20"/>
          <w:szCs w:val="20"/>
        </w:rPr>
        <w:pict>
          <v:rect id="_x0000_i1060" style="width:415.3pt;height:1.5pt" o:hralign="center" o:hrstd="t" o:hrnoshade="t" o:hr="t" fillcolor="black" stroked="f"/>
        </w:pict>
      </w:r>
    </w:p>
    <w:p w:rsidR="00000000" w:rsidRDefault="006954AA">
      <w:pPr>
        <w:divId w:val="16453516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Depreciation and amortization are provided on the straight-line method over the estimated useful lives of the assets, as follows:</w:t>
      </w:r>
    </w:p>
    <w:p w:rsidR="00000000" w:rsidRDefault="006954AA">
      <w:pPr>
        <w:pStyle w:val="a3"/>
        <w:spacing w:before="0" w:beforeAutospacing="0" w:after="0" w:afterAutospacing="0"/>
        <w:rPr>
          <w:sz w:val="20"/>
          <w:szCs w:val="20"/>
        </w:rPr>
      </w:pPr>
      <w:r>
        <w:rPr>
          <w:sz w:val="20"/>
          <w:szCs w:val="20"/>
        </w:rPr>
        <w:t> </w:t>
      </w:r>
    </w:p>
    <w:tbl>
      <w:tblPr>
        <w:tblW w:w="3558" w:type="pct"/>
        <w:tblCellSpacing w:w="0" w:type="dxa"/>
        <w:tblCellMar>
          <w:left w:w="0" w:type="dxa"/>
          <w:right w:w="0" w:type="dxa"/>
        </w:tblCellMar>
        <w:tblLook w:val="04A0" w:firstRow="1" w:lastRow="0" w:firstColumn="1" w:lastColumn="0" w:noHBand="0" w:noVBand="1"/>
      </w:tblPr>
      <w:tblGrid>
        <w:gridCol w:w="3748"/>
        <w:gridCol w:w="189"/>
        <w:gridCol w:w="1974"/>
      </w:tblGrid>
      <w:tr w:rsidR="00000000">
        <w:trPr>
          <w:tblCellSpacing w:w="0" w:type="dxa"/>
        </w:trPr>
        <w:tc>
          <w:tcPr>
            <w:tcW w:w="3170" w:type="pct"/>
            <w:shd w:val="clear" w:color="auto" w:fill="CCEEFF"/>
            <w:hideMark/>
          </w:tcPr>
          <w:p w:rsidR="00000000" w:rsidRDefault="006954AA">
            <w:pPr>
              <w:pStyle w:val="a3"/>
              <w:spacing w:before="0" w:beforeAutospacing="0" w:after="0" w:afterAutospacing="0"/>
              <w:rPr>
                <w:sz w:val="20"/>
                <w:szCs w:val="20"/>
              </w:rPr>
            </w:pPr>
            <w:r>
              <w:rPr>
                <w:sz w:val="20"/>
                <w:szCs w:val="20"/>
              </w:rPr>
              <w:t>Buildings and building improvements (in years)</w:t>
            </w:r>
          </w:p>
        </w:tc>
        <w:tc>
          <w:tcPr>
            <w:tcW w:w="160" w:type="pct"/>
            <w:shd w:val="clear" w:color="auto" w:fill="CCEEFF"/>
            <w:hideMark/>
          </w:tcPr>
          <w:p w:rsidR="00000000" w:rsidRDefault="006954AA">
            <w:pPr>
              <w:rPr>
                <w:rFonts w:eastAsia="Times New Roman"/>
                <w:sz w:val="20"/>
                <w:szCs w:val="20"/>
              </w:rPr>
            </w:pPr>
            <w:r>
              <w:rPr>
                <w:rFonts w:eastAsia="Times New Roman"/>
                <w:sz w:val="20"/>
                <w:szCs w:val="20"/>
              </w:rPr>
              <w:t> </w:t>
            </w:r>
          </w:p>
        </w:tc>
        <w:tc>
          <w:tcPr>
            <w:tcW w:w="1730" w:type="pct"/>
            <w:shd w:val="clear" w:color="auto" w:fill="CCEEFF"/>
            <w:hideMark/>
          </w:tcPr>
          <w:p w:rsidR="00000000" w:rsidRDefault="006954AA">
            <w:pPr>
              <w:pStyle w:val="a3"/>
              <w:spacing w:before="0" w:beforeAutospacing="0" w:after="0" w:afterAutospacing="0"/>
              <w:rPr>
                <w:sz w:val="20"/>
                <w:szCs w:val="20"/>
              </w:rPr>
            </w:pPr>
            <w:r>
              <w:rPr>
                <w:sz w:val="20"/>
                <w:szCs w:val="20"/>
              </w:rPr>
              <w:t>5 to</w:t>
            </w:r>
            <w:r>
              <w:rPr>
                <w:sz w:val="20"/>
                <w:szCs w:val="20"/>
              </w:rPr>
              <w:t xml:space="preserve"> 50</w:t>
            </w:r>
          </w:p>
        </w:tc>
      </w:tr>
      <w:tr w:rsidR="00000000">
        <w:trPr>
          <w:tblCellSpacing w:w="0" w:type="dxa"/>
        </w:trPr>
        <w:tc>
          <w:tcPr>
            <w:tcW w:w="3170" w:type="pct"/>
            <w:shd w:val="clear" w:color="auto" w:fill="FFFFFF"/>
            <w:vAlign w:val="bottom"/>
            <w:hideMark/>
          </w:tcPr>
          <w:p w:rsidR="00000000" w:rsidRDefault="006954AA">
            <w:pPr>
              <w:pStyle w:val="a3"/>
              <w:spacing w:before="0" w:beforeAutospacing="0" w:after="0" w:afterAutospacing="0"/>
              <w:ind w:left="180" w:hanging="180"/>
              <w:rPr>
                <w:sz w:val="20"/>
                <w:szCs w:val="20"/>
              </w:rPr>
            </w:pPr>
            <w:r>
              <w:rPr>
                <w:sz w:val="20"/>
                <w:szCs w:val="20"/>
              </w:rPr>
              <w:t>Fixtures, leasehold and tenant improvements (including certain identified intangible assets)</w:t>
            </w:r>
          </w:p>
        </w:tc>
        <w:tc>
          <w:tcPr>
            <w:tcW w:w="160" w:type="pct"/>
            <w:shd w:val="clear" w:color="auto" w:fill="FFFFFF"/>
            <w:hideMark/>
          </w:tcPr>
          <w:p w:rsidR="00000000" w:rsidRDefault="006954AA">
            <w:pPr>
              <w:rPr>
                <w:rFonts w:eastAsia="Times New Roman"/>
                <w:sz w:val="20"/>
                <w:szCs w:val="20"/>
              </w:rPr>
            </w:pPr>
            <w:r>
              <w:rPr>
                <w:rFonts w:eastAsia="Times New Roman"/>
                <w:sz w:val="20"/>
                <w:szCs w:val="20"/>
              </w:rPr>
              <w:t> </w:t>
            </w:r>
          </w:p>
        </w:tc>
        <w:tc>
          <w:tcPr>
            <w:tcW w:w="1730" w:type="pct"/>
            <w:shd w:val="clear" w:color="auto" w:fill="FFFFFF"/>
            <w:vAlign w:val="center"/>
            <w:hideMark/>
          </w:tcPr>
          <w:p w:rsidR="00000000" w:rsidRDefault="006954AA">
            <w:pPr>
              <w:pStyle w:val="a3"/>
              <w:spacing w:before="0" w:beforeAutospacing="0" w:after="0" w:afterAutospacing="0"/>
              <w:ind w:left="180" w:hanging="180"/>
              <w:rPr>
                <w:sz w:val="20"/>
                <w:szCs w:val="20"/>
              </w:rPr>
            </w:pPr>
            <w:r>
              <w:rPr>
                <w:sz w:val="20"/>
                <w:szCs w:val="20"/>
              </w:rPr>
              <w:t>Terms of leases or useful lives, whichever is shorter</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is required to make subjective assessments as to the useful lives of its properties for purposes of determining the amount of depreciation to reflect on an annual basis with respect to those properties. These assessments have a direct impact on</w:t>
      </w:r>
      <w:r>
        <w:rPr>
          <w:sz w:val="20"/>
          <w:szCs w:val="20"/>
        </w:rPr>
        <w:t xml:space="preserve"> the Company’s net earnings.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2022, the Company acquired properties for a total purchase price of $524.9 million. $8.4 million, or less than 1.6% of the total purchase price, was allocated to above-market leases and $24.1 million, or 4.6% was alloc</w:t>
      </w:r>
      <w:r>
        <w:rPr>
          <w:sz w:val="20"/>
          <w:szCs w:val="20"/>
        </w:rPr>
        <w:t xml:space="preserve">ated to below-market leases. If the amounts allocated in 2022 to above-market and below-market leases were each reduced by 1% of the total purchase price, the net annual market lease amortization through rental income would decrease by $0.9 million (using </w:t>
      </w:r>
      <w:r>
        <w:rPr>
          <w:sz w:val="20"/>
          <w:szCs w:val="20"/>
        </w:rPr>
        <w:t>the weighted average life of above-market and below-market leases at each respective acquired property).</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a continuous basis, management assesses whether there are any indicators, including property operating performance, changes in anticipated holding</w:t>
      </w:r>
      <w:r>
        <w:rPr>
          <w:sz w:val="20"/>
          <w:szCs w:val="20"/>
        </w:rPr>
        <w:t xml:space="preserve"> period, general market conditions and delays of development, that the value of the real estate properties (including any related amortizable intangible assets or liabilities) may be impaired. A property value is considered impaired only if management’s es</w:t>
      </w:r>
      <w:r>
        <w:rPr>
          <w:sz w:val="20"/>
          <w:szCs w:val="20"/>
        </w:rPr>
        <w:t>timate of current and projected operating cash flows, net of anticipated construction and leasing costs (undiscounted and unleveraged), of the property over its anticipated hold period is less than the net carrying value of the property. Such cash flow pro</w:t>
      </w:r>
      <w:r>
        <w:rPr>
          <w:sz w:val="20"/>
          <w:szCs w:val="20"/>
        </w:rPr>
        <w:t>jections consider factors such as expected future costs of materials and labor, operating income, trends and prospects, as well as the effects of demand, competition and other factors. To the extent impairment has occurred, the carrying value of the proper</w:t>
      </w:r>
      <w:r>
        <w:rPr>
          <w:sz w:val="20"/>
          <w:szCs w:val="20"/>
        </w:rPr>
        <w:t>ty would be adjusted to reflect the estimated fair value of the property. The Company’s estimated fair values are primarily based upon estimated sales prices from signed contracts or letters of intent from third parties, discounted cash flow models or thir</w:t>
      </w:r>
      <w:r>
        <w:rPr>
          <w:sz w:val="20"/>
          <w:szCs w:val="20"/>
        </w:rPr>
        <w:t>d-party appraisals. Estimated fair values that are based on discounted cash flow models include all estimated cash inflows and outflows over a specified holding period. Capitalization rates and discount rates utilized in these models are based upon unobser</w:t>
      </w:r>
      <w:r>
        <w:rPr>
          <w:sz w:val="20"/>
          <w:szCs w:val="20"/>
        </w:rPr>
        <w:t>vable rates that the Company believes to be within a reasonable range of current market rates.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See Footnote 3, 4 and 6 of the Notes to Consolidated Financial Statements for further discussion.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Valuation of Joint Venture Investments and Other Investment</w:t>
      </w:r>
      <w:r>
        <w:rPr>
          <w:sz w:val="20"/>
          <w:szCs w:val="20"/>
          <w:u w:val="single"/>
        </w:rPr>
        <w: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a continuous basis, management assesses whether there are any indicators, including property operating performance and general market conditions, that the value of the Company’s investments in unconsolidated joint ventures may be impaired. An invest</w:t>
      </w:r>
      <w:r>
        <w:rPr>
          <w:sz w:val="20"/>
          <w:szCs w:val="20"/>
        </w:rPr>
        <w:t>ment’s value is impaired only if management’s estimate of the fair value of the investment is less than the carrying value of the investment and such difference is deemed to be other-than-temporary. To the extent impairment has occurred, the loss will be m</w:t>
      </w:r>
      <w:r>
        <w:rPr>
          <w:sz w:val="20"/>
          <w:szCs w:val="20"/>
        </w:rPr>
        <w:t>easured as the excess of the carrying amount of the investment over the estimated fair value of the investment. Estimated fair values which are based on discounted cash flow models include all estimated cash inflows and outflows over a specified holding pe</w:t>
      </w:r>
      <w:r>
        <w:rPr>
          <w:sz w:val="20"/>
          <w:szCs w:val="20"/>
        </w:rPr>
        <w:t>riod, capitalization rates and discount rates utilized in these models are based upon unobservable rates that the Company believes to be within a reasonable range of current market rates.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See Footnote 1 of the Notes to Consolidated Financial Statements for further discussion of the Company’s accounting policies and estimates.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Executive Overview</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Kimco Realty Corporation is North America’s largest publicly traded owner and operator of ope</w:t>
      </w:r>
      <w:r>
        <w:rPr>
          <w:sz w:val="20"/>
          <w:szCs w:val="20"/>
        </w:rPr>
        <w:t>n-air, grocery-anchored shopping centers, and a growing portfolio of mixed-use assets. The executive officers are engaged in the day-to-day management and operation of real estate exclusively with the Company, with nearly all operating functions, including</w:t>
      </w:r>
      <w:r>
        <w:rPr>
          <w:sz w:val="20"/>
          <w:szCs w:val="20"/>
        </w:rPr>
        <w:t xml:space="preserve"> leasing, asset management, maintenance, construction, legal, finance and accounting, administered by the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Weingarten Merger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August 3, 2021, Weingarten merged with and into the Company, with the Company continuing as the surviving public com</w:t>
      </w:r>
      <w:r>
        <w:rPr>
          <w:sz w:val="20"/>
          <w:szCs w:val="20"/>
        </w:rPr>
        <w:t>pany, pursuant to the Merger Agreement between the Company and Weingarten which was entered into on April 15, 2021. The total purchase price of the Merger was $4.1 billion, which consists primarily of 179.9 million shares of the Company’s common stock issu</w:t>
      </w:r>
      <w:r>
        <w:rPr>
          <w:sz w:val="20"/>
          <w:szCs w:val="20"/>
        </w:rPr>
        <w:t>ed in exchange for Weingarten common shares, plus $281.1 million of cash consideration. The Merger brought together two industry-leading retail real estate platforms with highly complementary portfolios and created the preeminent open-air shopping center a</w:t>
      </w:r>
      <w:r>
        <w:rPr>
          <w:sz w:val="20"/>
          <w:szCs w:val="20"/>
        </w:rPr>
        <w:t>nd mixed-use real estate owner in the country. As a result of the Merger, the Company acquired 149 properties, including 30 held through joint venture programs. The increased scale in targeted growth markets, coupled with a broader pipeline of redevelopmen</w:t>
      </w:r>
      <w:r>
        <w:rPr>
          <w:sz w:val="20"/>
          <w:szCs w:val="20"/>
        </w:rPr>
        <w:t>t opportunities, has positioned the combined company to create significant value for its shareholders. See Footnote 2 of the Notes to the Consolidated Financial Statements for additional discussion regarding the Merger.</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Corporate UPREIT Reorganization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January of 2023, the Company completed the Reorganization into an UPREIT structure as described in the Explanatory Note at the beginning of this Annual Report.  Prior to the Reorganization, the Company’s business was conducted through the Predecessor. T</w:t>
      </w:r>
      <w:r>
        <w:rPr>
          <w:sz w:val="20"/>
          <w:szCs w:val="20"/>
        </w:rPr>
        <w:t>his Annual Report pertains to the business and results of operations of the Predecessor for its fiscal year ended December 31, 2022. As a result of the Reorganization, the Company became the successor issuer to the Predecessor under the Exchange Act. The C</w:t>
      </w:r>
      <w:r>
        <w:rPr>
          <w:sz w:val="20"/>
          <w:szCs w:val="20"/>
        </w:rPr>
        <w:t>ompany and Kimco OP have elected to co-file this Annual Report of the Predecessor to ensure continuity of information to investors. For additional information about the Reorganization, please see the Company’s Current Reports on Form 8-K filed with the SEC</w:t>
      </w:r>
      <w:r>
        <w:rPr>
          <w:sz w:val="20"/>
          <w:szCs w:val="20"/>
        </w:rPr>
        <w:t xml:space="preserve"> on January 3, 2023 and January 4, 2023.</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94459382"/>
        <w:rPr>
          <w:rFonts w:eastAsia="Times New Roman"/>
          <w:sz w:val="20"/>
          <w:szCs w:val="20"/>
        </w:rPr>
      </w:pPr>
      <w:r>
        <w:rPr>
          <w:rFonts w:eastAsia="Times New Roman"/>
          <w:sz w:val="20"/>
          <w:szCs w:val="20"/>
        </w:rPr>
        <w:t xml:space="preserve">27 </w:t>
      </w:r>
    </w:p>
    <w:p w:rsidR="00000000" w:rsidRDefault="006954AA">
      <w:pPr>
        <w:divId w:val="202836959"/>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6954AA">
      <w:pPr>
        <w:divId w:val="7454206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Financial Highlights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following highlights the Company’</w:t>
      </w:r>
      <w:r>
        <w:rPr>
          <w:sz w:val="20"/>
          <w:szCs w:val="20"/>
        </w:rPr>
        <w:t>s significant transactions, events and results that occurred during the year ended 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Financial and Portfolio Information:</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Net income available to the Company’</w:t>
            </w:r>
            <w:r>
              <w:rPr>
                <w:sz w:val="20"/>
                <w:szCs w:val="20"/>
              </w:rPr>
              <w:t>s common shareholders was $100.8 million, or $0.16 per diluted share, for the year ended December 31, 2022 as compared to $818.6 million, or $1.60 per diluted share, for the year ended December 31, 2021.</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FFO available to the Company's common sharehol</w:t>
            </w:r>
            <w:r>
              <w:rPr>
                <w:sz w:val="20"/>
                <w:szCs w:val="20"/>
              </w:rPr>
              <w:t>ders was $976.4 million, or $1.58 per diluted share, for the year ended December 31, 2022, as compared to $706.8 million, or $1.38 per diluted share, for the corresponding period in 2021 (see additional disclosure on FFO beginning on page 40).</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Same p</w:t>
            </w:r>
            <w:r>
              <w:rPr>
                <w:sz w:val="20"/>
                <w:szCs w:val="20"/>
              </w:rPr>
              <w:t>roperty net operating income (“Same property NOI”) was $1.3 billion for the year ended December 31, 2022, as compared to $1.2 billion for the corresponding period in 2021, an increase of 4.4% (see additional disclosure on Same property NOI beginning on pag</w:t>
            </w:r>
            <w:r>
              <w:rPr>
                <w:sz w:val="20"/>
                <w:szCs w:val="20"/>
              </w:rPr>
              <w:t>e 40).</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Executed 1,696 new leases, renewals and options totaling approximately 10.7 million square feet in the consolidated operating portfolio during the year ended December 31, 2022.</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Consolidated operating portfolio occupancy at December 31, 2</w:t>
            </w:r>
            <w:r>
              <w:rPr>
                <w:sz w:val="20"/>
                <w:szCs w:val="20"/>
              </w:rPr>
              <w:t>022 was 95.5% as compared to 94.2% at December 31, 2021.</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Acquisitions, Dispositions and Other Activity (see Footnotes 4, 5 and 9 of the Notes to Consolidated Financial Statements included in this Form 10-K):</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Acquired 10 operating properties and eight parcels, in separate transactions, for $524.9 million</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Disposed of nine operating properties and 13 parcels, in separate transactions, for an aggregate sales price of $191.1 million, which resulted in aggregate gains of $15.2 million, before noncontrolling interests and taxes.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Monetized 11.5 million </w:t>
            </w:r>
            <w:r>
              <w:rPr>
                <w:sz w:val="20"/>
                <w:szCs w:val="20"/>
              </w:rPr>
              <w:t xml:space="preserve">of shares of ACI held by the Company, generating net proceeds of $301.1 million and a book gain of $15.2 million. For tax purposes, the Company recognized a long-term capital gain of $251.5 million. The Company has elected to retain the proceeds from this </w:t>
            </w:r>
            <w:r>
              <w:rPr>
                <w:sz w:val="20"/>
                <w:szCs w:val="20"/>
              </w:rPr>
              <w:t>stock sale for general corporate purposes and pay corporate income tax of $57.2 million on the taxable gain. The Company held 28.3 million shares of ACI as of December 31, 2022.</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Capital Activity (for additional details see Liquidity and Capital Resource</w:t>
      </w:r>
      <w:r>
        <w:rPr>
          <w:i/>
          <w:iCs/>
          <w:sz w:val="20"/>
          <w:szCs w:val="20"/>
        </w:rPr>
        <w:t>s below):</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Issued $650.0 million of 4.60% notes maturing February 2033 and $600.0 million of 3.20% notes maturing in April 2032.</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Repaid $1.4 billion of notes bearing interest rates from 3.13% to 3.50% with maturity dates ranging from October 2022 to June 2023.</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Assumed $79.4 million of mortgage debt (including fair market value adjustment of $9.4 million) encumbering six operat</w:t>
            </w:r>
            <w:r>
              <w:rPr>
                <w:sz w:val="20"/>
                <w:szCs w:val="20"/>
              </w:rPr>
              <w:t>ing properties acquired in 2022 and obtained a $19.0 million mortgage relating to a consolidated joint venture operating property.</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Repaid $158.4 million of mortgage debt that encumbered 11 operating properties.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As of December 31, 2022, had $2.1</w:t>
            </w:r>
            <w:r>
              <w:rPr>
                <w:sz w:val="20"/>
                <w:szCs w:val="20"/>
              </w:rPr>
              <w:t xml:space="preserve"> billion in immediate liquidity, including $149.8 million in cash.</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43953381"/>
        <w:rPr>
          <w:rFonts w:eastAsia="Times New Roman"/>
          <w:sz w:val="20"/>
          <w:szCs w:val="20"/>
        </w:rPr>
      </w:pPr>
      <w:r>
        <w:rPr>
          <w:rFonts w:eastAsia="Times New Roman"/>
          <w:sz w:val="20"/>
          <w:szCs w:val="20"/>
        </w:rPr>
        <w:t xml:space="preserve">28 </w:t>
      </w:r>
    </w:p>
    <w:p w:rsidR="00000000" w:rsidRDefault="006954AA">
      <w:pPr>
        <w:divId w:val="2061859740"/>
        <w:rPr>
          <w:rFonts w:eastAsia="Times New Roman"/>
          <w:sz w:val="20"/>
          <w:szCs w:val="20"/>
        </w:rPr>
      </w:pPr>
      <w:r>
        <w:rPr>
          <w:rFonts w:eastAsia="Times New Roman"/>
          <w:sz w:val="20"/>
          <w:szCs w:val="20"/>
        </w:rPr>
        <w:pict>
          <v:rect id="_x0000_i1062" style="width:415.3pt;height:1.5pt" o:hralign="center" o:hrstd="t" o:hrnoshade="t" o:hr="t" fillcolor="black" stroked="f"/>
        </w:pict>
      </w:r>
    </w:p>
    <w:p w:rsidR="00000000" w:rsidRDefault="006954AA">
      <w:pPr>
        <w:divId w:val="85303266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As a result of the above debt activity, the Company’s consolidated debt maturity profile, including extension options as of December 31, 2022, is as follows: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As of December 31, 2022, the weighted average interest rate was 3.49% and the weighted average maturity profile was 9.5 years related to the Company’s consolidated debt.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faces external factors which may influence its future results from oper</w:t>
      </w:r>
      <w:r>
        <w:rPr>
          <w:sz w:val="20"/>
          <w:szCs w:val="20"/>
        </w:rPr>
        <w:t>ations. There remains significant uncertainty in the current macro-economic environment, driven by inflationary pressures, as well as ongoing supply chain issues. These factors have impacted, and are expected to continue to impact, consumer discretionary s</w:t>
      </w:r>
      <w:r>
        <w:rPr>
          <w:sz w:val="20"/>
          <w:szCs w:val="20"/>
        </w:rPr>
        <w:t>pending and many of our tenants. The convenience and availability of e-commerce has continued to impact the retail sector, which could affect our ability to increase or maintain rental rates and our ability to renew expiring leases and/or lease available s</w:t>
      </w:r>
      <w:r>
        <w:rPr>
          <w:sz w:val="20"/>
          <w:szCs w:val="20"/>
        </w:rPr>
        <w:t>pace. To better position itself, the Company’s strategy has been to attract local area customers to its properties by providing a diverse and robust tenant base across a variety of retailers, including grocery stores, off-price retailers, discounters and s</w:t>
      </w:r>
      <w:r>
        <w:rPr>
          <w:sz w:val="20"/>
          <w:szCs w:val="20"/>
        </w:rPr>
        <w:t>ervice-oriented tenants, which offer buy online and pick up in store, off-price merchandise and day-to-day necessities rather than high-priced luxury items.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portfolio is focused on first ring suburbs around major metropolitan-area U.S. mark</w:t>
      </w:r>
      <w:r>
        <w:rPr>
          <w:sz w:val="20"/>
          <w:szCs w:val="20"/>
        </w:rPr>
        <w:t xml:space="preserve">ets, predominantly on the east and west coasts and in the sun belt region, which are supported by strong demographics, significant projected population growth, and where the Company perceives significant barriers to entry. The Company owns a predominantly </w:t>
      </w:r>
      <w:r>
        <w:rPr>
          <w:sz w:val="20"/>
          <w:szCs w:val="20"/>
        </w:rPr>
        <w:t>grocery-anchored portfolio clustered in the nation’s top markets. The Company believes it can continue to increase its occupancy levels, rental rates and overall rental growth. In addition, the Company, on a selective basis, has developed or redeveloped pr</w:t>
      </w:r>
      <w:r>
        <w:rPr>
          <w:sz w:val="20"/>
          <w:szCs w:val="20"/>
        </w:rPr>
        <w:t>ojects which include residential and mixed-use components.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As part of the Company’s investment strategy, each property is evaluated for its highest and best use, which may include residential and mixed-use components. In addition, the Company may conside</w:t>
      </w:r>
      <w:r>
        <w:rPr>
          <w:sz w:val="20"/>
          <w:szCs w:val="20"/>
        </w:rPr>
        <w:t>r other opportunistic investments related to retailer controlled real estate, such as, repositioning underperforming retail locations, retail real estate financing and bankruptcy transaction support. The Company may continue to dispose of certain propertie</w:t>
      </w:r>
      <w:r>
        <w:rPr>
          <w:sz w:val="20"/>
          <w:szCs w:val="20"/>
        </w:rPr>
        <w:t>s. If the estimated fair value for any of these assets is less than their net carrying values, the Company would be required to take impairment charges and such amounts could be material. For a further discussion of these and other factors that could impac</w:t>
      </w:r>
      <w:r>
        <w:rPr>
          <w:sz w:val="20"/>
          <w:szCs w:val="20"/>
        </w:rPr>
        <w:t>t our future results, performance or transactions, see Item 1A. Risk Factors.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jc w:val="center"/>
        <w:divId w:val="424568918"/>
        <w:rPr>
          <w:rFonts w:eastAsia="Times New Roman"/>
          <w:sz w:val="20"/>
          <w:szCs w:val="20"/>
        </w:rPr>
      </w:pPr>
      <w:r>
        <w:rPr>
          <w:rFonts w:eastAsia="Times New Roman"/>
          <w:sz w:val="20"/>
          <w:szCs w:val="20"/>
        </w:rPr>
        <w:t xml:space="preserve">29 </w:t>
      </w:r>
    </w:p>
    <w:p w:rsidR="00000000" w:rsidRDefault="006954AA">
      <w:pPr>
        <w:divId w:val="424568918"/>
        <w:rPr>
          <w:rFonts w:eastAsia="Times New Roman"/>
          <w:sz w:val="20"/>
          <w:szCs w:val="20"/>
        </w:rPr>
      </w:pPr>
      <w:r>
        <w:rPr>
          <w:rFonts w:eastAsia="Times New Roman"/>
          <w:sz w:val="20"/>
          <w:szCs w:val="20"/>
        </w:rPr>
        <w:pict>
          <v:rect id="_x0000_i1064" style="width:415.3pt;height:1.5pt" o:hralign="center" o:hrstd="t" o:hrnoshade="t" o:hr="t" fillcolor="black" stroked="f"/>
        </w:pict>
      </w:r>
    </w:p>
    <w:p w:rsidR="00000000" w:rsidRDefault="006954AA">
      <w:pPr>
        <w:divId w:val="18823977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Results of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Comparison of the years ended December 31, 2022 and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Results from operations for the year ended December 31, 2021 include the combined operations for five months as a result of the Company’s Merger with Weingarten which occurred on August 3, 2021. The following table presents the comparative results from the</w:t>
      </w:r>
      <w:r>
        <w:rPr>
          <w:sz w:val="20"/>
          <w:szCs w:val="20"/>
        </w:rPr>
        <w:t xml:space="preserve"> Company’s Consolidated Statements of Income for the year ended December 31, 2022, as compared to the corresponding period in 2021 (in thousands, except per share data):</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3488"/>
        <w:gridCol w:w="71"/>
        <w:gridCol w:w="100"/>
        <w:gridCol w:w="1086"/>
        <w:gridCol w:w="71"/>
        <w:gridCol w:w="71"/>
        <w:gridCol w:w="100"/>
        <w:gridCol w:w="1086"/>
        <w:gridCol w:w="71"/>
        <w:gridCol w:w="72"/>
        <w:gridCol w:w="100"/>
        <w:gridCol w:w="1087"/>
        <w:gridCol w:w="72"/>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240" w:type="pct"/>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1,710,848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1,349,702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361,146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16,836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14,883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(15,811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(13,773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(2,038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(224,729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(181,256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(43,473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(290,367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(222,882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(67,485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(119,534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(104,121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(15,413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(21,958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(18,361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(505,000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(395,320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(109,680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15,179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(15,662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28,829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19,810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9,019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(315,508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505,163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(820,671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(226,823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(204,133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(22,690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(7,658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(7,658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(56,654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(3,380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(53,274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109,481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84,778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24,703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17,403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23,172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(5,769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11,442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17,079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Preferred dividends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(25,218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(25,416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198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100,758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818,643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(717,885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Diluted per share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0.16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(1.44</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0" w:type="auto"/>
            <w:hideMark/>
          </w:tcPr>
          <w:p w:rsidR="00000000" w:rsidRDefault="006954AA">
            <w:pPr>
              <w:pStyle w:val="a3"/>
              <w:spacing w:before="0" w:beforeAutospacing="0" w:after="0" w:afterAutospacing="0"/>
              <w:rPr>
                <w:sz w:val="20"/>
                <w:szCs w:val="20"/>
              </w:rPr>
            </w:pPr>
            <w:r>
              <w:rPr>
                <w:sz w:val="20"/>
                <w:szCs w:val="20"/>
              </w:rPr>
              <w:t>Rent expense relates to ground lease payments for which the Company is the lessee.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(2)</w:t>
            </w:r>
          </w:p>
        </w:tc>
        <w:tc>
          <w:tcPr>
            <w:tcW w:w="0" w:type="auto"/>
            <w:hideMark/>
          </w:tcPr>
          <w:p w:rsidR="00000000" w:rsidRDefault="006954AA">
            <w:pPr>
              <w:pStyle w:val="a3"/>
              <w:spacing w:before="0" w:beforeAutospacing="0" w:after="0" w:afterAutospacing="0"/>
              <w:rPr>
                <w:sz w:val="20"/>
                <w:szCs w:val="20"/>
              </w:rPr>
            </w:pPr>
            <w:r>
              <w:rPr>
                <w:sz w:val="20"/>
                <w:szCs w:val="20"/>
              </w:rPr>
              <w:t>Operating and maintenance expense consists of property related costs including repairs and maintenance costs, roof repair, landscaping, parking lot repair, snow remo</w:t>
            </w:r>
            <w:r>
              <w:rPr>
                <w:sz w:val="20"/>
                <w:szCs w:val="20"/>
              </w:rPr>
              <w:t>val, utilities, property insurance costs, security and various other property related expenses.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(3)</w:t>
            </w:r>
          </w:p>
        </w:tc>
        <w:tc>
          <w:tcPr>
            <w:tcW w:w="0" w:type="auto"/>
            <w:hideMark/>
          </w:tcPr>
          <w:p w:rsidR="00000000" w:rsidRDefault="006954AA">
            <w:pPr>
              <w:pStyle w:val="a3"/>
              <w:spacing w:before="0" w:beforeAutospacing="0" w:after="0" w:afterAutospacing="0"/>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company-specific expen</w:t>
            </w:r>
            <w:r>
              <w:rPr>
                <w:sz w:val="20"/>
                <w:szCs w:val="20"/>
              </w:rPr>
              <w:t>ses.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Net income available to the Company’s common shareholders was $100.8 million for the year ended December 31, 2022, as compared to $818.6 million for the comparable period in 2021. On a diluted per share basis, net income available to the Company’s </w:t>
      </w:r>
      <w:r>
        <w:rPr>
          <w:sz w:val="20"/>
          <w:szCs w:val="20"/>
        </w:rPr>
        <w:t>common shareholders for the year ended December 31, 2022, was $0.16 as compared to $1.60 for the comparable period in 2021. For additional disclosure, see Footnote 28 of the Notes to Consolidated Financial Statements included in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follo</w:t>
      </w:r>
      <w:r>
        <w:rPr>
          <w:sz w:val="20"/>
          <w:szCs w:val="20"/>
        </w:rPr>
        <w:t>wing describes the changes of certain line items included on the Company’s Consolidated Statements of Income, that the Company believes changed significantly and affected Net income available to the Company’s common shareholders during the year ended Decem</w:t>
      </w:r>
      <w:r>
        <w:rPr>
          <w:sz w:val="20"/>
          <w:szCs w:val="20"/>
        </w:rPr>
        <w:t>ber 31, 2022, as compared to the corresponding period in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Revenue from rental properties, net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Revenues from rental properties, net of $361.1 million is primarily from (i) an increase in revenues of $332.6 million due to propertie</w:t>
      </w:r>
      <w:r>
        <w:rPr>
          <w:sz w:val="20"/>
          <w:szCs w:val="20"/>
        </w:rPr>
        <w:t>s acquired during 2022 and 2021, including the results of the Merger, and (ii) an increase in revenues from tenants of $53.7 million primarily due to an increase in leasing activity and net growth in the current portfolio, partially offset by (iii) a net d</w:t>
      </w:r>
      <w:r>
        <w:rPr>
          <w:sz w:val="20"/>
          <w:szCs w:val="20"/>
        </w:rPr>
        <w:t>ecrease of $19.6 million due to changes in credit losses from tenants, (iv) a decrease in revenues of $3.1 million due to dispositions in 2022 and 2021 and (v) a decrease in lease termination fee income of $2.5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Real estate taxes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Real estate taxes of $43.5 million is primarily due to properties acquired during 2022 and 2021, including the impact of the Merger.</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725718540"/>
        <w:rPr>
          <w:rFonts w:eastAsia="Times New Roman"/>
          <w:sz w:val="20"/>
          <w:szCs w:val="20"/>
        </w:rPr>
      </w:pPr>
      <w:r>
        <w:rPr>
          <w:rFonts w:eastAsia="Times New Roman"/>
          <w:sz w:val="20"/>
          <w:szCs w:val="20"/>
        </w:rPr>
        <w:t xml:space="preserve">30 </w:t>
      </w:r>
    </w:p>
    <w:p w:rsidR="00000000" w:rsidRDefault="006954AA">
      <w:pPr>
        <w:divId w:val="862942160"/>
        <w:rPr>
          <w:rFonts w:eastAsia="Times New Roman"/>
          <w:sz w:val="20"/>
          <w:szCs w:val="20"/>
        </w:rPr>
      </w:pPr>
      <w:r>
        <w:rPr>
          <w:rFonts w:eastAsia="Times New Roman"/>
          <w:sz w:val="20"/>
          <w:szCs w:val="20"/>
        </w:rPr>
        <w:pict>
          <v:rect id="_x0000_i1065" style="width:415.3pt;height:1.5pt" o:hralign="center" o:hrstd="t" o:hrnoshade="t" o:hr="t" fillcolor="black" stroked="f"/>
        </w:pict>
      </w:r>
    </w:p>
    <w:p w:rsidR="00000000" w:rsidRDefault="006954AA">
      <w:pPr>
        <w:divId w:val="11440864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Operating and maintenance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Operating and maintenance expense of $67.5 million is primarily due to (i) properties acquired during 2022 and 2021, including the impact of the Merger, and (ii) increases in repairs and maintenance, utilities and other operating costs thro</w:t>
      </w:r>
      <w:r>
        <w:rPr>
          <w:sz w:val="20"/>
          <w:szCs w:val="20"/>
        </w:rPr>
        <w:t>ughout the Company’s operating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General and administrative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General and administrative expense of $15.4 million is primarily due to (i) an increase in employee-related expenses of $10.5 million resulting from additional empl</w:t>
      </w:r>
      <w:r>
        <w:rPr>
          <w:sz w:val="20"/>
          <w:szCs w:val="20"/>
        </w:rPr>
        <w:t>oyees hired in connection with the Merger and (ii) an increase in professional fees and corporate expenses of $6.6 million, including costs related to the Company’s UPREIT Reorganization, partially offset by (iii) a decrease of $1.7 million primarily due t</w:t>
      </w:r>
      <w:r>
        <w:rPr>
          <w:sz w:val="20"/>
          <w:szCs w:val="20"/>
        </w:rPr>
        <w:t>o the fluctuations in value of various directors’ deferred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Impairment charges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the years ended December 31, 2022 and 2021, the Company recognized impairment charges of $22.0 million and $3.6 million, respectively, primarily related to adjustments to property carrying values for which the Company’s estimated fair values were pr</w:t>
      </w:r>
      <w:r>
        <w:rPr>
          <w:sz w:val="20"/>
          <w:szCs w:val="20"/>
        </w:rPr>
        <w:t>imarily based upon signed contracts or letters of intent from third-party offers. These adjustments to property carrying values were recognized in connection with the Company’s efforts to market certain properties and management’s assessment as to the like</w:t>
      </w:r>
      <w:r>
        <w:rPr>
          <w:sz w:val="20"/>
          <w:szCs w:val="20"/>
        </w:rPr>
        <w:t xml:space="preserve">lihood and timing of such potential transactions. Certain of the calculations to determine fair values utilized unobservable inputs and, as such, were classified as Level 3 of the FASB’s fair value hierarchy. For additional disclosure, see Footnotes 6 and </w:t>
      </w:r>
      <w:r>
        <w:rPr>
          <w:sz w:val="20"/>
          <w:szCs w:val="20"/>
        </w:rPr>
        <w:t>18 of the Notes to Consolidated Financial Statements included in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Merger charges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the year ended December 31, 2021, the Company incurred costs of $50.2 million associated with the Merger. These charges are primarily comprised of</w:t>
      </w:r>
      <w:r>
        <w:rPr>
          <w:sz w:val="20"/>
          <w:szCs w:val="20"/>
        </w:rPr>
        <w:t xml:space="preserve"> severance costs and professional and legal fees.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Depreciation and amortization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increase in Depreciation and amortization of $109.7 million is primarily due to (i) an increase of $166.7 million resulting from properties acquired during 2022 and </w:t>
      </w:r>
      <w:r>
        <w:rPr>
          <w:sz w:val="20"/>
          <w:szCs w:val="20"/>
        </w:rPr>
        <w:t>2021, including the impact of the Merger, and (ii) an increase of $1.4 million due to depreciation commencing on certain redevelopment projects that were placed into service during 2022 and 2021, partially offset by (iii) a net decrease of $58.4 million pr</w:t>
      </w:r>
      <w:r>
        <w:rPr>
          <w:sz w:val="20"/>
          <w:szCs w:val="20"/>
        </w:rPr>
        <w:t>imarily from fully depreciated assets and write-offs due to tenant vacates and dispositions during 2022 and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Gain on sale of properties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2022, the Company disposed of nine operating properties and 13 parcels, in separate transactions, for</w:t>
      </w:r>
      <w:r>
        <w:rPr>
          <w:sz w:val="20"/>
          <w:szCs w:val="20"/>
        </w:rPr>
        <w:t xml:space="preserve"> an aggregate sales price of $191.1 million, which resulted in aggregate gains of $15.2 million. During 2021, the Company disposed of 13 operating properties and 10 parcels (including the deconsolidation of six operating properties), in separate transactio</w:t>
      </w:r>
      <w:r>
        <w:rPr>
          <w:sz w:val="20"/>
          <w:szCs w:val="20"/>
        </w:rPr>
        <w:t>ns, for an aggregate sales price of $612.4 million, which resulted in aggregate gains of $30.8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Other income, net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Other income, net of $9.0 million is primarily due to (i) a net increase in mortgage and other financing income of $9.4 million, including profit participation of $4.0 million relating to the repayment of a loan, and (ii) an increase in div</w:t>
      </w:r>
      <w:r>
        <w:rPr>
          <w:sz w:val="20"/>
          <w:szCs w:val="20"/>
        </w:rPr>
        <w:t>idend, interest and other income of $3.2 million, partially offset by (iii) a decrease in net periodic benefit income of $3.6 million relating to the Company’s defined benefit plan.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(Loss)/gain on marketable securities, net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change in (Loss)/gain</w:t>
      </w:r>
      <w:r>
        <w:rPr>
          <w:sz w:val="20"/>
          <w:szCs w:val="20"/>
        </w:rPr>
        <w:t xml:space="preserve"> on marketable securities, net of $820.7 million is primarily the result of mark-to-market fluctuations of the shares of ACI common stock held by the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Interest expense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Interest expense of $22.7 million is primarily due to (i)</w:t>
      </w:r>
      <w:r>
        <w:rPr>
          <w:sz w:val="20"/>
          <w:szCs w:val="20"/>
        </w:rPr>
        <w:t xml:space="preserve"> increased levels of borrowings resulting from the assumption of senior unsecured notes and mortgages in connection with the Merger and public debt offerings, partially offset by (ii) the repayment of senior unsecured notes and mortgages during 2022 and 20</w:t>
      </w:r>
      <w:r>
        <w:rPr>
          <w:sz w:val="20"/>
          <w:szCs w:val="20"/>
        </w:rPr>
        <w:t>21 and (iii) an increase in fair market value amortization, primarily related to the assumption of debt in connection with the Merger and acceleration due to the repayment of senior unsecured notes in 2022.</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403377520"/>
        <w:rPr>
          <w:rFonts w:eastAsia="Times New Roman"/>
          <w:sz w:val="20"/>
          <w:szCs w:val="20"/>
        </w:rPr>
      </w:pPr>
      <w:r>
        <w:rPr>
          <w:rFonts w:eastAsia="Times New Roman"/>
          <w:sz w:val="20"/>
          <w:szCs w:val="20"/>
        </w:rPr>
        <w:t xml:space="preserve">31 </w:t>
      </w:r>
    </w:p>
    <w:p w:rsidR="00000000" w:rsidRDefault="006954AA">
      <w:pPr>
        <w:divId w:val="901909172"/>
        <w:rPr>
          <w:rFonts w:eastAsia="Times New Roman"/>
          <w:sz w:val="20"/>
          <w:szCs w:val="20"/>
        </w:rPr>
      </w:pPr>
      <w:r>
        <w:rPr>
          <w:rFonts w:eastAsia="Times New Roman"/>
          <w:sz w:val="20"/>
          <w:szCs w:val="20"/>
        </w:rPr>
        <w:pict>
          <v:rect id="_x0000_i1066" style="width:415.3pt;height:1.5pt" o:hralign="center" o:hrstd="t" o:hrnoshade="t" o:hr="t" fillcolor="black" stroked="f"/>
        </w:pict>
      </w:r>
    </w:p>
    <w:p w:rsidR="00000000" w:rsidRDefault="006954AA">
      <w:pPr>
        <w:divId w:val="241401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Early extinguishment of debt charges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The increase in Early extinguishment of debt charges of $7.7 million is primarily due to the Company’s repayment of its $500.0 million 3.40% senior unsecured notes, which were scheduled to mature in November 2022. A</w:t>
      </w:r>
      <w:r>
        <w:rPr>
          <w:sz w:val="20"/>
          <w:szCs w:val="20"/>
        </w:rPr>
        <w:t>s a result, the Company incurred a prepayment charge of $6.5 million and $0.7 million from the write-off of deferred financing costs during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Provision for income taxes, net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Provision for income taxes, net of $53.3 million is pri</w:t>
      </w:r>
      <w:r>
        <w:rPr>
          <w:sz w:val="20"/>
          <w:szCs w:val="20"/>
        </w:rPr>
        <w:t>marily due to the sale of 11.5 million of the shares of ACI held by the Company, which generated a taxable long-term capital gain. The Company elected to retain the proceeds from the sale and as a result incurred federal corporate and state income tax aggr</w:t>
      </w:r>
      <w:r>
        <w:rPr>
          <w:sz w:val="20"/>
          <w:szCs w:val="20"/>
        </w:rPr>
        <w:t>egating $57.2 million on such gain.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increase in Equity in income of joint ventures, net of $24.7 million is primarily due to (i) an increase in net gains of $21.9 million resulting from the sale of propert</w:t>
      </w:r>
      <w:r>
        <w:rPr>
          <w:sz w:val="20"/>
          <w:szCs w:val="20"/>
        </w:rPr>
        <w:t>ies within various joint venture investments during 2022, as compared to 2021, and (ii) an increase in equity in income of $4.5 million from ownership interests acquired in unconsolidated joint ventures in connection with the Merger, partially offset by (i</w:t>
      </w:r>
      <w:r>
        <w:rPr>
          <w:sz w:val="20"/>
          <w:szCs w:val="20"/>
        </w:rPr>
        <w:t>ii) an increase in impairment charges of $1.7 million recognized during 2022, as compared to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Equity in income of other investments, net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decrease in Equity in income of other investments, net of $5.8 million is primarily due to the sale of properties within the Company’s Preferred Equity Program during 2022 and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Net loss/(income) attributable to noncontrolling interests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w:t>
      </w:r>
      <w:r>
        <w:rPr>
          <w:sz w:val="20"/>
          <w:szCs w:val="20"/>
        </w:rPr>
        <w:t>change in Net loss/(income) attributable to noncontrolling interests of $17.1 million is primarily due to (i) impairment charges relating to properties within consolidated joint ventures recognized during 2022, partially offset by (ii) an increase in net i</w:t>
      </w:r>
      <w:r>
        <w:rPr>
          <w:sz w:val="20"/>
          <w:szCs w:val="20"/>
        </w:rPr>
        <w:t>ncome attributable to noncontrolling interests primarily related to consolidated joint ventures acquired in the Merger.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Comparison of the years ended December 31, 2021 and 2020</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Information pertaining to fiscal year 2020 was included in the Company’s An</w:t>
      </w:r>
      <w:r>
        <w:rPr>
          <w:sz w:val="20"/>
          <w:szCs w:val="20"/>
        </w:rPr>
        <w:t>nual Report on Form 10-K for the year ended December 31, 2021 under Part II, Item 7, “Management’s Discussion and Analysis of Financial Condition and Results of Operations,” which was filed with the SEC on March 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Liquidity and Capital Resources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capital resources include accessing the public debt and equity capital markets, unsecured term loans, mortgages and construction loan financing, marketable securities (including 28.3 million shares of ACI common stock held by the Company, wh</w:t>
      </w:r>
      <w:r>
        <w:rPr>
          <w:sz w:val="20"/>
          <w:szCs w:val="20"/>
        </w:rPr>
        <w:t>ich had a value of $587.7 million at December 31, 2022 and are subject to certain contractual lock-up provisions that expire in May 2023) and immediate access to an unsecured revolving credit facility (the “Credit Facility”) with bank commitments of $2.0 b</w:t>
      </w:r>
      <w:r>
        <w:rPr>
          <w:sz w:val="20"/>
          <w:szCs w:val="20"/>
        </w:rPr>
        <w:t>illion which can be increased to $2.75 billion through an accordion feature.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cash flow activities are summarized as follows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Cash, cash equivalents and restricted cash, beginning of year</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861,114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618,875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(63,217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(476,259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(982,731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(101,141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Net change in cash, cash equivalents and restricted cash</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(184,834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41,475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Cash, cash equivalents and restricted cash, end of year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149,829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334,663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Operating Activities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anticipates that cash on hand, net cash flow provided by operating activities, borrowings under its Credit Facility and the issuance of equity, public debt, as well as other debt and equity alternatives, and the sale of marketable equity securi</w:t>
      </w:r>
      <w:r>
        <w:rPr>
          <w:sz w:val="20"/>
          <w:szCs w:val="20"/>
        </w:rPr>
        <w:t>ties, will provide the necessary capital required by the Company. The Company will continue to evaluate its capital requirements for both its short-term and long-term liquidity needs, which could be affected by various risks and uncertainties, including, b</w:t>
      </w:r>
      <w:r>
        <w:rPr>
          <w:sz w:val="20"/>
          <w:szCs w:val="20"/>
        </w:rPr>
        <w:t>ut not limited to, the effects of the current inflationary environment, rising interest rates, and other risks detailed in Part I, Item 1A. Risk Factors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557818425"/>
        <w:rPr>
          <w:rFonts w:eastAsia="Times New Roman"/>
          <w:sz w:val="20"/>
          <w:szCs w:val="20"/>
        </w:rPr>
      </w:pPr>
      <w:r>
        <w:rPr>
          <w:rFonts w:eastAsia="Times New Roman"/>
          <w:sz w:val="20"/>
          <w:szCs w:val="20"/>
        </w:rPr>
        <w:t xml:space="preserve">32 </w:t>
      </w:r>
    </w:p>
    <w:p w:rsidR="00000000" w:rsidRDefault="006954AA">
      <w:pPr>
        <w:divId w:val="927008539"/>
        <w:rPr>
          <w:rFonts w:eastAsia="Times New Roman"/>
          <w:sz w:val="20"/>
          <w:szCs w:val="20"/>
        </w:rPr>
      </w:pPr>
      <w:r>
        <w:rPr>
          <w:rFonts w:eastAsia="Times New Roman"/>
          <w:sz w:val="20"/>
          <w:szCs w:val="20"/>
        </w:rPr>
        <w:pict>
          <v:rect id="_x0000_i1067" style="width:415.3pt;height:1.5pt" o:hralign="center" o:hrstd="t" o:hrnoshade="t" o:hr="t" fillcolor="black" stroked="f"/>
        </w:pict>
      </w:r>
    </w:p>
    <w:p w:rsidR="00000000" w:rsidRDefault="006954AA">
      <w:pPr>
        <w:divId w:val="20004272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Net cash flows provided by operating activities for the year ended December 31, 2022, was $861.1. million, as compared to $618.9 million for the comparable period in 2021. The i</w:t>
      </w:r>
      <w:r>
        <w:rPr>
          <w:sz w:val="20"/>
          <w:szCs w:val="20"/>
        </w:rPr>
        <w:t>ncrease of $242.2 million is primarily attributable to:</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additional operating cash flow generated by operating properties acquired during 2022 and 2021, including those acquired from the Merger;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new leasing, expansion and re-tenanting of core portfolio properties;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changes in accounts payable and accrued expenses due to timing of receipts and payments;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nonrecurring costs incurred in connection with the Merger during 2021, partially </w:t>
            </w:r>
            <w:r>
              <w:rPr>
                <w:sz w:val="20"/>
                <w:szCs w:val="20"/>
              </w:rPr>
              <w:t>offset by</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changes in operating assets and liabilities due to timing of receipts and payments;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a decrease in distributions from the Company’</w:t>
            </w:r>
            <w:r>
              <w:rPr>
                <w:sz w:val="20"/>
                <w:szCs w:val="20"/>
              </w:rPr>
              <w:t>s joint ventures programs due to the sale of properties within the ventures;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disposition of operating properties in 2022 and 2021.</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Investing Activities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Net cash flows used for investing activities was $63.2 million for 2022, as compared to $476.3 million for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Investing activities during 2022 consisted primarily of:</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$302.5 million in proceeds from the sale of marketable securitie</w:t>
            </w:r>
            <w:r>
              <w:rPr>
                <w:sz w:val="20"/>
                <w:szCs w:val="20"/>
              </w:rPr>
              <w:t>s, primarily due to the sale of 11.5 million shares of ACI;</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$184.3 million in proceeds from the sale of nine consolidated properties and 13 parcels;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$68.4 million in reimbursements of investments in and advances to real estate joint ventures and other investments primarily due to the sale of properties within the investments;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$60.3 million in collection of mortgage and other financing receivables</w:t>
            </w:r>
            <w:r>
              <w:rPr>
                <w:sz w:val="20"/>
                <w:szCs w:val="20"/>
              </w:rPr>
              <w:t>; and</w:t>
            </w:r>
          </w:p>
        </w:tc>
      </w:tr>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rPr>
                <w:rFonts w:eastAsia="Times New Roman"/>
                <w:sz w:val="20"/>
                <w:szCs w:val="20"/>
              </w:rPr>
            </w:pPr>
            <w:r>
              <w:rPr>
                <w:rFonts w:eastAsia="Times New Roman"/>
                <w:sz w:val="20"/>
                <w:szCs w:val="20"/>
              </w:rPr>
              <w:t>●</w:t>
            </w:r>
          </w:p>
        </w:tc>
        <w:tc>
          <w:tcPr>
            <w:tcW w:w="0" w:type="auto"/>
            <w:hideMark/>
          </w:tcPr>
          <w:p w:rsidR="00000000" w:rsidRDefault="006954AA">
            <w:pPr>
              <w:rPr>
                <w:rFonts w:eastAsia="Times New Roman"/>
                <w:sz w:val="20"/>
                <w:szCs w:val="20"/>
              </w:rPr>
            </w:pPr>
            <w:r>
              <w:rPr>
                <w:rFonts w:eastAsia="Times New Roman"/>
                <w:sz w:val="20"/>
                <w:szCs w:val="20"/>
              </w:rPr>
              <w:t>$4.0 million for principal payments from securities held to maturity.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$300.8 </w:t>
            </w:r>
            <w:r>
              <w:rPr>
                <w:sz w:val="20"/>
                <w:szCs w:val="20"/>
              </w:rPr>
              <w:t>million for the acquisition of 10 consolidated operating properties and eight parcels;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$193.7 million for improvements to operating real estate primarily related to the Company’s active redevelopment pipeline;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$104.7 million for investments in </w:t>
            </w:r>
            <w:r>
              <w:rPr>
                <w:sz w:val="20"/>
                <w:szCs w:val="20"/>
              </w:rPr>
              <w:t>and advances to real estate joint ventures, primarily related to partner buyouts and a redevelopment project within the Company’s joint venture portfolio, and investments in other investments, primarily related to funding commitments for certain investment</w:t>
            </w:r>
            <w:r>
              <w:rPr>
                <w:sz w:val="20"/>
                <w:szCs w:val="20"/>
              </w:rPr>
              <w: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$75.1 million for investment in mortgage and other financing receivables;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$4.5 million for investment in cost method investments;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$4.0 million for investment in marketable securities.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Investing activities during 2021 consisted primarily of:</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$302.8 million in proceeds from the sale of 13 consolidated properties and 10 parcels (including the deconsolidation of 6 </w:t>
            </w:r>
            <w:r>
              <w:rPr>
                <w:sz w:val="20"/>
                <w:szCs w:val="20"/>
              </w:rPr>
              <w:t>operating properties);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$111.9 million in reimbursements of investments in and advances to real estate joint ventures and other investments primarily due to the sale of properties within the investments;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$13.8 million in collection of mortgage and other financing receivables.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$356.0 million for the acquisition of 11 consolidated operating properties and one parcel;</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$264.0 million net cash consideration paid in conjunction with t</w:t>
            </w:r>
            <w:r>
              <w:rPr>
                <w:sz w:val="20"/>
                <w:szCs w:val="20"/>
              </w:rPr>
              <w:t>he Merger;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$163.7 million for improvements to operating real estate primarily related to the Company’s active redevelopment pipeline;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$67.1 million for investments in and advances to other investments, primarily related to a preferred equity investment located in San Antonio, TX;</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$41.9 million for investment in other financing receivables;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$12.6 million for investments in</w:t>
            </w:r>
            <w:r>
              <w:rPr>
                <w:sz w:val="20"/>
                <w:szCs w:val="20"/>
              </w:rPr>
              <w:t xml:space="preserve"> and advances to real estate joint ventures, primarily related to a redevelopment project within the Company’s joint venture portfolio.</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564945302"/>
        <w:rPr>
          <w:rFonts w:eastAsia="Times New Roman"/>
          <w:sz w:val="20"/>
          <w:szCs w:val="20"/>
        </w:rPr>
      </w:pPr>
      <w:r>
        <w:rPr>
          <w:rFonts w:eastAsia="Times New Roman"/>
          <w:sz w:val="20"/>
          <w:szCs w:val="20"/>
        </w:rPr>
        <w:t xml:space="preserve">33 </w:t>
      </w:r>
    </w:p>
    <w:p w:rsidR="00000000" w:rsidRDefault="006954AA">
      <w:pPr>
        <w:divId w:val="1642074398"/>
        <w:rPr>
          <w:rFonts w:eastAsia="Times New Roman"/>
          <w:sz w:val="20"/>
          <w:szCs w:val="20"/>
        </w:rPr>
      </w:pPr>
      <w:r>
        <w:rPr>
          <w:rFonts w:eastAsia="Times New Roman"/>
          <w:sz w:val="20"/>
          <w:szCs w:val="20"/>
        </w:rPr>
        <w:pict>
          <v:rect id="_x0000_i1068" style="width:415.3pt;height:1.5pt" o:hralign="center" o:hrstd="t" o:hrnoshade="t" o:hr="t" fillcolor="black" stroked="f"/>
        </w:pict>
      </w:r>
    </w:p>
    <w:p w:rsidR="00000000" w:rsidRDefault="006954AA">
      <w:pPr>
        <w:divId w:val="8653693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Acquisitions of Operating Real Estate and Other Related Net Assets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the years ended December 31, 2022 and 2021, the Company expended $300.8 </w:t>
      </w:r>
      <w:r>
        <w:rPr>
          <w:sz w:val="20"/>
          <w:szCs w:val="20"/>
        </w:rPr>
        <w:t>million and $619.9 million, respectively, towards the acquisition of operating real estate properties, including the Merger in 2021. The Company anticipates spending approximately $125.0 million to $250.0 million towards the acquisition of operating proper</w:t>
      </w:r>
      <w:r>
        <w:rPr>
          <w:sz w:val="20"/>
          <w:szCs w:val="20"/>
        </w:rPr>
        <w:t>ties during 2023. The Company intends to fund these acquisitions with cash on hand, net cash flow provided by operating activities, proceeds from property dispositions, proceeds from the sale of marketable securities and/or availability under its Credit Fa</w:t>
      </w:r>
      <w:r>
        <w:rPr>
          <w:sz w:val="20"/>
          <w:szCs w:val="20"/>
        </w:rPr>
        <w:t>cility.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Improvements to Operating Real Estate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the years ended December 31, 2022 and 2021, the Company expended $193.7 million and $163.7 million, respectively, towards improvements to operating real estate. These amounts consist of the following</w:t>
      </w:r>
      <w:r>
        <w:rPr>
          <w:sz w:val="20"/>
          <w:szCs w:val="20"/>
        </w:rPr>
        <w:t xml:space="preserve">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113,928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100,784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79,782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62,915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Total improvements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193,710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163,699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portfolio which it believes w</w:t>
      </w:r>
      <w:r>
        <w:rPr>
          <w:sz w:val="20"/>
          <w:szCs w:val="20"/>
        </w:rPr>
        <w:t>ill increase the overall value by bringing in new tenants and improving the assets’ value. The Company anticipates its capital commitment toward these redevelopment projects and re-tenanting efforts for 2023 will be approximately $175.0 million to $225.0 m</w:t>
      </w:r>
      <w:r>
        <w:rPr>
          <w:sz w:val="20"/>
          <w:szCs w:val="20"/>
        </w:rPr>
        <w:t>illion. The funding of these capital requirements will be provided by cash on hand, proceeds from property dispositions, proceeds from the sale of marketable securities, net cash flow provided by operating activities and/or availability under the Company’s</w:t>
      </w:r>
      <w:r>
        <w:rPr>
          <w:sz w:val="20"/>
          <w:szCs w:val="20"/>
        </w:rPr>
        <w:t xml:space="preserve"> Credit Facility.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Financing Activities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Net cash flows used for financing activities was $982.7 million for 2022, as compared to $101.1 million for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Financing activities during 2022 primarily consisted of the following: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$1.25 billion in proceeds from issuance of the Company’s $600.0 million 3.20% senior unsecured notes due 2032 and $650.0 million 4.60% senior unsecured notes due 203</w:t>
            </w:r>
            <w:r>
              <w:rPr>
                <w:sz w:val="20"/>
                <w:szCs w:val="20"/>
              </w:rPr>
              <w:t>3;</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$19.0 million in proceeds from a mortgage loan financing;</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$15.5 million in proceeds from the issuance of common stock;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$5.3 million from changes in tenants’ security deposits.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$1.4 billion for repayment of four separate senior unsecured notes, which had maturity dates ranging from November 2022 to June 2023;</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$544.7 million of dividends paid;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$167.7 million in principal payment on debt, including normal amortization o</w:t>
            </w:r>
            <w:r>
              <w:rPr>
                <w:sz w:val="20"/>
                <w:szCs w:val="20"/>
              </w:rPr>
              <w:t>f rental property debt;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$67.5 million in redemption/distribution of noncontrolling interests;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$20.3 million in financing origination costs, in connection with the issuance of senior unsecured notes;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$13.7 million in shares repurchased for employee tax withholding on equity awards;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$7.0 million for payment of early extinguishment of debt</w:t>
            </w:r>
            <w:r>
              <w:rPr>
                <w:sz w:val="20"/>
                <w:szCs w:val="20"/>
              </w:rPr>
              <w:t xml:space="preserve"> charges;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$3.4 million for repurchase of preferred stock.</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Financing activities during 2021 primarily consisted of the following: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$500.0 million in proceeds from issuance of 2.25% senior unsecured notes due in 2031;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$83.0 million in proceeds from issuance of common stock, primarily related to the Company’s at-the-market continuous offering program and the exercise of employ</w:t>
            </w:r>
            <w:r>
              <w:rPr>
                <w:sz w:val="20"/>
                <w:szCs w:val="20"/>
              </w:rPr>
              <w:t>ee stock options.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$382.1 million of dividends paid;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$239.9 million in principal payment on debt, including normal amortization of rental property debt;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$34.6 million in redemption/distribution of noncontrolling interests;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$20.8 million in shares repurchased for employee tax withholding on equity</w:t>
            </w:r>
            <w:r>
              <w:rPr>
                <w:sz w:val="20"/>
                <w:szCs w:val="20"/>
              </w:rPr>
              <w:t xml:space="preserve"> awards; and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$8.2 million in financing origination costs, primarily in connection with the Company’s issuance of $500.0 million of senior unsecured notes.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973561269"/>
        <w:rPr>
          <w:rFonts w:eastAsia="Times New Roman"/>
          <w:sz w:val="20"/>
          <w:szCs w:val="20"/>
        </w:rPr>
      </w:pPr>
      <w:r>
        <w:rPr>
          <w:rFonts w:eastAsia="Times New Roman"/>
          <w:sz w:val="20"/>
          <w:szCs w:val="20"/>
        </w:rPr>
        <w:t xml:space="preserve">34 </w:t>
      </w:r>
    </w:p>
    <w:p w:rsidR="00000000" w:rsidRDefault="006954AA">
      <w:pPr>
        <w:divId w:val="2038314287"/>
        <w:rPr>
          <w:rFonts w:eastAsia="Times New Roman"/>
          <w:sz w:val="20"/>
          <w:szCs w:val="20"/>
        </w:rPr>
      </w:pPr>
      <w:r>
        <w:rPr>
          <w:rFonts w:eastAsia="Times New Roman"/>
          <w:sz w:val="20"/>
          <w:szCs w:val="20"/>
        </w:rPr>
        <w:pict>
          <v:rect id="_x0000_i1069" style="width:415.3pt;height:1.5pt" o:hralign="center" o:hrstd="t" o:hrnoshade="t" o:hr="t" fillcolor="black" stroked="f"/>
        </w:pict>
      </w:r>
    </w:p>
    <w:p w:rsidR="00000000" w:rsidRDefault="006954AA">
      <w:pPr>
        <w:divId w:val="13834013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continually evaluates its debt maturities, and, based on management’s current assessment, believes it has viable financing and refinancing alternatives that will not materially adversely impact its expected financial results. As of December 31,</w:t>
      </w:r>
      <w:r>
        <w:rPr>
          <w:sz w:val="20"/>
          <w:szCs w:val="20"/>
        </w:rPr>
        <w:t xml:space="preserve"> 2022, the Company had consolidated floating rate debt totaling $18.4 million, excluding deferred financing costs of $0.1 million. The Company continues to pursue borrowing opportunities with large commercial U.S. and global banks, select life insurance co</w:t>
      </w:r>
      <w:r>
        <w:rPr>
          <w:sz w:val="20"/>
          <w:szCs w:val="20"/>
        </w:rPr>
        <w:t>mpanies and certain regional and local banks.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Debt maturities for 2023 consist of: $12.0 million of consolidated debt, $38.1 million of unconsolidated joint venture debt and $32.3 million of debt included in the Company's preferred equity program, assumi</w:t>
      </w:r>
      <w:r>
        <w:rPr>
          <w:sz w:val="20"/>
          <w:szCs w:val="20"/>
        </w:rPr>
        <w:t>ng the utilization of extension options where available. The 2023 consolidated debt maturities are anticipated to be repaid with operating cash flows or debt refinancing, as deemed appropriate. The 2023 debt maturities on properties in the Company’s uncons</w:t>
      </w:r>
      <w:r>
        <w:rPr>
          <w:sz w:val="20"/>
          <w:szCs w:val="20"/>
        </w:rPr>
        <w:t>olidated joint ventures are anticipated to be repaid through operating cash flows, debt refinancing, unsecured credit facilities, proceeds from sales within the respective entities, and partner capital contributions, as deemed appropriate.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in</w:t>
      </w:r>
      <w:r>
        <w:rPr>
          <w:sz w:val="20"/>
          <w:szCs w:val="20"/>
        </w:rPr>
        <w:t>tends to maintain strong debt service coverage and fixed charge coverage ratios as part of its commitment to maintain or improve its unsecured debt ratings. The Company may, from time to time, seek to obtain funds through additional common and preferred eq</w:t>
      </w:r>
      <w:r>
        <w:rPr>
          <w:sz w:val="20"/>
          <w:szCs w:val="20"/>
        </w:rPr>
        <w:t>uity offerings, unsecured debt financings and/or mortgage/construction loan financings and other capital alternatives.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Since the completion of the Company’s IPO in 1991, the Company has utilized the public debt and equity markets as its principal source </w:t>
      </w:r>
      <w:r>
        <w:rPr>
          <w:sz w:val="20"/>
          <w:szCs w:val="20"/>
        </w:rPr>
        <w:t>of capital for its expansion needs. Since the IPO, the Company has completed additional offerings of its public unsecured debt and equity, raising in the aggregate over $17.4 billion. Proceeds from public capital market activities have been used for the pu</w:t>
      </w:r>
      <w:r>
        <w:rPr>
          <w:sz w:val="20"/>
          <w:szCs w:val="20"/>
        </w:rPr>
        <w:t>rposes of, among other things, repaying indebtedness, acquiring interests in open-air, grocery anchored shopping centers and mixed-use assets, expanding and improving properties in the portfolio and other investments.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January 2023, the Company fil</w:t>
      </w:r>
      <w:r>
        <w:rPr>
          <w:sz w:val="20"/>
          <w:szCs w:val="20"/>
        </w:rPr>
        <w:t>ed a shelf registration statement on Form S-3, which is effective for a term of three years, for future unlimited offerings, from time to time, of debt securities, preferred stock, depositary shares, common stock and common stock warrants. The Company, pur</w:t>
      </w:r>
      <w:r>
        <w:rPr>
          <w:sz w:val="20"/>
          <w:szCs w:val="20"/>
        </w:rPr>
        <w:t>suant to this shelf registration statement may, from time to time, offer for sale its senior unsecured debt securities for any general corporate purposes, including (i) funding specific liquidity requirements in its business, including property acquisition</w:t>
      </w:r>
      <w:r>
        <w:rPr>
          <w:sz w:val="20"/>
          <w:szCs w:val="20"/>
        </w:rPr>
        <w:t>s, development and redevelopment costs and (ii) managing the Company’s debt maturities.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January 2023, the Company filed a registration statement on Form S-8 for its 2020 Equity Participation Plan (the “2020 Plan”), which was previously approved by</w:t>
      </w:r>
      <w:r>
        <w:rPr>
          <w:sz w:val="20"/>
          <w:szCs w:val="20"/>
        </w:rPr>
        <w:t xml:space="preserve"> the Company’s stockholders and is a successor to the Restated Kimco Realty Corporation 2010 Equity Participation Plan that expired in March 2020. The 2020 Plan provides for a maximum of 10,000,000 shares of the Company’s common stock to be reserved for th</w:t>
      </w:r>
      <w:r>
        <w:rPr>
          <w:sz w:val="20"/>
          <w:szCs w:val="20"/>
        </w:rPr>
        <w:t>e issuance of stock options, stock appreciation rights, restricted stock, restricted stock units, performance awards, dividend equivalents, stock payments and deferred stock awards. At December 31, 2022, the Company had 6.9 million shares of common stock a</w:t>
      </w:r>
      <w:r>
        <w:rPr>
          <w:sz w:val="20"/>
          <w:szCs w:val="20"/>
        </w:rPr>
        <w:t>vailable for issuance under the 2020 Plan. (see Footnote 23 of the Notes to Consolidated Financial Statements included in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Preferred Stock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Company’s Board of Director’s authorized the repurchase of up to 900,000 depositary shares </w:t>
      </w:r>
      <w:r>
        <w:rPr>
          <w:sz w:val="20"/>
          <w:szCs w:val="20"/>
        </w:rPr>
        <w:t>of Class L preferred stock and 1,058,000 depositary shares of Class M preferred stock representing up to 1,958 shares the Company’s preferred stock, par value $1.00 per share through December 31, 2022. During the year ended December 31, 2022, the Company r</w:t>
      </w:r>
      <w:r>
        <w:rPr>
          <w:sz w:val="20"/>
          <w:szCs w:val="20"/>
        </w:rPr>
        <w:t>epurchased the following preferred stock:</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3435"/>
        <w:gridCol w:w="71"/>
        <w:gridCol w:w="71"/>
        <w:gridCol w:w="1790"/>
        <w:gridCol w:w="72"/>
        <w:gridCol w:w="72"/>
        <w:gridCol w:w="101"/>
        <w:gridCol w:w="1791"/>
        <w:gridCol w:w="72"/>
      </w:tblGrid>
      <w:tr w:rsidR="00000000">
        <w:trPr>
          <w:tblCellSpacing w:w="0" w:type="dxa"/>
        </w:trPr>
        <w:tc>
          <w:tcPr>
            <w:tcW w:w="23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Class of Preferred Stock</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Depositary Shares Repurchased</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Purchase Price (in millions)</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54,508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12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90,760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12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Common Stock </w:t>
      </w:r>
      <w:r>
        <w:rPr>
          <w:sz w:val="20"/>
          <w:szCs w:val="20"/>
        </w:rPr>
        <w:t>–</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August 2021, the Company established an at-the-market continuous offering program (the “ATM program”) pursuant to which the Company may offer and sell from time-to-time shares of its common stock, par value $0.01 per share, with an aggregate gross s</w:t>
      </w:r>
      <w:r>
        <w:rPr>
          <w:sz w:val="20"/>
          <w:szCs w:val="20"/>
        </w:rPr>
        <w:t>ales price of up to $500.0 million through a consortium of banks acting as sales agents. Sales of the shares of common stock may be made, as needed, from time to time in “at the market” offerings as defined in Rule 415 of the Securities Act of 1933, includ</w:t>
      </w:r>
      <w:r>
        <w:rPr>
          <w:sz w:val="20"/>
          <w:szCs w:val="20"/>
        </w:rPr>
        <w:t>ing by means of ordinary brokers’ transactions on the New York Stock Exchange or otherwise (i) at market prices prevailing at the time of sale, (ii) at prices related to prevailing market prices or (iii) as otherwise agreed to with the applicable sales age</w:t>
      </w:r>
      <w:r>
        <w:rPr>
          <w:sz w:val="20"/>
          <w:szCs w:val="20"/>
        </w:rPr>
        <w:t>nt. In addition, the Company may from time to time enter into separate forward sale agreements with one or more banks. During 2022, the Company issued 450,000 shares and received net proceeds after commissions of $11.3 million. During 2021, the Company iss</w:t>
      </w:r>
      <w:r>
        <w:rPr>
          <w:sz w:val="20"/>
          <w:szCs w:val="20"/>
        </w:rPr>
        <w:t>ued 3.5 million shares and received net proceeds after commissions of $76.9 million. As of December 31, 2022, the Company had $411.0 million available under this ATM program.</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18147084"/>
        <w:rPr>
          <w:rFonts w:eastAsia="Times New Roman"/>
          <w:sz w:val="20"/>
          <w:szCs w:val="20"/>
        </w:rPr>
      </w:pPr>
      <w:r>
        <w:rPr>
          <w:rFonts w:eastAsia="Times New Roman"/>
          <w:sz w:val="20"/>
          <w:szCs w:val="20"/>
        </w:rPr>
        <w:t xml:space="preserve">35 </w:t>
      </w:r>
    </w:p>
    <w:p w:rsidR="00000000" w:rsidRDefault="006954AA">
      <w:pPr>
        <w:divId w:val="2028554922"/>
        <w:rPr>
          <w:rFonts w:eastAsia="Times New Roman"/>
          <w:sz w:val="20"/>
          <w:szCs w:val="20"/>
        </w:rPr>
      </w:pPr>
      <w:r>
        <w:rPr>
          <w:rFonts w:eastAsia="Times New Roman"/>
          <w:sz w:val="20"/>
          <w:szCs w:val="20"/>
        </w:rPr>
        <w:pict>
          <v:rect id="_x0000_i1070" style="width:415.3pt;height:1.5pt" o:hralign="center" o:hrstd="t" o:hrnoshade="t" o:hr="t" fillcolor="black" stroked="f"/>
        </w:pict>
      </w:r>
    </w:p>
    <w:p w:rsidR="00000000" w:rsidRDefault="006954AA">
      <w:pPr>
        <w:divId w:val="9604545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a share repurchase program, which is scheduled to expire on February 29, 2024. Under this program, the Company may repurchase shares of its common stock, par</w:t>
      </w:r>
      <w:r>
        <w:rPr>
          <w:sz w:val="20"/>
          <w:szCs w:val="20"/>
        </w:rPr>
        <w:t xml:space="preserve"> value $0.01 per share, with an aggregate gross purchase price of up to $300.0 million. The Company did not repurchase any shares under the share repurchase program during 2022 and 2021. As of December 31, 2022, the Company had $224.9 million available und</w:t>
      </w:r>
      <w:r>
        <w:rPr>
          <w:sz w:val="20"/>
          <w:szCs w:val="20"/>
        </w:rPr>
        <w:t>er this common share repurchase program.</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Senior Notes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the year ended December 31, 2022, the Company issued the following senior unsecured notes (dollars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585"/>
        <w:gridCol w:w="72"/>
        <w:gridCol w:w="101"/>
        <w:gridCol w:w="1044"/>
        <w:gridCol w:w="72"/>
        <w:gridCol w:w="72"/>
        <w:gridCol w:w="72"/>
        <w:gridCol w:w="1044"/>
        <w:gridCol w:w="73"/>
        <w:gridCol w:w="73"/>
        <w:gridCol w:w="1194"/>
        <w:gridCol w:w="73"/>
      </w:tblGrid>
      <w:tr w:rsidR="00000000">
        <w:trPr>
          <w:tblCellSpacing w:w="0" w:type="dxa"/>
        </w:trPr>
        <w:tc>
          <w:tcPr>
            <w:tcW w:w="24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Date Issued</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Amount Issued</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Maturity Date</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Aug-22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650.0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4.600%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Feb-33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Feb-22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600.0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3.200%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Apr-32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the year ended December 31, 2022, the Company fully repaid the following senior unsecured notes (dollars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585"/>
        <w:gridCol w:w="72"/>
        <w:gridCol w:w="101"/>
        <w:gridCol w:w="1044"/>
        <w:gridCol w:w="72"/>
        <w:gridCol w:w="72"/>
        <w:gridCol w:w="72"/>
        <w:gridCol w:w="1044"/>
        <w:gridCol w:w="73"/>
        <w:gridCol w:w="73"/>
        <w:gridCol w:w="1194"/>
        <w:gridCol w:w="73"/>
      </w:tblGrid>
      <w:tr w:rsidR="00000000">
        <w:trPr>
          <w:tblCellSpacing w:w="0" w:type="dxa"/>
        </w:trPr>
        <w:tc>
          <w:tcPr>
            <w:tcW w:w="24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Date Paid</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Amount Repaid</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Maturity Date</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Sep-22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299.7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3.500%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Apr-23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Sep-22 (1)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3.125%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Jun-23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Sep-22 (1)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299.4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3.375%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Oct-22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Mar-22 (3)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500.0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3.400%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Nov-22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0" w:type="auto"/>
            <w:hideMark/>
          </w:tcPr>
          <w:p w:rsidR="00000000" w:rsidRDefault="006954AA">
            <w:pPr>
              <w:pStyle w:val="a3"/>
              <w:spacing w:before="0" w:beforeAutospacing="0" w:after="0" w:afterAutospacing="0"/>
              <w:rPr>
                <w:sz w:val="20"/>
                <w:szCs w:val="20"/>
              </w:rPr>
            </w:pPr>
            <w:r>
              <w:rPr>
                <w:sz w:val="20"/>
                <w:szCs w:val="20"/>
              </w:rPr>
              <w:t>There were no prepayment charges associated with this early repayment.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(2)</w:t>
            </w:r>
          </w:p>
        </w:tc>
        <w:tc>
          <w:tcPr>
            <w:tcW w:w="0" w:type="auto"/>
            <w:hideMark/>
          </w:tcPr>
          <w:p w:rsidR="00000000" w:rsidRDefault="006954AA">
            <w:pPr>
              <w:pStyle w:val="a3"/>
              <w:spacing w:before="0" w:beforeAutospacing="0" w:after="0" w:afterAutospacing="0"/>
              <w:rPr>
                <w:sz w:val="20"/>
                <w:szCs w:val="20"/>
              </w:rPr>
            </w:pPr>
            <w:r>
              <w:rPr>
                <w:sz w:val="20"/>
                <w:szCs w:val="20"/>
              </w:rPr>
              <w:t>Includes partial repayments during May and June 2022.</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(3)</w:t>
            </w:r>
          </w:p>
        </w:tc>
        <w:tc>
          <w:tcPr>
            <w:tcW w:w="0" w:type="auto"/>
            <w:hideMark/>
          </w:tcPr>
          <w:p w:rsidR="00000000" w:rsidRDefault="006954AA">
            <w:pPr>
              <w:pStyle w:val="a3"/>
              <w:spacing w:before="0" w:beforeAutospacing="0" w:after="0" w:afterAutospacing="0"/>
              <w:rPr>
                <w:sz w:val="20"/>
                <w:szCs w:val="20"/>
              </w:rPr>
            </w:pPr>
            <w:r>
              <w:rPr>
                <w:sz w:val="20"/>
                <w:szCs w:val="20"/>
              </w:rPr>
              <w:t>The Company incurred a prepayment charge of $6.5 million and $0.7 million in write-off of deferred financing costs resulting from this early repayment, which are included in Early extinguishment of debt charges on the Company’s Consolidated Statements of I</w:t>
            </w:r>
            <w:r>
              <w:rPr>
                <w:sz w:val="20"/>
                <w:szCs w:val="20"/>
              </w:rPr>
              <w:t>ncome.</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supplemental indenture governing its senior notes contains the following covenants, all of which the Company is compliant with:</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66"/>
        <w:gridCol w:w="183"/>
        <w:gridCol w:w="1271"/>
        <w:gridCol w:w="191"/>
        <w:gridCol w:w="1595"/>
      </w:tblGrid>
      <w:tr w:rsidR="00000000">
        <w:trPr>
          <w:tblCellSpacing w:w="0" w:type="dxa"/>
        </w:trPr>
        <w:tc>
          <w:tcPr>
            <w:tcW w:w="3050"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Covenant</w:t>
            </w:r>
          </w:p>
        </w:tc>
        <w:tc>
          <w:tcPr>
            <w:tcW w:w="110" w:type="pct"/>
            <w:hideMark/>
          </w:tcPr>
          <w:p w:rsidR="00000000" w:rsidRDefault="006954AA">
            <w:pPr>
              <w:rPr>
                <w:rFonts w:eastAsia="Times New Roman"/>
                <w:sz w:val="20"/>
                <w:szCs w:val="20"/>
              </w:rPr>
            </w:pPr>
            <w:r>
              <w:rPr>
                <w:rFonts w:eastAsia="Times New Roman"/>
                <w:sz w:val="20"/>
                <w:szCs w:val="20"/>
              </w:rPr>
              <w:t> </w:t>
            </w:r>
          </w:p>
        </w:tc>
        <w:tc>
          <w:tcPr>
            <w:tcW w:w="765"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Must Be</w:t>
            </w:r>
          </w:p>
        </w:tc>
        <w:tc>
          <w:tcPr>
            <w:tcW w:w="115" w:type="pct"/>
            <w:hideMark/>
          </w:tcPr>
          <w:p w:rsidR="00000000" w:rsidRDefault="006954AA">
            <w:pPr>
              <w:rPr>
                <w:rFonts w:eastAsia="Times New Roman"/>
                <w:sz w:val="20"/>
                <w:szCs w:val="20"/>
              </w:rPr>
            </w:pPr>
            <w:r>
              <w:rPr>
                <w:rFonts w:eastAsia="Times New Roman"/>
                <w:sz w:val="20"/>
                <w:szCs w:val="20"/>
              </w:rPr>
              <w:t> </w:t>
            </w:r>
          </w:p>
        </w:tc>
        <w:tc>
          <w:tcPr>
            <w:tcW w:w="1005"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r>
      <w:tr w:rsidR="00000000">
        <w:trPr>
          <w:tblCellSpacing w:w="0" w:type="dxa"/>
        </w:trPr>
        <w:tc>
          <w:tcPr>
            <w:tcW w:w="3050" w:type="pct"/>
            <w:shd w:val="clear" w:color="auto" w:fill="CCEEFF"/>
            <w:hideMark/>
          </w:tcPr>
          <w:p w:rsidR="00000000" w:rsidRDefault="006954AA">
            <w:pPr>
              <w:pStyle w:val="a3"/>
              <w:spacing w:before="0" w:beforeAutospacing="0" w:after="0" w:afterAutospacing="0"/>
              <w:ind w:left="180" w:hanging="180"/>
              <w:rPr>
                <w:sz w:val="20"/>
                <w:szCs w:val="20"/>
              </w:rPr>
            </w:pPr>
            <w:r>
              <w:rPr>
                <w:sz w:val="20"/>
                <w:szCs w:val="20"/>
              </w:rPr>
              <w:t>Consolidated Indebtedness to Total Assets</w:t>
            </w:r>
          </w:p>
        </w:tc>
        <w:tc>
          <w:tcPr>
            <w:tcW w:w="11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6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&lt;60%</w:t>
            </w:r>
          </w:p>
        </w:tc>
        <w:tc>
          <w:tcPr>
            <w:tcW w:w="11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00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37%</w:t>
            </w:r>
          </w:p>
        </w:tc>
      </w:tr>
      <w:tr w:rsidR="00000000">
        <w:trPr>
          <w:tblCellSpacing w:w="0" w:type="dxa"/>
        </w:trPr>
        <w:tc>
          <w:tcPr>
            <w:tcW w:w="3050" w:type="pct"/>
            <w:shd w:val="clear" w:color="auto" w:fill="FFFFFF"/>
            <w:hideMark/>
          </w:tcPr>
          <w:p w:rsidR="00000000" w:rsidRDefault="006954AA">
            <w:pPr>
              <w:pStyle w:val="a3"/>
              <w:spacing w:before="0" w:beforeAutospacing="0" w:after="0" w:afterAutospacing="0"/>
              <w:ind w:left="180" w:hanging="180"/>
              <w:rPr>
                <w:sz w:val="20"/>
                <w:szCs w:val="20"/>
              </w:rPr>
            </w:pPr>
            <w:r>
              <w:rPr>
                <w:sz w:val="20"/>
                <w:szCs w:val="20"/>
              </w:rPr>
              <w:t>Consolidated Secured Indebtedness to Total Assets</w:t>
            </w:r>
          </w:p>
        </w:tc>
        <w:tc>
          <w:tcPr>
            <w:tcW w:w="11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6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&lt;40%</w:t>
            </w:r>
          </w:p>
        </w:tc>
        <w:tc>
          <w:tcPr>
            <w:tcW w:w="11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00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2%</w:t>
            </w:r>
          </w:p>
        </w:tc>
      </w:tr>
      <w:tr w:rsidR="00000000">
        <w:trPr>
          <w:tblCellSpacing w:w="0" w:type="dxa"/>
        </w:trPr>
        <w:tc>
          <w:tcPr>
            <w:tcW w:w="3050" w:type="pct"/>
            <w:shd w:val="clear" w:color="auto" w:fill="CCEEFF"/>
            <w:hideMark/>
          </w:tcPr>
          <w:p w:rsidR="00000000" w:rsidRDefault="006954AA">
            <w:pPr>
              <w:pStyle w:val="a3"/>
              <w:spacing w:before="0" w:beforeAutospacing="0" w:after="0" w:afterAutospacing="0"/>
              <w:ind w:left="180" w:hanging="180"/>
              <w:rPr>
                <w:sz w:val="20"/>
                <w:szCs w:val="20"/>
              </w:rPr>
            </w:pPr>
            <w:r>
              <w:rPr>
                <w:sz w:val="20"/>
                <w:szCs w:val="20"/>
              </w:rPr>
              <w:t>Consolidated Income Available for Debt Service to Maximum Annual Service Charge</w:t>
            </w:r>
          </w:p>
        </w:tc>
        <w:tc>
          <w:tcPr>
            <w:tcW w:w="11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6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&gt;1.50x</w:t>
            </w:r>
          </w:p>
        </w:tc>
        <w:tc>
          <w:tcPr>
            <w:tcW w:w="115"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00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3.9x</w:t>
            </w:r>
          </w:p>
        </w:tc>
      </w:tr>
      <w:tr w:rsidR="00000000">
        <w:trPr>
          <w:tblCellSpacing w:w="0" w:type="dxa"/>
        </w:trPr>
        <w:tc>
          <w:tcPr>
            <w:tcW w:w="3050" w:type="pct"/>
            <w:shd w:val="clear" w:color="auto" w:fill="FFFFFF"/>
            <w:hideMark/>
          </w:tcPr>
          <w:p w:rsidR="00000000" w:rsidRDefault="006954AA">
            <w:pPr>
              <w:pStyle w:val="a3"/>
              <w:spacing w:before="0" w:beforeAutospacing="0" w:after="0" w:afterAutospacing="0"/>
              <w:ind w:left="180" w:hanging="180"/>
              <w:rPr>
                <w:sz w:val="20"/>
                <w:szCs w:val="20"/>
              </w:rPr>
            </w:pPr>
            <w:r>
              <w:rPr>
                <w:sz w:val="20"/>
                <w:szCs w:val="20"/>
              </w:rPr>
              <w:t>Unencumbered Total Asset Value to Consolidated Unsecured Indebtedness</w:t>
            </w:r>
          </w:p>
        </w:tc>
        <w:tc>
          <w:tcPr>
            <w:tcW w:w="11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6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&gt;1.50x</w:t>
            </w:r>
          </w:p>
        </w:tc>
        <w:tc>
          <w:tcPr>
            <w:tcW w:w="115"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00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2.5x</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For a full description of the various indenture covenants refer to the Indenture dated September 1, 1993; the First Supplemental Indenture dated August 4, 1994; the Second Supplemental Indenture dated April 7, 1995; the Third Supplemental Indenture dated J</w:t>
      </w:r>
      <w:r>
        <w:rPr>
          <w:sz w:val="20"/>
          <w:szCs w:val="20"/>
        </w:rPr>
        <w:t xml:space="preserve">une 2, 2006; the Fourth Supplemental Indenture dated April 26, 2007; the Fifth Supplemental Indenture dated as of September 24, 2009; the Sixth Supplemental Indenture dated as of May 23, 2013; Seventh Supplemental Indenture dated as of April 24, 2014; and </w:t>
      </w:r>
      <w:r>
        <w:rPr>
          <w:sz w:val="20"/>
          <w:szCs w:val="20"/>
        </w:rPr>
        <w:t>the Eighth Supplemental Indenture dated as of January 3, 2023 each as filed with the SEC. See the Index to Exhibits included in this Form 10-K for specific filing information.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for a full description of the various indenture covenants for sen</w:t>
      </w:r>
      <w:r>
        <w:rPr>
          <w:sz w:val="20"/>
          <w:szCs w:val="20"/>
        </w:rPr>
        <w:t>ior unsecured notes assumed during the Merger, refer to the Indenture dated May 1, 1995 included as an exhibit to Weingarten’s Registration Statement on Form S-3, filed with the Securities and Exchange Commission on May 1, 1995; First Supplemental Indentur</w:t>
      </w:r>
      <w:r>
        <w:rPr>
          <w:sz w:val="20"/>
          <w:szCs w:val="20"/>
        </w:rPr>
        <w:t xml:space="preserve">e, dated as of August 2, 2006, included as an exhibit to Weingarten’s Current Report on Form 8-K dated August 2, 2006, Second Supplemental Indenture, dated as of October 9, 2012 filed with Weingarten’s Current Report on Form 8-K dated October 9, 2012. See </w:t>
      </w:r>
      <w:r>
        <w:rPr>
          <w:sz w:val="20"/>
          <w:szCs w:val="20"/>
        </w:rPr>
        <w:t>the Exhibits Index in this Form 10-K for specific filing information.</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connection with the Reorganization, Kimco OP became the issuer of the senior notes and the Parent Company has provided a full and unconditional guarantee of Kimco OP’s obligations u</w:t>
      </w:r>
      <w:r>
        <w:rPr>
          <w:sz w:val="20"/>
          <w:szCs w:val="20"/>
        </w:rPr>
        <w:t>nder each series of senior notes previously issued and outstanding.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Credit Facility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Company had a $2.0 billion Credit Facility with a group of banks which was scheduled to expire in March 2024, with two additional six-month options to extend the </w:t>
      </w:r>
      <w:r>
        <w:rPr>
          <w:sz w:val="20"/>
          <w:szCs w:val="20"/>
        </w:rPr>
        <w:t>maturity date, at the Company’s discretion, to March 2025. The Credit Facility was a green credit facility tied to sustainability metric targets, as described in the agreement. In July 2022, the Company amended the Credit Facility to (i) replace LIBOR borr</w:t>
      </w:r>
      <w:r>
        <w:rPr>
          <w:sz w:val="20"/>
          <w:szCs w:val="20"/>
        </w:rPr>
        <w:t xml:space="preserve">owings with Secured Overnight Financing Rate (“SOFR”) borrowings, (ii) supplement the sustainability grid with an additional one basis point reduction of applicable margin if certain criteria as defined in the Credit Facility are met, (iii) add a leverage </w:t>
      </w:r>
      <w:r>
        <w:rPr>
          <w:sz w:val="20"/>
          <w:szCs w:val="20"/>
        </w:rPr>
        <w:t>metric test which, if met, reduces the applicable margin by five basis points and (iv) obtain pre-approval of a possible organizational conversion to an UPREIT structure. The Company achieved such sustainability metric targets, which effectively reduced th</w:t>
      </w:r>
      <w:r>
        <w:rPr>
          <w:sz w:val="20"/>
          <w:szCs w:val="20"/>
        </w:rPr>
        <w:t xml:space="preserve">e rate on the Credit Facility by two basis points. The Credit Facility, which accrued interest at a rate of Adjusted Term SOFR, as defined in the terms of the Credit Facility, plus 75.5 basis points (5.21% as of December 31, 2022), and can be increased to </w:t>
      </w:r>
      <w:r>
        <w:rPr>
          <w:sz w:val="20"/>
          <w:szCs w:val="20"/>
        </w:rPr>
        <w:t>$2.75 billion through an accordion feature. Pursuant to the terms of the Credit Facility, the Company, among other things, was subject to covenants requiring the maintenance of (i) maximum indebtedness ratios and (ii) minimum interest and fixed charge cove</w:t>
      </w:r>
      <w:r>
        <w:rPr>
          <w:sz w:val="20"/>
          <w:szCs w:val="20"/>
        </w:rPr>
        <w:t>rage ratios. As of December 31, 2022, the Credit Facility had no outstanding balance and appropriations for letters of credit of $1.2 million.</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13881689"/>
        <w:rPr>
          <w:rFonts w:eastAsia="Times New Roman"/>
          <w:sz w:val="20"/>
          <w:szCs w:val="20"/>
        </w:rPr>
      </w:pPr>
      <w:r>
        <w:rPr>
          <w:rFonts w:eastAsia="Times New Roman"/>
          <w:sz w:val="20"/>
          <w:szCs w:val="20"/>
        </w:rPr>
        <w:t xml:space="preserve">36 </w:t>
      </w:r>
    </w:p>
    <w:p w:rsidR="00000000" w:rsidRDefault="006954AA">
      <w:pPr>
        <w:divId w:val="1468888106"/>
        <w:rPr>
          <w:rFonts w:eastAsia="Times New Roman"/>
          <w:sz w:val="20"/>
          <w:szCs w:val="20"/>
        </w:rPr>
      </w:pPr>
      <w:r>
        <w:rPr>
          <w:rFonts w:eastAsia="Times New Roman"/>
          <w:sz w:val="20"/>
          <w:szCs w:val="20"/>
        </w:rPr>
        <w:pict>
          <v:rect id="_x0000_i1071" style="width:415.3pt;height:1.5pt" o:hralign="center" o:hrstd="t" o:hrnoshade="t" o:hr="t" fillcolor="black" stroked="f"/>
        </w:pict>
      </w:r>
    </w:p>
    <w:p w:rsidR="00000000" w:rsidRDefault="006954AA">
      <w:pPr>
        <w:divId w:val="13100938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February 2023, the Company closed on a new $2.0 billion unsecu</w:t>
      </w:r>
      <w:r>
        <w:rPr>
          <w:sz w:val="20"/>
          <w:szCs w:val="20"/>
        </w:rPr>
        <w:t>red revolving credit facility (the “New Credit Facility”) with a group of banks, which is scheduled to expire in March 2027 with two additional six-month options to extend the maturity date, at the Company’s discretion, to March 2028. The New Credit Facili</w:t>
      </w:r>
      <w:r>
        <w:rPr>
          <w:sz w:val="20"/>
          <w:szCs w:val="20"/>
        </w:rPr>
        <w:t>ty can be increased to $2.75 billion through an accordion feature. The New Credit Facility is a green credit facility tied to sustainability metric targets, as described in the agreement. The New Credit Facility replaces the Company’s Credit Facility discu</w:t>
      </w:r>
      <w:r>
        <w:rPr>
          <w:sz w:val="20"/>
          <w:szCs w:val="20"/>
        </w:rPr>
        <w:t>ssed above, that was scheduled to mature in March 2024. The New Credit Facility accrues interest at a rate of Adjusted Term SOFR, as defined in the terms of the New Credit Facility, plus 77.5 basis points and fluctuates in accordance with the Company's cre</w:t>
      </w:r>
      <w:r>
        <w:rPr>
          <w:sz w:val="20"/>
          <w:szCs w:val="20"/>
        </w:rPr>
        <w:t>dit ratings, which can be further adjusted upward or downward by four basis points based on the sustainability metric targets, as defined in the agreement. The Company achieved certain sustainability metric targets, which effectively reduced the rate on th</w:t>
      </w:r>
      <w:r>
        <w:rPr>
          <w:sz w:val="20"/>
          <w:szCs w:val="20"/>
        </w:rPr>
        <w:t>e New Credit Facility by two basis points. Pursuant to the terms of the New Credit Facility, the Company continues to be subject to the same covenants under the Credit Facility.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Pursuant to the terms of the Credit Facility, the Company, among other thing</w:t>
      </w:r>
      <w:r>
        <w:rPr>
          <w:sz w:val="20"/>
          <w:szCs w:val="20"/>
        </w:rPr>
        <w:t>s, is subject to maintenance of various covenants. The Company is currently in compliance with these covenants. The financial covenants for the Credit Facility are as follows: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9"/>
        <w:gridCol w:w="183"/>
        <w:gridCol w:w="1246"/>
        <w:gridCol w:w="183"/>
        <w:gridCol w:w="1545"/>
      </w:tblGrid>
      <w:tr w:rsidR="00000000">
        <w:trPr>
          <w:tblCellSpacing w:w="0" w:type="dxa"/>
        </w:trPr>
        <w:tc>
          <w:tcPr>
            <w:tcW w:w="3100"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Covenant</w:t>
            </w:r>
          </w:p>
        </w:tc>
        <w:tc>
          <w:tcPr>
            <w:tcW w:w="110" w:type="pct"/>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Must Be</w:t>
            </w:r>
          </w:p>
        </w:tc>
        <w:tc>
          <w:tcPr>
            <w:tcW w:w="110" w:type="pct"/>
            <w:hideMark/>
          </w:tcPr>
          <w:p w:rsidR="00000000" w:rsidRDefault="006954AA">
            <w:pPr>
              <w:rPr>
                <w:rFonts w:eastAsia="Times New Roman"/>
                <w:sz w:val="20"/>
                <w:szCs w:val="20"/>
              </w:rPr>
            </w:pPr>
            <w:r>
              <w:rPr>
                <w:rFonts w:eastAsia="Times New Roman"/>
                <w:sz w:val="20"/>
                <w:szCs w:val="20"/>
              </w:rPr>
              <w:t> </w:t>
            </w:r>
          </w:p>
        </w:tc>
        <w:tc>
          <w:tcPr>
            <w:tcW w:w="985" w:type="pct"/>
            <w:tcBorders>
              <w:bottom w:val="single" w:sz="6" w:space="0" w:color="000000"/>
            </w:tcBorders>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r>
      <w:tr w:rsidR="00000000">
        <w:trPr>
          <w:tblCellSpacing w:w="0" w:type="dxa"/>
        </w:trPr>
        <w:tc>
          <w:tcPr>
            <w:tcW w:w="3100" w:type="pct"/>
            <w:shd w:val="clear" w:color="auto" w:fill="CCEEFF"/>
            <w:hideMark/>
          </w:tcPr>
          <w:p w:rsidR="00000000" w:rsidRDefault="006954AA">
            <w:pPr>
              <w:pStyle w:val="a3"/>
              <w:spacing w:before="0" w:beforeAutospacing="0" w:after="0" w:afterAutospacing="0"/>
              <w:ind w:left="220" w:hanging="220"/>
              <w:rPr>
                <w:sz w:val="20"/>
                <w:szCs w:val="20"/>
              </w:rPr>
            </w:pPr>
            <w:r>
              <w:rPr>
                <w:sz w:val="20"/>
                <w:szCs w:val="20"/>
              </w:rPr>
              <w:t>Total Indebtedness to Gross Asset Value (“GAV”)</w:t>
            </w:r>
          </w:p>
        </w:tc>
        <w:tc>
          <w:tcPr>
            <w:tcW w:w="11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&lt;60%</w:t>
            </w:r>
          </w:p>
        </w:tc>
        <w:tc>
          <w:tcPr>
            <w:tcW w:w="11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98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38%</w:t>
            </w:r>
          </w:p>
        </w:tc>
      </w:tr>
      <w:tr w:rsidR="00000000">
        <w:trPr>
          <w:tblCellSpacing w:w="0" w:type="dxa"/>
        </w:trPr>
        <w:tc>
          <w:tcPr>
            <w:tcW w:w="3100" w:type="pct"/>
            <w:shd w:val="clear" w:color="auto" w:fill="FFFFFF"/>
            <w:hideMark/>
          </w:tcPr>
          <w:p w:rsidR="00000000" w:rsidRDefault="006954AA">
            <w:pPr>
              <w:pStyle w:val="a3"/>
              <w:spacing w:before="0" w:beforeAutospacing="0" w:after="0" w:afterAutospacing="0"/>
              <w:ind w:left="220" w:hanging="220"/>
              <w:rPr>
                <w:sz w:val="20"/>
                <w:szCs w:val="20"/>
              </w:rPr>
            </w:pPr>
            <w:r>
              <w:rPr>
                <w:sz w:val="20"/>
                <w:szCs w:val="20"/>
              </w:rPr>
              <w:t>Total Priority Indebtedness to GAV</w:t>
            </w:r>
          </w:p>
        </w:tc>
        <w:tc>
          <w:tcPr>
            <w:tcW w:w="11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&lt;35%</w:t>
            </w:r>
          </w:p>
        </w:tc>
        <w:tc>
          <w:tcPr>
            <w:tcW w:w="11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98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2%</w:t>
            </w:r>
          </w:p>
        </w:tc>
      </w:tr>
      <w:tr w:rsidR="00000000">
        <w:trPr>
          <w:tblCellSpacing w:w="0" w:type="dxa"/>
        </w:trPr>
        <w:tc>
          <w:tcPr>
            <w:tcW w:w="3100" w:type="pct"/>
            <w:shd w:val="clear" w:color="auto" w:fill="CCEEFF"/>
            <w:hideMark/>
          </w:tcPr>
          <w:p w:rsidR="00000000" w:rsidRDefault="006954AA">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11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&gt;1.75x</w:t>
            </w:r>
          </w:p>
        </w:tc>
        <w:tc>
          <w:tcPr>
            <w:tcW w:w="11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985"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4.6x</w:t>
            </w:r>
          </w:p>
        </w:tc>
      </w:tr>
      <w:tr w:rsidR="00000000">
        <w:trPr>
          <w:tblCellSpacing w:w="0" w:type="dxa"/>
        </w:trPr>
        <w:tc>
          <w:tcPr>
            <w:tcW w:w="3100" w:type="pct"/>
            <w:shd w:val="clear" w:color="auto" w:fill="FFFFFF"/>
            <w:hideMark/>
          </w:tcPr>
          <w:p w:rsidR="00000000" w:rsidRDefault="006954AA">
            <w:pPr>
              <w:pStyle w:val="a3"/>
              <w:spacing w:before="0" w:beforeAutospacing="0" w:after="0" w:afterAutospacing="0"/>
              <w:ind w:left="220" w:hanging="220"/>
              <w:rPr>
                <w:sz w:val="20"/>
                <w:szCs w:val="20"/>
              </w:rPr>
            </w:pPr>
            <w:r>
              <w:rPr>
                <w:sz w:val="20"/>
                <w:szCs w:val="20"/>
              </w:rPr>
              <w:t>Fixed Charge Total Adjusted EBITDA to Total Debt Service</w:t>
            </w:r>
          </w:p>
        </w:tc>
        <w:tc>
          <w:tcPr>
            <w:tcW w:w="11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&gt;1.50x</w:t>
            </w:r>
          </w:p>
        </w:tc>
        <w:tc>
          <w:tcPr>
            <w:tcW w:w="11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985"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4.1x</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For a full description of the Credit Facility’s covenants, refer to Amendment No. 2, da</w:t>
      </w:r>
      <w:r>
        <w:rPr>
          <w:sz w:val="20"/>
          <w:szCs w:val="20"/>
        </w:rPr>
        <w:t>ted July 12, 2022, to the Amended and Restated Credit Agreement, dated February 27, 2020, filed as Exhibit 10.1 to the Company’s Quarterly Report on Form 10-Q for the quarterly period ended June 30, 2022, file with the SEC on July 29, 2022. See the Index t</w:t>
      </w:r>
      <w:r>
        <w:rPr>
          <w:sz w:val="20"/>
          <w:szCs w:val="20"/>
        </w:rPr>
        <w:t>o Exhibits included in this Form 10-K for specific filing information.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Mortgages Payable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During 2022, the Company (i) assumed $79.4 million of mortgage debt (including fair market value adjustment of $9.4 million) encumbering six operating properties</w:t>
      </w:r>
      <w:r>
        <w:rPr>
          <w:sz w:val="20"/>
          <w:szCs w:val="20"/>
        </w:rPr>
        <w:t xml:space="preserve"> acquired in 2022, (ii) obtained a $19.0 million mortgage relating to a consolidated joint venture operating property and (iii) repaid $158.4 million of mortgage debt (including fair market value adjustment of $0.5 million) that encumbered 11 operating pro</w:t>
      </w:r>
      <w:r>
        <w:rPr>
          <w:sz w:val="20"/>
          <w:szCs w:val="20"/>
        </w:rPr>
        <w:t>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addition to the public equity and debt markets as capital sources, the Company may, from time to time, obtain mortgage financing on selected properties to partially fund the capital needs of its real estate re-development and re-tenanting pro</w:t>
      </w:r>
      <w:r>
        <w:rPr>
          <w:sz w:val="20"/>
          <w:szCs w:val="20"/>
        </w:rPr>
        <w:t>jects. As of December 31, 2022, the Company had over 485 unencumbered property interests in its portfolio.</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Albertsons Companies, Inc.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October 2022, the Company sold 11.5 million shares of </w:t>
      </w:r>
      <w:r>
        <w:rPr>
          <w:sz w:val="20"/>
          <w:szCs w:val="20"/>
        </w:rPr>
        <w:t xml:space="preserve">ACI held by the Company, generating net proceeds of $301.1 million. For tax purposes, the Company recognized a long-term capital gain of $251.5 million. The Company elected to retain the proceeds from this stock sale for general corporate purposes and pay </w:t>
      </w:r>
      <w:r>
        <w:rPr>
          <w:sz w:val="20"/>
          <w:szCs w:val="20"/>
        </w:rPr>
        <w:t>corporate income tax of $57.2 million on the taxable gain.  This undistributed long-term capital gain is allocated to, and reportable by, each shareholder, and each shareholder is also entitled to claim a federal income tax credit for its allocable share o</w:t>
      </w:r>
      <w:r>
        <w:rPr>
          <w:sz w:val="20"/>
          <w:szCs w:val="20"/>
        </w:rPr>
        <w:t>f the federal income tax paid by the Company for 2022.  The allocable share of the long-term capital gain and the federal tax credit will be reported to direct holders of Kimco common shares, on Form 2439, and to others in year-end reporting documents issu</w:t>
      </w:r>
      <w:r>
        <w:rPr>
          <w:sz w:val="20"/>
          <w:szCs w:val="20"/>
        </w:rPr>
        <w:t>ed by brokerage firms if Kimco shares are held in a brokerage account. As of December 31, 2022, the Company holds 28.3 million shares of ACI, which had a value of $587.7 million, which are subject to certain contractual lock-up provisions that expire in Ma</w:t>
      </w:r>
      <w:r>
        <w:rPr>
          <w:sz w:val="20"/>
          <w:szCs w:val="20"/>
        </w:rPr>
        <w:t>y 2023.</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October 13, 2022, The Kroger Co. (“Kroger”) and ACI entered into a definitive merger agreement (“ACI Merger”), with Kroger continuing as the surviving public company. The ACI Merger is subject to numerous regulatory approvals and customary clo</w:t>
      </w:r>
      <w:r>
        <w:rPr>
          <w:sz w:val="20"/>
          <w:szCs w:val="20"/>
        </w:rPr>
        <w:t>sing conditions. Separate from the ACI Merger, on October 13, 2022, ACI declared a special cash dividend of $6.85 per share to ACI shareholders of record as of the close of business on October 24, 2022 and was scheduled to be paid on November 7,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w:t>
      </w:r>
      <w:r>
        <w:rPr>
          <w:sz w:val="20"/>
          <w:szCs w:val="20"/>
        </w:rPr>
        <w:t xml:space="preserve"> November 3, 2022, the Superior Court of King County in the State of Washington issued an order temporarily restraining the payment of the special dividend in the case State of Washington v. Albertsons Companies, Inc. et al., until a hearing on a motion fo</w:t>
      </w:r>
      <w:r>
        <w:rPr>
          <w:sz w:val="20"/>
          <w:szCs w:val="20"/>
        </w:rPr>
        <w:t>r a preliminary injunction could be held. On December 9, 2022, the Superior Court denied the motion for a preliminary injunction but extended the temporary restraining order for the Attorney General for the State of Washington to appeal to the Supreme Cour</w:t>
      </w:r>
      <w:r>
        <w:rPr>
          <w:sz w:val="20"/>
          <w:szCs w:val="20"/>
        </w:rPr>
        <w:t>t of the State of Washington. Due to the contingency resulting from this unresolved litigation at December 31, 2022, the Company did not recognize its share of the special dividend for the year ended 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January 17, 2023, the Supreme Co</w:t>
      </w:r>
      <w:r>
        <w:rPr>
          <w:sz w:val="20"/>
          <w:szCs w:val="20"/>
        </w:rPr>
        <w:t>urt of the State of Washington denied a motion by the Attorney General of the State of Washington to hear an appeal from the Superior Court’s denial to enjoin ACI from paying the special dividend. As a result of the decision by the Supreme Court of the Sta</w:t>
      </w:r>
      <w:r>
        <w:rPr>
          <w:sz w:val="20"/>
          <w:szCs w:val="20"/>
        </w:rPr>
        <w:t>te of Washington, the temporary restraining order preventing payment of the special dividend was lifted. On January 20, 2023, ACI distributed the special dividend to holders of record as of October 24, 2022. The Company received its share of the special di</w:t>
      </w:r>
      <w:r>
        <w:rPr>
          <w:sz w:val="20"/>
          <w:szCs w:val="20"/>
        </w:rPr>
        <w:t>vidend payment of $194.1 million during January 2023, and will recognize this income during the three months ending March 31, 2023.</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314724210"/>
        <w:rPr>
          <w:rFonts w:eastAsia="Times New Roman"/>
          <w:sz w:val="20"/>
          <w:szCs w:val="20"/>
        </w:rPr>
      </w:pPr>
      <w:r>
        <w:rPr>
          <w:rFonts w:eastAsia="Times New Roman"/>
          <w:sz w:val="20"/>
          <w:szCs w:val="20"/>
        </w:rPr>
        <w:t xml:space="preserve">37 </w:t>
      </w:r>
    </w:p>
    <w:p w:rsidR="00000000" w:rsidRDefault="006954AA">
      <w:pPr>
        <w:divId w:val="2115325382"/>
        <w:rPr>
          <w:rFonts w:eastAsia="Times New Roman"/>
          <w:sz w:val="20"/>
          <w:szCs w:val="20"/>
        </w:rPr>
      </w:pPr>
      <w:r>
        <w:rPr>
          <w:rFonts w:eastAsia="Times New Roman"/>
          <w:sz w:val="20"/>
          <w:szCs w:val="20"/>
        </w:rPr>
        <w:pict>
          <v:rect id="_x0000_i1072" style="width:415.3pt;height:1.5pt" o:hralign="center" o:hrstd="t" o:hrnoshade="t" o:hr="t" fillcolor="black" stroked="f"/>
        </w:pict>
      </w:r>
    </w:p>
    <w:p w:rsidR="00000000" w:rsidRDefault="006954AA">
      <w:pPr>
        <w:divId w:val="7911680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 xml:space="preserve">Dividends </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connection with its intention to continue to qualify</w:t>
      </w:r>
      <w:r>
        <w:rPr>
          <w:sz w:val="20"/>
          <w:szCs w:val="20"/>
        </w:rPr>
        <w:t xml:space="preserve"> as a REIT for U.S. federal income tax purposes, the Company expects to continue paying regular dividends to its stockholders. These dividends will be paid from operating cash flows. The Company’s Board of Directors will continue to evaluate the Company’s </w:t>
      </w:r>
      <w:r>
        <w:rPr>
          <w:sz w:val="20"/>
          <w:szCs w:val="20"/>
        </w:rPr>
        <w:t>dividend policy on a quarterly basis as it monitors sources of capital and evaluates the impact of the economy and capital markets availability on operating fundamentals. Since cash used to pay dividends reduces amounts available for capital investment, th</w:t>
      </w:r>
      <w:r>
        <w:rPr>
          <w:sz w:val="20"/>
          <w:szCs w:val="20"/>
        </w:rPr>
        <w:t xml:space="preserve">e Company generally intends to maintain a dividend payout ratio which reserves such amounts as it considers necessary for the expansion and renovation of shopping centers in its portfolio, debt reduction, the acquisition of interests in new properties and </w:t>
      </w:r>
      <w:r>
        <w:rPr>
          <w:sz w:val="20"/>
          <w:szCs w:val="20"/>
        </w:rPr>
        <w:t>other investments as suitable opportunities arise and such other factors as the Board of Directors considers appropriate. Cash dividends paid were $544.7 million, $382.1 million and $379.9 million in 2022, 2021 and 2020,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Although the Compan</w:t>
      </w:r>
      <w:r>
        <w:rPr>
          <w:sz w:val="20"/>
          <w:szCs w:val="20"/>
        </w:rPr>
        <w:t>y receives substantially all of its rental payments on a monthly basis, it generally intends to continue paying dividends quarterly. Amounts accumulated in advance of each quarterly distribution will be invested by the Company in short-term money market or</w:t>
      </w:r>
      <w:r>
        <w:rPr>
          <w:sz w:val="20"/>
          <w:szCs w:val="20"/>
        </w:rPr>
        <w:t xml:space="preserve"> other suitable instruments. The Company’s objective is to establish a dividend level that maintains compliance with the Company’s REIT taxable income distribution requirements. On October 25, 2022, the Company’s Board of Directors declared a quarterly div</w:t>
      </w:r>
      <w:r>
        <w:rPr>
          <w:sz w:val="20"/>
          <w:szCs w:val="20"/>
        </w:rPr>
        <w:t xml:space="preserve">idend with respect to the Company’s classes of cumulative redeemable preferred shares (Classes L and M) which were paid on January 17, 2023, to shareholders of record on December 30, 2022. In addition, the Company’s Board of Directors declared a quarterly </w:t>
      </w:r>
      <w:r>
        <w:rPr>
          <w:sz w:val="20"/>
          <w:szCs w:val="20"/>
        </w:rPr>
        <w:t>cash dividend of $0.23 per common share, which was paid on December 23, 2022, to shareholders of record on December 9,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February 8, 2023, the Company’s Board of Directors declared quarterly dividends with respect to the Company’s classes of cumul</w:t>
      </w:r>
      <w:r>
        <w:rPr>
          <w:sz w:val="20"/>
          <w:szCs w:val="20"/>
        </w:rPr>
        <w:t>ative redeemable preferred shares (Classes L and M), which are scheduled to be paid on April 17, 2023, to shareholders of record on April 3, 2023. Additionally, on February 8, 2023, the Company’s Board of Directors declared a quarterly cash dividend of $0.</w:t>
      </w:r>
      <w:r>
        <w:rPr>
          <w:sz w:val="20"/>
          <w:szCs w:val="20"/>
        </w:rPr>
        <w:t>23 per common share payable on March 23, 2023 to shareholders of record on March 9, 2023.</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Contractual Obligations and Other Commitments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Contractual Obligations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debt obligations relating to its Credit Facility (no outstanding balance as of December 31, 2022), unsecured senior notes and mortgages with maturities ranging from four months to 27 years. As of December 31, 2022, the Company’s consolidate</w:t>
      </w:r>
      <w:r>
        <w:rPr>
          <w:sz w:val="20"/>
          <w:szCs w:val="20"/>
        </w:rPr>
        <w:t xml:space="preserve">d total debt had a weighted average term to maturity of 9.5 years. In addition, the Company has non-cancelable leases pertaining to its shopping center portfolio. As of December 31, 2022, the Company had 40 consolidated shopping center properties that are </w:t>
      </w:r>
      <w:r>
        <w:rPr>
          <w:sz w:val="20"/>
          <w:szCs w:val="20"/>
        </w:rPr>
        <w:t>subject to long-term ground leases where a third party owns and has leased the underlying land or a portion of the underlying land to the Company to construct and/or operate a shopping center. Amounts due in 2023 in connection with these leases aggregate $</w:t>
      </w:r>
      <w:r>
        <w:rPr>
          <w:sz w:val="20"/>
          <w:szCs w:val="20"/>
        </w:rPr>
        <w:t>12.4 million. The following table summarizes the Company’s consolidated debt maturities (excluding extension options, unamortized debt issuance costs of $68.1 million and fair market value of debt adjustments aggregating $43.7 million) and obligations unde</w:t>
      </w:r>
      <w:r>
        <w:rPr>
          <w:sz w:val="20"/>
          <w:szCs w:val="20"/>
        </w:rPr>
        <w:t>r non-cancelable operating leases as of December 31, 2022:</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73"/>
        <w:gridCol w:w="64"/>
        <w:gridCol w:w="100"/>
        <w:gridCol w:w="562"/>
        <w:gridCol w:w="64"/>
        <w:gridCol w:w="64"/>
        <w:gridCol w:w="100"/>
        <w:gridCol w:w="562"/>
        <w:gridCol w:w="64"/>
        <w:gridCol w:w="64"/>
        <w:gridCol w:w="100"/>
        <w:gridCol w:w="562"/>
        <w:gridCol w:w="64"/>
        <w:gridCol w:w="64"/>
        <w:gridCol w:w="100"/>
        <w:gridCol w:w="562"/>
        <w:gridCol w:w="64"/>
        <w:gridCol w:w="64"/>
        <w:gridCol w:w="100"/>
        <w:gridCol w:w="562"/>
        <w:gridCol w:w="65"/>
        <w:gridCol w:w="65"/>
        <w:gridCol w:w="116"/>
        <w:gridCol w:w="806"/>
        <w:gridCol w:w="65"/>
        <w:gridCol w:w="65"/>
        <w:gridCol w:w="100"/>
        <w:gridCol w:w="600"/>
        <w:gridCol w:w="65"/>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Payments due by period (in millions)</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b/>
                <w:bCs/>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Thereafter</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15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Long-Term Debt: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Principal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667.7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813.5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780.4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472.7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4,424.6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7,182.3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Interest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229.6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204.1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161.4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1,553.5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2,589.9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Non-cancelable Leases: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Operating leases (3)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244.5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Financing leases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0" w:type="auto"/>
            <w:hideMark/>
          </w:tcPr>
          <w:p w:rsidR="00000000" w:rsidRDefault="006954AA">
            <w:pPr>
              <w:pStyle w:val="a3"/>
              <w:spacing w:before="0" w:beforeAutospacing="0" w:after="0" w:afterAutospacing="0"/>
              <w:rPr>
                <w:sz w:val="20"/>
                <w:szCs w:val="20"/>
              </w:rPr>
            </w:pPr>
            <w:r>
              <w:rPr>
                <w:sz w:val="20"/>
                <w:szCs w:val="20"/>
              </w:rPr>
              <w:t>Maturities utilized do not reflect extension options, which range from two to five years.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(2)</w:t>
            </w:r>
          </w:p>
        </w:tc>
        <w:tc>
          <w:tcPr>
            <w:tcW w:w="0" w:type="auto"/>
            <w:hideMark/>
          </w:tcPr>
          <w:p w:rsidR="00000000" w:rsidRDefault="006954AA">
            <w:pPr>
              <w:pStyle w:val="a3"/>
              <w:spacing w:before="0" w:beforeAutospacing="0" w:after="0" w:afterAutospacing="0"/>
              <w:rPr>
                <w:sz w:val="20"/>
                <w:szCs w:val="20"/>
              </w:rPr>
            </w:pPr>
            <w:r>
              <w:rPr>
                <w:sz w:val="20"/>
                <w:szCs w:val="20"/>
              </w:rPr>
              <w:t>For loans which have interest at floating rates, future interest expense was calculated using the rate as of December 31, 2022.</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(3)</w:t>
            </w:r>
          </w:p>
        </w:tc>
        <w:tc>
          <w:tcPr>
            <w:tcW w:w="0" w:type="auto"/>
            <w:hideMark/>
          </w:tcPr>
          <w:p w:rsidR="00000000" w:rsidRDefault="006954AA">
            <w:pPr>
              <w:pStyle w:val="a3"/>
              <w:spacing w:before="0" w:beforeAutospacing="0" w:after="0" w:afterAutospacing="0"/>
              <w:rPr>
                <w:sz w:val="20"/>
                <w:szCs w:val="20"/>
              </w:rPr>
            </w:pPr>
            <w:r>
              <w:rPr>
                <w:sz w:val="20"/>
                <w:szCs w:val="20"/>
              </w:rPr>
              <w:t>For leases which have inflationary increases, future ground and office rent expense was calculated using the rent based upon initial lease payment.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$12.0 million of consolidated secured debt scheduled to mature in 2023. The Company antic</w:t>
      </w:r>
      <w:r>
        <w:rPr>
          <w:sz w:val="20"/>
          <w:szCs w:val="20"/>
        </w:rPr>
        <w:t>ipates satisfying the remaining future maturities with operating cash flows or debt refinancing.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Commitments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issued letters of credit in connection with the completion and repayment guarantees, primarily on certain of the Company’s rede</w:t>
      </w:r>
      <w:r>
        <w:rPr>
          <w:sz w:val="20"/>
          <w:szCs w:val="20"/>
        </w:rPr>
        <w:t>velopment projects and guaranty of payment related to the Company’s insurance program. At December 31, 2022, these letters of credit aggregated $43.3 million.</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538617897"/>
        <w:rPr>
          <w:rFonts w:eastAsia="Times New Roman"/>
          <w:sz w:val="20"/>
          <w:szCs w:val="20"/>
        </w:rPr>
      </w:pPr>
      <w:r>
        <w:rPr>
          <w:rFonts w:eastAsia="Times New Roman"/>
          <w:sz w:val="20"/>
          <w:szCs w:val="20"/>
        </w:rPr>
        <w:t xml:space="preserve">38 </w:t>
      </w:r>
    </w:p>
    <w:p w:rsidR="00000000" w:rsidRDefault="006954AA">
      <w:pPr>
        <w:divId w:val="2076583479"/>
        <w:rPr>
          <w:rFonts w:eastAsia="Times New Roman"/>
          <w:sz w:val="20"/>
          <w:szCs w:val="20"/>
        </w:rPr>
      </w:pPr>
      <w:r>
        <w:rPr>
          <w:rFonts w:eastAsia="Times New Roman"/>
          <w:sz w:val="20"/>
          <w:szCs w:val="20"/>
        </w:rPr>
        <w:pict>
          <v:rect id="_x0000_i1073" style="width:415.3pt;height:1.5pt" o:hralign="center" o:hrstd="t" o:hrnoshade="t" o:hr="t" fillcolor="black" stroked="f"/>
        </w:pict>
      </w:r>
    </w:p>
    <w:p w:rsidR="00000000" w:rsidRDefault="006954AA">
      <w:pPr>
        <w:divId w:val="11387599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investments with funding commitments of $30.4 million, of which $16.5 million has been funded as of 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In connection with the construction of its development/redevelopment project</w:t>
      </w:r>
      <w:r>
        <w:rPr>
          <w:sz w:val="20"/>
          <w:szCs w:val="20"/>
        </w:rPr>
        <w:t>s and related infrastructure, certain public agencies require posting of performance and surety bonds to guarantee that the Company’s obligations are satisfied. These bonds expire upon the completion of the improvements and infrastructure. As of December 3</w:t>
      </w:r>
      <w:r>
        <w:rPr>
          <w:sz w:val="20"/>
          <w:szCs w:val="20"/>
        </w:rPr>
        <w:t>1, 2022, the Company had $18.4 million in performance and surety bonds outstanding.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provides a guaranty for the payment of any debt service shortfalls on Series A bonds issued by the Sheridan Redevelopment Agency which are tax increment reven</w:t>
      </w:r>
      <w:r>
        <w:rPr>
          <w:sz w:val="20"/>
          <w:szCs w:val="20"/>
        </w:rPr>
        <w:t>ue bonds issued in connection with a property owned by the Company in Sheridan, Colorado. These tax increment revenue bonds have a balance of $45.5 million outstanding at December 31, 2022. The bonds are to be repaid with incremental sales and property tax</w:t>
      </w:r>
      <w:r>
        <w:rPr>
          <w:sz w:val="20"/>
          <w:szCs w:val="20"/>
        </w:rPr>
        <w:t>es and a public improvement fee ("PIF") to be assessed on current and future retail sales and, to the extent necessary, any amounts we may have to provide under a guaranty. The revenue generated from incremental sales, property taxes and PIF have satisfied</w:t>
      </w:r>
      <w:r>
        <w:rPr>
          <w:sz w:val="20"/>
          <w:szCs w:val="20"/>
        </w:rPr>
        <w:t xml:space="preserve"> the debt service requirements to date. The incremental taxes and PIF are to remain intact until the earlier of the payment of the bond liability in full or 2040.</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Off-Balance Sheet Arrangements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Unconsolidated Real Estate Joint Ventures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investments in various unconsolidated real estate joint ventures with varying structures. These joint ventures primarily operate shopping center properties. The properties owned by the joint ventu</w:t>
      </w:r>
      <w:r>
        <w:rPr>
          <w:sz w:val="20"/>
          <w:szCs w:val="20"/>
        </w:rPr>
        <w:t>res are primarily financed with individual non-recourse mortgage loans, however, the Company, on a selective basis, has obtained unsecured financing for certain joint ventures. As of December 31, 2022, the Company did not guarantee any joint venture unsecu</w:t>
      </w:r>
      <w:r>
        <w:rPr>
          <w:sz w:val="20"/>
          <w:szCs w:val="20"/>
        </w:rPr>
        <w:t>red debt. Non-recourse mortgage debt is generally defined as debt whereby the lenders’ sole recourse with respect to borrower defaults is limited to the value of the property collateralized by the mortgage. The lender generally does not have recourse again</w:t>
      </w:r>
      <w:r>
        <w:rPr>
          <w:sz w:val="20"/>
          <w:szCs w:val="20"/>
        </w:rPr>
        <w:t xml:space="preserve">st any other assets owned by the borrower or any of the constituent members of the borrower, except for certain specified exceptions listed in the particular loan documents (see Footnote 7 of the Notes to Consolidated Financial Statements included in this </w:t>
      </w:r>
      <w:r>
        <w:rPr>
          <w:sz w:val="20"/>
          <w:szCs w:val="20"/>
        </w:rPr>
        <w:t>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Debt balances within the Company’s unconsolidated joint venture investments for which the Company held noncontrolling ownership interests at December 31, 2022, aggregated $1.4 billion. As of December 31, 2022, these loans had scheduled maturi</w:t>
      </w:r>
      <w:r>
        <w:rPr>
          <w:sz w:val="20"/>
          <w:szCs w:val="20"/>
        </w:rPr>
        <w:t xml:space="preserve">ties ranging from three months to 8.5 years and bore interest at rates ranging from 2.95% to LIBOR plus 200 basis points (6.39% as of December 31, 2022). Approximately $38.1 million of the aggregate outstanding loan balance matures in 2023. These maturing </w:t>
      </w:r>
      <w:r>
        <w:rPr>
          <w:sz w:val="20"/>
          <w:szCs w:val="20"/>
        </w:rPr>
        <w:t>loans are anticipated to be repaid with operating cash flows, debt refinancing, unsecured credit facilities, proceeds from sales of properties within the ventures, and partner capital contributions, as deemed appropriate (see Footnote 7 of the Notes to Con</w:t>
      </w:r>
      <w:r>
        <w:rPr>
          <w:sz w:val="20"/>
          <w:szCs w:val="20"/>
        </w:rPr>
        <w:t>solidated Financial Statements included in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i/>
          <w:iCs/>
          <w:sz w:val="20"/>
          <w:szCs w:val="20"/>
        </w:rPr>
        <w:t>Other Investments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has provided capital to owners and developers of real estate properties and loans through its Preferred Equity Program. As of December 31, 2022, the Company’s net</w:t>
      </w:r>
      <w:r>
        <w:rPr>
          <w:sz w:val="20"/>
          <w:szCs w:val="20"/>
        </w:rPr>
        <w:t xml:space="preserve"> investment under the Preferred Equity Program was $69.4 million relating to 12 properties As of December 31, 2022, these preferred equity investment properties had non-recourse mortgage loans aggregating $232.8 million. These loans have scheduled maturiti</w:t>
      </w:r>
      <w:r>
        <w:rPr>
          <w:sz w:val="20"/>
          <w:szCs w:val="20"/>
        </w:rPr>
        <w:t>es ranging from less than one year to 1.5 years and bear interest at rates ranging from 4.19% to SOFR plus 265 basis points (6.78% as of December 31, 2022). Due to the Company’s preferred position in these investments, the Company’s share of each investmen</w:t>
      </w:r>
      <w:r>
        <w:rPr>
          <w:sz w:val="20"/>
          <w:szCs w:val="20"/>
        </w:rPr>
        <w:t>t is subject to fluctuation and is dependent upon property cash flows. The Company’s maximum exposure to losses associated with its preferred equity investments is limited to its invested capital.</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Effects of Inflation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Many of the Company's long-term le</w:t>
      </w:r>
      <w:r>
        <w:rPr>
          <w:sz w:val="20"/>
          <w:szCs w:val="20"/>
        </w:rPr>
        <w:t>ases contain provisions designed to mitigate the adverse impact of inflation. Such provisions include clauses enabling the Company to receive payment of additional rent calculated as a percentage of tenants' gross sales above pre-determined thresholds, whi</w:t>
      </w:r>
      <w:r>
        <w:rPr>
          <w:sz w:val="20"/>
          <w:szCs w:val="20"/>
        </w:rPr>
        <w:t xml:space="preserve">ch generally increase as prices rise, and/or as a result of escalation clauses, which generally increase rental rates during the terms of the leases. Such escalation clauses often include increases based upon changes in the consumer price index or similar </w:t>
      </w:r>
      <w:r>
        <w:rPr>
          <w:sz w:val="20"/>
          <w:szCs w:val="20"/>
        </w:rPr>
        <w:t>inflation indices.  In addition, many of the Company's leases are for terms of less than 10 years, which permits the Company to seek to increase rents to market rates upon renewal. To assist in partially mitigating the Company's exposure to increases in co</w:t>
      </w:r>
      <w:r>
        <w:rPr>
          <w:sz w:val="20"/>
          <w:szCs w:val="20"/>
        </w:rPr>
        <w:t xml:space="preserve">sts and operating expenses, including common area maintenance costs, real estate taxes and insurance, resulting from inflation the Company’s leases include provisions that either (i) require the tenant to pay an allocable share of these operating expenses </w:t>
      </w:r>
      <w:r>
        <w:rPr>
          <w:sz w:val="20"/>
          <w:szCs w:val="20"/>
        </w:rPr>
        <w:t>or (ii) contain fixed contractual amounts, which include escalation clauses, to reimburse these operating expenses.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271940348"/>
        <w:rPr>
          <w:rFonts w:eastAsia="Times New Roman"/>
          <w:sz w:val="20"/>
          <w:szCs w:val="20"/>
        </w:rPr>
      </w:pPr>
      <w:r>
        <w:rPr>
          <w:rFonts w:eastAsia="Times New Roman"/>
          <w:sz w:val="20"/>
          <w:szCs w:val="20"/>
        </w:rPr>
        <w:t xml:space="preserve">39 </w:t>
      </w:r>
    </w:p>
    <w:p w:rsidR="00000000" w:rsidRDefault="006954AA">
      <w:pPr>
        <w:divId w:val="1941378432"/>
        <w:rPr>
          <w:rFonts w:eastAsia="Times New Roman"/>
          <w:sz w:val="20"/>
          <w:szCs w:val="20"/>
        </w:rPr>
      </w:pPr>
      <w:r>
        <w:rPr>
          <w:rFonts w:eastAsia="Times New Roman"/>
          <w:sz w:val="20"/>
          <w:szCs w:val="20"/>
        </w:rPr>
        <w:pict>
          <v:rect id="_x0000_i1074" style="width:415.3pt;height:1.5pt" o:hralign="center" o:hrstd="t" o:hrnoshade="t" o:hr="t" fillcolor="black" stroked="f"/>
        </w:pict>
      </w:r>
    </w:p>
    <w:p w:rsidR="00000000" w:rsidRDefault="006954AA">
      <w:pPr>
        <w:divId w:val="11198339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Funds From Operations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FFO is a supplemental non-GAAP financial measure utilized to evaluate the operating performance of real estate companies. NAREIT defines FFO as net incom</w:t>
      </w:r>
      <w:r>
        <w:rPr>
          <w:sz w:val="20"/>
          <w:szCs w:val="20"/>
        </w:rPr>
        <w:t xml:space="preserve">e/(loss) available to the Company’s common shareholders computed in accordance with GAAP, excluding (i) depreciation and amortization related to real estate, (ii) gains or losses from sales of certain real estate assets, (iii) gains and losses from change </w:t>
      </w:r>
      <w:r>
        <w:rPr>
          <w:sz w:val="20"/>
          <w:szCs w:val="20"/>
        </w:rPr>
        <w:t>in control, (iv) impairment write-downs of certain real estate assets and investments in entities when the impairment is directly attributable to decreases in the value of depreciable real estate held by the entity and (v) after adjustments for unconsolida</w:t>
      </w:r>
      <w:r>
        <w:rPr>
          <w:sz w:val="20"/>
          <w:szCs w:val="20"/>
        </w:rPr>
        <w:t>ted partnerships and joint ventures calculated to reflect FFO on the same basis. The Company also made an election, per the NAREIT Funds From Operations White Paper-2018 Restatement, to exclude from its calculation of FFO (i) gains and losses on the sale o</w:t>
      </w:r>
      <w:r>
        <w:rPr>
          <w:sz w:val="20"/>
          <w:szCs w:val="20"/>
        </w:rPr>
        <w:t>f assets and impairments of assets incidental to its main business and (ii) mark-to-market changes in the value of its equity securities. As such, the Company does not include gains/impairments on land parcels, mark-to-market gains/losses from marketable s</w:t>
      </w:r>
      <w:r>
        <w:rPr>
          <w:sz w:val="20"/>
          <w:szCs w:val="20"/>
        </w:rPr>
        <w:t>ecurities, allowance for credit losses on mortgage receivables or gains/impairments on other investments in NAREIT defined FFO.</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 presents FFO available to the Company’s common shareholders as it considers it an important supplemental measure o</w:t>
      </w:r>
      <w:r>
        <w:rPr>
          <w:sz w:val="20"/>
          <w:szCs w:val="20"/>
        </w:rPr>
        <w:t>f our operating performance and believes it is frequently used by securities analysts, investors and other interested parties in the evaluation of REITs, many of which present FFO available to the Company’s common shareholders when reporting results. Compa</w:t>
      </w:r>
      <w:r>
        <w:rPr>
          <w:sz w:val="20"/>
          <w:szCs w:val="20"/>
        </w:rPr>
        <w:t>rison of our presentation of FFO available to the Company’s common shareholders to similarly titled measures for other REITs may not necessarily be meaningful due to possible differences in the application of the NAREIT definition used by such REITs.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FFO is a supplemental non-GAAP financial measure of real estate companies’ operating performances, which does not represent cash generated from operating activities in accordance with GAAP and, therefore, should not be considered an alternative for net inc</w:t>
      </w:r>
      <w:r>
        <w:rPr>
          <w:sz w:val="20"/>
          <w:szCs w:val="20"/>
        </w:rPr>
        <w:t>ome or cash flows from operations as a measure of liquidity.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Company’s reconciliation of Net (loss)/income available to the Company’s common shareholders to FFO available to the Company’s common shareholders is reflected in the table below (in thousa</w:t>
      </w:r>
      <w:r>
        <w:rPr>
          <w:sz w:val="20"/>
          <w:szCs w:val="20"/>
        </w:rPr>
        <w:t>nds, except per share data).</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Three Months Ended</w:t>
            </w:r>
          </w:p>
          <w:p w:rsidR="00000000" w:rsidRDefault="006954AA">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w:t>
            </w:r>
          </w:p>
          <w:p w:rsidR="00000000" w:rsidRDefault="006954AA">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(loss)/income available to the Company’s common shareholders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(56,086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75,327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100,758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818,643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(4,221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(15,179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(11,596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(38,825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(16,879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123,663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132,797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501,274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392,095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16,158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15,949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66,326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51,555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Impairment charges (including real estate joint ventures)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1,585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27,254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7,145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Profit participation from other investments,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(4,584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(9,824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(15,593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(8,595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Loss/(gain) on marketable securities,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100,314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37,347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315,508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(505,163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Provision/(benefit) for income taxes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58,608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58,373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Noncontrolling interests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(3,835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(23,540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(3,285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FFO available to the Company’s common shareholders (3)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234,857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240,072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976,356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706,827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615,856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614,150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615,528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506,248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2,559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2,492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2,627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2,114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2,410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2,283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2,422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620,529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620,438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620,303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511,297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FFO per common share – basic</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0.38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0.39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FFO per common share – diluted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0.38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0.39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1.58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53"/>
        <w:gridCol w:w="1653"/>
        <w:gridCol w:w="5000"/>
      </w:tblGrid>
      <w:tr w:rsidR="00000000">
        <w:trPr>
          <w:tblCellSpacing w:w="0" w:type="dxa"/>
        </w:trPr>
        <w:tc>
          <w:tcPr>
            <w:tcW w:w="360" w:type="dxa"/>
            <w:hideMark/>
          </w:tcPr>
          <w:p w:rsidR="00000000" w:rsidRDefault="006954AA">
            <w:pPr>
              <w:rPr>
                <w:rFonts w:eastAsia="Times New Roman"/>
              </w:rPr>
            </w:pPr>
            <w:r>
              <w:rPr>
                <w:rFonts w:eastAsia="Times New Roman"/>
              </w:rPr>
              <w:t> </w:t>
            </w:r>
          </w:p>
        </w:tc>
        <w:tc>
          <w:tcPr>
            <w:tcW w:w="360" w:type="dxa"/>
            <w:hideMark/>
          </w:tcPr>
          <w:p w:rsidR="00000000" w:rsidRDefault="006954AA">
            <w:pPr>
              <w:pStyle w:val="a3"/>
              <w:spacing w:before="0" w:beforeAutospacing="0" w:after="0" w:afterAutospacing="0"/>
              <w:jc w:val="both"/>
              <w:rPr>
                <w:sz w:val="20"/>
                <w:szCs w:val="20"/>
              </w:rPr>
            </w:pPr>
            <w:r>
              <w:rPr>
                <w:sz w:val="20"/>
                <w:szCs w:val="20"/>
              </w:rPr>
              <w:t>(1)</w:t>
            </w:r>
          </w:p>
        </w:tc>
        <w:tc>
          <w:tcPr>
            <w:tcW w:w="6" w:type="dxa"/>
            <w:hideMark/>
          </w:tcPr>
          <w:p w:rsidR="00000000" w:rsidRDefault="006954AA">
            <w:pPr>
              <w:pStyle w:val="a3"/>
              <w:spacing w:before="0" w:beforeAutospacing="0" w:after="0" w:afterAutospacing="0"/>
              <w:jc w:val="both"/>
              <w:rPr>
                <w:sz w:val="20"/>
                <w:szCs w:val="20"/>
              </w:rPr>
            </w:pPr>
            <w:r>
              <w:rPr>
                <w:sz w:val="20"/>
                <w:szCs w:val="20"/>
              </w:rPr>
              <w:t>Related to gains, impairment, depreciation on properties, and gains/(losses) on sales of marketable securities, where applicable.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33"/>
        <w:gridCol w:w="1633"/>
        <w:gridCol w:w="5040"/>
      </w:tblGrid>
      <w:tr w:rsidR="00000000">
        <w:trPr>
          <w:tblCellSpacing w:w="0" w:type="dxa"/>
        </w:trPr>
        <w:tc>
          <w:tcPr>
            <w:tcW w:w="360" w:type="dxa"/>
            <w:hideMark/>
          </w:tcPr>
          <w:p w:rsidR="00000000" w:rsidRDefault="006954AA">
            <w:pPr>
              <w:rPr>
                <w:rFonts w:eastAsia="Times New Roman"/>
              </w:rPr>
            </w:pPr>
            <w:r>
              <w:rPr>
                <w:rFonts w:eastAsia="Times New Roman"/>
              </w:rPr>
              <w:t> </w:t>
            </w:r>
          </w:p>
        </w:tc>
        <w:tc>
          <w:tcPr>
            <w:tcW w:w="360" w:type="dxa"/>
            <w:hideMark/>
          </w:tcPr>
          <w:p w:rsidR="00000000" w:rsidRDefault="006954AA">
            <w:pPr>
              <w:pStyle w:val="a3"/>
              <w:spacing w:before="0" w:beforeAutospacing="0" w:after="0" w:afterAutospacing="0"/>
              <w:jc w:val="both"/>
              <w:rPr>
                <w:sz w:val="20"/>
                <w:szCs w:val="20"/>
              </w:rPr>
            </w:pPr>
            <w:r>
              <w:rPr>
                <w:sz w:val="20"/>
                <w:szCs w:val="20"/>
              </w:rPr>
              <w:t>(2)</w:t>
            </w:r>
          </w:p>
        </w:tc>
        <w:tc>
          <w:tcPr>
            <w:tcW w:w="6" w:type="dxa"/>
            <w:hideMark/>
          </w:tcPr>
          <w:p w:rsidR="00000000" w:rsidRDefault="006954AA">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$584 and $856 for the three months ended December 31, 2022 and 2021, respectively, and $2,041 and $1,053 for the years ended December 31, 2022 and 2021, respectively. The effect of other certain convertible units would have an anti-dilutiv</w:t>
            </w:r>
            <w:r>
              <w:rPr>
                <w:sz w:val="20"/>
                <w:szCs w:val="20"/>
              </w:rPr>
              <w:t>e effect upon the calculation of FFO available to the Company’s common shareholders per share. Accordingly, the impact of such conversion has not been included in the determination of diluted earnings per share calculations.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31"/>
        <w:gridCol w:w="1530"/>
        <w:gridCol w:w="5245"/>
      </w:tblGrid>
      <w:tr w:rsidR="00000000">
        <w:trPr>
          <w:tblCellSpacing w:w="0" w:type="dxa"/>
        </w:trPr>
        <w:tc>
          <w:tcPr>
            <w:tcW w:w="360" w:type="dxa"/>
            <w:hideMark/>
          </w:tcPr>
          <w:p w:rsidR="00000000" w:rsidRDefault="006954AA">
            <w:pPr>
              <w:rPr>
                <w:rFonts w:eastAsia="Times New Roman"/>
              </w:rPr>
            </w:pPr>
            <w:r>
              <w:rPr>
                <w:rFonts w:eastAsia="Times New Roman"/>
              </w:rPr>
              <w:t> </w:t>
            </w:r>
          </w:p>
        </w:tc>
        <w:tc>
          <w:tcPr>
            <w:tcW w:w="360" w:type="dxa"/>
            <w:hideMark/>
          </w:tcPr>
          <w:p w:rsidR="00000000" w:rsidRDefault="006954AA">
            <w:pPr>
              <w:pStyle w:val="a3"/>
              <w:spacing w:before="0" w:beforeAutospacing="0" w:after="0" w:afterAutospacing="0"/>
              <w:jc w:val="both"/>
              <w:rPr>
                <w:sz w:val="20"/>
                <w:szCs w:val="20"/>
              </w:rPr>
            </w:pPr>
            <w:r>
              <w:rPr>
                <w:sz w:val="20"/>
                <w:szCs w:val="20"/>
              </w:rPr>
              <w:t>(3)</w:t>
            </w:r>
          </w:p>
        </w:tc>
        <w:tc>
          <w:tcPr>
            <w:tcW w:w="6" w:type="dxa"/>
            <w:hideMark/>
          </w:tcPr>
          <w:p w:rsidR="00000000" w:rsidRDefault="006954AA">
            <w:pPr>
              <w:pStyle w:val="a3"/>
              <w:spacing w:before="0" w:beforeAutospacing="0" w:after="0" w:afterAutospacing="0"/>
              <w:jc w:val="both"/>
              <w:rPr>
                <w:sz w:val="20"/>
                <w:szCs w:val="20"/>
              </w:rPr>
            </w:pPr>
            <w:r>
              <w:rPr>
                <w:sz w:val="20"/>
                <w:szCs w:val="20"/>
              </w:rPr>
              <w:t>Includes Merger charges</w:t>
            </w:r>
            <w:r>
              <w:rPr>
                <w:sz w:val="20"/>
                <w:szCs w:val="20"/>
              </w:rPr>
              <w:t xml:space="preserve"> of $50.2 million recognized during the year ended December 31, 2021, in connection with the Merger. In addition, the three months and year ended December 31, 2021, includes a pension valuation adjustment of $3.0 million of income included in Other income,</w:t>
            </w:r>
            <w:r>
              <w:rPr>
                <w:sz w:val="20"/>
                <w:szCs w:val="20"/>
              </w:rPr>
              <w:t xml:space="preserve"> net on the Company’s Consolidated Statements of Income. Includes Early extinguishment of debt charges of $7.7 million recognized during the year ended December 31, 2022.</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Same Property Net Operating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Same property NOI is a supplemental non-GAAP </w:t>
      </w:r>
      <w:r>
        <w:rPr>
          <w:sz w:val="20"/>
          <w:szCs w:val="20"/>
        </w:rPr>
        <w:t>financial measure of real estate companies’ operating performance and should not be considered an alternative to net income in accordance with GAAP or cash flows from operations as a measure of liquidity. The Company considers Same property NOI as an impor</w:t>
      </w:r>
      <w:r>
        <w:rPr>
          <w:sz w:val="20"/>
          <w:szCs w:val="20"/>
        </w:rPr>
        <w:t>tant operating performance measure because it is frequently used by securities analysts and investors to measure only the net operating income of properties that have been owned by the Company for the entire current and prior year reporting periods. It exc</w:t>
      </w:r>
      <w:r>
        <w:rPr>
          <w:sz w:val="20"/>
          <w:szCs w:val="20"/>
        </w:rPr>
        <w:t xml:space="preserve">ludes properties under redevelopment, development and pending stabilization; properties are deemed stabilized at the earlier of (i) reaching 90% leased or (ii) one year following a project’s inclusion in operating real estate. Same property NOI assists in </w:t>
      </w:r>
      <w:r>
        <w:rPr>
          <w:sz w:val="20"/>
          <w:szCs w:val="20"/>
        </w:rPr>
        <w:t>eliminating disparities in net income due to the development, acquisition or disposition of properties during the particular period presented, and thus provides a more consistent performance measure for the comparison of the Company's properties.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044788367"/>
        <w:rPr>
          <w:rFonts w:eastAsia="Times New Roman"/>
          <w:sz w:val="20"/>
          <w:szCs w:val="20"/>
        </w:rPr>
      </w:pPr>
      <w:r>
        <w:rPr>
          <w:rFonts w:eastAsia="Times New Roman"/>
          <w:sz w:val="20"/>
          <w:szCs w:val="20"/>
        </w:rPr>
        <w:t xml:space="preserve">40 </w:t>
      </w:r>
    </w:p>
    <w:p w:rsidR="00000000" w:rsidRDefault="006954AA">
      <w:pPr>
        <w:divId w:val="1247882255"/>
        <w:rPr>
          <w:rFonts w:eastAsia="Times New Roman"/>
          <w:sz w:val="20"/>
          <w:szCs w:val="20"/>
        </w:rPr>
      </w:pPr>
      <w:r>
        <w:rPr>
          <w:rFonts w:eastAsia="Times New Roman"/>
          <w:sz w:val="20"/>
          <w:szCs w:val="20"/>
        </w:rPr>
        <w:pict>
          <v:rect id="_x0000_i1075" style="width:415.3pt;height:1.5pt" o:hralign="center" o:hrstd="t" o:hrnoshade="t" o:hr="t" fillcolor="black" stroked="f"/>
        </w:pict>
      </w:r>
    </w:p>
    <w:p w:rsidR="00000000" w:rsidRDefault="006954AA">
      <w:pPr>
        <w:divId w:val="158121287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For the three months and years ended December 31, 2022 and 2021, the Company included Same property NOI from the Weingarten properties acquired through the Merger. The amount included in the table below, for "Weingarten Same property NOI", for the y</w:t>
      </w:r>
      <w:r>
        <w:rPr>
          <w:sz w:val="20"/>
          <w:szCs w:val="20"/>
        </w:rPr>
        <w:t>ear ended December 31, 2021, represents the Same property NOI from Weingarten properties prior to the Merger, which is not included in the Company's Net (loss)/income available to the Company’s common shareholders.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Same property NOI is calculated using r</w:t>
      </w:r>
      <w:r>
        <w:rPr>
          <w:sz w:val="20"/>
          <w:szCs w:val="20"/>
        </w:rPr>
        <w:t xml:space="preserve">evenues from rental properties (excluding straight-line rent adjustments, lease termination fees, TIFs and amortization of above/below-market rents) less charges for credit losses, operating and maintenance expense, real estate taxes and rent expense plus </w:t>
      </w:r>
      <w:r>
        <w:rPr>
          <w:sz w:val="20"/>
          <w:szCs w:val="20"/>
        </w:rPr>
        <w:t>the Company’s proportionate share of Same property NOI from unconsolidated real estate joint ventures, calculated on the same basis. The Company’s method of calculating Same property NOI available to the Company’s common shareholders may differ from method</w:t>
      </w:r>
      <w:r>
        <w:rPr>
          <w:sz w:val="20"/>
          <w:szCs w:val="20"/>
        </w:rPr>
        <w:t>s used by other REITs and, accordingly, may not be comparable to such other REITs.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following is a reconciliation of Net (loss)/income available to the Company’</w:t>
      </w:r>
      <w:r>
        <w:rPr>
          <w:sz w:val="20"/>
          <w:szCs w:val="20"/>
        </w:rPr>
        <w:t>s common shareholders to Same property NOI (in thousands):</w:t>
      </w:r>
    </w:p>
    <w:p w:rsidR="00000000" w:rsidRDefault="006954AA">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3"/>
        <w:gridCol w:w="67"/>
        <w:gridCol w:w="100"/>
        <w:gridCol w:w="732"/>
        <w:gridCol w:w="67"/>
        <w:gridCol w:w="67"/>
        <w:gridCol w:w="100"/>
        <w:gridCol w:w="732"/>
        <w:gridCol w:w="67"/>
        <w:gridCol w:w="67"/>
        <w:gridCol w:w="100"/>
        <w:gridCol w:w="800"/>
        <w:gridCol w:w="68"/>
        <w:gridCol w:w="68"/>
        <w:gridCol w:w="100"/>
        <w:gridCol w:w="800"/>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Three Months Ended </w:t>
            </w:r>
          </w:p>
          <w:p w:rsidR="00000000" w:rsidRDefault="006954AA">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w:t>
            </w:r>
            <w:r>
              <w:rPr>
                <w:b/>
                <w:bCs/>
                <w:sz w:val="20"/>
                <w:szCs w:val="20"/>
              </w:rPr>
              <w:b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(loss)/income available to the Company’s common shareholders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(56,086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75,327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100,758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818,643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Management and other fee 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(3,955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(16,836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(14,883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General and administrative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31,928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28,985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119,534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104,121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2,643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21,958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Merger charges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124,676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133,633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505,000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395,320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Gain on sale of properties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(4,221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(15,179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Interest and other expense,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50,969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49,503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205,652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184,323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Loss/(gain) on marketable securities,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100,314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37,347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315,508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(505,163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Provision for income taxes,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57,750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56,654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3,380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Equity in income of other investments,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(12,807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(17,403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(23,172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Net income/(loss) attributable to 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2,710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268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(11,442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Preferred dividends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6,307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6,354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25,218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25,416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Weingarten same property NOI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252,651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Non same property net operating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(14,942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(15,661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(80,504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(113,794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Non-operational expense from joint ventures,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23,934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9,987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55,514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55,213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Same property NOI</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317,672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311,813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1,264,432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1,210,639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0" w:type="auto"/>
            <w:hideMark/>
          </w:tcPr>
          <w:p w:rsidR="00000000" w:rsidRDefault="006954AA">
            <w:pPr>
              <w:pStyle w:val="a3"/>
              <w:spacing w:before="0" w:beforeAutospacing="0" w:after="0" w:afterAutospacing="0"/>
              <w:rPr>
                <w:sz w:val="20"/>
                <w:szCs w:val="20"/>
              </w:rPr>
            </w:pPr>
            <w:r>
              <w:rPr>
                <w:sz w:val="20"/>
                <w:szCs w:val="20"/>
              </w:rPr>
              <w:t>Amount for the year ended December 31, 2021, represents the Same property NOI from Weingarten properties, not included in the Company's Net income available to the Company's common shareholders pre-Merger.</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Same property NOI increased by $5.9 million, or</w:t>
      </w:r>
      <w:r>
        <w:rPr>
          <w:sz w:val="20"/>
          <w:szCs w:val="20"/>
        </w:rPr>
        <w:t xml:space="preserve"> 1.9%, for the three months ended December 31, 2022, as compared to the corresponding period in 2021. This increase is primarily the result of (i) an increase of $15.4 million primarily related to an increase in rental revenue driven by strong leasing acti</w:t>
      </w:r>
      <w:r>
        <w:rPr>
          <w:sz w:val="20"/>
          <w:szCs w:val="20"/>
        </w:rPr>
        <w:t>vity and a decrease in tenant rent abatements and vacancies as a result of the diminishing effects of the COVID-19 pandemic, partially offset by (ii) a change in credit loss from tenants of $9.5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Same property NOI increased by $53.8 million, or 4</w:t>
      </w:r>
      <w:r>
        <w:rPr>
          <w:sz w:val="20"/>
          <w:szCs w:val="20"/>
        </w:rPr>
        <w:t>.4%, for the year ended December 31, 2022, as compared to the corresponding period in 2021. This increase is primarily the result of (i) an increase of $81.0 million primarily related to an increase in rental revenue driven by strong leasing activity and a</w:t>
      </w:r>
      <w:r>
        <w:rPr>
          <w:sz w:val="20"/>
          <w:szCs w:val="20"/>
        </w:rPr>
        <w:t xml:space="preserve"> decrease in tenant rent abatements and vacancies as a result of the diminishing effects of the COVID-19 pandemic, partially offset by (ii) a change in credit loss from tenants of $27.2 million.</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New Accounting Pronouncements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See Footnote 1 of the Notes</w:t>
      </w:r>
      <w:r>
        <w:rPr>
          <w:sz w:val="20"/>
          <w:szCs w:val="20"/>
        </w:rPr>
        <w:t xml:space="preserve"> to Consolidated Financial Statements included in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520164147"/>
        <w:rPr>
          <w:rFonts w:eastAsia="Times New Roman"/>
          <w:sz w:val="20"/>
          <w:szCs w:val="20"/>
        </w:rPr>
      </w:pPr>
      <w:r>
        <w:rPr>
          <w:rFonts w:eastAsia="Times New Roman"/>
          <w:sz w:val="20"/>
          <w:szCs w:val="20"/>
        </w:rPr>
        <w:t xml:space="preserve">41 </w:t>
      </w:r>
    </w:p>
    <w:p w:rsidR="00000000" w:rsidRDefault="006954AA">
      <w:pPr>
        <w:divId w:val="673068332"/>
        <w:rPr>
          <w:rFonts w:eastAsia="Times New Roman"/>
          <w:sz w:val="20"/>
          <w:szCs w:val="20"/>
        </w:rPr>
      </w:pPr>
      <w:r>
        <w:rPr>
          <w:rFonts w:eastAsia="Times New Roman"/>
          <w:sz w:val="20"/>
          <w:szCs w:val="20"/>
        </w:rPr>
        <w:pict>
          <v:rect id="_x0000_i1076" style="width:415.3pt;height:1.5pt" o:hralign="center" o:hrstd="t" o:hrnoshade="t" o:hr="t" fillcolor="black" stroked="f"/>
        </w:pict>
      </w:r>
    </w:p>
    <w:p w:rsidR="00000000" w:rsidRDefault="006954AA">
      <w:pPr>
        <w:divId w:val="2522760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7A. Quantitative and Qualitative Disclosures About Market Risk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w:t>
      </w:r>
      <w:r>
        <w:rPr>
          <w:sz w:val="20"/>
          <w:szCs w:val="20"/>
        </w:rPr>
        <w:t xml:space="preserve">s primary market risk exposure is interest rate risk. The Company periodically evaluates its exposure to short-term interest rates and will, from time-to-time, enter into interest rate protection agreements which mitigate, but do not eliminate, the effect </w:t>
      </w:r>
      <w:r>
        <w:rPr>
          <w:sz w:val="20"/>
          <w:szCs w:val="20"/>
        </w:rPr>
        <w:t xml:space="preserve">of changes in interest rates on its floating-rate debt. The Company has not entered, and does not plan to enter, into any derivative financial instruments for trading or speculative purposes. The following table presents the Company’s aggregate fixed rate </w:t>
      </w:r>
      <w:r>
        <w:rPr>
          <w:sz w:val="20"/>
          <w:szCs w:val="20"/>
        </w:rPr>
        <w:t>and variable rate debt obligations outstanding, including fair market value adjustments and unamortized deferred financing costs, as of December 31, 2022, with corresponding weighted-average interest rates sorted by maturity date. The table does not includ</w:t>
      </w:r>
      <w:r>
        <w:rPr>
          <w:sz w:val="20"/>
          <w:szCs w:val="20"/>
        </w:rPr>
        <w:t>e extension options where available (amounts in millions).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1000" w:type="pct"/>
            <w:shd w:val="clear" w:color="auto" w:fill="CCEEFF"/>
            <w:vAlign w:val="bottom"/>
            <w:hideMark/>
          </w:tcPr>
          <w:p w:rsidR="00000000" w:rsidRDefault="006954AA">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53.0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244.4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358.6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293.8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4.87</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4.01</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4.23</w:t>
            </w:r>
          </w:p>
        </w:tc>
        <w:tc>
          <w:tcPr>
            <w:tcW w:w="50" w:type="pct"/>
            <w:shd w:val="clear" w:color="auto" w:fill="CCEEFF"/>
            <w:vAlign w:val="bottom"/>
            <w:hideMark/>
          </w:tcPr>
          <w:p w:rsidR="00000000" w:rsidRDefault="006954AA">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4.10</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Variable Rate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5.43</w:t>
            </w:r>
          </w:p>
        </w:tc>
        <w:tc>
          <w:tcPr>
            <w:tcW w:w="50" w:type="pct"/>
            <w:shd w:val="clear" w:color="auto" w:fill="FFFFFF"/>
            <w:vAlign w:val="bottom"/>
            <w:hideMark/>
          </w:tcPr>
          <w:p w:rsidR="00000000" w:rsidRDefault="006954AA">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5.43</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b/>
                <w:bCs/>
                <w:sz w:val="20"/>
                <w:szCs w:val="20"/>
                <w:u w:val="single"/>
              </w:rPr>
              <w:t>Unsecured Debt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654.3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785.4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436.8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4,151.6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6,781.0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5,837.4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3.37</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3.48</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3.06</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4.03</w:t>
            </w:r>
          </w:p>
        </w:tc>
        <w:tc>
          <w:tcPr>
            <w:tcW w:w="50" w:type="pct"/>
            <w:shd w:val="clear" w:color="auto" w:fill="FFFFFF"/>
            <w:vAlign w:val="bottom"/>
            <w:hideMark/>
          </w:tcPr>
          <w:p w:rsidR="00000000" w:rsidRDefault="006954AA">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3.47</w:t>
            </w:r>
          </w:p>
        </w:tc>
        <w:tc>
          <w:tcPr>
            <w:tcW w:w="50" w:type="pct"/>
            <w:shd w:val="clear" w:color="auto" w:fill="FFFFFF"/>
            <w:vAlign w:val="bottom"/>
            <w:hideMark/>
          </w:tcPr>
          <w:p w:rsidR="00000000" w:rsidRDefault="006954AA">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3.45</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Based on the Company’</w:t>
      </w:r>
      <w:r>
        <w:rPr>
          <w:sz w:val="20"/>
          <w:szCs w:val="20"/>
        </w:rPr>
        <w:t>s variable-rate debt balances, interest expense would have increased by $0.2 million for the year ended December 31, 2022, if short-term interest rates were 1.0% higher.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8. Financial Statements and Supplementary Data</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response to this Item 8 is included in our audited Consolidated Financial Statements and Notes to Consolidated Financial Statements, which are contained in Part IV, Item 15 of this Form 10-K.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u w:val="single"/>
        </w:rPr>
        <w:t>Item 9. Changes in and Disagreements With Accountants on Accounting and Financial Disclosure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None.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9A. Controls and Procedures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Evaluation of Disclosure Controls and Procedures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Company</w:t>
      </w:r>
      <w:r>
        <w:rPr>
          <w:sz w:val="20"/>
          <w:szCs w:val="20"/>
        </w:rPr>
        <w:t xml:space="preserve">’s management, with the participation of the Company’s Chief Executive Officer and Chief Financial Officer, has evaluated the effectiveness of the Company’s disclosure controls and procedures (as such term is defined in Rules 13a-15(e) and 15d-15(e) under </w:t>
      </w:r>
      <w:r>
        <w:rPr>
          <w:sz w:val="20"/>
          <w:szCs w:val="20"/>
        </w:rPr>
        <w:t>the Exchange Act) as of the end of the period covered by this report. Based on such evaluation, the Company’s Chief Executive Officer and Chief Financial Officer have concluded that the Company’s disclosure controls and procedures are effective as of Decem</w:t>
      </w:r>
      <w:r>
        <w:rPr>
          <w:sz w:val="20"/>
          <w:szCs w:val="20"/>
        </w:rPr>
        <w:t>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Changes in Internal Control Over Financial Reporting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There have not been any changes in the Company’s internal control over financial reporting (as such term is defined in Rules 13a-15(f) and 15d-15(f) under the Exchange Act) during the f</w:t>
      </w:r>
      <w:r>
        <w:rPr>
          <w:sz w:val="20"/>
          <w:szCs w:val="20"/>
        </w:rPr>
        <w:t>ourth fiscal quarter ended December 31, 2022, that have materially affected, or are reasonably likely to materially affect, the Company’s internal control over financial reporting.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i/>
          <w:iCs/>
          <w:sz w:val="20"/>
          <w:szCs w:val="20"/>
        </w:rPr>
        <w:t>Management</w:t>
      </w:r>
      <w:r>
        <w:rPr>
          <w:sz w:val="20"/>
          <w:szCs w:val="20"/>
        </w:rPr>
        <w:t>’</w:t>
      </w:r>
      <w:r>
        <w:rPr>
          <w:i/>
          <w:iCs/>
          <w:sz w:val="20"/>
          <w:szCs w:val="20"/>
        </w:rPr>
        <w:t xml:space="preserve">s Report on Internal Control Over Financial Reporting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Our m</w:t>
      </w:r>
      <w:r>
        <w:rPr>
          <w:sz w:val="20"/>
          <w:szCs w:val="20"/>
        </w:rPr>
        <w:t>anagement is responsible for establishing and maintaining adequate internal control over financial reporting, as such term is defined in Exchange Act Rule 13a-15(f) and 15d-15(f). Under the supervision and with the participation of our management, includin</w:t>
      </w:r>
      <w:r>
        <w:rPr>
          <w:sz w:val="20"/>
          <w:szCs w:val="20"/>
        </w:rPr>
        <w:t xml:space="preserve">g our Chief Executive Officer and Chief Financial Officer, we conducted an evaluation of the effectiveness of our internal control over financial reporting based on the framework in the </w:t>
      </w:r>
      <w:r>
        <w:rPr>
          <w:i/>
          <w:iCs/>
          <w:sz w:val="20"/>
          <w:szCs w:val="20"/>
        </w:rPr>
        <w:t>Internal Control - Integrated Framework</w:t>
      </w:r>
      <w:r>
        <w:rPr>
          <w:sz w:val="20"/>
          <w:szCs w:val="20"/>
        </w:rPr>
        <w:t xml:space="preserve"> (</w:t>
      </w:r>
      <w:r>
        <w:rPr>
          <w:i/>
          <w:iCs/>
          <w:sz w:val="20"/>
          <w:szCs w:val="20"/>
        </w:rPr>
        <w:t xml:space="preserve">2013) </w:t>
      </w:r>
      <w:r>
        <w:rPr>
          <w:sz w:val="20"/>
          <w:szCs w:val="20"/>
        </w:rPr>
        <w:t>issued by the Committee</w:t>
      </w:r>
      <w:r>
        <w:rPr>
          <w:sz w:val="20"/>
          <w:szCs w:val="20"/>
        </w:rPr>
        <w:t xml:space="preserve"> of Sponsoring Organizations of the Treadway Commission. Based on our evaluation under the framework in </w:t>
      </w:r>
      <w:r>
        <w:rPr>
          <w:i/>
          <w:iCs/>
          <w:sz w:val="20"/>
          <w:szCs w:val="20"/>
        </w:rPr>
        <w:t>Internal Control - Integrated Framework (2013)</w:t>
      </w:r>
      <w:r>
        <w:rPr>
          <w:sz w:val="20"/>
          <w:szCs w:val="20"/>
        </w:rPr>
        <w:t>, our management concluded that our internal control over financial reporting was effective as of December</w:t>
      </w:r>
      <w:r>
        <w:rPr>
          <w:sz w:val="20"/>
          <w:szCs w:val="20"/>
        </w:rPr>
        <w:t xml:space="preserve">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effectiveness of our internal control over financial reporting as of December 31, 2022 has been audited by PricewaterhouseCoopers LLP, an independent registered public accounting firm, as stated in their report which appears under Item 8.</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32464459"/>
        <w:rPr>
          <w:rFonts w:eastAsia="Times New Roman"/>
          <w:sz w:val="20"/>
          <w:szCs w:val="20"/>
        </w:rPr>
      </w:pPr>
      <w:r>
        <w:rPr>
          <w:rFonts w:eastAsia="Times New Roman"/>
          <w:sz w:val="20"/>
          <w:szCs w:val="20"/>
        </w:rPr>
        <w:t xml:space="preserve">42 </w:t>
      </w:r>
    </w:p>
    <w:p w:rsidR="00000000" w:rsidRDefault="006954AA">
      <w:pPr>
        <w:divId w:val="896666987"/>
        <w:rPr>
          <w:rFonts w:eastAsia="Times New Roman"/>
          <w:sz w:val="20"/>
          <w:szCs w:val="20"/>
        </w:rPr>
      </w:pPr>
      <w:r>
        <w:rPr>
          <w:rFonts w:eastAsia="Times New Roman"/>
          <w:sz w:val="20"/>
          <w:szCs w:val="20"/>
        </w:rPr>
        <w:pict>
          <v:rect id="_x0000_i1077" style="width:415.3pt;height:1.5pt" o:hralign="center" o:hrstd="t" o:hrnoshade="t" o:hr="t" fillcolor="black" stroked="f"/>
        </w:pict>
      </w:r>
    </w:p>
    <w:p w:rsidR="00000000" w:rsidRDefault="006954AA">
      <w:pPr>
        <w:divId w:val="3600160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9B. Other Information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Director and Officer Indemnification Agreements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On or about February 23, 2023, the Company entered into, or will e</w:t>
      </w:r>
      <w:r>
        <w:rPr>
          <w:sz w:val="20"/>
          <w:szCs w:val="20"/>
        </w:rPr>
        <w:t>nter into, new indemnification agreements with each of its directors and executive officers (each, an “Indemnitee”). The indemnification agreements provide that the Company will indemnify the Indemnitee, in each case, against certain expenses and costs ari</w:t>
      </w:r>
      <w:r>
        <w:rPr>
          <w:sz w:val="20"/>
          <w:szCs w:val="20"/>
        </w:rPr>
        <w:t>sing out of claims to which he or she becomes subject in connection with his or her service to the Company. The indemnification agreements contain customary terms and conditions and establish certain customary procedures and presumptions.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above descr</w:t>
      </w:r>
      <w:r>
        <w:rPr>
          <w:sz w:val="20"/>
          <w:szCs w:val="20"/>
        </w:rPr>
        <w:t>iption of the indemnification agreements does not purport to be complete and is qualified in its entirety by reference to the Form of Indemnification Agreement filed as Exhibit 10.19 hereto and incorporated herein by reference.</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9C. Disclosure Regarding Foreign Jurisdictions that Prevent Inspections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Not applicable.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70727520"/>
        <w:rPr>
          <w:rFonts w:eastAsia="Times New Roman"/>
          <w:sz w:val="20"/>
          <w:szCs w:val="20"/>
        </w:rPr>
      </w:pPr>
      <w:r>
        <w:rPr>
          <w:rFonts w:eastAsia="Times New Roman"/>
          <w:sz w:val="20"/>
          <w:szCs w:val="20"/>
        </w:rPr>
        <w:t xml:space="preserve">43 </w:t>
      </w:r>
    </w:p>
    <w:p w:rsidR="00000000" w:rsidRDefault="006954AA">
      <w:pPr>
        <w:divId w:val="170727520"/>
        <w:rPr>
          <w:rFonts w:eastAsia="Times New Roman"/>
          <w:sz w:val="20"/>
          <w:szCs w:val="20"/>
        </w:rPr>
      </w:pPr>
      <w:r>
        <w:rPr>
          <w:rFonts w:eastAsia="Times New Roman"/>
          <w:sz w:val="20"/>
          <w:szCs w:val="20"/>
        </w:rPr>
        <w:pict>
          <v:rect id="_x0000_i1078" style="width:415.3pt;height:1.5pt" o:hralign="center" o:hrstd="t" o:hrnoshade="t" o:hr="t" fillcolor="black" stroked="f"/>
        </w:pict>
      </w:r>
    </w:p>
    <w:p w:rsidR="00000000" w:rsidRDefault="006954AA">
      <w:pPr>
        <w:divId w:val="15757788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u w:val="single"/>
        </w:rPr>
        <w:t>PART III</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 xml:space="preserve">Item 10. Directors, Executive Officers and Corporate Governance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information required by this item is incorporated by reference to “Proposal 1—Election of Directors,” “Governance at Kimco,” “Officers,” “Other Matters” and if required, “Delinquent Sec</w:t>
      </w:r>
      <w:r>
        <w:rPr>
          <w:sz w:val="20"/>
          <w:szCs w:val="20"/>
        </w:rPr>
        <w:t>tion 16(a) Reports” in our definitive proxy statement to be filed with respect to the Annual Meeting of Stockholders expected to be held on April 25, 2023 (“Proxy Statement”).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We have adopted a Code of Conduct that applies to all directors, officers and employees, including our principal executive officer, principal financial officer and principal accounting officer. The Code of Conduct is available at the Investors/Governance/G</w:t>
      </w:r>
      <w:r>
        <w:rPr>
          <w:sz w:val="20"/>
          <w:szCs w:val="20"/>
        </w:rPr>
        <w:t>overnance Documents section of our website at www.kimcorealty.com. A copy of the Code of Conduct is available in print, free of charge, to stockholders upon request to us at the address set forth in Item 1 of this Form 10-K under the section “Business - Ov</w:t>
      </w:r>
      <w:r>
        <w:rPr>
          <w:sz w:val="20"/>
          <w:szCs w:val="20"/>
        </w:rPr>
        <w:t>erview.” We intend to satisfy the disclosure requirements under the Exchange Act, as amended, regarding an amendment to or waiver from a provision of our Code of Conduct by posting such information on our website.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w:t>
      </w:r>
      <w:r>
        <w:rPr>
          <w:sz w:val="20"/>
          <w:szCs w:val="20"/>
          <w:u w:val="single"/>
        </w:rPr>
        <w:t xml:space="preserve"> 11. Executive Compensation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information required by this item is incorporated by reference to “Compensation Discussion and Analysis,” “Executive Compensation Committee Report,” “ Executive Compensation Tables,” “Governance at Kimco” and “Other Matter</w:t>
      </w:r>
      <w:r>
        <w:rPr>
          <w:sz w:val="20"/>
          <w:szCs w:val="20"/>
        </w:rPr>
        <w:t>s” in our Proxy Statement.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12. Security Ownership of Certain Beneficial Owners and Management and Related Stockholder Matters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information required by this item is incorporated by reference to “Beneficial Ow</w:t>
      </w:r>
      <w:r>
        <w:rPr>
          <w:sz w:val="20"/>
          <w:szCs w:val="20"/>
        </w:rPr>
        <w:t>nership” and “Executive Compensation” in our Proxy Statement.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13. Certain Relationships and Related Transactions, and Director Independence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information required by this item is incorporated by reference t</w:t>
      </w:r>
      <w:r>
        <w:rPr>
          <w:sz w:val="20"/>
          <w:szCs w:val="20"/>
        </w:rPr>
        <w:t>o “Certain Relationships and Related Transactions”  and “Governance at Kimco” in our Proxy Statement.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14. Principal Accountant Fees and Services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The information required by this item is incorporated by refere</w:t>
      </w:r>
      <w:r>
        <w:rPr>
          <w:sz w:val="20"/>
          <w:szCs w:val="20"/>
        </w:rPr>
        <w:t>nce to “Proposal 4 Ratification of Independent Accountants” in our Proxy Statement.</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jc w:val="center"/>
        <w:divId w:val="114064447"/>
        <w:rPr>
          <w:rFonts w:eastAsia="Times New Roman"/>
          <w:sz w:val="20"/>
          <w:szCs w:val="20"/>
        </w:rPr>
      </w:pPr>
      <w:r>
        <w:rPr>
          <w:rFonts w:eastAsia="Times New Roman"/>
          <w:sz w:val="20"/>
          <w:szCs w:val="20"/>
        </w:rPr>
        <w:t xml:space="preserve">44 </w:t>
      </w:r>
    </w:p>
    <w:p w:rsidR="00000000" w:rsidRDefault="006954AA">
      <w:pPr>
        <w:divId w:val="114064447"/>
        <w:rPr>
          <w:rFonts w:eastAsia="Times New Roman"/>
          <w:sz w:val="20"/>
          <w:szCs w:val="20"/>
        </w:rPr>
      </w:pPr>
      <w:r>
        <w:rPr>
          <w:rFonts w:eastAsia="Times New Roman"/>
          <w:sz w:val="20"/>
          <w:szCs w:val="20"/>
        </w:rPr>
        <w:pict>
          <v:rect id="_x0000_i1079" style="width:415.3pt;height:1.5pt" o:hralign="center" o:hrstd="t" o:hrnoshade="t" o:hr="t" fillcolor="black" stroked="f"/>
        </w:pict>
      </w:r>
    </w:p>
    <w:p w:rsidR="00000000" w:rsidRDefault="006954AA">
      <w:pPr>
        <w:divId w:val="5733932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u w:val="single"/>
        </w:rPr>
        <w:t>PART IV</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15. Exhibits and Financial Statement Schedules</w:t>
      </w:r>
    </w:p>
    <w:tbl>
      <w:tblPr>
        <w:tblW w:w="5000" w:type="pct"/>
        <w:tblCellSpacing w:w="0" w:type="dxa"/>
        <w:tblCellMar>
          <w:left w:w="0" w:type="dxa"/>
          <w:right w:w="0" w:type="dxa"/>
        </w:tblCellMar>
        <w:tblLook w:val="04A0" w:firstRow="1" w:lastRow="0" w:firstColumn="1" w:lastColumn="0" w:noHBand="0" w:noVBand="1"/>
      </w:tblPr>
      <w:tblGrid>
        <w:gridCol w:w="522"/>
        <w:gridCol w:w="767"/>
        <w:gridCol w:w="6416"/>
        <w:gridCol w:w="601"/>
      </w:tblGrid>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pStyle w:val="a3"/>
              <w:spacing w:before="0" w:beforeAutospacing="0" w:after="0" w:afterAutospacing="0"/>
              <w:jc w:val="right"/>
              <w:rPr>
                <w:sz w:val="20"/>
                <w:szCs w:val="20"/>
              </w:rPr>
            </w:pPr>
            <w:r>
              <w:rPr>
                <w:sz w:val="20"/>
                <w:szCs w:val="20"/>
              </w:rPr>
              <w:t>(a)   1.</w:t>
            </w:r>
          </w:p>
        </w:tc>
        <w:tc>
          <w:tcPr>
            <w:tcW w:w="500" w:type="pct"/>
            <w:gridSpan w:val="2"/>
            <w:hideMark/>
          </w:tcPr>
          <w:p w:rsidR="00000000" w:rsidRDefault="006954AA">
            <w:pPr>
              <w:pStyle w:val="a3"/>
              <w:spacing w:before="0" w:beforeAutospacing="0" w:after="0" w:afterAutospacing="0"/>
              <w:ind w:left="20" w:hanging="20"/>
              <w:rPr>
                <w:sz w:val="20"/>
                <w:szCs w:val="20"/>
              </w:rPr>
            </w:pPr>
            <w:r>
              <w:rPr>
                <w:sz w:val="20"/>
                <w:szCs w:val="20"/>
              </w:rPr>
              <w:t> Financial Statements – </w:t>
            </w:r>
          </w:p>
          <w:p w:rsidR="00000000" w:rsidRDefault="006954AA">
            <w:pPr>
              <w:pStyle w:val="a3"/>
              <w:spacing w:before="0" w:beforeAutospacing="0" w:after="0" w:afterAutospacing="0"/>
              <w:ind w:left="20" w:hanging="20"/>
              <w:rPr>
                <w:sz w:val="20"/>
                <w:szCs w:val="20"/>
              </w:rPr>
            </w:pPr>
            <w:r>
              <w:rPr>
                <w:sz w:val="20"/>
                <w:szCs w:val="20"/>
              </w:rPr>
              <w:t>The following consolidated financial information is included as a separate section of this Form 10-K.</w:t>
            </w:r>
          </w:p>
        </w:tc>
        <w:tc>
          <w:tcPr>
            <w:tcW w:w="4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sz w:val="20"/>
                <w:szCs w:val="20"/>
              </w:rPr>
              <w:t>Form 10-K</w:t>
            </w:r>
            <w:r>
              <w:rPr>
                <w:sz w:val="20"/>
                <w:szCs w:val="20"/>
              </w:rPr>
              <w:br/>
              <w:t>Report</w:t>
            </w:r>
            <w:r>
              <w:rPr>
                <w:sz w:val="20"/>
                <w:szCs w:val="20"/>
              </w:rPr>
              <w:br/>
              <w:t>Page</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 w:hanging="20"/>
              <w:rPr>
                <w:sz w:val="20"/>
                <w:szCs w:val="20"/>
              </w:rPr>
            </w:pPr>
            <w:hyperlink w:anchor="report" w:history="1">
              <w:r>
                <w:rPr>
                  <w:rStyle w:val="a4"/>
                  <w:sz w:val="20"/>
                  <w:szCs w:val="20"/>
                </w:rPr>
                <w:t>Report of Independent Registered Public Accounting Firm</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report" w:history="1">
              <w:r>
                <w:rPr>
                  <w:rStyle w:val="a4"/>
                  <w:sz w:val="20"/>
                  <w:szCs w:val="20"/>
                </w:rPr>
                <w:t>52</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 w:hanging="20"/>
              <w:rPr>
                <w:sz w:val="20"/>
                <w:szCs w:val="20"/>
              </w:rPr>
            </w:pPr>
            <w:r>
              <w:rPr>
                <w:sz w:val="20"/>
                <w:szCs w:val="20"/>
              </w:rPr>
              <w:t>Consolidated Financial Statements</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0" w:hanging="20"/>
              <w:rPr>
                <w:sz w:val="20"/>
                <w:szCs w:val="20"/>
              </w:rPr>
            </w:pPr>
            <w:hyperlink w:anchor="bs" w:history="1">
              <w:r>
                <w:rPr>
                  <w:rStyle w:val="a4"/>
                  <w:sz w:val="20"/>
                  <w:szCs w:val="20"/>
                </w:rPr>
                <w:t>Consolidated Balance Sheets as of December 31, 2022 and 2021</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bs" w:history="1">
              <w:r>
                <w:rPr>
                  <w:rStyle w:val="a4"/>
                  <w:sz w:val="20"/>
                  <w:szCs w:val="20"/>
                </w:rPr>
                <w:t>54</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0" w:hanging="20"/>
              <w:rPr>
                <w:sz w:val="20"/>
                <w:szCs w:val="20"/>
              </w:rPr>
            </w:pPr>
            <w:hyperlink w:anchor="income" w:history="1">
              <w:r>
                <w:rPr>
                  <w:rStyle w:val="a4"/>
                  <w:sz w:val="20"/>
                  <w:szCs w:val="20"/>
                </w:rPr>
                <w:t>Consolidated Statements of Income for the years ended December 31, 2022, 2021 and 2020</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income" w:history="1">
              <w:r>
                <w:rPr>
                  <w:rStyle w:val="a4"/>
                  <w:sz w:val="20"/>
                  <w:szCs w:val="20"/>
                </w:rPr>
                <w:t>55</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0" w:hanging="20"/>
              <w:rPr>
                <w:sz w:val="20"/>
                <w:szCs w:val="20"/>
              </w:rPr>
            </w:pPr>
            <w:hyperlink w:anchor="comp" w:history="1">
              <w:r>
                <w:rPr>
                  <w:rStyle w:val="a4"/>
                  <w:sz w:val="20"/>
                  <w:szCs w:val="20"/>
                </w:rPr>
                <w:t>Consolidated Statements of Comprehensive Income for the years ended December 31, 2022, 2021 and 2020</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comp" w:history="1">
              <w:r>
                <w:rPr>
                  <w:rStyle w:val="a4"/>
                  <w:sz w:val="20"/>
                  <w:szCs w:val="20"/>
                </w:rPr>
                <w:t>56</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0" w:hanging="20"/>
              <w:rPr>
                <w:sz w:val="20"/>
                <w:szCs w:val="20"/>
              </w:rPr>
            </w:pPr>
            <w:hyperlink w:anchor="equity" w:history="1">
              <w:r>
                <w:rPr>
                  <w:rStyle w:val="a4"/>
                  <w:sz w:val="20"/>
                  <w:szCs w:val="20"/>
                </w:rPr>
                <w:t>Consolidated Statements of Changes in Equity for the years ended December 31, 2022, 2021 and 2020</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equity" w:history="1">
              <w:r>
                <w:rPr>
                  <w:rStyle w:val="a4"/>
                  <w:sz w:val="20"/>
                  <w:szCs w:val="20"/>
                </w:rPr>
                <w:t>57</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0" w:hanging="20"/>
              <w:rPr>
                <w:sz w:val="20"/>
                <w:szCs w:val="20"/>
              </w:rPr>
            </w:pPr>
            <w:hyperlink w:anchor="cf" w:history="1">
              <w:r>
                <w:rPr>
                  <w:rStyle w:val="a4"/>
                  <w:sz w:val="20"/>
                  <w:szCs w:val="20"/>
                </w:rPr>
                <w:t>Consolidated Statements of Cash Flows for the years ended December 31, 2022, 2021 and 202</w:t>
              </w:r>
              <w:r>
                <w:rPr>
                  <w:rStyle w:val="a4"/>
                  <w:sz w:val="20"/>
                  <w:szCs w:val="20"/>
                </w:rPr>
                <w:t>0</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cf" w:history="1">
              <w:r>
                <w:rPr>
                  <w:rStyle w:val="a4"/>
                  <w:sz w:val="20"/>
                  <w:szCs w:val="20"/>
                </w:rPr>
                <w:t>58</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 w:hanging="20"/>
              <w:rPr>
                <w:sz w:val="20"/>
                <w:szCs w:val="20"/>
              </w:rPr>
            </w:pPr>
            <w:hyperlink w:anchor="notes" w:history="1">
              <w:r>
                <w:rPr>
                  <w:rStyle w:val="a4"/>
                  <w:sz w:val="20"/>
                  <w:szCs w:val="20"/>
                </w:rPr>
                <w:t>Notes to Consolidated Financial Statements</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notes" w:history="1">
              <w:r>
                <w:rPr>
                  <w:rStyle w:val="a4"/>
                  <w:sz w:val="20"/>
                  <w:szCs w:val="20"/>
                </w:rPr>
                <w:t>59</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pStyle w:val="a3"/>
              <w:spacing w:before="0" w:beforeAutospacing="0" w:after="0" w:afterAutospacing="0"/>
              <w:jc w:val="right"/>
              <w:rPr>
                <w:sz w:val="20"/>
                <w:szCs w:val="20"/>
              </w:rPr>
            </w:pPr>
            <w:r>
              <w:rPr>
                <w:sz w:val="20"/>
                <w:szCs w:val="20"/>
              </w:rPr>
              <w:t>2</w:t>
            </w:r>
          </w:p>
        </w:tc>
        <w:tc>
          <w:tcPr>
            <w:tcW w:w="500" w:type="pct"/>
            <w:gridSpan w:val="2"/>
            <w:hideMark/>
          </w:tcPr>
          <w:p w:rsidR="00000000" w:rsidRDefault="006954AA">
            <w:pPr>
              <w:pStyle w:val="a3"/>
              <w:spacing w:before="0" w:beforeAutospacing="0" w:after="0" w:afterAutospacing="0"/>
              <w:ind w:left="20" w:hanging="20"/>
              <w:rPr>
                <w:sz w:val="20"/>
                <w:szCs w:val="20"/>
              </w:rPr>
            </w:pPr>
            <w:r>
              <w:rPr>
                <w:sz w:val="20"/>
                <w:szCs w:val="20"/>
              </w:rPr>
              <w:t>. Financial Statement Schedules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hideMark/>
          </w:tcPr>
          <w:p w:rsidR="00000000" w:rsidRDefault="006954AA">
            <w:pPr>
              <w:pStyle w:val="a3"/>
              <w:spacing w:before="0" w:beforeAutospacing="0" w:after="0" w:afterAutospacing="0"/>
              <w:ind w:left="20" w:hanging="20"/>
              <w:rPr>
                <w:sz w:val="20"/>
                <w:szCs w:val="20"/>
              </w:rPr>
            </w:pPr>
            <w:r>
              <w:rPr>
                <w:sz w:val="20"/>
                <w:szCs w:val="20"/>
              </w:rPr>
              <w:t>Schedule II -</w:t>
            </w:r>
          </w:p>
        </w:tc>
        <w:tc>
          <w:tcPr>
            <w:tcW w:w="3900" w:type="pct"/>
            <w:hideMark/>
          </w:tcPr>
          <w:p w:rsidR="00000000" w:rsidRDefault="006954AA">
            <w:pPr>
              <w:pStyle w:val="a3"/>
              <w:spacing w:before="0" w:beforeAutospacing="0" w:after="0" w:afterAutospacing="0"/>
              <w:ind w:left="20" w:hanging="20"/>
              <w:rPr>
                <w:sz w:val="20"/>
                <w:szCs w:val="20"/>
              </w:rPr>
            </w:pPr>
            <w:hyperlink w:anchor="scheduleii" w:history="1">
              <w:r>
                <w:rPr>
                  <w:rStyle w:val="a4"/>
                  <w:sz w:val="20"/>
                  <w:szCs w:val="20"/>
                </w:rPr>
                <w:t>Valuation and Qualifying Accounts for the years ended December 31, 2022, 2021 and 2020</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scheduleii" w:history="1">
              <w:r>
                <w:rPr>
                  <w:rStyle w:val="a4"/>
                  <w:sz w:val="20"/>
                  <w:szCs w:val="20"/>
                </w:rPr>
                <w:t>101</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hideMark/>
          </w:tcPr>
          <w:p w:rsidR="00000000" w:rsidRDefault="006954AA">
            <w:pPr>
              <w:pStyle w:val="a3"/>
              <w:spacing w:before="0" w:beforeAutospacing="0" w:after="0" w:afterAutospacing="0"/>
              <w:ind w:left="20" w:hanging="20"/>
              <w:rPr>
                <w:sz w:val="20"/>
                <w:szCs w:val="20"/>
              </w:rPr>
            </w:pPr>
            <w:r>
              <w:rPr>
                <w:sz w:val="20"/>
                <w:szCs w:val="20"/>
              </w:rPr>
              <w:t>Schedule III -</w:t>
            </w:r>
          </w:p>
        </w:tc>
        <w:tc>
          <w:tcPr>
            <w:tcW w:w="3900" w:type="pct"/>
            <w:hideMark/>
          </w:tcPr>
          <w:p w:rsidR="00000000" w:rsidRDefault="006954AA">
            <w:pPr>
              <w:pStyle w:val="a3"/>
              <w:spacing w:before="0" w:beforeAutospacing="0" w:after="0" w:afterAutospacing="0"/>
              <w:ind w:left="20" w:hanging="20"/>
              <w:rPr>
                <w:sz w:val="20"/>
                <w:szCs w:val="20"/>
              </w:rPr>
            </w:pPr>
            <w:hyperlink w:anchor="scheduleiii" w:history="1">
              <w:r>
                <w:rPr>
                  <w:rStyle w:val="a4"/>
                  <w:sz w:val="20"/>
                  <w:szCs w:val="20"/>
                </w:rPr>
                <w:t xml:space="preserve">Real Estate and Accumulated Depreciation as of </w:t>
              </w:r>
              <w:r>
                <w:rPr>
                  <w:rStyle w:val="a4"/>
                  <w:sz w:val="20"/>
                  <w:szCs w:val="20"/>
                </w:rPr>
                <w:t>December 31, 2022</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scheduleiii" w:history="1">
              <w:r>
                <w:rPr>
                  <w:rStyle w:val="a4"/>
                  <w:sz w:val="20"/>
                  <w:szCs w:val="20"/>
                </w:rPr>
                <w:t>102</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hideMark/>
          </w:tcPr>
          <w:p w:rsidR="00000000" w:rsidRDefault="006954AA">
            <w:pPr>
              <w:pStyle w:val="a3"/>
              <w:spacing w:before="0" w:beforeAutospacing="0" w:after="0" w:afterAutospacing="0"/>
              <w:ind w:left="20" w:hanging="20"/>
              <w:rPr>
                <w:sz w:val="20"/>
                <w:szCs w:val="20"/>
              </w:rPr>
            </w:pPr>
            <w:r>
              <w:rPr>
                <w:sz w:val="20"/>
                <w:szCs w:val="20"/>
              </w:rPr>
              <w:t>Schedule IV -</w:t>
            </w:r>
          </w:p>
        </w:tc>
        <w:tc>
          <w:tcPr>
            <w:tcW w:w="3900" w:type="pct"/>
            <w:hideMark/>
          </w:tcPr>
          <w:p w:rsidR="00000000" w:rsidRDefault="006954AA">
            <w:pPr>
              <w:pStyle w:val="a3"/>
              <w:spacing w:before="0" w:beforeAutospacing="0" w:after="0" w:afterAutospacing="0"/>
              <w:ind w:left="20" w:hanging="20"/>
              <w:rPr>
                <w:sz w:val="20"/>
                <w:szCs w:val="20"/>
              </w:rPr>
            </w:pPr>
            <w:hyperlink w:anchor="scheduleiv" w:history="1">
              <w:r>
                <w:rPr>
                  <w:rStyle w:val="a4"/>
                  <w:sz w:val="20"/>
                  <w:szCs w:val="20"/>
                </w:rPr>
                <w:t>Mortgage Loans on Real Estate as of December 31, 2022</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scheduleiv" w:history="1">
              <w:r>
                <w:rPr>
                  <w:rStyle w:val="a4"/>
                  <w:sz w:val="20"/>
                  <w:szCs w:val="20"/>
                </w:rPr>
                <w:t>104</w:t>
              </w:r>
            </w:hyperlink>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 w:hanging="20"/>
              <w:rPr>
                <w:sz w:val="20"/>
                <w:szCs w:val="20"/>
              </w:rPr>
            </w:pPr>
            <w:r>
              <w:rPr>
                <w:sz w:val="20"/>
                <w:szCs w:val="20"/>
              </w:rPr>
              <w:t>All other schedules are omitted since the required information is not present or is not present in amounts sufficient to require submission of the schedule.</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pStyle w:val="a3"/>
              <w:spacing w:before="0" w:beforeAutospacing="0" w:after="0" w:afterAutospacing="0"/>
              <w:jc w:val="right"/>
              <w:rPr>
                <w:sz w:val="20"/>
                <w:szCs w:val="20"/>
              </w:rPr>
            </w:pPr>
            <w:r>
              <w:rPr>
                <w:sz w:val="20"/>
                <w:szCs w:val="20"/>
              </w:rPr>
              <w:t>3.</w:t>
            </w:r>
          </w:p>
        </w:tc>
        <w:tc>
          <w:tcPr>
            <w:tcW w:w="500" w:type="pct"/>
            <w:gridSpan w:val="2"/>
            <w:hideMark/>
          </w:tcPr>
          <w:p w:rsidR="00000000" w:rsidRDefault="006954AA">
            <w:pPr>
              <w:pStyle w:val="a3"/>
              <w:spacing w:before="0" w:beforeAutospacing="0" w:after="0" w:afterAutospacing="0"/>
              <w:ind w:left="20" w:firstLine="160"/>
              <w:rPr>
                <w:sz w:val="20"/>
                <w:szCs w:val="20"/>
              </w:rPr>
            </w:pPr>
            <w:r>
              <w:rPr>
                <w:sz w:val="20"/>
                <w:szCs w:val="20"/>
              </w:rPr>
              <w:t>Exhibits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rPr>
                <w:rFonts w:eastAsia="Times New Roman"/>
                <w:sz w:val="20"/>
                <w:szCs w:val="20"/>
              </w:rPr>
            </w:pPr>
            <w:r>
              <w:rPr>
                <w:rFonts w:eastAsia="Times New Roman"/>
                <w:sz w:val="20"/>
                <w:szCs w:val="20"/>
              </w:rPr>
              <w:t> </w:t>
            </w:r>
          </w:p>
        </w:tc>
        <w:tc>
          <w:tcPr>
            <w:tcW w:w="40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6954AA">
            <w:pPr>
              <w:rPr>
                <w:rFonts w:eastAsia="Times New Roman"/>
                <w:sz w:val="20"/>
                <w:szCs w:val="20"/>
              </w:rPr>
            </w:pPr>
            <w:r>
              <w:rPr>
                <w:rFonts w:eastAsia="Times New Roman"/>
                <w:sz w:val="20"/>
                <w:szCs w:val="20"/>
              </w:rPr>
              <w:t> </w:t>
            </w:r>
          </w:p>
        </w:tc>
        <w:tc>
          <w:tcPr>
            <w:tcW w:w="500" w:type="pct"/>
            <w:gridSpan w:val="2"/>
            <w:hideMark/>
          </w:tcPr>
          <w:p w:rsidR="00000000" w:rsidRDefault="006954AA">
            <w:pPr>
              <w:pStyle w:val="a3"/>
              <w:spacing w:before="0" w:beforeAutospacing="0" w:after="0" w:afterAutospacing="0"/>
              <w:ind w:left="20" w:hanging="20"/>
              <w:rPr>
                <w:sz w:val="20"/>
                <w:szCs w:val="20"/>
              </w:rPr>
            </w:pPr>
            <w:hyperlink w:anchor="indexex" w:history="1">
              <w:r>
                <w:rPr>
                  <w:rStyle w:val="a4"/>
                  <w:sz w:val="20"/>
                  <w:szCs w:val="20"/>
                </w:rPr>
                <w:t>The exhibits listed on the accompanying Index to Exhibits are filed as part of this Form 10-K.</w:t>
              </w:r>
            </w:hyperlink>
          </w:p>
        </w:tc>
        <w:tc>
          <w:tcPr>
            <w:tcW w:w="400" w:type="pct"/>
            <w:vAlign w:val="bottom"/>
            <w:hideMark/>
          </w:tcPr>
          <w:p w:rsidR="00000000" w:rsidRDefault="006954AA">
            <w:pPr>
              <w:pStyle w:val="a3"/>
              <w:spacing w:before="0" w:beforeAutospacing="0" w:after="0" w:afterAutospacing="0"/>
              <w:jc w:val="center"/>
              <w:rPr>
                <w:sz w:val="20"/>
                <w:szCs w:val="20"/>
              </w:rPr>
            </w:pPr>
            <w:hyperlink w:anchor="indexex" w:history="1">
              <w:r>
                <w:rPr>
                  <w:rStyle w:val="a4"/>
                  <w:sz w:val="20"/>
                  <w:szCs w:val="20"/>
                </w:rPr>
                <w:t>46</w:t>
              </w:r>
            </w:hyperlink>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u w:val="single"/>
        </w:rPr>
        <w:t>Item 16. Form 10-K Summary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None.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748160153"/>
        <w:rPr>
          <w:rFonts w:eastAsia="Times New Roman"/>
          <w:sz w:val="20"/>
          <w:szCs w:val="20"/>
        </w:rPr>
      </w:pPr>
      <w:r>
        <w:rPr>
          <w:rFonts w:eastAsia="Times New Roman"/>
          <w:sz w:val="20"/>
          <w:szCs w:val="20"/>
        </w:rPr>
        <w:t xml:space="preserve">45 </w:t>
      </w:r>
    </w:p>
    <w:p w:rsidR="00000000" w:rsidRDefault="006954AA">
      <w:pPr>
        <w:divId w:val="748160153"/>
        <w:rPr>
          <w:rFonts w:eastAsia="Times New Roman"/>
          <w:sz w:val="20"/>
          <w:szCs w:val="20"/>
        </w:rPr>
      </w:pPr>
      <w:r>
        <w:rPr>
          <w:rFonts w:eastAsia="Times New Roman"/>
          <w:sz w:val="20"/>
          <w:szCs w:val="20"/>
        </w:rPr>
        <w:pict>
          <v:rect id="_x0000_i1080" style="width:415.3pt;height:1.5pt" o:hralign="center" o:hrstd="t" o:hrnoshade="t" o:hr="t" fillcolor="black" stroked="f"/>
        </w:pict>
      </w:r>
    </w:p>
    <w:p w:rsidR="00000000" w:rsidRDefault="006954AA">
      <w:pPr>
        <w:divId w:val="7886203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360"/>
        <w:jc w:val="center"/>
        <w:rPr>
          <w:sz w:val="20"/>
          <w:szCs w:val="20"/>
        </w:rPr>
      </w:pPr>
      <w:r>
        <w:rPr>
          <w:b/>
          <w:bCs/>
          <w:sz w:val="20"/>
          <w:szCs w:val="20"/>
          <w:u w:val="single"/>
        </w:rPr>
        <w:t>INDEX TO EXHIBITS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2"/>
        <w:gridCol w:w="3187"/>
        <w:gridCol w:w="696"/>
        <w:gridCol w:w="696"/>
        <w:gridCol w:w="712"/>
        <w:gridCol w:w="712"/>
        <w:gridCol w:w="879"/>
        <w:gridCol w:w="712"/>
      </w:tblGrid>
      <w:tr w:rsidR="00000000">
        <w:trPr>
          <w:tblCellSpacing w:w="0" w:type="dxa"/>
        </w:trPr>
        <w:tc>
          <w:tcPr>
            <w:tcW w:w="350" w:type="pct"/>
            <w:vAlign w:val="bottom"/>
            <w:hideMark/>
          </w:tcPr>
          <w:p w:rsidR="00000000" w:rsidRDefault="006954AA">
            <w:pPr>
              <w:rPr>
                <w:rFonts w:eastAsia="Times New Roman"/>
                <w:sz w:val="20"/>
                <w:szCs w:val="20"/>
              </w:rPr>
            </w:pPr>
            <w:r>
              <w:rPr>
                <w:rFonts w:eastAsia="Times New Roman"/>
                <w:sz w:val="20"/>
                <w:szCs w:val="20"/>
              </w:rPr>
              <w:t> </w:t>
            </w:r>
          </w:p>
        </w:tc>
        <w:tc>
          <w:tcPr>
            <w:tcW w:w="1950" w:type="pct"/>
            <w:vAlign w:val="bottom"/>
            <w:hideMark/>
          </w:tcPr>
          <w:p w:rsidR="00000000" w:rsidRDefault="006954AA">
            <w:pPr>
              <w:rPr>
                <w:rFonts w:eastAsia="Times New Roman"/>
                <w:sz w:val="20"/>
                <w:szCs w:val="20"/>
              </w:rPr>
            </w:pPr>
            <w:r>
              <w:rPr>
                <w:rFonts w:eastAsia="Times New Roman"/>
                <w:sz w:val="20"/>
                <w:szCs w:val="20"/>
              </w:rPr>
              <w:t> </w:t>
            </w:r>
          </w:p>
        </w:tc>
        <w:tc>
          <w:tcPr>
            <w:tcW w:w="1350" w:type="pct"/>
            <w:gridSpan w:val="4"/>
            <w:hideMark/>
          </w:tcPr>
          <w:p w:rsidR="00000000" w:rsidRDefault="006954AA">
            <w:pPr>
              <w:pStyle w:val="a3"/>
              <w:spacing w:before="0" w:beforeAutospacing="0" w:after="0" w:afterAutospacing="0"/>
              <w:jc w:val="center"/>
              <w:rPr>
                <w:sz w:val="20"/>
                <w:szCs w:val="20"/>
              </w:rPr>
            </w:pPr>
            <w:r>
              <w:rPr>
                <w:b/>
                <w:bCs/>
                <w:sz w:val="20"/>
                <w:szCs w:val="20"/>
                <w:u w:val="single"/>
              </w:rPr>
              <w:t>Incorporated by Reference</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vAlign w:val="bottom"/>
            <w:hideMark/>
          </w:tcPr>
          <w:p w:rsidR="00000000" w:rsidRDefault="006954AA">
            <w:pPr>
              <w:pStyle w:val="a3"/>
              <w:spacing w:before="0" w:beforeAutospacing="0" w:after="0" w:afterAutospacing="0"/>
              <w:jc w:val="center"/>
              <w:rPr>
                <w:sz w:val="20"/>
                <w:szCs w:val="20"/>
              </w:rPr>
            </w:pPr>
            <w:r>
              <w:rPr>
                <w:b/>
                <w:bCs/>
                <w:sz w:val="20"/>
                <w:szCs w:val="20"/>
              </w:rPr>
              <w:t xml:space="preserve">Exhibit </w:t>
            </w:r>
          </w:p>
          <w:p w:rsidR="00000000" w:rsidRDefault="006954AA">
            <w:pPr>
              <w:pStyle w:val="a3"/>
              <w:spacing w:before="0" w:beforeAutospacing="0" w:after="0" w:afterAutospacing="0"/>
              <w:jc w:val="center"/>
              <w:rPr>
                <w:sz w:val="20"/>
                <w:szCs w:val="20"/>
              </w:rPr>
            </w:pPr>
            <w:r>
              <w:rPr>
                <w:b/>
                <w:bCs/>
                <w:sz w:val="20"/>
                <w:szCs w:val="20"/>
                <w:u w:val="single"/>
              </w:rPr>
              <w:t>Number</w:t>
            </w:r>
          </w:p>
        </w:tc>
        <w:tc>
          <w:tcPr>
            <w:tcW w:w="19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Exhibit Description</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Form</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File No.</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Date of</w:t>
            </w:r>
          </w:p>
          <w:p w:rsidR="00000000" w:rsidRDefault="006954AA">
            <w:pPr>
              <w:pStyle w:val="a3"/>
              <w:spacing w:before="0" w:beforeAutospacing="0" w:after="0" w:afterAutospacing="0"/>
              <w:jc w:val="center"/>
              <w:rPr>
                <w:sz w:val="20"/>
                <w:szCs w:val="20"/>
              </w:rPr>
            </w:pPr>
            <w:r>
              <w:rPr>
                <w:b/>
                <w:bCs/>
                <w:sz w:val="20"/>
                <w:szCs w:val="20"/>
                <w:u w:val="single"/>
              </w:rPr>
              <w:t>Filing</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Exhibit</w:t>
            </w:r>
          </w:p>
          <w:p w:rsidR="00000000" w:rsidRDefault="006954AA">
            <w:pPr>
              <w:pStyle w:val="a3"/>
              <w:spacing w:before="0" w:beforeAutospacing="0" w:after="0" w:afterAutospacing="0"/>
              <w:jc w:val="center"/>
              <w:rPr>
                <w:sz w:val="20"/>
                <w:szCs w:val="20"/>
              </w:rPr>
            </w:pPr>
            <w:r>
              <w:rPr>
                <w:b/>
                <w:bCs/>
                <w:sz w:val="20"/>
                <w:szCs w:val="20"/>
                <w:u w:val="single"/>
              </w:rPr>
              <w:t>Number</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Filed/</w:t>
            </w:r>
          </w:p>
          <w:p w:rsidR="00000000" w:rsidRDefault="006954AA">
            <w:pPr>
              <w:pStyle w:val="a3"/>
              <w:spacing w:before="0" w:beforeAutospacing="0" w:after="0" w:afterAutospacing="0"/>
              <w:jc w:val="center"/>
              <w:rPr>
                <w:sz w:val="20"/>
                <w:szCs w:val="20"/>
              </w:rPr>
            </w:pPr>
            <w:r>
              <w:rPr>
                <w:b/>
                <w:bCs/>
                <w:sz w:val="20"/>
                <w:szCs w:val="20"/>
              </w:rPr>
              <w:t xml:space="preserve">Furnished </w:t>
            </w:r>
          </w:p>
          <w:p w:rsidR="00000000" w:rsidRDefault="006954AA">
            <w:pPr>
              <w:pStyle w:val="a3"/>
              <w:spacing w:before="0" w:beforeAutospacing="0" w:after="0" w:afterAutospacing="0"/>
              <w:jc w:val="center"/>
              <w:rPr>
                <w:sz w:val="20"/>
                <w:szCs w:val="20"/>
              </w:rPr>
            </w:pPr>
            <w:r>
              <w:rPr>
                <w:b/>
                <w:bCs/>
                <w:sz w:val="20"/>
                <w:szCs w:val="20"/>
                <w:u w:val="single"/>
              </w:rPr>
              <w:t>Herewith</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Page</w:t>
            </w:r>
          </w:p>
          <w:p w:rsidR="00000000" w:rsidRDefault="006954AA">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2.1</w:t>
            </w:r>
          </w:p>
        </w:tc>
        <w:tc>
          <w:tcPr>
            <w:tcW w:w="1950" w:type="pct"/>
            <w:vAlign w:val="bottom"/>
            <w:hideMark/>
          </w:tcPr>
          <w:p w:rsidR="00000000" w:rsidRDefault="006954AA">
            <w:pPr>
              <w:pStyle w:val="a3"/>
              <w:spacing w:before="0" w:beforeAutospacing="0" w:after="0" w:afterAutospacing="0"/>
              <w:rPr>
                <w:sz w:val="20"/>
                <w:szCs w:val="20"/>
              </w:rPr>
            </w:pPr>
            <w:hyperlink r:id="rId9" w:history="1">
              <w:r>
                <w:rPr>
                  <w:rStyle w:val="a4"/>
                  <w:sz w:val="20"/>
                  <w:szCs w:val="20"/>
                </w:rPr>
                <w:t>Agreement and Plan of Merger, dated as of April 15, 2021, by and between Kimco Realty Corporation and Weingarten Realty Investors.</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ind w:firstLine="18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04/15/21</w:t>
            </w:r>
          </w:p>
        </w:tc>
        <w:tc>
          <w:tcPr>
            <w:tcW w:w="450" w:type="pct"/>
            <w:hideMark/>
          </w:tcPr>
          <w:p w:rsidR="00000000" w:rsidRDefault="006954AA">
            <w:pPr>
              <w:pStyle w:val="a3"/>
              <w:spacing w:before="0" w:beforeAutospacing="0" w:after="0" w:afterAutospacing="0"/>
              <w:jc w:val="center"/>
              <w:rPr>
                <w:sz w:val="20"/>
                <w:szCs w:val="20"/>
              </w:rPr>
            </w:pPr>
            <w:r>
              <w:rPr>
                <w:sz w:val="20"/>
                <w:szCs w:val="20"/>
              </w:rPr>
              <w:t>2.1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2.2</w:t>
            </w:r>
          </w:p>
        </w:tc>
        <w:tc>
          <w:tcPr>
            <w:tcW w:w="1950" w:type="pct"/>
            <w:hideMark/>
          </w:tcPr>
          <w:p w:rsidR="00000000" w:rsidRDefault="006954AA">
            <w:pPr>
              <w:pStyle w:val="a3"/>
              <w:spacing w:before="0" w:beforeAutospacing="0" w:after="0" w:afterAutospacing="0"/>
              <w:rPr>
                <w:sz w:val="20"/>
                <w:szCs w:val="20"/>
              </w:rPr>
            </w:pPr>
            <w:hyperlink r:id="rId10" w:history="1">
              <w:r>
                <w:rPr>
                  <w:rStyle w:val="a4"/>
                  <w:sz w:val="20"/>
                  <w:szCs w:val="20"/>
                </w:rPr>
                <w:t>Agreement and Plan of Merger, dated December 15, 2022, by and among Kimco, New Kimco and Merger Sub.</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ind w:firstLine="18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12/15/22</w:t>
            </w:r>
          </w:p>
        </w:tc>
        <w:tc>
          <w:tcPr>
            <w:tcW w:w="450" w:type="pct"/>
            <w:hideMark/>
          </w:tcPr>
          <w:p w:rsidR="00000000" w:rsidRDefault="006954AA">
            <w:pPr>
              <w:pStyle w:val="a3"/>
              <w:spacing w:before="0" w:beforeAutospacing="0" w:after="0" w:afterAutospacing="0"/>
              <w:jc w:val="center"/>
              <w:rPr>
                <w:sz w:val="20"/>
                <w:szCs w:val="20"/>
              </w:rPr>
            </w:pPr>
            <w:r>
              <w:rPr>
                <w:sz w:val="20"/>
                <w:szCs w:val="20"/>
              </w:rPr>
              <w:t>2.1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3.1</w:t>
            </w:r>
          </w:p>
        </w:tc>
        <w:tc>
          <w:tcPr>
            <w:tcW w:w="1950" w:type="pct"/>
            <w:hideMark/>
          </w:tcPr>
          <w:p w:rsidR="00000000" w:rsidRDefault="006954AA">
            <w:pPr>
              <w:pStyle w:val="a3"/>
              <w:spacing w:before="0" w:beforeAutospacing="0" w:after="0" w:afterAutospacing="0"/>
              <w:rPr>
                <w:sz w:val="20"/>
                <w:szCs w:val="20"/>
              </w:rPr>
            </w:pPr>
            <w:hyperlink r:id="rId11" w:history="1">
              <w:r>
                <w:rPr>
                  <w:rStyle w:val="a4"/>
                  <w:sz w:val="20"/>
                  <w:szCs w:val="20"/>
                </w:rPr>
                <w:t>Articles of Amendment and Restatement of K</w:t>
              </w:r>
            </w:hyperlink>
            <w:hyperlink r:id="rId12" w:history="1">
              <w:r>
                <w:rPr>
                  <w:rStyle w:val="a4"/>
                  <w:sz w:val="20"/>
                  <w:szCs w:val="20"/>
                </w:rPr>
                <w:t>imco Realty Corporation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3.1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3.2</w:t>
            </w:r>
          </w:p>
        </w:tc>
        <w:tc>
          <w:tcPr>
            <w:tcW w:w="1950" w:type="pct"/>
            <w:hideMark/>
          </w:tcPr>
          <w:p w:rsidR="00000000" w:rsidRDefault="006954AA">
            <w:pPr>
              <w:rPr>
                <w:rFonts w:eastAsia="Times New Roman"/>
                <w:sz w:val="20"/>
                <w:szCs w:val="20"/>
              </w:rPr>
            </w:pPr>
            <w:hyperlink r:id="rId13" w:history="1">
              <w:r>
                <w:rPr>
                  <w:rStyle w:val="a4"/>
                  <w:rFonts w:eastAsia="Times New Roman"/>
                  <w:sz w:val="20"/>
                  <w:szCs w:val="20"/>
                </w:rPr>
                <w:t>Amended and Restated Bylaws of Kimco Realty Corporation, dated January 31, 2023</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02/02/23</w:t>
            </w:r>
          </w:p>
        </w:tc>
        <w:tc>
          <w:tcPr>
            <w:tcW w:w="450" w:type="pct"/>
            <w:hideMark/>
          </w:tcPr>
          <w:p w:rsidR="00000000" w:rsidRDefault="006954AA">
            <w:pPr>
              <w:pStyle w:val="a3"/>
              <w:spacing w:before="0" w:beforeAutospacing="0" w:after="0" w:afterAutospacing="0"/>
              <w:jc w:val="center"/>
              <w:rPr>
                <w:sz w:val="20"/>
                <w:szCs w:val="20"/>
              </w:rPr>
            </w:pPr>
            <w:r>
              <w:rPr>
                <w:sz w:val="20"/>
                <w:szCs w:val="20"/>
              </w:rPr>
              <w:t>3.1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3.3</w:t>
            </w:r>
          </w:p>
        </w:tc>
        <w:tc>
          <w:tcPr>
            <w:tcW w:w="1950" w:type="pct"/>
            <w:hideMark/>
          </w:tcPr>
          <w:p w:rsidR="00000000" w:rsidRDefault="006954AA">
            <w:pPr>
              <w:pStyle w:val="a3"/>
              <w:spacing w:before="0" w:beforeAutospacing="0" w:after="0" w:afterAutospacing="0"/>
              <w:rPr>
                <w:sz w:val="20"/>
                <w:szCs w:val="20"/>
              </w:rPr>
            </w:pPr>
            <w:hyperlink r:id="rId14" w:history="1">
              <w:r>
                <w:rPr>
                  <w:rStyle w:val="a4"/>
                  <w:sz w:val="20"/>
                  <w:szCs w:val="20"/>
                </w:rPr>
                <w:t>Articles of Merger</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3.3</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3.4</w:t>
            </w:r>
          </w:p>
        </w:tc>
        <w:tc>
          <w:tcPr>
            <w:tcW w:w="1950" w:type="pct"/>
            <w:hideMark/>
          </w:tcPr>
          <w:p w:rsidR="00000000" w:rsidRDefault="006954AA">
            <w:pPr>
              <w:pStyle w:val="a3"/>
              <w:spacing w:before="0" w:beforeAutospacing="0" w:after="0" w:afterAutospacing="0"/>
              <w:rPr>
                <w:sz w:val="20"/>
                <w:szCs w:val="20"/>
              </w:rPr>
            </w:pPr>
            <w:hyperlink r:id="rId15" w:history="1">
              <w:r>
                <w:rPr>
                  <w:rStyle w:val="a4"/>
                  <w:sz w:val="20"/>
                  <w:szCs w:val="20"/>
                </w:rPr>
                <w:t>Certificate of Formation of Kimco Realty OP, LLC</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3.4</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3.5</w:t>
            </w:r>
          </w:p>
        </w:tc>
        <w:tc>
          <w:tcPr>
            <w:tcW w:w="1950" w:type="pct"/>
            <w:hideMark/>
          </w:tcPr>
          <w:p w:rsidR="00000000" w:rsidRDefault="006954AA">
            <w:pPr>
              <w:pStyle w:val="a3"/>
              <w:spacing w:before="0" w:beforeAutospacing="0" w:after="0" w:afterAutospacing="0"/>
              <w:rPr>
                <w:sz w:val="20"/>
                <w:szCs w:val="20"/>
              </w:rPr>
            </w:pPr>
            <w:hyperlink r:id="rId16" w:history="1">
              <w:r>
                <w:rPr>
                  <w:rStyle w:val="a4"/>
                  <w:sz w:val="20"/>
                  <w:szCs w:val="20"/>
                </w:rPr>
                <w:t>Limited Liability Company Agreement of Kimco Realty OP, LLC, dated as of January 3, 2023</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3.5</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4.1</w:t>
            </w:r>
          </w:p>
        </w:tc>
        <w:tc>
          <w:tcPr>
            <w:tcW w:w="1950" w:type="pct"/>
            <w:hideMark/>
          </w:tcPr>
          <w:p w:rsidR="00000000" w:rsidRDefault="006954AA">
            <w:pPr>
              <w:pStyle w:val="a3"/>
              <w:spacing w:before="0" w:beforeAutospacing="0" w:after="0" w:afterAutospacing="0"/>
              <w:rPr>
                <w:sz w:val="20"/>
                <w:szCs w:val="20"/>
              </w:rPr>
            </w:pPr>
            <w:r>
              <w:rPr>
                <w:sz w:val="20"/>
                <w:szCs w:val="20"/>
              </w:rPr>
              <w:t>Indenture dated September 1, 1993, between Kimco Realty Corporation and Bank of New York (as successor to IBJ Schroder Bank and Trust Company)</w:t>
            </w:r>
          </w:p>
        </w:tc>
        <w:tc>
          <w:tcPr>
            <w:tcW w:w="450" w:type="pct"/>
            <w:hideMark/>
          </w:tcPr>
          <w:p w:rsidR="00000000" w:rsidRDefault="006954AA">
            <w:pPr>
              <w:pStyle w:val="a3"/>
              <w:spacing w:before="0" w:beforeAutospacing="0" w:after="0" w:afterAutospacing="0"/>
              <w:jc w:val="center"/>
              <w:rPr>
                <w:sz w:val="20"/>
                <w:szCs w:val="20"/>
              </w:rPr>
            </w:pPr>
            <w:r>
              <w:rPr>
                <w:sz w:val="20"/>
                <w:szCs w:val="20"/>
              </w:rPr>
              <w:t>S-3</w:t>
            </w:r>
          </w:p>
        </w:tc>
        <w:tc>
          <w:tcPr>
            <w:tcW w:w="450" w:type="pct"/>
            <w:hideMark/>
          </w:tcPr>
          <w:p w:rsidR="00000000" w:rsidRDefault="006954AA">
            <w:pPr>
              <w:pStyle w:val="a3"/>
              <w:spacing w:before="0" w:beforeAutospacing="0" w:after="0" w:afterAutospacing="0"/>
              <w:jc w:val="center"/>
              <w:rPr>
                <w:sz w:val="20"/>
                <w:szCs w:val="20"/>
              </w:rPr>
            </w:pPr>
            <w:r>
              <w:rPr>
                <w:sz w:val="20"/>
                <w:szCs w:val="20"/>
              </w:rPr>
              <w:t>333-67552</w:t>
            </w:r>
          </w:p>
        </w:tc>
        <w:tc>
          <w:tcPr>
            <w:tcW w:w="450" w:type="pct"/>
            <w:hideMark/>
          </w:tcPr>
          <w:p w:rsidR="00000000" w:rsidRDefault="006954AA">
            <w:pPr>
              <w:pStyle w:val="a3"/>
              <w:spacing w:before="0" w:beforeAutospacing="0" w:after="0" w:afterAutospacing="0"/>
              <w:jc w:val="center"/>
              <w:rPr>
                <w:sz w:val="20"/>
                <w:szCs w:val="20"/>
              </w:rPr>
            </w:pPr>
            <w:r>
              <w:rPr>
                <w:sz w:val="20"/>
                <w:szCs w:val="20"/>
              </w:rPr>
              <w:t>09/10/93</w:t>
            </w:r>
          </w:p>
        </w:tc>
        <w:tc>
          <w:tcPr>
            <w:tcW w:w="450" w:type="pct"/>
            <w:hideMark/>
          </w:tcPr>
          <w:p w:rsidR="00000000" w:rsidRDefault="006954AA">
            <w:pPr>
              <w:pStyle w:val="a3"/>
              <w:spacing w:before="0" w:beforeAutospacing="0" w:after="0" w:afterAutospacing="0"/>
              <w:jc w:val="center"/>
              <w:rPr>
                <w:sz w:val="20"/>
                <w:szCs w:val="20"/>
              </w:rPr>
            </w:pPr>
            <w:r>
              <w:rPr>
                <w:sz w:val="20"/>
                <w:szCs w:val="20"/>
              </w:rPr>
              <w:t>4(a)</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4.2</w:t>
            </w:r>
          </w:p>
        </w:tc>
        <w:tc>
          <w:tcPr>
            <w:tcW w:w="1950" w:type="pct"/>
            <w:hideMark/>
          </w:tcPr>
          <w:p w:rsidR="00000000" w:rsidRDefault="006954AA">
            <w:pPr>
              <w:pStyle w:val="a3"/>
              <w:spacing w:before="0" w:beforeAutospacing="0" w:after="0" w:afterAutospacing="0"/>
              <w:rPr>
                <w:sz w:val="20"/>
                <w:szCs w:val="20"/>
              </w:rPr>
            </w:pPr>
            <w:r>
              <w:rPr>
                <w:sz w:val="20"/>
                <w:szCs w:val="20"/>
              </w:rPr>
              <w:t>First Supplemental Indenture, dated August 4, 1994, between Kimco Realty Cor</w:t>
            </w:r>
            <w:r>
              <w:rPr>
                <w:sz w:val="20"/>
                <w:szCs w:val="20"/>
              </w:rPr>
              <w:t>poration and Bank of New York (as successor to IBJ Schroder Bank and Trust Company)</w:t>
            </w:r>
          </w:p>
        </w:tc>
        <w:tc>
          <w:tcPr>
            <w:tcW w:w="450" w:type="pct"/>
            <w:hideMark/>
          </w:tcPr>
          <w:p w:rsidR="00000000" w:rsidRDefault="006954AA">
            <w:pPr>
              <w:pStyle w:val="a3"/>
              <w:spacing w:before="0" w:beforeAutospacing="0" w:after="0" w:afterAutospacing="0"/>
              <w:jc w:val="center"/>
              <w:rPr>
                <w:sz w:val="20"/>
                <w:szCs w:val="20"/>
              </w:rPr>
            </w:pPr>
            <w:r>
              <w:rPr>
                <w:sz w:val="20"/>
                <w:szCs w:val="20"/>
              </w:rPr>
              <w:t>10-K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03/28/96</w:t>
            </w:r>
          </w:p>
        </w:tc>
        <w:tc>
          <w:tcPr>
            <w:tcW w:w="450" w:type="pct"/>
            <w:hideMark/>
          </w:tcPr>
          <w:p w:rsidR="00000000" w:rsidRDefault="006954AA">
            <w:pPr>
              <w:pStyle w:val="a3"/>
              <w:spacing w:before="0" w:beforeAutospacing="0" w:after="0" w:afterAutospacing="0"/>
              <w:jc w:val="center"/>
              <w:rPr>
                <w:sz w:val="20"/>
                <w:szCs w:val="20"/>
              </w:rPr>
            </w:pPr>
            <w:r>
              <w:rPr>
                <w:sz w:val="20"/>
                <w:szCs w:val="20"/>
              </w:rPr>
              <w:t>4.6</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4.3</w:t>
            </w:r>
          </w:p>
        </w:tc>
        <w:tc>
          <w:tcPr>
            <w:tcW w:w="1950" w:type="pct"/>
            <w:hideMark/>
          </w:tcPr>
          <w:p w:rsidR="00000000" w:rsidRDefault="006954AA">
            <w:pPr>
              <w:pStyle w:val="a3"/>
              <w:spacing w:before="0" w:beforeAutospacing="0" w:after="0" w:afterAutospacing="0"/>
              <w:rPr>
                <w:sz w:val="20"/>
                <w:szCs w:val="20"/>
              </w:rPr>
            </w:pPr>
            <w:r>
              <w:rPr>
                <w:sz w:val="20"/>
                <w:szCs w:val="20"/>
              </w:rPr>
              <w:t>Second Supplemental Indenture, dated April 7, 1995, between Kimco Realty Corporation and Bank of New York (as successor to IBJ Schroder B</w:t>
            </w:r>
            <w:r>
              <w:rPr>
                <w:sz w:val="20"/>
                <w:szCs w:val="20"/>
              </w:rPr>
              <w:t>ank and Trust Company)</w:t>
            </w:r>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04/07/95</w:t>
            </w:r>
          </w:p>
        </w:tc>
        <w:tc>
          <w:tcPr>
            <w:tcW w:w="450" w:type="pct"/>
            <w:hideMark/>
          </w:tcPr>
          <w:p w:rsidR="00000000" w:rsidRDefault="006954AA">
            <w:pPr>
              <w:pStyle w:val="a3"/>
              <w:spacing w:before="0" w:beforeAutospacing="0" w:after="0" w:afterAutospacing="0"/>
              <w:jc w:val="center"/>
              <w:rPr>
                <w:sz w:val="20"/>
                <w:szCs w:val="20"/>
              </w:rPr>
            </w:pPr>
            <w:r>
              <w:rPr>
                <w:sz w:val="20"/>
                <w:szCs w:val="20"/>
              </w:rPr>
              <w:t>4(a)</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4.4</w:t>
            </w:r>
          </w:p>
        </w:tc>
        <w:tc>
          <w:tcPr>
            <w:tcW w:w="1950" w:type="pct"/>
            <w:hideMark/>
          </w:tcPr>
          <w:p w:rsidR="00000000" w:rsidRDefault="006954AA">
            <w:pPr>
              <w:pStyle w:val="a3"/>
              <w:spacing w:before="0" w:beforeAutospacing="0" w:after="0" w:afterAutospacing="0"/>
              <w:rPr>
                <w:sz w:val="20"/>
                <w:szCs w:val="20"/>
              </w:rPr>
            </w:pPr>
            <w:hyperlink r:id="rId17" w:history="1">
              <w:r>
                <w:rPr>
                  <w:rStyle w:val="a4"/>
                  <w:sz w:val="20"/>
                  <w:szCs w:val="20"/>
                </w:rPr>
                <w:t>Third Supplemental Indenture, dated June 2, 2006, between Kimco Realty Corporation and The Bank of New York,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06/05/06</w:t>
            </w:r>
          </w:p>
        </w:tc>
        <w:tc>
          <w:tcPr>
            <w:tcW w:w="450" w:type="pct"/>
            <w:hideMark/>
          </w:tcPr>
          <w:p w:rsidR="00000000" w:rsidRDefault="006954AA">
            <w:pPr>
              <w:pStyle w:val="a3"/>
              <w:spacing w:before="0" w:beforeAutospacing="0" w:after="0" w:afterAutospacing="0"/>
              <w:jc w:val="center"/>
              <w:rPr>
                <w:sz w:val="20"/>
                <w:szCs w:val="20"/>
              </w:rPr>
            </w:pPr>
            <w:r>
              <w:rPr>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4.5</w:t>
            </w:r>
          </w:p>
        </w:tc>
        <w:tc>
          <w:tcPr>
            <w:tcW w:w="1950" w:type="pct"/>
            <w:hideMark/>
          </w:tcPr>
          <w:p w:rsidR="00000000" w:rsidRDefault="006954AA">
            <w:pPr>
              <w:pStyle w:val="a3"/>
              <w:spacing w:before="0" w:beforeAutospacing="0" w:after="0" w:afterAutospacing="0"/>
              <w:rPr>
                <w:sz w:val="20"/>
                <w:szCs w:val="20"/>
              </w:rPr>
            </w:pPr>
            <w:hyperlink r:id="rId18" w:history="1">
              <w:r>
                <w:rPr>
                  <w:rStyle w:val="a4"/>
                  <w:sz w:val="20"/>
                  <w:szCs w:val="20"/>
                </w:rPr>
                <w:t>Four</w:t>
              </w:r>
              <w:r>
                <w:rPr>
                  <w:rStyle w:val="a4"/>
                  <w:sz w:val="20"/>
                  <w:szCs w:val="20"/>
                </w:rPr>
                <w:t>th Supplemental Indenture, dated April 26, 2007, between Kimco Realty Corporation and The Bank of New York,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04/26/07</w:t>
            </w:r>
          </w:p>
        </w:tc>
        <w:tc>
          <w:tcPr>
            <w:tcW w:w="450" w:type="pct"/>
            <w:hideMark/>
          </w:tcPr>
          <w:p w:rsidR="00000000" w:rsidRDefault="006954AA">
            <w:pPr>
              <w:pStyle w:val="a3"/>
              <w:spacing w:before="0" w:beforeAutospacing="0" w:after="0" w:afterAutospacing="0"/>
              <w:jc w:val="center"/>
              <w:rPr>
                <w:sz w:val="20"/>
                <w:szCs w:val="20"/>
              </w:rPr>
            </w:pPr>
            <w:r>
              <w:rPr>
                <w:sz w:val="20"/>
                <w:szCs w:val="20"/>
              </w:rPr>
              <w:t>1.3</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4.6</w:t>
            </w:r>
          </w:p>
        </w:tc>
        <w:tc>
          <w:tcPr>
            <w:tcW w:w="1950" w:type="pct"/>
            <w:hideMark/>
          </w:tcPr>
          <w:p w:rsidR="00000000" w:rsidRDefault="006954AA">
            <w:pPr>
              <w:pStyle w:val="a3"/>
              <w:spacing w:before="0" w:beforeAutospacing="0" w:after="0" w:afterAutospacing="0"/>
              <w:rPr>
                <w:sz w:val="20"/>
                <w:szCs w:val="20"/>
              </w:rPr>
            </w:pPr>
            <w:hyperlink r:id="rId19" w:history="1">
              <w:r>
                <w:rPr>
                  <w:rStyle w:val="a4"/>
                  <w:sz w:val="20"/>
                  <w:szCs w:val="20"/>
                </w:rPr>
                <w:t>Fourth Supplemental Indenture, dated as of January 3, 2023, between Kimco Realty OP, LLC, as issuer, Kimco Realty Corporation, as guarantor, and The Ban</w:t>
              </w:r>
              <w:r>
                <w:rPr>
                  <w:rStyle w:val="a4"/>
                  <w:sz w:val="20"/>
                  <w:szCs w:val="20"/>
                </w:rPr>
                <w:t>k of New York Mellon Trust Company, N.A.,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ind w:firstLine="18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4.2</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4.7</w:t>
            </w:r>
          </w:p>
        </w:tc>
        <w:tc>
          <w:tcPr>
            <w:tcW w:w="1950" w:type="pct"/>
            <w:hideMark/>
          </w:tcPr>
          <w:p w:rsidR="00000000" w:rsidRDefault="006954AA">
            <w:pPr>
              <w:pStyle w:val="a3"/>
              <w:spacing w:before="0" w:beforeAutospacing="0" w:after="0" w:afterAutospacing="0"/>
              <w:rPr>
                <w:sz w:val="20"/>
                <w:szCs w:val="20"/>
              </w:rPr>
            </w:pPr>
            <w:hyperlink r:id="rId20" w:history="1">
              <w:r>
                <w:rPr>
                  <w:rStyle w:val="a4"/>
                  <w:sz w:val="20"/>
                  <w:szCs w:val="20"/>
                </w:rPr>
                <w:t>Fifth Supplemental Indenture, dated September 24, 2009, between Kimco Realty Corporation and The Bank of New York Mellon,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09/24/09</w:t>
            </w:r>
          </w:p>
        </w:tc>
        <w:tc>
          <w:tcPr>
            <w:tcW w:w="450" w:type="pct"/>
            <w:hideMark/>
          </w:tcPr>
          <w:p w:rsidR="00000000" w:rsidRDefault="006954AA">
            <w:pPr>
              <w:pStyle w:val="a3"/>
              <w:spacing w:before="0" w:beforeAutospacing="0" w:after="0" w:afterAutospacing="0"/>
              <w:jc w:val="center"/>
              <w:rPr>
                <w:sz w:val="20"/>
                <w:szCs w:val="20"/>
              </w:rPr>
            </w:pPr>
            <w:r>
              <w:rPr>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4.8</w:t>
            </w:r>
          </w:p>
        </w:tc>
        <w:tc>
          <w:tcPr>
            <w:tcW w:w="1950" w:type="pct"/>
            <w:hideMark/>
          </w:tcPr>
          <w:p w:rsidR="00000000" w:rsidRDefault="006954AA">
            <w:pPr>
              <w:pStyle w:val="a3"/>
              <w:spacing w:before="0" w:beforeAutospacing="0" w:after="0" w:afterAutospacing="0"/>
              <w:rPr>
                <w:sz w:val="20"/>
                <w:szCs w:val="20"/>
              </w:rPr>
            </w:pPr>
            <w:hyperlink r:id="rId21" w:history="1">
              <w:r>
                <w:rPr>
                  <w:rStyle w:val="a4"/>
                  <w:sz w:val="20"/>
                  <w:szCs w:val="20"/>
                </w:rPr>
                <w:t>Sixth Supplemental Indenture, dated May 23, 2013, between Kimco Realty Corporation and The Bank of New York Mellon,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05/23/13</w:t>
            </w:r>
          </w:p>
        </w:tc>
        <w:tc>
          <w:tcPr>
            <w:tcW w:w="450" w:type="pct"/>
            <w:hideMark/>
          </w:tcPr>
          <w:p w:rsidR="00000000" w:rsidRDefault="006954AA">
            <w:pPr>
              <w:pStyle w:val="a3"/>
              <w:spacing w:before="0" w:beforeAutospacing="0" w:after="0" w:afterAutospacing="0"/>
              <w:jc w:val="center"/>
              <w:rPr>
                <w:sz w:val="20"/>
                <w:szCs w:val="20"/>
              </w:rPr>
            </w:pPr>
            <w:r>
              <w:rPr>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4.9</w:t>
            </w:r>
          </w:p>
        </w:tc>
        <w:tc>
          <w:tcPr>
            <w:tcW w:w="1950" w:type="pct"/>
            <w:hideMark/>
          </w:tcPr>
          <w:p w:rsidR="00000000" w:rsidRDefault="006954AA">
            <w:pPr>
              <w:pStyle w:val="a3"/>
              <w:spacing w:before="0" w:beforeAutospacing="0" w:after="0" w:afterAutospacing="0"/>
              <w:rPr>
                <w:sz w:val="20"/>
                <w:szCs w:val="20"/>
              </w:rPr>
            </w:pPr>
            <w:hyperlink r:id="rId22" w:history="1">
              <w:r>
                <w:rPr>
                  <w:rStyle w:val="a4"/>
                  <w:sz w:val="20"/>
                  <w:szCs w:val="20"/>
                </w:rPr>
                <w:t>Seventh Supplemental Indenture, dated April 24, 2014, between Kimco Realty Corporation and The Bank of New York Mellon,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04/24/14</w:t>
            </w:r>
          </w:p>
        </w:tc>
        <w:tc>
          <w:tcPr>
            <w:tcW w:w="450" w:type="pct"/>
            <w:hideMark/>
          </w:tcPr>
          <w:p w:rsidR="00000000" w:rsidRDefault="006954AA">
            <w:pPr>
              <w:pStyle w:val="a3"/>
              <w:spacing w:before="0" w:beforeAutospacing="0" w:after="0" w:afterAutospacing="0"/>
              <w:jc w:val="center"/>
              <w:rPr>
                <w:sz w:val="20"/>
                <w:szCs w:val="20"/>
              </w:rPr>
            </w:pPr>
            <w:r>
              <w:rPr>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84564151"/>
        <w:rPr>
          <w:rFonts w:eastAsia="Times New Roman"/>
          <w:sz w:val="20"/>
          <w:szCs w:val="20"/>
        </w:rPr>
      </w:pPr>
      <w:r>
        <w:rPr>
          <w:rFonts w:eastAsia="Times New Roman"/>
          <w:sz w:val="20"/>
          <w:szCs w:val="20"/>
        </w:rPr>
        <w:t xml:space="preserve">46 </w:t>
      </w:r>
    </w:p>
    <w:p w:rsidR="00000000" w:rsidRDefault="006954AA">
      <w:pPr>
        <w:divId w:val="1194465531"/>
        <w:rPr>
          <w:rFonts w:eastAsia="Times New Roman"/>
          <w:sz w:val="20"/>
          <w:szCs w:val="20"/>
        </w:rPr>
      </w:pPr>
      <w:r>
        <w:rPr>
          <w:rFonts w:eastAsia="Times New Roman"/>
          <w:sz w:val="20"/>
          <w:szCs w:val="20"/>
        </w:rPr>
        <w:pict>
          <v:rect id="_x0000_i1081" style="width:415.3pt;height:1.5pt" o:hralign="center" o:hrstd="t" o:hrnoshade="t" o:hr="t" fillcolor="black" stroked="f"/>
        </w:pict>
      </w:r>
    </w:p>
    <w:p w:rsidR="00000000" w:rsidRDefault="006954AA">
      <w:pPr>
        <w:divId w:val="12642217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2"/>
        <w:gridCol w:w="3187"/>
        <w:gridCol w:w="696"/>
        <w:gridCol w:w="696"/>
        <w:gridCol w:w="712"/>
        <w:gridCol w:w="712"/>
        <w:gridCol w:w="879"/>
        <w:gridCol w:w="712"/>
      </w:tblGrid>
      <w:tr w:rsidR="00000000">
        <w:trPr>
          <w:tblCellSpacing w:w="0" w:type="dxa"/>
        </w:trPr>
        <w:tc>
          <w:tcPr>
            <w:tcW w:w="350" w:type="pct"/>
            <w:vAlign w:val="bottom"/>
            <w:hideMark/>
          </w:tcPr>
          <w:p w:rsidR="00000000" w:rsidRDefault="006954AA">
            <w:pPr>
              <w:rPr>
                <w:rFonts w:eastAsia="Times New Roman"/>
                <w:sz w:val="20"/>
                <w:szCs w:val="20"/>
              </w:rPr>
            </w:pPr>
            <w:r>
              <w:rPr>
                <w:rFonts w:eastAsia="Times New Roman"/>
                <w:sz w:val="20"/>
                <w:szCs w:val="20"/>
              </w:rPr>
              <w:t> </w:t>
            </w:r>
          </w:p>
        </w:tc>
        <w:tc>
          <w:tcPr>
            <w:tcW w:w="1950" w:type="pct"/>
            <w:vAlign w:val="bottom"/>
            <w:hideMark/>
          </w:tcPr>
          <w:p w:rsidR="00000000" w:rsidRDefault="006954AA">
            <w:pPr>
              <w:rPr>
                <w:rFonts w:eastAsia="Times New Roman"/>
                <w:sz w:val="20"/>
                <w:szCs w:val="20"/>
              </w:rPr>
            </w:pPr>
            <w:r>
              <w:rPr>
                <w:rFonts w:eastAsia="Times New Roman"/>
                <w:sz w:val="20"/>
                <w:szCs w:val="20"/>
              </w:rPr>
              <w:t> </w:t>
            </w:r>
          </w:p>
        </w:tc>
        <w:tc>
          <w:tcPr>
            <w:tcW w:w="1350" w:type="pct"/>
            <w:gridSpan w:val="4"/>
            <w:hideMark/>
          </w:tcPr>
          <w:p w:rsidR="00000000" w:rsidRDefault="006954AA">
            <w:pPr>
              <w:pStyle w:val="a3"/>
              <w:spacing w:before="0" w:beforeAutospacing="0" w:after="0" w:afterAutospacing="0"/>
              <w:jc w:val="center"/>
              <w:rPr>
                <w:sz w:val="20"/>
                <w:szCs w:val="20"/>
              </w:rPr>
            </w:pPr>
            <w:r>
              <w:rPr>
                <w:b/>
                <w:bCs/>
                <w:sz w:val="20"/>
                <w:szCs w:val="20"/>
                <w:u w:val="single"/>
              </w:rPr>
              <w:t>Incorporated by Reference</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vAlign w:val="bottom"/>
            <w:hideMark/>
          </w:tcPr>
          <w:p w:rsidR="00000000" w:rsidRDefault="006954AA">
            <w:pPr>
              <w:pStyle w:val="a3"/>
              <w:spacing w:before="0" w:beforeAutospacing="0" w:after="0" w:afterAutospacing="0"/>
              <w:jc w:val="center"/>
              <w:rPr>
                <w:sz w:val="20"/>
                <w:szCs w:val="20"/>
              </w:rPr>
            </w:pPr>
            <w:r>
              <w:rPr>
                <w:b/>
                <w:bCs/>
                <w:sz w:val="20"/>
                <w:szCs w:val="20"/>
              </w:rPr>
              <w:t xml:space="preserve">Exhibit </w:t>
            </w:r>
          </w:p>
          <w:p w:rsidR="00000000" w:rsidRDefault="006954AA">
            <w:pPr>
              <w:pStyle w:val="a3"/>
              <w:spacing w:before="0" w:beforeAutospacing="0" w:after="0" w:afterAutospacing="0"/>
              <w:jc w:val="center"/>
              <w:rPr>
                <w:sz w:val="20"/>
                <w:szCs w:val="20"/>
              </w:rPr>
            </w:pPr>
            <w:r>
              <w:rPr>
                <w:b/>
                <w:bCs/>
                <w:sz w:val="20"/>
                <w:szCs w:val="20"/>
                <w:u w:val="single"/>
              </w:rPr>
              <w:t>Number</w:t>
            </w:r>
          </w:p>
        </w:tc>
        <w:tc>
          <w:tcPr>
            <w:tcW w:w="19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Exhibit Description</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Form</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File No.</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Date of</w:t>
            </w:r>
          </w:p>
          <w:p w:rsidR="00000000" w:rsidRDefault="006954AA">
            <w:pPr>
              <w:pStyle w:val="a3"/>
              <w:spacing w:before="0" w:beforeAutospacing="0" w:after="0" w:afterAutospacing="0"/>
              <w:jc w:val="center"/>
              <w:rPr>
                <w:sz w:val="20"/>
                <w:szCs w:val="20"/>
              </w:rPr>
            </w:pPr>
            <w:r>
              <w:rPr>
                <w:b/>
                <w:bCs/>
                <w:sz w:val="20"/>
                <w:szCs w:val="20"/>
                <w:u w:val="single"/>
              </w:rPr>
              <w:t>Filing</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Exhibit</w:t>
            </w:r>
          </w:p>
          <w:p w:rsidR="00000000" w:rsidRDefault="006954AA">
            <w:pPr>
              <w:pStyle w:val="a3"/>
              <w:spacing w:before="0" w:beforeAutospacing="0" w:after="0" w:afterAutospacing="0"/>
              <w:jc w:val="center"/>
              <w:rPr>
                <w:sz w:val="20"/>
                <w:szCs w:val="20"/>
              </w:rPr>
            </w:pPr>
            <w:r>
              <w:rPr>
                <w:b/>
                <w:bCs/>
                <w:sz w:val="20"/>
                <w:szCs w:val="20"/>
                <w:u w:val="single"/>
              </w:rPr>
              <w:t>Number</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Filed/</w:t>
            </w:r>
          </w:p>
          <w:p w:rsidR="00000000" w:rsidRDefault="006954AA">
            <w:pPr>
              <w:pStyle w:val="a3"/>
              <w:spacing w:before="0" w:beforeAutospacing="0" w:after="0" w:afterAutospacing="0"/>
              <w:jc w:val="center"/>
              <w:rPr>
                <w:sz w:val="20"/>
                <w:szCs w:val="20"/>
              </w:rPr>
            </w:pPr>
            <w:r>
              <w:rPr>
                <w:b/>
                <w:bCs/>
                <w:sz w:val="20"/>
                <w:szCs w:val="20"/>
              </w:rPr>
              <w:t xml:space="preserve">Furnished </w:t>
            </w:r>
          </w:p>
          <w:p w:rsidR="00000000" w:rsidRDefault="006954AA">
            <w:pPr>
              <w:pStyle w:val="a3"/>
              <w:spacing w:before="0" w:beforeAutospacing="0" w:after="0" w:afterAutospacing="0"/>
              <w:jc w:val="center"/>
              <w:rPr>
                <w:sz w:val="20"/>
                <w:szCs w:val="20"/>
              </w:rPr>
            </w:pPr>
            <w:r>
              <w:rPr>
                <w:b/>
                <w:bCs/>
                <w:sz w:val="20"/>
                <w:szCs w:val="20"/>
                <w:u w:val="single"/>
              </w:rPr>
              <w:t>Herewith</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Page</w:t>
            </w:r>
          </w:p>
          <w:p w:rsidR="00000000" w:rsidRDefault="006954AA">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4.10</w:t>
            </w:r>
          </w:p>
        </w:tc>
        <w:tc>
          <w:tcPr>
            <w:tcW w:w="1950" w:type="pct"/>
            <w:hideMark/>
          </w:tcPr>
          <w:p w:rsidR="00000000" w:rsidRDefault="006954AA">
            <w:pPr>
              <w:pStyle w:val="a3"/>
              <w:spacing w:before="0" w:beforeAutospacing="0" w:after="0" w:afterAutospacing="0"/>
              <w:rPr>
                <w:sz w:val="20"/>
                <w:szCs w:val="20"/>
              </w:rPr>
            </w:pPr>
            <w:hyperlink r:id="rId23" w:history="1">
              <w:r>
                <w:rPr>
                  <w:rStyle w:val="a4"/>
                  <w:sz w:val="20"/>
                  <w:szCs w:val="20"/>
                </w:rPr>
                <w:t>Eighth Supplemental Indenture, dated as of January 3, 2023, between Kimco Realty OP, LLC, as issuer, Kimco Realty Corporation, as guarantor, and The Ban</w:t>
              </w:r>
              <w:r>
                <w:rPr>
                  <w:rStyle w:val="a4"/>
                  <w:sz w:val="20"/>
                  <w:szCs w:val="20"/>
                </w:rPr>
                <w:t>k of New York Mellon Trust Company, N.A.,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4.11</w:t>
            </w:r>
          </w:p>
        </w:tc>
        <w:tc>
          <w:tcPr>
            <w:tcW w:w="1950" w:type="pct"/>
            <w:hideMark/>
          </w:tcPr>
          <w:p w:rsidR="00000000" w:rsidRDefault="006954AA">
            <w:pPr>
              <w:pStyle w:val="a3"/>
              <w:spacing w:before="0" w:beforeAutospacing="0" w:after="0" w:afterAutospacing="0"/>
              <w:rPr>
                <w:sz w:val="20"/>
                <w:szCs w:val="20"/>
              </w:rPr>
            </w:pPr>
            <w:hyperlink r:id="rId24" w:history="1">
              <w:r>
                <w:rPr>
                  <w:rStyle w:val="a4"/>
                  <w:sz w:val="20"/>
                  <w:szCs w:val="20"/>
                </w:rPr>
                <w:t>Form of Indenture for Senior Debt Securities, among Kimco Realty Corporation, an issuer, Kimco Realty OP, LLC, as guarantor, and The Bank of New York Mel</w:t>
              </w:r>
              <w:r>
                <w:rPr>
                  <w:rStyle w:val="a4"/>
                  <w:sz w:val="20"/>
                  <w:szCs w:val="20"/>
                </w:rPr>
                <w:t>lon, as trustee</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S-3ASR</w:t>
            </w:r>
          </w:p>
        </w:tc>
        <w:tc>
          <w:tcPr>
            <w:tcW w:w="450" w:type="pct"/>
            <w:hideMark/>
          </w:tcPr>
          <w:p w:rsidR="00000000" w:rsidRDefault="006954AA">
            <w:pPr>
              <w:pStyle w:val="a3"/>
              <w:spacing w:before="0" w:beforeAutospacing="0" w:after="0" w:afterAutospacing="0"/>
              <w:jc w:val="center"/>
              <w:rPr>
                <w:sz w:val="20"/>
                <w:szCs w:val="20"/>
              </w:rPr>
            </w:pPr>
            <w:r>
              <w:rPr>
                <w:sz w:val="20"/>
                <w:szCs w:val="20"/>
              </w:rPr>
              <w:t>333-269102</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4(j)</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4.12</w:t>
            </w:r>
          </w:p>
        </w:tc>
        <w:tc>
          <w:tcPr>
            <w:tcW w:w="1950" w:type="pct"/>
            <w:hideMark/>
          </w:tcPr>
          <w:p w:rsidR="00000000" w:rsidRDefault="006954AA">
            <w:pPr>
              <w:pStyle w:val="a3"/>
              <w:spacing w:before="0" w:beforeAutospacing="0" w:after="0" w:afterAutospacing="0"/>
              <w:rPr>
                <w:sz w:val="20"/>
                <w:szCs w:val="20"/>
              </w:rPr>
            </w:pPr>
            <w:hyperlink r:id="rId25" w:history="1">
              <w:r>
                <w:rPr>
                  <w:rStyle w:val="a4"/>
                  <w:sz w:val="20"/>
                  <w:szCs w:val="20"/>
                </w:rPr>
                <w:t>Description of Securities</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02/25/20</w:t>
            </w:r>
          </w:p>
        </w:tc>
        <w:tc>
          <w:tcPr>
            <w:tcW w:w="450" w:type="pct"/>
            <w:hideMark/>
          </w:tcPr>
          <w:p w:rsidR="00000000" w:rsidRDefault="006954AA">
            <w:pPr>
              <w:pStyle w:val="a3"/>
              <w:spacing w:before="0" w:beforeAutospacing="0" w:after="0" w:afterAutospacing="0"/>
              <w:jc w:val="center"/>
              <w:rPr>
                <w:sz w:val="20"/>
                <w:szCs w:val="20"/>
              </w:rPr>
            </w:pPr>
            <w:r>
              <w:rPr>
                <w:sz w:val="20"/>
                <w:szCs w:val="20"/>
              </w:rPr>
              <w:t>4.10</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4.13</w:t>
            </w:r>
          </w:p>
        </w:tc>
        <w:tc>
          <w:tcPr>
            <w:tcW w:w="1950" w:type="pct"/>
            <w:hideMark/>
          </w:tcPr>
          <w:p w:rsidR="00000000" w:rsidRDefault="006954AA">
            <w:pPr>
              <w:pStyle w:val="a3"/>
              <w:spacing w:before="0" w:beforeAutospacing="0" w:after="0" w:afterAutospacing="0"/>
              <w:rPr>
                <w:sz w:val="20"/>
                <w:szCs w:val="20"/>
              </w:rPr>
            </w:pPr>
            <w:hyperlink r:id="rId26" w:history="1">
              <w:r>
                <w:rPr>
                  <w:rStyle w:val="a4"/>
                  <w:sz w:val="20"/>
                  <w:szCs w:val="20"/>
                </w:rPr>
                <w:t>Form of Indenture for Senior Debt Securities dated as of May 1, 1995 between Weingarten Realty Investors and The Bank of New York Mellon Trust Company, N.A. (successor t</w:t>
              </w:r>
              <w:r>
                <w:rPr>
                  <w:rStyle w:val="a4"/>
                  <w:sz w:val="20"/>
                  <w:szCs w:val="20"/>
                </w:rPr>
                <w:t>o J.P. Morgan Trust Company, National Association, successor to Texas Commerce Bank National Association).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S-3</w:t>
            </w:r>
          </w:p>
        </w:tc>
        <w:tc>
          <w:tcPr>
            <w:tcW w:w="450" w:type="pct"/>
            <w:hideMark/>
          </w:tcPr>
          <w:p w:rsidR="00000000" w:rsidRDefault="006954AA">
            <w:pPr>
              <w:pStyle w:val="a3"/>
              <w:spacing w:before="0" w:beforeAutospacing="0" w:after="0" w:afterAutospacing="0"/>
              <w:jc w:val="center"/>
              <w:rPr>
                <w:sz w:val="20"/>
                <w:szCs w:val="20"/>
              </w:rPr>
            </w:pPr>
            <w:r>
              <w:rPr>
                <w:sz w:val="20"/>
                <w:szCs w:val="20"/>
              </w:rPr>
              <w:t>33-57659</w:t>
            </w:r>
          </w:p>
        </w:tc>
        <w:tc>
          <w:tcPr>
            <w:tcW w:w="450" w:type="pct"/>
            <w:hideMark/>
          </w:tcPr>
          <w:p w:rsidR="00000000" w:rsidRDefault="006954AA">
            <w:pPr>
              <w:pStyle w:val="a3"/>
              <w:spacing w:before="0" w:beforeAutospacing="0" w:after="0" w:afterAutospacing="0"/>
              <w:jc w:val="center"/>
              <w:rPr>
                <w:sz w:val="20"/>
                <w:szCs w:val="20"/>
              </w:rPr>
            </w:pPr>
            <w:r>
              <w:rPr>
                <w:sz w:val="20"/>
                <w:szCs w:val="20"/>
              </w:rPr>
              <w:t>02/10/95</w:t>
            </w:r>
          </w:p>
        </w:tc>
        <w:tc>
          <w:tcPr>
            <w:tcW w:w="450" w:type="pct"/>
            <w:hideMark/>
          </w:tcPr>
          <w:p w:rsidR="00000000" w:rsidRDefault="006954AA">
            <w:pPr>
              <w:pStyle w:val="a3"/>
              <w:spacing w:before="0" w:beforeAutospacing="0" w:after="0" w:afterAutospacing="0"/>
              <w:jc w:val="center"/>
              <w:rPr>
                <w:sz w:val="20"/>
                <w:szCs w:val="20"/>
              </w:rPr>
            </w:pPr>
            <w:r>
              <w:rPr>
                <w:sz w:val="20"/>
                <w:szCs w:val="20"/>
              </w:rPr>
              <w:t>4(a)</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rPr>
                <w:rFonts w:eastAsia="Times New Roman"/>
                <w:sz w:val="20"/>
                <w:szCs w:val="20"/>
              </w:rPr>
            </w:pPr>
            <w:r>
              <w:rPr>
                <w:rFonts w:eastAsia="Times New Roman"/>
                <w:sz w:val="20"/>
                <w:szCs w:val="20"/>
              </w:rPr>
              <w:t>4.14</w:t>
            </w:r>
          </w:p>
        </w:tc>
        <w:tc>
          <w:tcPr>
            <w:tcW w:w="1950" w:type="pct"/>
            <w:hideMark/>
          </w:tcPr>
          <w:p w:rsidR="00000000" w:rsidRDefault="006954AA">
            <w:pPr>
              <w:rPr>
                <w:rFonts w:eastAsia="Times New Roman"/>
                <w:sz w:val="20"/>
                <w:szCs w:val="20"/>
              </w:rPr>
            </w:pPr>
            <w:r>
              <w:rPr>
                <w:rFonts w:eastAsia="Times New Roman"/>
                <w:sz w:val="20"/>
                <w:szCs w:val="20"/>
              </w:rPr>
              <w:t>First Supplemental Indenture, dated August 2, 2006, between Weingarten Realty Investors and The Bank of New York</w:t>
            </w:r>
            <w:r>
              <w:rPr>
                <w:rFonts w:eastAsia="Times New Roman"/>
                <w:sz w:val="20"/>
                <w:szCs w:val="20"/>
              </w:rPr>
              <w:t xml:space="preserve"> Mellon Trust Company, N.A. (successor to J.P. Morgan Trust Company, National Association, successor to Texas Commerce Bank National Association).</w:t>
            </w:r>
          </w:p>
        </w:tc>
        <w:tc>
          <w:tcPr>
            <w:tcW w:w="450" w:type="pct"/>
            <w:hideMark/>
          </w:tcPr>
          <w:p w:rsidR="00000000" w:rsidRDefault="006954AA">
            <w:pPr>
              <w:jc w:val="center"/>
              <w:rPr>
                <w:rFonts w:eastAsia="Times New Roman"/>
                <w:sz w:val="20"/>
                <w:szCs w:val="20"/>
              </w:rPr>
            </w:pPr>
            <w:r>
              <w:rPr>
                <w:rFonts w:eastAsia="Times New Roman"/>
                <w:sz w:val="20"/>
                <w:szCs w:val="20"/>
              </w:rPr>
              <w:t>8-K</w:t>
            </w:r>
          </w:p>
        </w:tc>
        <w:tc>
          <w:tcPr>
            <w:tcW w:w="450" w:type="pct"/>
            <w:hideMark/>
          </w:tcPr>
          <w:p w:rsidR="00000000" w:rsidRDefault="006954AA">
            <w:pPr>
              <w:jc w:val="center"/>
              <w:rPr>
                <w:rFonts w:eastAsia="Times New Roman"/>
                <w:sz w:val="20"/>
                <w:szCs w:val="20"/>
              </w:rPr>
            </w:pPr>
            <w:r>
              <w:rPr>
                <w:rFonts w:eastAsia="Times New Roman"/>
                <w:sz w:val="20"/>
                <w:szCs w:val="20"/>
              </w:rPr>
              <w:t>1-09876</w:t>
            </w:r>
          </w:p>
        </w:tc>
        <w:tc>
          <w:tcPr>
            <w:tcW w:w="450" w:type="pct"/>
            <w:hideMark/>
          </w:tcPr>
          <w:p w:rsidR="00000000" w:rsidRDefault="006954AA">
            <w:pPr>
              <w:jc w:val="center"/>
              <w:rPr>
                <w:rFonts w:eastAsia="Times New Roman"/>
                <w:sz w:val="20"/>
                <w:szCs w:val="20"/>
              </w:rPr>
            </w:pPr>
            <w:r>
              <w:rPr>
                <w:rFonts w:eastAsia="Times New Roman"/>
                <w:sz w:val="20"/>
                <w:szCs w:val="20"/>
              </w:rPr>
              <w:t>08/02/06</w:t>
            </w:r>
          </w:p>
        </w:tc>
        <w:tc>
          <w:tcPr>
            <w:tcW w:w="450" w:type="pct"/>
            <w:hideMark/>
          </w:tcPr>
          <w:p w:rsidR="00000000" w:rsidRDefault="006954AA">
            <w:pPr>
              <w:jc w:val="center"/>
              <w:rPr>
                <w:rFonts w:eastAsia="Times New Roman"/>
                <w:sz w:val="20"/>
                <w:szCs w:val="20"/>
              </w:rPr>
            </w:pPr>
            <w:r>
              <w:rPr>
                <w:rFonts w:eastAsia="Times New Roman"/>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4.15</w:t>
            </w:r>
          </w:p>
        </w:tc>
        <w:tc>
          <w:tcPr>
            <w:tcW w:w="1950" w:type="pct"/>
            <w:hideMark/>
          </w:tcPr>
          <w:p w:rsidR="00000000" w:rsidRDefault="006954AA">
            <w:pPr>
              <w:pStyle w:val="a3"/>
              <w:spacing w:before="0" w:beforeAutospacing="0" w:after="0" w:afterAutospacing="0"/>
              <w:rPr>
                <w:sz w:val="20"/>
                <w:szCs w:val="20"/>
              </w:rPr>
            </w:pPr>
            <w:hyperlink r:id="rId27" w:history="1">
              <w:r>
                <w:rPr>
                  <w:rStyle w:val="a4"/>
                  <w:sz w:val="20"/>
                  <w:szCs w:val="20"/>
                </w:rPr>
                <w:t>Second Supplemental Indenture, dated October 9, 2012, between Weingarten Realty Investors and The Bank of New York Mellon Trust Company, N.A. (successor to J.P. Morgan Trust Company, National Association, successor to Texas Commerce Bank National Associati</w:t>
              </w:r>
              <w:r>
                <w:rPr>
                  <w:rStyle w:val="a4"/>
                  <w:sz w:val="20"/>
                  <w:szCs w:val="20"/>
                </w:rPr>
                <w:t>on).</w:t>
              </w:r>
            </w:hyperlink>
            <w:r>
              <w:rPr>
                <w:sz w:val="20"/>
                <w:szCs w:val="20"/>
                <w:u w:val="single"/>
              </w:rPr>
              <w:t> </w:t>
            </w:r>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1-09876</w:t>
            </w:r>
          </w:p>
        </w:tc>
        <w:tc>
          <w:tcPr>
            <w:tcW w:w="450" w:type="pct"/>
            <w:hideMark/>
          </w:tcPr>
          <w:p w:rsidR="00000000" w:rsidRDefault="006954AA">
            <w:pPr>
              <w:pStyle w:val="a3"/>
              <w:spacing w:before="0" w:beforeAutospacing="0" w:after="0" w:afterAutospacing="0"/>
              <w:jc w:val="center"/>
              <w:rPr>
                <w:sz w:val="20"/>
                <w:szCs w:val="20"/>
              </w:rPr>
            </w:pPr>
            <w:r>
              <w:rPr>
                <w:sz w:val="20"/>
                <w:szCs w:val="20"/>
              </w:rPr>
              <w:t>10/09/12</w:t>
            </w:r>
          </w:p>
        </w:tc>
        <w:tc>
          <w:tcPr>
            <w:tcW w:w="450" w:type="pct"/>
            <w:hideMark/>
          </w:tcPr>
          <w:p w:rsidR="00000000" w:rsidRDefault="006954AA">
            <w:pPr>
              <w:pStyle w:val="a3"/>
              <w:spacing w:before="0" w:beforeAutospacing="0" w:after="0" w:afterAutospacing="0"/>
              <w:jc w:val="center"/>
              <w:rPr>
                <w:sz w:val="20"/>
                <w:szCs w:val="20"/>
              </w:rPr>
            </w:pPr>
            <w:r>
              <w:rPr>
                <w:sz w:val="20"/>
                <w:szCs w:val="20"/>
              </w:rPr>
              <w:t>4.1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rPr>
                <w:rFonts w:eastAsia="Times New Roman"/>
                <w:sz w:val="20"/>
                <w:szCs w:val="20"/>
              </w:rPr>
            </w:pPr>
            <w:r>
              <w:rPr>
                <w:rFonts w:eastAsia="Times New Roman"/>
                <w:sz w:val="20"/>
                <w:szCs w:val="20"/>
              </w:rPr>
              <w:t>4.16</w:t>
            </w:r>
          </w:p>
        </w:tc>
        <w:tc>
          <w:tcPr>
            <w:tcW w:w="1950" w:type="pct"/>
            <w:hideMark/>
          </w:tcPr>
          <w:p w:rsidR="00000000" w:rsidRDefault="006954AA">
            <w:pPr>
              <w:rPr>
                <w:rFonts w:eastAsia="Times New Roman"/>
                <w:sz w:val="20"/>
                <w:szCs w:val="20"/>
              </w:rPr>
            </w:pPr>
            <w:hyperlink r:id="rId28" w:history="1">
              <w:r>
                <w:rPr>
                  <w:rStyle w:val="a4"/>
                  <w:rFonts w:eastAsia="Times New Roman"/>
                  <w:sz w:val="20"/>
                  <w:szCs w:val="20"/>
                </w:rPr>
                <w:t>Third Supplemental Indenture, dated August 3, 2021, between Kimco Realty Corporation, Weingarten Realty Investors and The Bank of New York Mellon Trust Company, N.A. (successor to J.P. Morgan Trust Company, National Association, successor to Texas Commerce</w:t>
              </w:r>
              <w:r>
                <w:rPr>
                  <w:rStyle w:val="a4"/>
                  <w:rFonts w:eastAsia="Times New Roman"/>
                  <w:sz w:val="20"/>
                  <w:szCs w:val="20"/>
                </w:rPr>
                <w:t xml:space="preserve"> Bank National Association).</w:t>
              </w:r>
            </w:hyperlink>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rPr>
                <w:rFonts w:eastAsia="Times New Roman"/>
                <w:sz w:val="20"/>
                <w:szCs w:val="20"/>
              </w:rPr>
            </w:pPr>
            <w:r>
              <w:rPr>
                <w:rFonts w:eastAsia="Times New Roman"/>
                <w:sz w:val="20"/>
                <w:szCs w:val="20"/>
              </w:rPr>
              <w:t>4.17</w:t>
            </w:r>
          </w:p>
        </w:tc>
        <w:tc>
          <w:tcPr>
            <w:tcW w:w="1950" w:type="pct"/>
            <w:hideMark/>
          </w:tcPr>
          <w:p w:rsidR="00000000" w:rsidRDefault="006954AA">
            <w:pPr>
              <w:rPr>
                <w:rFonts w:eastAsia="Times New Roman"/>
                <w:sz w:val="20"/>
                <w:szCs w:val="20"/>
              </w:rPr>
            </w:pPr>
            <w:hyperlink r:id="rId29" w:history="1">
              <w:r>
                <w:rPr>
                  <w:rStyle w:val="a4"/>
                  <w:rFonts w:eastAsia="Times New Roman"/>
                  <w:sz w:val="20"/>
                  <w:szCs w:val="20"/>
                </w:rPr>
                <w:t>Fourth Supplemental Indenture, dated January 3, 2023, between Kimco Realty Corporation (successor in inte</w:t>
              </w:r>
              <w:r>
                <w:rPr>
                  <w:rStyle w:val="a4"/>
                  <w:rFonts w:eastAsia="Times New Roman"/>
                  <w:sz w:val="20"/>
                  <w:szCs w:val="20"/>
                </w:rPr>
                <w:t>rest to Weingarten Realty Investors) and The Bank of New York Mellon Trust Company, N.A. (successor to J.P. Morgan Trust Company, National Association, successor to Texas Commerce Bank National Association).</w:t>
              </w:r>
            </w:hyperlink>
          </w:p>
        </w:tc>
        <w:tc>
          <w:tcPr>
            <w:tcW w:w="450" w:type="pct"/>
            <w:hideMark/>
          </w:tcPr>
          <w:p w:rsidR="00000000" w:rsidRDefault="006954AA">
            <w:pPr>
              <w:jc w:val="center"/>
              <w:rPr>
                <w:rFonts w:eastAsia="Times New Roman"/>
                <w:sz w:val="20"/>
                <w:szCs w:val="20"/>
              </w:rPr>
            </w:pPr>
            <w:r>
              <w:rPr>
                <w:rFonts w:eastAsia="Times New Roman"/>
                <w:sz w:val="20"/>
                <w:szCs w:val="20"/>
              </w:rPr>
              <w:t>8-K12B</w:t>
            </w:r>
          </w:p>
        </w:tc>
        <w:tc>
          <w:tcPr>
            <w:tcW w:w="450" w:type="pct"/>
            <w:hideMark/>
          </w:tcPr>
          <w:p w:rsidR="00000000" w:rsidRDefault="006954AA">
            <w:pPr>
              <w:jc w:val="center"/>
              <w:rPr>
                <w:rFonts w:eastAsia="Times New Roman"/>
                <w:sz w:val="20"/>
                <w:szCs w:val="20"/>
              </w:rPr>
            </w:pPr>
            <w:r>
              <w:rPr>
                <w:rFonts w:eastAsia="Times New Roman"/>
                <w:sz w:val="20"/>
                <w:szCs w:val="20"/>
              </w:rPr>
              <w:t>1-10899</w:t>
            </w:r>
          </w:p>
        </w:tc>
        <w:tc>
          <w:tcPr>
            <w:tcW w:w="450" w:type="pct"/>
            <w:hideMark/>
          </w:tcPr>
          <w:p w:rsidR="00000000" w:rsidRDefault="006954AA">
            <w:pPr>
              <w:jc w:val="center"/>
              <w:rPr>
                <w:rFonts w:eastAsia="Times New Roman"/>
                <w:sz w:val="20"/>
                <w:szCs w:val="20"/>
              </w:rPr>
            </w:pPr>
            <w:r>
              <w:rPr>
                <w:rFonts w:eastAsia="Times New Roman"/>
                <w:sz w:val="20"/>
                <w:szCs w:val="20"/>
              </w:rPr>
              <w:t>01/03/23</w:t>
            </w:r>
          </w:p>
        </w:tc>
        <w:tc>
          <w:tcPr>
            <w:tcW w:w="450" w:type="pct"/>
            <w:hideMark/>
          </w:tcPr>
          <w:p w:rsidR="00000000" w:rsidRDefault="006954AA">
            <w:pPr>
              <w:jc w:val="center"/>
              <w:rPr>
                <w:rFonts w:eastAsia="Times New Roman"/>
                <w:sz w:val="20"/>
                <w:szCs w:val="20"/>
              </w:rPr>
            </w:pPr>
            <w:r>
              <w:rPr>
                <w:rFonts w:eastAsia="Times New Roman"/>
                <w:sz w:val="20"/>
                <w:szCs w:val="20"/>
              </w:rPr>
              <w:t>4.2</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w:t>
            </w:r>
          </w:p>
        </w:tc>
        <w:tc>
          <w:tcPr>
            <w:tcW w:w="1950" w:type="pct"/>
            <w:hideMark/>
          </w:tcPr>
          <w:p w:rsidR="00000000" w:rsidRDefault="006954AA">
            <w:pPr>
              <w:pStyle w:val="a3"/>
              <w:spacing w:before="0" w:beforeAutospacing="0" w:after="0" w:afterAutospacing="0"/>
              <w:rPr>
                <w:sz w:val="20"/>
                <w:szCs w:val="20"/>
              </w:rPr>
            </w:pPr>
            <w:r>
              <w:rPr>
                <w:sz w:val="20"/>
                <w:szCs w:val="20"/>
              </w:rPr>
              <w:t>Amended and Restated Stock Option Plan</w:t>
            </w:r>
          </w:p>
        </w:tc>
        <w:tc>
          <w:tcPr>
            <w:tcW w:w="450" w:type="pct"/>
            <w:hideMark/>
          </w:tcPr>
          <w:p w:rsidR="00000000" w:rsidRDefault="006954AA">
            <w:pPr>
              <w:pStyle w:val="a3"/>
              <w:spacing w:before="0" w:beforeAutospacing="0" w:after="0" w:afterAutospacing="0"/>
              <w:jc w:val="center"/>
              <w:rPr>
                <w:sz w:val="20"/>
                <w:szCs w:val="20"/>
              </w:rPr>
            </w:pPr>
            <w:r>
              <w:rPr>
                <w:sz w:val="20"/>
                <w:szCs w:val="20"/>
              </w:rPr>
              <w:t>10-K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03/28/95</w:t>
            </w:r>
          </w:p>
        </w:tc>
        <w:tc>
          <w:tcPr>
            <w:tcW w:w="450" w:type="pct"/>
            <w:hideMark/>
          </w:tcPr>
          <w:p w:rsidR="00000000" w:rsidRDefault="006954AA">
            <w:pPr>
              <w:pStyle w:val="a3"/>
              <w:spacing w:before="0" w:beforeAutospacing="0" w:after="0" w:afterAutospacing="0"/>
              <w:jc w:val="center"/>
              <w:rPr>
                <w:sz w:val="20"/>
                <w:szCs w:val="20"/>
              </w:rPr>
            </w:pPr>
            <w:r>
              <w:rPr>
                <w:sz w:val="20"/>
                <w:szCs w:val="20"/>
              </w:rPr>
              <w:t>10.3</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10.2</w:t>
            </w:r>
          </w:p>
        </w:tc>
        <w:tc>
          <w:tcPr>
            <w:tcW w:w="1950" w:type="pct"/>
            <w:hideMark/>
          </w:tcPr>
          <w:p w:rsidR="00000000" w:rsidRDefault="006954AA">
            <w:pPr>
              <w:pStyle w:val="a3"/>
              <w:spacing w:before="0" w:beforeAutospacing="0" w:after="0" w:afterAutospacing="0"/>
              <w:rPr>
                <w:sz w:val="20"/>
                <w:szCs w:val="20"/>
              </w:rPr>
            </w:pPr>
            <w:hyperlink r:id="rId30" w:history="1">
              <w:r>
                <w:rPr>
                  <w:rStyle w:val="a4"/>
                  <w:sz w:val="20"/>
                  <w:szCs w:val="20"/>
                </w:rPr>
                <w:t xml:space="preserve">Second Amended and Restated 1998 Equity Participation Plan of Kimco Realty Corporation </w:t>
              </w:r>
              <w:r>
                <w:rPr>
                  <w:rStyle w:val="a4"/>
                  <w:sz w:val="20"/>
                  <w:szCs w:val="20"/>
                </w:rPr>
                <w:t>(restated February 25, 2009)</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02/27/09</w:t>
            </w:r>
          </w:p>
        </w:tc>
        <w:tc>
          <w:tcPr>
            <w:tcW w:w="450" w:type="pct"/>
            <w:hideMark/>
          </w:tcPr>
          <w:p w:rsidR="00000000" w:rsidRDefault="006954AA">
            <w:pPr>
              <w:pStyle w:val="a3"/>
              <w:spacing w:before="0" w:beforeAutospacing="0" w:after="0" w:afterAutospacing="0"/>
              <w:jc w:val="center"/>
              <w:rPr>
                <w:sz w:val="20"/>
                <w:szCs w:val="20"/>
              </w:rPr>
            </w:pPr>
            <w:r>
              <w:rPr>
                <w:sz w:val="20"/>
                <w:szCs w:val="20"/>
              </w:rPr>
              <w:t>10.9</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10.3</w:t>
            </w:r>
          </w:p>
        </w:tc>
        <w:tc>
          <w:tcPr>
            <w:tcW w:w="1950" w:type="pct"/>
            <w:hideMark/>
          </w:tcPr>
          <w:p w:rsidR="00000000" w:rsidRDefault="006954AA">
            <w:pPr>
              <w:pStyle w:val="a3"/>
              <w:spacing w:before="0" w:beforeAutospacing="0" w:after="0" w:afterAutospacing="0"/>
              <w:rPr>
                <w:sz w:val="20"/>
                <w:szCs w:val="20"/>
              </w:rPr>
            </w:pPr>
            <w:hyperlink r:id="rId31" w:history="1">
              <w:r>
                <w:rPr>
                  <w:rStyle w:val="a4"/>
                  <w:sz w:val="20"/>
                  <w:szCs w:val="20"/>
                </w:rPr>
                <w:t>Kimco Realty Corporation Executive Severance Plan, dated March 15, 2010</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03/19/10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10.5</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10.4</w:t>
            </w:r>
          </w:p>
        </w:tc>
        <w:tc>
          <w:tcPr>
            <w:tcW w:w="1950" w:type="pct"/>
            <w:hideMark/>
          </w:tcPr>
          <w:p w:rsidR="00000000" w:rsidRDefault="006954AA">
            <w:pPr>
              <w:pStyle w:val="a3"/>
              <w:spacing w:before="0" w:beforeAutospacing="0" w:after="0" w:afterAutospacing="0"/>
              <w:rPr>
                <w:sz w:val="20"/>
                <w:szCs w:val="20"/>
              </w:rPr>
            </w:pPr>
            <w:hyperlink r:id="rId32" w:history="1">
              <w:r>
                <w:rPr>
                  <w:rStyle w:val="a4"/>
                  <w:sz w:val="20"/>
                  <w:szCs w:val="20"/>
                </w:rPr>
                <w:t>Restated Kimco Realty Corporation 2010 Equity Participation Plan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02/27/17</w:t>
            </w:r>
          </w:p>
        </w:tc>
        <w:tc>
          <w:tcPr>
            <w:tcW w:w="450" w:type="pct"/>
            <w:hideMark/>
          </w:tcPr>
          <w:p w:rsidR="00000000" w:rsidRDefault="006954AA">
            <w:pPr>
              <w:pStyle w:val="a3"/>
              <w:spacing w:before="0" w:beforeAutospacing="0" w:after="0" w:afterAutospacing="0"/>
              <w:jc w:val="center"/>
              <w:rPr>
                <w:sz w:val="20"/>
                <w:szCs w:val="20"/>
              </w:rPr>
            </w:pPr>
            <w:r>
              <w:rPr>
                <w:sz w:val="20"/>
                <w:szCs w:val="20"/>
              </w:rPr>
              <w:t>10.6</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10.5</w:t>
            </w:r>
          </w:p>
        </w:tc>
        <w:tc>
          <w:tcPr>
            <w:tcW w:w="1950" w:type="pct"/>
            <w:hideMark/>
          </w:tcPr>
          <w:p w:rsidR="00000000" w:rsidRDefault="006954AA">
            <w:pPr>
              <w:pStyle w:val="a3"/>
              <w:spacing w:before="0" w:beforeAutospacing="0" w:after="0" w:afterAutospacing="0"/>
              <w:rPr>
                <w:sz w:val="20"/>
                <w:szCs w:val="20"/>
              </w:rPr>
            </w:pPr>
            <w:hyperlink r:id="rId33" w:history="1">
              <w:r>
                <w:rPr>
                  <w:rStyle w:val="a4"/>
                  <w:sz w:val="20"/>
                  <w:szCs w:val="20"/>
                </w:rPr>
                <w:t>Amendment No. 1 to the Kimco Realty Corporation 2010 Equity Participation Plan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02/23/18</w:t>
            </w:r>
          </w:p>
        </w:tc>
        <w:tc>
          <w:tcPr>
            <w:tcW w:w="450" w:type="pct"/>
            <w:hideMark/>
          </w:tcPr>
          <w:p w:rsidR="00000000" w:rsidRDefault="006954AA">
            <w:pPr>
              <w:pStyle w:val="a3"/>
              <w:spacing w:before="0" w:beforeAutospacing="0" w:after="0" w:afterAutospacing="0"/>
              <w:jc w:val="center"/>
              <w:rPr>
                <w:sz w:val="20"/>
                <w:szCs w:val="20"/>
              </w:rPr>
            </w:pPr>
            <w:r>
              <w:rPr>
                <w:sz w:val="20"/>
                <w:szCs w:val="20"/>
              </w:rPr>
              <w:t>10.7</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10.6</w:t>
            </w:r>
          </w:p>
        </w:tc>
        <w:tc>
          <w:tcPr>
            <w:tcW w:w="1950" w:type="pct"/>
            <w:hideMark/>
          </w:tcPr>
          <w:p w:rsidR="00000000" w:rsidRDefault="006954AA">
            <w:pPr>
              <w:pStyle w:val="a3"/>
              <w:spacing w:before="0" w:beforeAutospacing="0" w:after="0" w:afterAutospacing="0"/>
              <w:rPr>
                <w:sz w:val="20"/>
                <w:szCs w:val="20"/>
              </w:rPr>
            </w:pPr>
            <w:hyperlink r:id="rId34" w:history="1">
              <w:r>
                <w:rPr>
                  <w:rStyle w:val="a4"/>
                  <w:sz w:val="20"/>
                  <w:szCs w:val="20"/>
                </w:rPr>
                <w:t>Amendment No. 2 to the Kimco Realty Corporation 2010 Equity Participation Plan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10.7</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10.7</w:t>
            </w:r>
          </w:p>
        </w:tc>
        <w:tc>
          <w:tcPr>
            <w:tcW w:w="1950" w:type="pct"/>
            <w:hideMark/>
          </w:tcPr>
          <w:p w:rsidR="00000000" w:rsidRDefault="006954AA">
            <w:pPr>
              <w:pStyle w:val="a3"/>
              <w:spacing w:before="0" w:beforeAutospacing="0" w:after="0" w:afterAutospacing="0"/>
              <w:rPr>
                <w:sz w:val="20"/>
                <w:szCs w:val="20"/>
              </w:rPr>
            </w:pPr>
            <w:hyperlink r:id="rId35" w:history="1">
              <w:r>
                <w:rPr>
                  <w:rStyle w:val="a4"/>
                  <w:sz w:val="20"/>
                  <w:szCs w:val="20"/>
                </w:rPr>
                <w:t>Form of Performance Share Award Grant Notice and Performance Share Award Agreement</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03/19/10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10.8</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10.8</w:t>
            </w:r>
          </w:p>
        </w:tc>
        <w:tc>
          <w:tcPr>
            <w:tcW w:w="1950" w:type="pct"/>
            <w:vAlign w:val="bottom"/>
            <w:hideMark/>
          </w:tcPr>
          <w:p w:rsidR="00000000" w:rsidRDefault="006954AA">
            <w:pPr>
              <w:pStyle w:val="a3"/>
              <w:spacing w:before="0" w:beforeAutospacing="0" w:after="0" w:afterAutospacing="0"/>
              <w:rPr>
                <w:sz w:val="20"/>
                <w:szCs w:val="20"/>
              </w:rPr>
            </w:pPr>
            <w:hyperlink r:id="rId36" w:history="1">
              <w:r>
                <w:rPr>
                  <w:rStyle w:val="a4"/>
                  <w:sz w:val="20"/>
                  <w:szCs w:val="20"/>
                </w:rPr>
                <w:t>First Amendment to the Kimco Realty Corporation Executive Severance Plan, dated March 20, 2012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10-Q</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05/10/12</w:t>
            </w:r>
          </w:p>
        </w:tc>
        <w:tc>
          <w:tcPr>
            <w:tcW w:w="450" w:type="pct"/>
            <w:hideMark/>
          </w:tcPr>
          <w:p w:rsidR="00000000" w:rsidRDefault="006954AA">
            <w:pPr>
              <w:pStyle w:val="a3"/>
              <w:spacing w:before="0" w:beforeAutospacing="0" w:after="0" w:afterAutospacing="0"/>
              <w:jc w:val="center"/>
              <w:rPr>
                <w:sz w:val="20"/>
                <w:szCs w:val="20"/>
              </w:rPr>
            </w:pPr>
            <w:r>
              <w:rPr>
                <w:sz w:val="20"/>
                <w:szCs w:val="20"/>
              </w:rPr>
              <w:t>10.3</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10.9</w:t>
            </w:r>
          </w:p>
        </w:tc>
        <w:tc>
          <w:tcPr>
            <w:tcW w:w="1950" w:type="pct"/>
            <w:vAlign w:val="bottom"/>
            <w:hideMark/>
          </w:tcPr>
          <w:p w:rsidR="00000000" w:rsidRDefault="006954AA">
            <w:pPr>
              <w:pStyle w:val="a3"/>
              <w:spacing w:before="0" w:beforeAutospacing="0" w:after="0" w:afterAutospacing="0"/>
              <w:rPr>
                <w:sz w:val="20"/>
                <w:szCs w:val="20"/>
              </w:rPr>
            </w:pPr>
            <w:hyperlink r:id="rId37" w:history="1">
              <w:r>
                <w:rPr>
                  <w:rStyle w:val="a4"/>
                  <w:sz w:val="20"/>
                  <w:szCs w:val="20"/>
                </w:rPr>
                <w:t>Amended and Restated Credit Agreement, dated as of February 27, 2020, among Kimco Realty Corporation, the subsidiaries of Kimco from time to time parties thereto</w:t>
              </w:r>
              <w:r>
                <w:rPr>
                  <w:rStyle w:val="a4"/>
                  <w:sz w:val="20"/>
                  <w:szCs w:val="20"/>
                </w:rPr>
                <w:t>, the several banks, financial institutions and other entities from time to time party thereto and JPMorgan Chase Bank, N.A., as administrative agent for the Lenders thereunder</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03/02/20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10.10</w:t>
            </w:r>
          </w:p>
        </w:tc>
        <w:tc>
          <w:tcPr>
            <w:tcW w:w="1950" w:type="pct"/>
            <w:vAlign w:val="bottom"/>
            <w:hideMark/>
          </w:tcPr>
          <w:p w:rsidR="00000000" w:rsidRDefault="006954AA">
            <w:pPr>
              <w:pStyle w:val="a3"/>
              <w:spacing w:before="0" w:beforeAutospacing="0" w:after="0" w:afterAutospacing="0"/>
              <w:rPr>
                <w:sz w:val="20"/>
                <w:szCs w:val="20"/>
              </w:rPr>
            </w:pPr>
            <w:hyperlink r:id="rId38" w:anchor="ANNEXB68" w:history="1">
              <w:r>
                <w:rPr>
                  <w:rStyle w:val="a4"/>
                  <w:sz w:val="20"/>
                  <w:szCs w:val="20"/>
                </w:rPr>
                <w:t>Kimco Realty Corporation 2020 Equity Participation Plan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DEF 14A</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03/18/20</w:t>
            </w:r>
          </w:p>
        </w:tc>
        <w:tc>
          <w:tcPr>
            <w:tcW w:w="450" w:type="pct"/>
            <w:hideMark/>
          </w:tcPr>
          <w:p w:rsidR="00000000" w:rsidRDefault="006954AA">
            <w:pPr>
              <w:pStyle w:val="a3"/>
              <w:spacing w:before="0" w:beforeAutospacing="0" w:after="0" w:afterAutospacing="0"/>
              <w:jc w:val="center"/>
              <w:rPr>
                <w:sz w:val="20"/>
                <w:szCs w:val="20"/>
              </w:rPr>
            </w:pPr>
            <w:r>
              <w:rPr>
                <w:sz w:val="20"/>
                <w:szCs w:val="20"/>
              </w:rPr>
              <w:t>Annex B</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10.11</w:t>
            </w:r>
          </w:p>
        </w:tc>
        <w:tc>
          <w:tcPr>
            <w:tcW w:w="1950" w:type="pct"/>
            <w:vAlign w:val="bottom"/>
            <w:hideMark/>
          </w:tcPr>
          <w:p w:rsidR="00000000" w:rsidRDefault="006954AA">
            <w:pPr>
              <w:pStyle w:val="a3"/>
              <w:spacing w:before="0" w:beforeAutospacing="0" w:after="0" w:afterAutospacing="0"/>
              <w:rPr>
                <w:sz w:val="20"/>
                <w:szCs w:val="20"/>
              </w:rPr>
            </w:pPr>
            <w:hyperlink r:id="rId39" w:history="1">
              <w:r>
                <w:rPr>
                  <w:rStyle w:val="a4"/>
                  <w:sz w:val="20"/>
                  <w:szCs w:val="20"/>
                </w:rPr>
                <w:t>Kimco Realty Corporation Amended and Restated 2020 Equity Participation Plan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10.8</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10.12</w:t>
            </w:r>
          </w:p>
        </w:tc>
        <w:tc>
          <w:tcPr>
            <w:tcW w:w="1950" w:type="pct"/>
            <w:hideMark/>
          </w:tcPr>
          <w:p w:rsidR="00000000" w:rsidRDefault="006954AA">
            <w:pPr>
              <w:pStyle w:val="a3"/>
              <w:spacing w:before="0" w:beforeAutospacing="0" w:after="0" w:afterAutospacing="0"/>
              <w:rPr>
                <w:sz w:val="20"/>
                <w:szCs w:val="20"/>
              </w:rPr>
            </w:pPr>
            <w:hyperlink r:id="rId40" w:history="1">
              <w:r>
                <w:rPr>
                  <w:rStyle w:val="a4"/>
                  <w:sz w:val="20"/>
                  <w:szCs w:val="20"/>
                </w:rPr>
                <w:t>Credit Agreement, dated April 1, 2020, among Kimco Realty Corporation and each of the parties named therein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10-Q</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08/07/20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10.13</w:t>
            </w:r>
          </w:p>
        </w:tc>
        <w:tc>
          <w:tcPr>
            <w:tcW w:w="1950" w:type="pct"/>
            <w:hideMark/>
          </w:tcPr>
          <w:p w:rsidR="00000000" w:rsidRDefault="006954AA">
            <w:pPr>
              <w:pStyle w:val="a3"/>
              <w:spacing w:before="0" w:beforeAutospacing="0" w:after="0" w:afterAutospacing="0"/>
              <w:rPr>
                <w:sz w:val="20"/>
                <w:szCs w:val="20"/>
              </w:rPr>
            </w:pPr>
            <w:hyperlink r:id="rId41" w:history="1">
              <w:r>
                <w:rPr>
                  <w:rStyle w:val="a4"/>
                  <w:sz w:val="20"/>
                  <w:szCs w:val="20"/>
                </w:rPr>
                <w:t>Amendment No.1 to Credit Agreement, dated April 20, 2020, among Kimco Realty Corporation and each of the parties named therein.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10-Q</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08/07/20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10.2</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10.14</w:t>
            </w:r>
          </w:p>
        </w:tc>
        <w:tc>
          <w:tcPr>
            <w:tcW w:w="1950" w:type="pct"/>
            <w:hideMark/>
          </w:tcPr>
          <w:p w:rsidR="00000000" w:rsidRDefault="006954AA">
            <w:pPr>
              <w:pStyle w:val="a3"/>
              <w:spacing w:before="0" w:beforeAutospacing="0" w:after="0" w:afterAutospacing="0"/>
              <w:rPr>
                <w:sz w:val="20"/>
                <w:szCs w:val="20"/>
              </w:rPr>
            </w:pPr>
            <w:hyperlink r:id="rId42" w:history="1">
              <w:r>
                <w:rPr>
                  <w:rStyle w:val="a4"/>
                  <w:sz w:val="20"/>
                  <w:szCs w:val="20"/>
                </w:rPr>
                <w:t>Amendment No.2 to Credit Agreement, dated April 24, 2020, among Kimco Realty Corporation and each of the parties named therein.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10-Q</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08/07/20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10.3</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w:t>
            </w:r>
            <w:r>
              <w:rPr>
                <w:sz w:val="20"/>
                <w:szCs w:val="20"/>
              </w:rPr>
              <w:t>0.15</w:t>
            </w:r>
          </w:p>
        </w:tc>
        <w:tc>
          <w:tcPr>
            <w:tcW w:w="1950" w:type="pct"/>
            <w:hideMark/>
          </w:tcPr>
          <w:p w:rsidR="00000000" w:rsidRDefault="006954AA">
            <w:pPr>
              <w:pStyle w:val="a3"/>
              <w:spacing w:before="0" w:beforeAutospacing="0" w:after="0" w:afterAutospacing="0"/>
              <w:rPr>
                <w:sz w:val="20"/>
                <w:szCs w:val="20"/>
              </w:rPr>
            </w:pPr>
            <w:hyperlink r:id="rId43" w:history="1">
              <w:r>
                <w:rPr>
                  <w:rStyle w:val="a4"/>
                  <w:sz w:val="20"/>
                  <w:szCs w:val="20"/>
                </w:rPr>
                <w:t>Amendment No. 3 to Amended and Restated Credit Agreement, dated as of January 3, 2023, by and among Kimco Realty OP, LLC, Kimco Realty Corporation</w:t>
              </w:r>
              <w:r>
                <w:rPr>
                  <w:rStyle w:val="a4"/>
                  <w:sz w:val="20"/>
                  <w:szCs w:val="20"/>
                </w:rPr>
                <w:t>, and JPMorgan Chase Bank, N.A., as administrative agent</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10.1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10.16</w:t>
            </w:r>
          </w:p>
        </w:tc>
        <w:tc>
          <w:tcPr>
            <w:tcW w:w="1950" w:type="pct"/>
            <w:hideMark/>
          </w:tcPr>
          <w:p w:rsidR="00000000" w:rsidRDefault="006954AA">
            <w:pPr>
              <w:pStyle w:val="a3"/>
              <w:spacing w:before="0" w:beforeAutospacing="0" w:after="0" w:afterAutospacing="0"/>
              <w:rPr>
                <w:sz w:val="20"/>
                <w:szCs w:val="20"/>
              </w:rPr>
            </w:pPr>
            <w:hyperlink r:id="rId44" w:history="1">
              <w:r>
                <w:rPr>
                  <w:rStyle w:val="a4"/>
                  <w:sz w:val="20"/>
                  <w:szCs w:val="20"/>
                </w:rPr>
                <w:t xml:space="preserve">Form of Kimco Realty Corporation 2020 Equity Participation Plan </w:t>
              </w:r>
              <w:r>
                <w:rPr>
                  <w:rStyle w:val="a4"/>
                  <w:sz w:val="20"/>
                  <w:szCs w:val="20"/>
                </w:rPr>
                <w:t>Performance Share Award Grant Notice and Performance Share Award Agreement.</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10-Q</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08/07/20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10.4</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826097555"/>
        <w:rPr>
          <w:rFonts w:eastAsia="Times New Roman"/>
          <w:sz w:val="20"/>
          <w:szCs w:val="20"/>
        </w:rPr>
      </w:pPr>
      <w:r>
        <w:rPr>
          <w:rFonts w:eastAsia="Times New Roman"/>
          <w:sz w:val="20"/>
          <w:szCs w:val="20"/>
        </w:rPr>
        <w:t xml:space="preserve">47 </w:t>
      </w:r>
    </w:p>
    <w:p w:rsidR="00000000" w:rsidRDefault="006954AA">
      <w:pPr>
        <w:divId w:val="1987855473"/>
        <w:rPr>
          <w:rFonts w:eastAsia="Times New Roman"/>
          <w:sz w:val="20"/>
          <w:szCs w:val="20"/>
        </w:rPr>
      </w:pPr>
      <w:r>
        <w:rPr>
          <w:rFonts w:eastAsia="Times New Roman"/>
          <w:sz w:val="20"/>
          <w:szCs w:val="20"/>
        </w:rPr>
        <w:pict>
          <v:rect id="_x0000_i1082" style="width:415.3pt;height:1.5pt" o:hralign="center" o:hrstd="t" o:hrnoshade="t" o:hr="t" fillcolor="black" stroked="f"/>
        </w:pict>
      </w:r>
    </w:p>
    <w:p w:rsidR="00000000" w:rsidRDefault="006954AA">
      <w:pPr>
        <w:divId w:val="2159678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3174"/>
        <w:gridCol w:w="683"/>
        <w:gridCol w:w="684"/>
        <w:gridCol w:w="712"/>
        <w:gridCol w:w="712"/>
        <w:gridCol w:w="879"/>
        <w:gridCol w:w="712"/>
      </w:tblGrid>
      <w:tr w:rsidR="00000000">
        <w:trPr>
          <w:tblCellSpacing w:w="0" w:type="dxa"/>
        </w:trPr>
        <w:tc>
          <w:tcPr>
            <w:tcW w:w="350" w:type="pct"/>
            <w:vAlign w:val="bottom"/>
            <w:hideMark/>
          </w:tcPr>
          <w:p w:rsidR="00000000" w:rsidRDefault="006954AA">
            <w:pPr>
              <w:rPr>
                <w:rFonts w:eastAsia="Times New Roman"/>
                <w:sz w:val="20"/>
                <w:szCs w:val="20"/>
              </w:rPr>
            </w:pPr>
            <w:r>
              <w:rPr>
                <w:rFonts w:eastAsia="Times New Roman"/>
                <w:sz w:val="20"/>
                <w:szCs w:val="20"/>
              </w:rPr>
              <w:t> </w:t>
            </w:r>
          </w:p>
        </w:tc>
        <w:tc>
          <w:tcPr>
            <w:tcW w:w="1950" w:type="pct"/>
            <w:vAlign w:val="bottom"/>
            <w:hideMark/>
          </w:tcPr>
          <w:p w:rsidR="00000000" w:rsidRDefault="006954AA">
            <w:pPr>
              <w:rPr>
                <w:rFonts w:eastAsia="Times New Roman"/>
                <w:sz w:val="20"/>
                <w:szCs w:val="20"/>
              </w:rPr>
            </w:pPr>
            <w:r>
              <w:rPr>
                <w:rFonts w:eastAsia="Times New Roman"/>
                <w:sz w:val="20"/>
                <w:szCs w:val="20"/>
              </w:rPr>
              <w:t> </w:t>
            </w:r>
          </w:p>
        </w:tc>
        <w:tc>
          <w:tcPr>
            <w:tcW w:w="1350" w:type="pct"/>
            <w:gridSpan w:val="4"/>
            <w:hideMark/>
          </w:tcPr>
          <w:p w:rsidR="00000000" w:rsidRDefault="006954AA">
            <w:pPr>
              <w:pStyle w:val="a3"/>
              <w:spacing w:before="0" w:beforeAutospacing="0" w:after="0" w:afterAutospacing="0"/>
              <w:jc w:val="center"/>
              <w:rPr>
                <w:sz w:val="20"/>
                <w:szCs w:val="20"/>
              </w:rPr>
            </w:pPr>
            <w:r>
              <w:rPr>
                <w:b/>
                <w:bCs/>
                <w:sz w:val="20"/>
                <w:szCs w:val="20"/>
                <w:u w:val="single"/>
              </w:rPr>
              <w:t>Incorporated by Reference</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vAlign w:val="bottom"/>
            <w:hideMark/>
          </w:tcPr>
          <w:p w:rsidR="00000000" w:rsidRDefault="006954AA">
            <w:pPr>
              <w:pStyle w:val="a3"/>
              <w:spacing w:before="0" w:beforeAutospacing="0" w:after="0" w:afterAutospacing="0"/>
              <w:jc w:val="center"/>
              <w:rPr>
                <w:sz w:val="20"/>
                <w:szCs w:val="20"/>
              </w:rPr>
            </w:pPr>
            <w:r>
              <w:rPr>
                <w:b/>
                <w:bCs/>
                <w:sz w:val="20"/>
                <w:szCs w:val="20"/>
              </w:rPr>
              <w:t xml:space="preserve">Exhibit </w:t>
            </w:r>
          </w:p>
          <w:p w:rsidR="00000000" w:rsidRDefault="006954AA">
            <w:pPr>
              <w:pStyle w:val="a3"/>
              <w:spacing w:before="0" w:beforeAutospacing="0" w:after="0" w:afterAutospacing="0"/>
              <w:jc w:val="center"/>
              <w:rPr>
                <w:sz w:val="20"/>
                <w:szCs w:val="20"/>
              </w:rPr>
            </w:pPr>
            <w:r>
              <w:rPr>
                <w:b/>
                <w:bCs/>
                <w:sz w:val="20"/>
                <w:szCs w:val="20"/>
                <w:u w:val="single"/>
              </w:rPr>
              <w:t>Number</w:t>
            </w:r>
          </w:p>
        </w:tc>
        <w:tc>
          <w:tcPr>
            <w:tcW w:w="19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Exhibit Description</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Form</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u w:val="single"/>
              </w:rPr>
              <w:t>File No.</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Date of</w:t>
            </w:r>
          </w:p>
          <w:p w:rsidR="00000000" w:rsidRDefault="006954AA">
            <w:pPr>
              <w:pStyle w:val="a3"/>
              <w:spacing w:before="0" w:beforeAutospacing="0" w:after="0" w:afterAutospacing="0"/>
              <w:jc w:val="center"/>
              <w:rPr>
                <w:sz w:val="20"/>
                <w:szCs w:val="20"/>
              </w:rPr>
            </w:pPr>
            <w:r>
              <w:rPr>
                <w:b/>
                <w:bCs/>
                <w:sz w:val="20"/>
                <w:szCs w:val="20"/>
                <w:u w:val="single"/>
              </w:rPr>
              <w:t>Filing</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Exhibit</w:t>
            </w:r>
          </w:p>
          <w:p w:rsidR="00000000" w:rsidRDefault="006954AA">
            <w:pPr>
              <w:pStyle w:val="a3"/>
              <w:spacing w:before="0" w:beforeAutospacing="0" w:after="0" w:afterAutospacing="0"/>
              <w:jc w:val="center"/>
              <w:rPr>
                <w:sz w:val="20"/>
                <w:szCs w:val="20"/>
              </w:rPr>
            </w:pPr>
            <w:r>
              <w:rPr>
                <w:b/>
                <w:bCs/>
                <w:sz w:val="20"/>
                <w:szCs w:val="20"/>
                <w:u w:val="single"/>
              </w:rPr>
              <w:t>Number</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Filed/</w:t>
            </w:r>
          </w:p>
          <w:p w:rsidR="00000000" w:rsidRDefault="006954AA">
            <w:pPr>
              <w:pStyle w:val="a3"/>
              <w:spacing w:before="0" w:beforeAutospacing="0" w:after="0" w:afterAutospacing="0"/>
              <w:jc w:val="center"/>
              <w:rPr>
                <w:sz w:val="20"/>
                <w:szCs w:val="20"/>
              </w:rPr>
            </w:pPr>
            <w:r>
              <w:rPr>
                <w:b/>
                <w:bCs/>
                <w:sz w:val="20"/>
                <w:szCs w:val="20"/>
              </w:rPr>
              <w:t xml:space="preserve">Furnished </w:t>
            </w:r>
          </w:p>
          <w:p w:rsidR="00000000" w:rsidRDefault="006954AA">
            <w:pPr>
              <w:pStyle w:val="a3"/>
              <w:spacing w:before="0" w:beforeAutospacing="0" w:after="0" w:afterAutospacing="0"/>
              <w:jc w:val="center"/>
              <w:rPr>
                <w:sz w:val="20"/>
                <w:szCs w:val="20"/>
              </w:rPr>
            </w:pPr>
            <w:r>
              <w:rPr>
                <w:b/>
                <w:bCs/>
                <w:sz w:val="20"/>
                <w:szCs w:val="20"/>
                <w:u w:val="single"/>
              </w:rPr>
              <w:t>Herewith</w:t>
            </w:r>
          </w:p>
        </w:tc>
        <w:tc>
          <w:tcPr>
            <w:tcW w:w="450" w:type="pct"/>
            <w:vAlign w:val="bottom"/>
            <w:hideMark/>
          </w:tcPr>
          <w:p w:rsidR="00000000" w:rsidRDefault="006954AA">
            <w:pPr>
              <w:pStyle w:val="a3"/>
              <w:spacing w:before="0" w:beforeAutospacing="0" w:after="0" w:afterAutospacing="0"/>
              <w:jc w:val="center"/>
              <w:rPr>
                <w:sz w:val="20"/>
                <w:szCs w:val="20"/>
              </w:rPr>
            </w:pPr>
            <w:r>
              <w:rPr>
                <w:b/>
                <w:bCs/>
                <w:sz w:val="20"/>
                <w:szCs w:val="20"/>
              </w:rPr>
              <w:t>Page</w:t>
            </w:r>
          </w:p>
          <w:p w:rsidR="00000000" w:rsidRDefault="006954AA">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10.17</w:t>
            </w:r>
          </w:p>
        </w:tc>
        <w:tc>
          <w:tcPr>
            <w:tcW w:w="1950" w:type="pct"/>
            <w:hideMark/>
          </w:tcPr>
          <w:p w:rsidR="00000000" w:rsidRDefault="006954AA">
            <w:pPr>
              <w:pStyle w:val="a3"/>
              <w:spacing w:before="0" w:beforeAutospacing="0" w:after="0" w:afterAutospacing="0"/>
              <w:rPr>
                <w:sz w:val="20"/>
                <w:szCs w:val="20"/>
              </w:rPr>
            </w:pPr>
            <w:hyperlink r:id="rId45" w:history="1">
              <w:r>
                <w:rPr>
                  <w:rStyle w:val="a4"/>
                  <w:sz w:val="20"/>
                  <w:szCs w:val="20"/>
                </w:rPr>
                <w:t>Form of Kimco Realty Corporation 2020 Equity Participation Plan Restricted Stock Award Grant Notice and Restricted Stock Award Agreement.</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10-Q</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08/07/20</w:t>
            </w:r>
          </w:p>
        </w:tc>
        <w:tc>
          <w:tcPr>
            <w:tcW w:w="450" w:type="pct"/>
            <w:hideMark/>
          </w:tcPr>
          <w:p w:rsidR="00000000" w:rsidRDefault="006954AA">
            <w:pPr>
              <w:pStyle w:val="a3"/>
              <w:spacing w:before="0" w:beforeAutospacing="0" w:after="0" w:afterAutospacing="0"/>
              <w:jc w:val="center"/>
              <w:rPr>
                <w:sz w:val="20"/>
                <w:szCs w:val="20"/>
              </w:rPr>
            </w:pPr>
            <w:r>
              <w:rPr>
                <w:sz w:val="20"/>
                <w:szCs w:val="20"/>
              </w:rPr>
              <w:t>10.5</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10.18</w:t>
            </w:r>
          </w:p>
        </w:tc>
        <w:tc>
          <w:tcPr>
            <w:tcW w:w="1950" w:type="pct"/>
            <w:hideMark/>
          </w:tcPr>
          <w:p w:rsidR="00000000" w:rsidRDefault="006954AA">
            <w:pPr>
              <w:pStyle w:val="a3"/>
              <w:spacing w:before="0" w:beforeAutospacing="0" w:after="0" w:afterAutospacing="0"/>
              <w:rPr>
                <w:sz w:val="20"/>
                <w:szCs w:val="20"/>
              </w:rPr>
            </w:pPr>
            <w:hyperlink r:id="rId46" w:history="1">
              <w:r>
                <w:rPr>
                  <w:rStyle w:val="a4"/>
                  <w:sz w:val="20"/>
                  <w:szCs w:val="20"/>
                </w:rPr>
                <w:t>P</w:t>
              </w:r>
            </w:hyperlink>
            <w:hyperlink r:id="rId47" w:history="1">
              <w:r>
                <w:rPr>
                  <w:rStyle w:val="a4"/>
                  <w:sz w:val="20"/>
                  <w:szCs w:val="20"/>
                </w:rPr>
                <w:t>arent Guarantee, dated as of January 1, 2023, by Kimco Realty Corporation</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8-K12B</w:t>
            </w:r>
          </w:p>
        </w:tc>
        <w:tc>
          <w:tcPr>
            <w:tcW w:w="450" w:type="pct"/>
            <w:hideMark/>
          </w:tcPr>
          <w:p w:rsidR="00000000" w:rsidRDefault="006954AA">
            <w:pPr>
              <w:pStyle w:val="a3"/>
              <w:spacing w:before="0" w:beforeAutospacing="0" w:after="0" w:afterAutospacing="0"/>
              <w:jc w:val="center"/>
              <w:rPr>
                <w:sz w:val="20"/>
                <w:szCs w:val="20"/>
              </w:rPr>
            </w:pPr>
            <w:r>
              <w:rPr>
                <w:sz w:val="20"/>
                <w:szCs w:val="20"/>
              </w:rPr>
              <w:t>1-10899</w:t>
            </w:r>
          </w:p>
        </w:tc>
        <w:tc>
          <w:tcPr>
            <w:tcW w:w="450" w:type="pct"/>
            <w:hideMark/>
          </w:tcPr>
          <w:p w:rsidR="00000000" w:rsidRDefault="006954AA">
            <w:pPr>
              <w:pStyle w:val="a3"/>
              <w:spacing w:before="0" w:beforeAutospacing="0" w:after="0" w:afterAutospacing="0"/>
              <w:jc w:val="center"/>
              <w:rPr>
                <w:sz w:val="20"/>
                <w:szCs w:val="20"/>
              </w:rPr>
            </w:pPr>
            <w:r>
              <w:rPr>
                <w:sz w:val="20"/>
                <w:szCs w:val="20"/>
              </w:rPr>
              <w:t>01/03/23</w:t>
            </w:r>
          </w:p>
        </w:tc>
        <w:tc>
          <w:tcPr>
            <w:tcW w:w="450" w:type="pct"/>
            <w:hideMark/>
          </w:tcPr>
          <w:p w:rsidR="00000000" w:rsidRDefault="006954AA">
            <w:pPr>
              <w:pStyle w:val="a3"/>
              <w:spacing w:before="0" w:beforeAutospacing="0" w:after="0" w:afterAutospacing="0"/>
              <w:jc w:val="center"/>
              <w:rPr>
                <w:sz w:val="20"/>
                <w:szCs w:val="20"/>
              </w:rPr>
            </w:pPr>
            <w:r>
              <w:rPr>
                <w:sz w:val="20"/>
                <w:szCs w:val="20"/>
              </w:rPr>
              <w:t>10.2</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rPr>
                <w:rFonts w:eastAsia="Times New Roman"/>
                <w:sz w:val="20"/>
                <w:szCs w:val="20"/>
              </w:rPr>
            </w:pPr>
            <w:r>
              <w:rPr>
                <w:rFonts w:eastAsia="Times New Roman"/>
                <w:sz w:val="20"/>
                <w:szCs w:val="20"/>
              </w:rPr>
              <w:t>10.19</w:t>
            </w:r>
          </w:p>
        </w:tc>
        <w:tc>
          <w:tcPr>
            <w:tcW w:w="1950" w:type="pct"/>
            <w:hideMark/>
          </w:tcPr>
          <w:p w:rsidR="00000000" w:rsidRDefault="006954AA">
            <w:pPr>
              <w:rPr>
                <w:rFonts w:eastAsia="Times New Roman"/>
                <w:sz w:val="20"/>
                <w:szCs w:val="20"/>
              </w:rPr>
            </w:pPr>
            <w:hyperlink r:id="rId48" w:history="1">
              <w:r>
                <w:rPr>
                  <w:rStyle w:val="a4"/>
                  <w:rFonts w:eastAsia="Times New Roman"/>
                  <w:sz w:val="20"/>
                  <w:szCs w:val="20"/>
                </w:rPr>
                <w:t>Form of Indemnification Agreement</w:t>
              </w:r>
            </w:hyperlink>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rPr>
                <w:rFonts w:eastAsia="Times New Roman"/>
                <w:sz w:val="20"/>
                <w:szCs w:val="20"/>
              </w:rPr>
            </w:pPr>
            <w:r>
              <w:rPr>
                <w:rFonts w:eastAsia="Times New Roman"/>
                <w:sz w:val="20"/>
                <w:szCs w:val="20"/>
              </w:rPr>
              <w:t>10.20</w:t>
            </w:r>
          </w:p>
        </w:tc>
        <w:tc>
          <w:tcPr>
            <w:tcW w:w="1950" w:type="pct"/>
            <w:hideMark/>
          </w:tcPr>
          <w:p w:rsidR="00000000" w:rsidRDefault="006954AA">
            <w:pPr>
              <w:rPr>
                <w:rFonts w:eastAsia="Times New Roman"/>
                <w:sz w:val="20"/>
                <w:szCs w:val="20"/>
              </w:rPr>
            </w:pPr>
            <w:hyperlink r:id="rId49" w:history="1">
              <w:r>
                <w:rPr>
                  <w:rStyle w:val="a4"/>
                  <w:rFonts w:eastAsia="Times New Roman"/>
                  <w:sz w:val="20"/>
                  <w:szCs w:val="20"/>
                </w:rPr>
                <w:t>Amended and Restated Credit Agreement, dated as of February 23, 2023, among Kimco Realty OP, LLC and each of the parties named therein.</w:t>
              </w:r>
            </w:hyperlink>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jc w:val="center"/>
              <w:rPr>
                <w:rFonts w:eastAsia="Times New Roman"/>
                <w:sz w:val="20"/>
                <w:szCs w:val="20"/>
              </w:rPr>
            </w:pPr>
            <w:r>
              <w:rPr>
                <w:rFonts w:eastAsia="Times New Roman"/>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21.1</w:t>
            </w:r>
          </w:p>
        </w:tc>
        <w:tc>
          <w:tcPr>
            <w:tcW w:w="1950" w:type="pct"/>
            <w:hideMark/>
          </w:tcPr>
          <w:p w:rsidR="00000000" w:rsidRDefault="006954AA">
            <w:pPr>
              <w:pStyle w:val="a3"/>
              <w:spacing w:before="0" w:beforeAutospacing="0" w:after="0" w:afterAutospacing="0"/>
              <w:rPr>
                <w:sz w:val="20"/>
                <w:szCs w:val="20"/>
              </w:rPr>
            </w:pPr>
            <w:hyperlink r:id="rId50" w:history="1">
              <w:r>
                <w:rPr>
                  <w:rStyle w:val="a4"/>
                  <w:sz w:val="20"/>
                  <w:szCs w:val="20"/>
                </w:rPr>
                <w:t>Significant Subsidiaries of Kimco Realty Corporation and Kimco Realty OP</w:t>
              </w:r>
              <w:r>
                <w:rPr>
                  <w:rStyle w:val="a4"/>
                  <w:sz w:val="20"/>
                  <w:szCs w:val="20"/>
                </w:rPr>
                <w:t>, LLC</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23.1</w:t>
            </w:r>
          </w:p>
        </w:tc>
        <w:tc>
          <w:tcPr>
            <w:tcW w:w="1950" w:type="pct"/>
            <w:hideMark/>
          </w:tcPr>
          <w:p w:rsidR="00000000" w:rsidRDefault="006954AA">
            <w:pPr>
              <w:pStyle w:val="a3"/>
              <w:spacing w:before="0" w:beforeAutospacing="0" w:after="0" w:afterAutospacing="0"/>
              <w:rPr>
                <w:sz w:val="20"/>
                <w:szCs w:val="20"/>
              </w:rPr>
            </w:pPr>
            <w:hyperlink r:id="rId51" w:history="1">
              <w:r>
                <w:rPr>
                  <w:rStyle w:val="a4"/>
                  <w:sz w:val="20"/>
                  <w:szCs w:val="20"/>
                </w:rPr>
                <w:t>Consent of PricewaterhouseCoopers LLP</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31.1</w:t>
            </w:r>
          </w:p>
        </w:tc>
        <w:tc>
          <w:tcPr>
            <w:tcW w:w="1950" w:type="pct"/>
            <w:hideMark/>
          </w:tcPr>
          <w:p w:rsidR="00000000" w:rsidRDefault="006954AA">
            <w:pPr>
              <w:pStyle w:val="a3"/>
              <w:spacing w:before="0" w:beforeAutospacing="0" w:after="0" w:afterAutospacing="0"/>
              <w:rPr>
                <w:sz w:val="20"/>
                <w:szCs w:val="20"/>
              </w:rPr>
            </w:pPr>
            <w:hyperlink r:id="rId52" w:history="1">
              <w:r>
                <w:rPr>
                  <w:rStyle w:val="a4"/>
                  <w:sz w:val="20"/>
                  <w:szCs w:val="20"/>
                </w:rPr>
                <w:t>Certification of the </w:t>
              </w:r>
              <w:r>
                <w:rPr>
                  <w:rStyle w:val="a4"/>
                  <w:sz w:val="20"/>
                  <w:szCs w:val="20"/>
                </w:rPr>
                <w:t>Chief Executive Officer of Kimco Realty Corporation, pursuant to Section 302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31.2</w:t>
            </w:r>
          </w:p>
        </w:tc>
        <w:tc>
          <w:tcPr>
            <w:tcW w:w="1950" w:type="pct"/>
            <w:hideMark/>
          </w:tcPr>
          <w:p w:rsidR="00000000" w:rsidRDefault="006954AA">
            <w:pPr>
              <w:pStyle w:val="a3"/>
              <w:spacing w:before="0" w:beforeAutospacing="0" w:after="0" w:afterAutospacing="0"/>
              <w:rPr>
                <w:sz w:val="20"/>
                <w:szCs w:val="20"/>
              </w:rPr>
            </w:pPr>
            <w:hyperlink r:id="rId53" w:history="1">
              <w:r>
                <w:rPr>
                  <w:rStyle w:val="a4"/>
                  <w:sz w:val="20"/>
                  <w:szCs w:val="20"/>
                </w:rPr>
                <w:t>Certification of the Chief Financial Officer of Kimco Realty Corporation, pursuant to Section 302</w:t>
              </w:r>
              <w:r>
                <w:rPr>
                  <w:rStyle w:val="a4"/>
                  <w:sz w:val="20"/>
                  <w:szCs w:val="20"/>
                </w:rPr>
                <w:t xml:space="preserve">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31.3</w:t>
            </w:r>
          </w:p>
        </w:tc>
        <w:tc>
          <w:tcPr>
            <w:tcW w:w="1950" w:type="pct"/>
            <w:hideMark/>
          </w:tcPr>
          <w:p w:rsidR="00000000" w:rsidRDefault="006954AA">
            <w:pPr>
              <w:pStyle w:val="a3"/>
              <w:spacing w:before="0" w:beforeAutospacing="0" w:after="0" w:afterAutospacing="0"/>
              <w:rPr>
                <w:sz w:val="20"/>
                <w:szCs w:val="20"/>
              </w:rPr>
            </w:pPr>
            <w:hyperlink r:id="rId54" w:history="1">
              <w:r>
                <w:rPr>
                  <w:rStyle w:val="a4"/>
                  <w:sz w:val="20"/>
                  <w:szCs w:val="20"/>
                </w:rPr>
                <w:t>Certification of the Chief Executive Officer of Kimco Realty OP, LLC, pursuant to Section 302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31.4</w:t>
            </w:r>
          </w:p>
        </w:tc>
        <w:tc>
          <w:tcPr>
            <w:tcW w:w="1950" w:type="pct"/>
            <w:hideMark/>
          </w:tcPr>
          <w:p w:rsidR="00000000" w:rsidRDefault="006954AA">
            <w:pPr>
              <w:pStyle w:val="a3"/>
              <w:spacing w:before="0" w:beforeAutospacing="0" w:after="0" w:afterAutospacing="0"/>
              <w:rPr>
                <w:sz w:val="20"/>
                <w:szCs w:val="20"/>
              </w:rPr>
            </w:pPr>
            <w:hyperlink r:id="rId55" w:history="1">
              <w:r>
                <w:rPr>
                  <w:rStyle w:val="a4"/>
                  <w:sz w:val="20"/>
                  <w:szCs w:val="20"/>
                </w:rPr>
                <w:t>Certification of the Chief Financial Officer of Kimco Realty OP, LLC, pursuant t</w:t>
              </w:r>
              <w:r>
                <w:rPr>
                  <w:rStyle w:val="a4"/>
                  <w:sz w:val="20"/>
                  <w:szCs w:val="20"/>
                </w:rPr>
                <w:t>o Section 302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32.1</w:t>
            </w:r>
          </w:p>
        </w:tc>
        <w:tc>
          <w:tcPr>
            <w:tcW w:w="1950" w:type="pct"/>
            <w:hideMark/>
          </w:tcPr>
          <w:p w:rsidR="00000000" w:rsidRDefault="006954AA">
            <w:pPr>
              <w:pStyle w:val="a3"/>
              <w:spacing w:before="0" w:beforeAutospacing="0" w:after="0" w:afterAutospacing="0"/>
              <w:rPr>
                <w:sz w:val="20"/>
                <w:szCs w:val="20"/>
              </w:rPr>
            </w:pPr>
            <w:hyperlink r:id="rId56" w:history="1">
              <w:r>
                <w:rPr>
                  <w:rStyle w:val="a4"/>
                  <w:sz w:val="20"/>
                  <w:szCs w:val="20"/>
                </w:rPr>
                <w:t>Certification of the Chief Executive Officer of Kimco Realty Corporation</w:t>
              </w:r>
              <w:r>
                <w:rPr>
                  <w:rStyle w:val="a4"/>
                  <w:sz w:val="20"/>
                  <w:szCs w:val="20"/>
                </w:rPr>
                <w:t>, pursuant to Section 906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32.2</w:t>
            </w:r>
          </w:p>
        </w:tc>
        <w:tc>
          <w:tcPr>
            <w:tcW w:w="1950" w:type="pct"/>
            <w:hideMark/>
          </w:tcPr>
          <w:p w:rsidR="00000000" w:rsidRDefault="006954AA">
            <w:pPr>
              <w:pStyle w:val="a3"/>
              <w:spacing w:before="0" w:beforeAutospacing="0" w:after="0" w:afterAutospacing="0"/>
              <w:rPr>
                <w:sz w:val="20"/>
                <w:szCs w:val="20"/>
              </w:rPr>
            </w:pPr>
            <w:hyperlink r:id="rId57" w:history="1">
              <w:r>
                <w:rPr>
                  <w:rStyle w:val="a4"/>
                  <w:sz w:val="20"/>
                  <w:szCs w:val="20"/>
                </w:rPr>
                <w:t>Certification of the Chief Financial Officer of Kimco Realty Corporation, pursuant to Section 906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32.3</w:t>
            </w:r>
          </w:p>
        </w:tc>
        <w:tc>
          <w:tcPr>
            <w:tcW w:w="1950" w:type="pct"/>
            <w:hideMark/>
          </w:tcPr>
          <w:p w:rsidR="00000000" w:rsidRDefault="006954AA">
            <w:pPr>
              <w:pStyle w:val="a3"/>
              <w:spacing w:before="0" w:beforeAutospacing="0" w:after="0" w:afterAutospacing="0"/>
              <w:rPr>
                <w:sz w:val="20"/>
                <w:szCs w:val="20"/>
              </w:rPr>
            </w:pPr>
            <w:hyperlink r:id="rId58" w:history="1">
              <w:r>
                <w:rPr>
                  <w:rStyle w:val="a4"/>
                  <w:sz w:val="20"/>
                  <w:szCs w:val="20"/>
                </w:rPr>
                <w:t>Certification of the Chief Executive Officer of Kimco Realty OP, LLC, pursuant to Section 906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32.4</w:t>
            </w:r>
          </w:p>
        </w:tc>
        <w:tc>
          <w:tcPr>
            <w:tcW w:w="1950" w:type="pct"/>
            <w:hideMark/>
          </w:tcPr>
          <w:p w:rsidR="00000000" w:rsidRDefault="006954AA">
            <w:pPr>
              <w:pStyle w:val="a3"/>
              <w:spacing w:before="0" w:beforeAutospacing="0" w:after="0" w:afterAutospacing="0"/>
              <w:rPr>
                <w:sz w:val="20"/>
                <w:szCs w:val="20"/>
              </w:rPr>
            </w:pPr>
            <w:hyperlink r:id="rId59" w:history="1">
              <w:r>
                <w:rPr>
                  <w:rStyle w:val="a4"/>
                  <w:sz w:val="20"/>
                  <w:szCs w:val="20"/>
                </w:rPr>
                <w:t>Certification of the Chief Financial Officer of Kimco Realty OP, LLC, pursuant to Section 906 of the Sarbanes-Oxley Act of 2002</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99.1</w:t>
            </w:r>
          </w:p>
        </w:tc>
        <w:tc>
          <w:tcPr>
            <w:tcW w:w="1950" w:type="pct"/>
            <w:hideMark/>
          </w:tcPr>
          <w:p w:rsidR="00000000" w:rsidRDefault="006954AA">
            <w:pPr>
              <w:pStyle w:val="a3"/>
              <w:spacing w:before="0" w:beforeAutospacing="0" w:after="0" w:afterAutospacing="0"/>
              <w:rPr>
                <w:sz w:val="20"/>
                <w:szCs w:val="20"/>
              </w:rPr>
            </w:pPr>
            <w:hyperlink r:id="rId60" w:history="1">
              <w:r>
                <w:rPr>
                  <w:rStyle w:val="a4"/>
                  <w:sz w:val="20"/>
                  <w:szCs w:val="20"/>
                </w:rPr>
                <w:t>Property Chart</w:t>
              </w:r>
            </w:hyperlink>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101.INS</w:t>
            </w:r>
          </w:p>
        </w:tc>
        <w:tc>
          <w:tcPr>
            <w:tcW w:w="1950" w:type="pct"/>
            <w:hideMark/>
          </w:tcPr>
          <w:p w:rsidR="00000000" w:rsidRDefault="006954AA">
            <w:pPr>
              <w:pStyle w:val="a3"/>
              <w:spacing w:before="0" w:beforeAutospacing="0" w:after="0" w:afterAutospacing="0"/>
              <w:rPr>
                <w:sz w:val="20"/>
                <w:szCs w:val="20"/>
              </w:rPr>
            </w:pPr>
            <w:r>
              <w:rPr>
                <w:sz w:val="20"/>
                <w:szCs w:val="20"/>
              </w:rPr>
              <w:t>XBRL Instance Document - the instance document does not appear in the Interactive Data File because its XBRL tags are embedded within the Inline XBRL document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101.SCH</w:t>
            </w:r>
          </w:p>
        </w:tc>
        <w:tc>
          <w:tcPr>
            <w:tcW w:w="1950" w:type="pct"/>
            <w:hideMark/>
          </w:tcPr>
          <w:p w:rsidR="00000000" w:rsidRDefault="006954AA">
            <w:pPr>
              <w:pStyle w:val="a3"/>
              <w:spacing w:before="0" w:beforeAutospacing="0" w:after="0" w:afterAutospacing="0"/>
              <w:rPr>
                <w:sz w:val="20"/>
                <w:szCs w:val="20"/>
              </w:rPr>
            </w:pPr>
            <w:r>
              <w:rPr>
                <w:sz w:val="20"/>
                <w:szCs w:val="20"/>
              </w:rPr>
              <w:t>Inline XBRL Taxonomy Extension Schema</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101.CAL</w:t>
            </w:r>
          </w:p>
        </w:tc>
        <w:tc>
          <w:tcPr>
            <w:tcW w:w="1950" w:type="pct"/>
            <w:hideMark/>
          </w:tcPr>
          <w:p w:rsidR="00000000" w:rsidRDefault="006954AA">
            <w:pPr>
              <w:pStyle w:val="a3"/>
              <w:spacing w:before="0" w:beforeAutospacing="0" w:after="0" w:afterAutospacing="0"/>
              <w:rPr>
                <w:sz w:val="20"/>
                <w:szCs w:val="20"/>
              </w:rPr>
            </w:pPr>
            <w:r>
              <w:rPr>
                <w:sz w:val="20"/>
                <w:szCs w:val="20"/>
              </w:rPr>
              <w:t>Inline XBRL Taxon</w:t>
            </w:r>
            <w:r>
              <w:rPr>
                <w:sz w:val="20"/>
                <w:szCs w:val="20"/>
              </w:rPr>
              <w:t>omy Extension Calculation Linkbase</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101.DEF</w:t>
            </w:r>
          </w:p>
        </w:tc>
        <w:tc>
          <w:tcPr>
            <w:tcW w:w="1950" w:type="pct"/>
            <w:hideMark/>
          </w:tcPr>
          <w:p w:rsidR="00000000" w:rsidRDefault="006954AA">
            <w:pPr>
              <w:pStyle w:val="a3"/>
              <w:spacing w:before="0" w:beforeAutospacing="0" w:after="0" w:afterAutospacing="0"/>
              <w:rPr>
                <w:sz w:val="20"/>
                <w:szCs w:val="20"/>
              </w:rPr>
            </w:pPr>
            <w:r>
              <w:rPr>
                <w:sz w:val="20"/>
                <w:szCs w:val="20"/>
              </w:rPr>
              <w:t>Inline XBRL Taxonomy Extension Definition Linkbase</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101.LAB</w:t>
            </w:r>
          </w:p>
        </w:tc>
        <w:tc>
          <w:tcPr>
            <w:tcW w:w="1950" w:type="pct"/>
            <w:hideMark/>
          </w:tcPr>
          <w:p w:rsidR="00000000" w:rsidRDefault="006954AA">
            <w:pPr>
              <w:pStyle w:val="a3"/>
              <w:spacing w:before="0" w:beforeAutospacing="0" w:after="0" w:afterAutospacing="0"/>
              <w:rPr>
                <w:sz w:val="20"/>
                <w:szCs w:val="20"/>
              </w:rPr>
            </w:pPr>
            <w:r>
              <w:rPr>
                <w:sz w:val="20"/>
                <w:szCs w:val="20"/>
              </w:rPr>
              <w:t>Inline XBRL Taxonomy Extension Label Linkbase</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101.PRE</w:t>
            </w:r>
          </w:p>
        </w:tc>
        <w:tc>
          <w:tcPr>
            <w:tcW w:w="1950" w:type="pct"/>
            <w:hideMark/>
          </w:tcPr>
          <w:p w:rsidR="00000000" w:rsidRDefault="006954AA">
            <w:pPr>
              <w:pStyle w:val="a3"/>
              <w:spacing w:before="0" w:beforeAutospacing="0" w:after="0" w:afterAutospacing="0"/>
              <w:rPr>
                <w:sz w:val="20"/>
                <w:szCs w:val="20"/>
              </w:rPr>
            </w:pPr>
            <w:r>
              <w:rPr>
                <w:sz w:val="20"/>
                <w:szCs w:val="20"/>
              </w:rPr>
              <w:t>Inline XBRL Taxonomy Extension Presentation Linkbase</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50" w:type="pct"/>
            <w:hideMark/>
          </w:tcPr>
          <w:p w:rsidR="00000000" w:rsidRDefault="006954AA">
            <w:pPr>
              <w:pStyle w:val="a3"/>
              <w:spacing w:before="0" w:beforeAutospacing="0" w:after="0" w:afterAutospacing="0"/>
              <w:rPr>
                <w:sz w:val="20"/>
                <w:szCs w:val="20"/>
              </w:rPr>
            </w:pPr>
            <w:r>
              <w:rPr>
                <w:sz w:val="20"/>
                <w:szCs w:val="20"/>
              </w:rPr>
              <w:t>104</w:t>
            </w:r>
          </w:p>
        </w:tc>
        <w:tc>
          <w:tcPr>
            <w:tcW w:w="1950" w:type="pct"/>
            <w:hideMark/>
          </w:tcPr>
          <w:p w:rsidR="00000000" w:rsidRDefault="006954AA">
            <w:pPr>
              <w:pStyle w:val="a3"/>
              <w:spacing w:before="0" w:beforeAutospacing="0" w:after="0" w:afterAutospacing="0"/>
              <w:rPr>
                <w:sz w:val="20"/>
                <w:szCs w:val="20"/>
              </w:rPr>
            </w:pPr>
            <w:r>
              <w:rPr>
                <w:sz w:val="20"/>
                <w:szCs w:val="20"/>
              </w:rPr>
              <w:t>Cover Page Interactive Data File (formatted as Inline XBRL and contained in Exhibit 101)</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rPr>
                <w:rFonts w:eastAsia="Times New Roman"/>
                <w:sz w:val="20"/>
                <w:szCs w:val="20"/>
              </w:rPr>
            </w:pPr>
            <w:r>
              <w:rPr>
                <w:rFonts w:eastAsia="Times New Roman"/>
                <w:sz w:val="20"/>
                <w:szCs w:val="20"/>
              </w:rPr>
              <w:t> </w:t>
            </w:r>
          </w:p>
        </w:tc>
        <w:tc>
          <w:tcPr>
            <w:tcW w:w="450" w:type="pct"/>
            <w:hideMark/>
          </w:tcPr>
          <w:p w:rsidR="00000000" w:rsidRDefault="006954AA">
            <w:pPr>
              <w:pStyle w:val="a3"/>
              <w:spacing w:before="0" w:beforeAutospacing="0" w:after="0" w:afterAutospacing="0"/>
              <w:jc w:val="center"/>
              <w:rPr>
                <w:sz w:val="20"/>
                <w:szCs w:val="20"/>
              </w:rPr>
            </w:pPr>
            <w:r>
              <w:rPr>
                <w:sz w:val="20"/>
                <w:szCs w:val="20"/>
              </w:rPr>
              <w:t>*</w:t>
            </w:r>
          </w:p>
        </w:tc>
        <w:tc>
          <w:tcPr>
            <w:tcW w:w="450" w:type="pct"/>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Filed herewith</w:t>
      </w:r>
    </w:p>
    <w:p w:rsidR="00000000" w:rsidRDefault="006954AA">
      <w:pPr>
        <w:pStyle w:val="a3"/>
        <w:spacing w:before="0" w:beforeAutospacing="0" w:after="0" w:afterAutospacing="0"/>
        <w:rPr>
          <w:sz w:val="20"/>
          <w:szCs w:val="20"/>
        </w:rPr>
      </w:pPr>
      <w:r>
        <w:rPr>
          <w:sz w:val="20"/>
          <w:szCs w:val="20"/>
        </w:rPr>
        <w:t>** Furnished herewith</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723799504"/>
        <w:rPr>
          <w:rFonts w:eastAsia="Times New Roman"/>
          <w:sz w:val="20"/>
          <w:szCs w:val="20"/>
        </w:rPr>
      </w:pPr>
      <w:r>
        <w:rPr>
          <w:rFonts w:eastAsia="Times New Roman"/>
          <w:sz w:val="20"/>
          <w:szCs w:val="20"/>
        </w:rPr>
        <w:t xml:space="preserve">48 </w:t>
      </w:r>
    </w:p>
    <w:p w:rsidR="00000000" w:rsidRDefault="006954AA">
      <w:pPr>
        <w:divId w:val="723799504"/>
        <w:rPr>
          <w:rFonts w:eastAsia="Times New Roman"/>
          <w:sz w:val="20"/>
          <w:szCs w:val="20"/>
        </w:rPr>
      </w:pPr>
      <w:r>
        <w:rPr>
          <w:rFonts w:eastAsia="Times New Roman"/>
          <w:sz w:val="20"/>
          <w:szCs w:val="20"/>
        </w:rPr>
        <w:pict>
          <v:rect id="_x0000_i1083" style="width:415.3pt;height:1.5pt" o:hralign="center" o:hrstd="t" o:hrnoshade="t" o:hr="t" fillcolor="black" stroked="f"/>
        </w:pict>
      </w:r>
    </w:p>
    <w:p w:rsidR="00000000" w:rsidRDefault="006954AA">
      <w:pPr>
        <w:divId w:val="1457035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b/>
          <w:bCs/>
          <w:sz w:val="20"/>
          <w:szCs w:val="20"/>
          <w:u w:val="single"/>
        </w:rPr>
        <w:t>SIGNATURES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Pursuant to the requirements of Section 13 or 15(d) of the Securities Exchange Act of 1934, the registrant has duly caused t</w:t>
      </w:r>
      <w:r>
        <w:rPr>
          <w:sz w:val="20"/>
          <w:szCs w:val="20"/>
        </w:rPr>
        <w:t>his report to be signed on its behalf by the undersigned, thereunto duly authorized.</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4"/>
        <w:gridCol w:w="289"/>
        <w:gridCol w:w="2896"/>
        <w:gridCol w:w="967"/>
      </w:tblGrid>
      <w:tr w:rsidR="00000000">
        <w:trPr>
          <w:tblCellSpacing w:w="0" w:type="dxa"/>
        </w:trPr>
        <w:tc>
          <w:tcPr>
            <w:tcW w:w="2500" w:type="pct"/>
            <w:hideMark/>
          </w:tcPr>
          <w:p w:rsidR="00000000" w:rsidRDefault="006954AA">
            <w:pPr>
              <w:pStyle w:val="a3"/>
              <w:spacing w:before="0" w:beforeAutospacing="0" w:after="0" w:afterAutospacing="0"/>
              <w:rPr>
                <w:sz w:val="20"/>
                <w:szCs w:val="20"/>
              </w:rPr>
            </w:pPr>
            <w:r>
              <w:rPr>
                <w:sz w:val="20"/>
                <w:szCs w:val="20"/>
              </w:rPr>
              <w:t> </w:t>
            </w:r>
          </w:p>
        </w:tc>
        <w:tc>
          <w:tcPr>
            <w:tcW w:w="100" w:type="pct"/>
            <w:gridSpan w:val="2"/>
            <w:hideMark/>
          </w:tcPr>
          <w:p w:rsidR="00000000" w:rsidRDefault="006954AA">
            <w:pPr>
              <w:pStyle w:val="a3"/>
              <w:spacing w:before="0" w:beforeAutospacing="0" w:after="0" w:afterAutospacing="0"/>
              <w:rPr>
                <w:sz w:val="20"/>
                <w:szCs w:val="20"/>
              </w:rPr>
            </w:pPr>
            <w:r>
              <w:rPr>
                <w:sz w:val="20"/>
                <w:szCs w:val="20"/>
              </w:rPr>
              <w:t>KIMCO REALTY CORPORATION</w:t>
            </w:r>
          </w:p>
        </w:tc>
        <w:tc>
          <w:tcPr>
            <w:tcW w:w="600" w:type="pct"/>
            <w:hideMark/>
          </w:tcPr>
          <w:p w:rsidR="00000000" w:rsidRDefault="006954AA">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6954AA">
            <w:pPr>
              <w:pStyle w:val="a3"/>
              <w:spacing w:before="0" w:beforeAutospacing="0" w:after="0" w:afterAutospacing="0"/>
              <w:rPr>
                <w:sz w:val="20"/>
                <w:szCs w:val="20"/>
              </w:rPr>
            </w:pPr>
            <w:r>
              <w:rPr>
                <w:sz w:val="20"/>
                <w:szCs w:val="20"/>
              </w:rPr>
              <w:t> </w:t>
            </w:r>
          </w:p>
        </w:tc>
        <w:tc>
          <w:tcPr>
            <w:tcW w:w="100" w:type="pct"/>
            <w:hideMark/>
          </w:tcPr>
          <w:p w:rsidR="00000000" w:rsidRDefault="006954AA">
            <w:pPr>
              <w:pStyle w:val="a3"/>
              <w:spacing w:before="0" w:beforeAutospacing="0" w:after="0" w:afterAutospacing="0"/>
              <w:rPr>
                <w:sz w:val="20"/>
                <w:szCs w:val="20"/>
              </w:rPr>
            </w:pPr>
            <w:r>
              <w:rPr>
                <w:sz w:val="20"/>
                <w:szCs w:val="20"/>
              </w:rPr>
              <w:t> </w:t>
            </w:r>
          </w:p>
        </w:tc>
        <w:tc>
          <w:tcPr>
            <w:tcW w:w="1750" w:type="pct"/>
            <w:hideMark/>
          </w:tcPr>
          <w:p w:rsidR="00000000" w:rsidRDefault="006954AA">
            <w:pPr>
              <w:rPr>
                <w:rFonts w:eastAsia="Times New Roman"/>
                <w:sz w:val="20"/>
                <w:szCs w:val="20"/>
              </w:rPr>
            </w:pPr>
            <w:r>
              <w:rPr>
                <w:rFonts w:eastAsia="Times New Roman"/>
                <w:sz w:val="20"/>
                <w:szCs w:val="20"/>
              </w:rPr>
              <w:t> </w:t>
            </w:r>
          </w:p>
        </w:tc>
        <w:tc>
          <w:tcPr>
            <w:tcW w:w="600" w:type="pct"/>
            <w:hideMark/>
          </w:tcPr>
          <w:p w:rsidR="00000000" w:rsidRDefault="006954AA">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6954AA">
            <w:pPr>
              <w:pStyle w:val="a3"/>
              <w:spacing w:before="0" w:beforeAutospacing="0" w:after="0" w:afterAutospacing="0"/>
              <w:rPr>
                <w:sz w:val="20"/>
                <w:szCs w:val="20"/>
              </w:rPr>
            </w:pPr>
            <w:r>
              <w:rPr>
                <w:sz w:val="20"/>
                <w:szCs w:val="20"/>
              </w:rPr>
              <w:t> </w:t>
            </w:r>
          </w:p>
        </w:tc>
        <w:tc>
          <w:tcPr>
            <w:tcW w:w="100" w:type="pct"/>
            <w:hideMark/>
          </w:tcPr>
          <w:p w:rsidR="00000000" w:rsidRDefault="006954AA">
            <w:pPr>
              <w:pStyle w:val="a3"/>
              <w:spacing w:before="0" w:beforeAutospacing="0" w:after="0" w:afterAutospacing="0"/>
              <w:rPr>
                <w:sz w:val="20"/>
                <w:szCs w:val="20"/>
              </w:rPr>
            </w:pPr>
            <w:r>
              <w:rPr>
                <w:sz w:val="20"/>
                <w:szCs w:val="20"/>
              </w:rPr>
              <w:t> </w:t>
            </w:r>
          </w:p>
        </w:tc>
        <w:tc>
          <w:tcPr>
            <w:tcW w:w="1750" w:type="pct"/>
            <w:vAlign w:val="bottom"/>
            <w:hideMark/>
          </w:tcPr>
          <w:p w:rsidR="00000000" w:rsidRDefault="006954AA">
            <w:pPr>
              <w:pStyle w:val="a3"/>
              <w:spacing w:before="0" w:beforeAutospacing="0" w:after="0" w:afterAutospacing="0"/>
              <w:rPr>
                <w:sz w:val="20"/>
                <w:szCs w:val="20"/>
              </w:rPr>
            </w:pPr>
            <w:r>
              <w:rPr>
                <w:sz w:val="20"/>
                <w:szCs w:val="20"/>
              </w:rPr>
              <w:t> </w:t>
            </w:r>
          </w:p>
        </w:tc>
        <w:tc>
          <w:tcPr>
            <w:tcW w:w="600" w:type="pct"/>
            <w:hideMark/>
          </w:tcPr>
          <w:p w:rsidR="00000000" w:rsidRDefault="006954AA">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6954AA">
            <w:pPr>
              <w:pStyle w:val="a3"/>
              <w:spacing w:before="0" w:beforeAutospacing="0" w:after="0" w:afterAutospacing="0"/>
              <w:rPr>
                <w:sz w:val="20"/>
                <w:szCs w:val="20"/>
              </w:rPr>
            </w:pPr>
            <w:r>
              <w:rPr>
                <w:sz w:val="20"/>
                <w:szCs w:val="20"/>
              </w:rPr>
              <w:t> </w:t>
            </w:r>
          </w:p>
        </w:tc>
        <w:tc>
          <w:tcPr>
            <w:tcW w:w="100" w:type="pct"/>
            <w:hideMark/>
          </w:tcPr>
          <w:p w:rsidR="00000000" w:rsidRDefault="006954AA">
            <w:pPr>
              <w:pStyle w:val="a3"/>
              <w:spacing w:before="0" w:beforeAutospacing="0" w:after="0" w:afterAutospacing="0"/>
              <w:rPr>
                <w:sz w:val="20"/>
                <w:szCs w:val="20"/>
              </w:rPr>
            </w:pPr>
            <w:r>
              <w:rPr>
                <w:sz w:val="20"/>
                <w:szCs w:val="20"/>
              </w:rPr>
              <w:t xml:space="preserve">By: </w:t>
            </w:r>
          </w:p>
        </w:tc>
        <w:tc>
          <w:tcPr>
            <w:tcW w:w="1750" w:type="pct"/>
            <w:tcBorders>
              <w:bottom w:val="single" w:sz="6" w:space="0" w:color="000000"/>
            </w:tcBorders>
            <w:hideMark/>
          </w:tcPr>
          <w:p w:rsidR="00000000" w:rsidRDefault="006954AA">
            <w:pPr>
              <w:pStyle w:val="a3"/>
              <w:spacing w:before="0" w:beforeAutospacing="0" w:after="0" w:afterAutospacing="0"/>
              <w:rPr>
                <w:sz w:val="20"/>
                <w:szCs w:val="20"/>
              </w:rPr>
            </w:pPr>
            <w:r>
              <w:rPr>
                <w:sz w:val="20"/>
                <w:szCs w:val="20"/>
              </w:rPr>
              <w:t>/s/ Conor C. Flynn</w:t>
            </w:r>
          </w:p>
        </w:tc>
        <w:tc>
          <w:tcPr>
            <w:tcW w:w="600" w:type="pct"/>
            <w:hideMark/>
          </w:tcPr>
          <w:p w:rsidR="00000000" w:rsidRDefault="006954AA">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6954AA">
            <w:pPr>
              <w:pStyle w:val="a3"/>
              <w:spacing w:before="0" w:beforeAutospacing="0" w:after="0" w:afterAutospacing="0"/>
              <w:rPr>
                <w:sz w:val="20"/>
                <w:szCs w:val="20"/>
              </w:rPr>
            </w:pPr>
            <w:r>
              <w:rPr>
                <w:sz w:val="20"/>
                <w:szCs w:val="20"/>
              </w:rPr>
              <w:t> </w:t>
            </w:r>
          </w:p>
        </w:tc>
        <w:tc>
          <w:tcPr>
            <w:tcW w:w="100" w:type="pct"/>
            <w:gridSpan w:val="2"/>
            <w:hideMark/>
          </w:tcPr>
          <w:p w:rsidR="00000000" w:rsidRDefault="006954AA">
            <w:pPr>
              <w:pStyle w:val="a3"/>
              <w:spacing w:before="0" w:beforeAutospacing="0" w:after="0" w:afterAutospacing="0"/>
              <w:rPr>
                <w:sz w:val="20"/>
                <w:szCs w:val="20"/>
              </w:rPr>
            </w:pPr>
            <w:r>
              <w:rPr>
                <w:sz w:val="20"/>
                <w:szCs w:val="20"/>
              </w:rPr>
              <w:t>Conor C. Flynn</w:t>
            </w:r>
          </w:p>
        </w:tc>
        <w:tc>
          <w:tcPr>
            <w:tcW w:w="600" w:type="pct"/>
            <w:hideMark/>
          </w:tcPr>
          <w:p w:rsidR="00000000" w:rsidRDefault="006954AA">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6954AA">
            <w:pPr>
              <w:pStyle w:val="a3"/>
              <w:spacing w:before="0" w:beforeAutospacing="0" w:after="0" w:afterAutospacing="0"/>
              <w:rPr>
                <w:sz w:val="20"/>
                <w:szCs w:val="20"/>
              </w:rPr>
            </w:pPr>
            <w:r>
              <w:rPr>
                <w:sz w:val="20"/>
                <w:szCs w:val="20"/>
              </w:rPr>
              <w:t> </w:t>
            </w:r>
          </w:p>
        </w:tc>
        <w:tc>
          <w:tcPr>
            <w:tcW w:w="100" w:type="pct"/>
            <w:hideMark/>
          </w:tcPr>
          <w:p w:rsidR="00000000" w:rsidRDefault="006954AA">
            <w:pPr>
              <w:pStyle w:val="a3"/>
              <w:spacing w:before="0" w:beforeAutospacing="0" w:after="0" w:afterAutospacing="0"/>
              <w:rPr>
                <w:sz w:val="20"/>
                <w:szCs w:val="20"/>
              </w:rPr>
            </w:pPr>
            <w:r>
              <w:rPr>
                <w:sz w:val="20"/>
                <w:szCs w:val="20"/>
              </w:rPr>
              <w:t> </w:t>
            </w:r>
          </w:p>
        </w:tc>
        <w:tc>
          <w:tcPr>
            <w:tcW w:w="1750" w:type="pct"/>
            <w:hideMark/>
          </w:tcPr>
          <w:p w:rsidR="00000000" w:rsidRDefault="006954AA">
            <w:pPr>
              <w:pStyle w:val="a3"/>
              <w:spacing w:before="0" w:beforeAutospacing="0" w:after="0" w:afterAutospacing="0"/>
              <w:rPr>
                <w:sz w:val="20"/>
                <w:szCs w:val="20"/>
              </w:rPr>
            </w:pPr>
            <w:r>
              <w:rPr>
                <w:sz w:val="20"/>
                <w:szCs w:val="20"/>
              </w:rPr>
              <w:t>Chief Executive Officer</w:t>
            </w:r>
          </w:p>
        </w:tc>
        <w:tc>
          <w:tcPr>
            <w:tcW w:w="600" w:type="pct"/>
            <w:hideMark/>
          </w:tcPr>
          <w:p w:rsidR="00000000" w:rsidRDefault="006954AA">
            <w:pPr>
              <w:pStyle w:val="a3"/>
              <w:spacing w:before="0" w:beforeAutospacing="0" w:after="0" w:afterAutospacing="0"/>
              <w:rPr>
                <w:sz w:val="20"/>
                <w:szCs w:val="20"/>
              </w:rPr>
            </w:pPr>
            <w:r>
              <w:rPr>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Dated:  </w:t>
      </w:r>
      <w:r>
        <w:rPr>
          <w:sz w:val="20"/>
          <w:szCs w:val="20"/>
        </w:rPr>
        <w:t>February 24, 2023</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42"/>
        <w:gridCol w:w="282"/>
        <w:gridCol w:w="3763"/>
        <w:gridCol w:w="1819"/>
      </w:tblGrid>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u w:val="single"/>
              </w:rPr>
              <w:t>Signature</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u w:val="single"/>
              </w:rPr>
              <w:t>Title</w:t>
            </w:r>
          </w:p>
        </w:tc>
        <w:tc>
          <w:tcPr>
            <w:tcW w:w="1150" w:type="pct"/>
            <w:hideMark/>
          </w:tcPr>
          <w:p w:rsidR="00000000" w:rsidRDefault="006954AA">
            <w:pPr>
              <w:pStyle w:val="a3"/>
              <w:spacing w:before="0" w:beforeAutospacing="0" w:after="0" w:afterAutospacing="0"/>
              <w:ind w:firstLine="360"/>
              <w:rPr>
                <w:sz w:val="20"/>
                <w:szCs w:val="20"/>
              </w:rPr>
            </w:pPr>
            <w:r>
              <w:rPr>
                <w:sz w:val="20"/>
                <w:szCs w:val="20"/>
                <w:u w:val="single"/>
              </w:rPr>
              <w:t>Date</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Milton Cooper</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Executive Chairman of the Board of Directors</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Milton Cooper</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Conor C. Flynn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left="360" w:firstLine="20"/>
              <w:rPr>
                <w:sz w:val="20"/>
                <w:szCs w:val="20"/>
              </w:rPr>
            </w:pPr>
            <w:r>
              <w:rPr>
                <w:sz w:val="20"/>
                <w:szCs w:val="20"/>
              </w:rPr>
              <w:t>Chief Executive Officer and 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Conor C. Flynn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Frank Lourenso</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Frank Lourenso</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Richard Saltzman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Richard Saltzman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Philip Coviello</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Philip Coviello</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Mary Hogan Preusse</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Mary Hogan Preusse</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Valerie Richardson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Valerie Richardson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Henry Moniz</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Henry Moniz</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Glenn G. Cohen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Executive Vice President -</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Glenn G. Cohen</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Chief Financial Officer and Treasurer</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6954AA">
            <w:pPr>
              <w:rPr>
                <w:rFonts w:eastAsia="Times New Roman"/>
                <w:sz w:val="20"/>
                <w:szCs w:val="20"/>
              </w:rPr>
            </w:pPr>
            <w:r>
              <w:rPr>
                <w:rFonts w:eastAsia="Times New Roman"/>
                <w:sz w:val="20"/>
                <w:szCs w:val="20"/>
              </w:rPr>
              <w:t> </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rPr>
                <w:rFonts w:eastAsia="Times New Roman"/>
                <w:sz w:val="20"/>
                <w:szCs w:val="20"/>
              </w:rPr>
            </w:pPr>
            <w:r>
              <w:rPr>
                <w:rFonts w:eastAsia="Times New Roman"/>
                <w:sz w:val="20"/>
                <w:szCs w:val="20"/>
              </w:rPr>
              <w:t> </w:t>
            </w:r>
          </w:p>
        </w:tc>
        <w:tc>
          <w:tcPr>
            <w:tcW w:w="1150" w:type="pct"/>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6954AA">
            <w:pPr>
              <w:pStyle w:val="a3"/>
              <w:spacing w:before="0" w:beforeAutospacing="0" w:after="0" w:afterAutospacing="0"/>
              <w:ind w:firstLine="360"/>
              <w:rPr>
                <w:sz w:val="20"/>
                <w:szCs w:val="20"/>
              </w:rPr>
            </w:pPr>
            <w:r>
              <w:rPr>
                <w:sz w:val="20"/>
                <w:szCs w:val="20"/>
              </w:rPr>
              <w:t>/s/ Paul Westbrook</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Vice President -</w:t>
            </w:r>
          </w:p>
        </w:tc>
        <w:tc>
          <w:tcPr>
            <w:tcW w:w="1150" w:type="pct"/>
            <w:hideMark/>
          </w:tcPr>
          <w:p w:rsidR="00000000" w:rsidRDefault="006954AA">
            <w:pPr>
              <w:pStyle w:val="a3"/>
              <w:spacing w:before="0" w:beforeAutospacing="0" w:after="0" w:afterAutospacing="0"/>
              <w:ind w:firstLine="360"/>
              <w:rPr>
                <w:sz w:val="20"/>
                <w:szCs w:val="20"/>
              </w:rPr>
            </w:pPr>
            <w:r>
              <w:rPr>
                <w:sz w:val="20"/>
                <w:szCs w:val="20"/>
              </w:rPr>
              <w:t>February 24, 2023</w:t>
            </w:r>
          </w:p>
        </w:tc>
      </w:tr>
      <w:tr w:rsidR="00000000">
        <w:trPr>
          <w:tblCellSpacing w:w="0" w:type="dxa"/>
        </w:trPr>
        <w:tc>
          <w:tcPr>
            <w:tcW w:w="1470" w:type="pct"/>
            <w:hideMark/>
          </w:tcPr>
          <w:p w:rsidR="00000000" w:rsidRDefault="006954AA">
            <w:pPr>
              <w:pStyle w:val="a3"/>
              <w:spacing w:before="0" w:beforeAutospacing="0" w:after="0" w:afterAutospacing="0"/>
              <w:ind w:firstLine="360"/>
              <w:rPr>
                <w:sz w:val="20"/>
                <w:szCs w:val="20"/>
              </w:rPr>
            </w:pPr>
            <w:r>
              <w:rPr>
                <w:sz w:val="20"/>
                <w:szCs w:val="20"/>
              </w:rPr>
              <w:t>Paul Westbrook</w:t>
            </w:r>
          </w:p>
        </w:tc>
        <w:tc>
          <w:tcPr>
            <w:tcW w:w="170" w:type="pct"/>
            <w:hideMark/>
          </w:tcPr>
          <w:p w:rsidR="00000000" w:rsidRDefault="006954AA">
            <w:pPr>
              <w:rPr>
                <w:rFonts w:eastAsia="Times New Roman"/>
                <w:sz w:val="20"/>
                <w:szCs w:val="20"/>
              </w:rPr>
            </w:pPr>
            <w:r>
              <w:rPr>
                <w:rFonts w:eastAsia="Times New Roman"/>
                <w:sz w:val="20"/>
                <w:szCs w:val="20"/>
              </w:rPr>
              <w:t> </w:t>
            </w:r>
          </w:p>
        </w:tc>
        <w:tc>
          <w:tcPr>
            <w:tcW w:w="2265" w:type="pct"/>
            <w:hideMark/>
          </w:tcPr>
          <w:p w:rsidR="00000000" w:rsidRDefault="006954AA">
            <w:pPr>
              <w:pStyle w:val="a3"/>
              <w:spacing w:before="0" w:beforeAutospacing="0" w:after="0" w:afterAutospacing="0"/>
              <w:ind w:firstLine="360"/>
              <w:rPr>
                <w:sz w:val="20"/>
                <w:szCs w:val="20"/>
              </w:rPr>
            </w:pPr>
            <w:r>
              <w:rPr>
                <w:sz w:val="20"/>
                <w:szCs w:val="20"/>
              </w:rPr>
              <w:t>Chief Accounting Officer</w:t>
            </w:r>
          </w:p>
        </w:tc>
        <w:tc>
          <w:tcPr>
            <w:tcW w:w="1150" w:type="pct"/>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146832"/>
        <w:rPr>
          <w:rFonts w:eastAsia="Times New Roman"/>
          <w:sz w:val="20"/>
          <w:szCs w:val="20"/>
        </w:rPr>
      </w:pPr>
      <w:r>
        <w:rPr>
          <w:rFonts w:eastAsia="Times New Roman"/>
          <w:sz w:val="20"/>
          <w:szCs w:val="20"/>
        </w:rPr>
        <w:t xml:space="preserve">49 </w:t>
      </w:r>
    </w:p>
    <w:p w:rsidR="00000000" w:rsidRDefault="006954AA">
      <w:pPr>
        <w:divId w:val="12146832"/>
        <w:rPr>
          <w:rFonts w:eastAsia="Times New Roman"/>
          <w:sz w:val="20"/>
          <w:szCs w:val="20"/>
        </w:rPr>
      </w:pPr>
      <w:r>
        <w:rPr>
          <w:rFonts w:eastAsia="Times New Roman"/>
          <w:sz w:val="20"/>
          <w:szCs w:val="20"/>
        </w:rPr>
        <w:pict>
          <v:rect id="_x0000_i1084" style="width:415.3pt;height:1.5pt" o:hralign="center" o:hrstd="t" o:hrnoshade="t" o:hr="t" fillcolor="black" stroked="f"/>
        </w:pict>
      </w:r>
    </w:p>
    <w:p w:rsidR="00000000" w:rsidRDefault="006954AA">
      <w:pPr>
        <w:divId w:val="2681294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b/>
          <w:bCs/>
          <w:sz w:val="20"/>
          <w:szCs w:val="20"/>
          <w:u w:val="single"/>
        </w:rPr>
        <w:t>SIGNATURES</w:t>
      </w:r>
    </w:p>
    <w:p w:rsidR="00000000" w:rsidRDefault="006954AA">
      <w:pPr>
        <w:pStyle w:val="a3"/>
        <w:spacing w:before="0" w:beforeAutospacing="0" w:after="0" w:afterAutospacing="0"/>
        <w:rPr>
          <w:sz w:val="20"/>
          <w:szCs w:val="20"/>
        </w:rPr>
      </w:pPr>
      <w:r>
        <w:rPr>
          <w:sz w:val="20"/>
          <w:szCs w:val="20"/>
        </w:rPr>
        <w:t> </w:t>
      </w:r>
    </w:p>
    <w:p w:rsidR="00000000" w:rsidRDefault="006954AA">
      <w:pPr>
        <w:divId w:val="930158347"/>
        <w:rPr>
          <w:rFonts w:eastAsia="Times New Roman"/>
          <w:sz w:val="20"/>
          <w:szCs w:val="20"/>
        </w:rPr>
      </w:pPr>
      <w:r>
        <w:rPr>
          <w:rFonts w:eastAsia="Times New Roman"/>
          <w:sz w:val="20"/>
          <w:szCs w:val="20"/>
        </w:rPr>
        <w:t xml:space="preserve">Pursuant to the requirements of Section 13 or 15(d) of the Securities Exchange Act of 1934, the registrant has duly caused this report to be signed on its behalf by the undersigned, thereunto duly authorized.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39"/>
        <w:gridCol w:w="334"/>
        <w:gridCol w:w="2881"/>
        <w:gridCol w:w="952"/>
      </w:tblGrid>
      <w:tr w:rsidR="00000000">
        <w:trPr>
          <w:tblCellSpacing w:w="0" w:type="dxa"/>
        </w:trPr>
        <w:tc>
          <w:tcPr>
            <w:tcW w:w="2500" w:type="pct"/>
            <w:vAlign w:val="center"/>
            <w:hideMark/>
          </w:tcPr>
          <w:p w:rsidR="00000000" w:rsidRDefault="006954AA">
            <w:pPr>
              <w:rPr>
                <w:rFonts w:eastAsia="Times New Roman"/>
                <w:sz w:val="20"/>
                <w:szCs w:val="20"/>
              </w:rPr>
            </w:pPr>
            <w:r>
              <w:rPr>
                <w:rFonts w:eastAsia="Times New Roman"/>
                <w:sz w:val="20"/>
                <w:szCs w:val="20"/>
              </w:rPr>
              <w:t> </w:t>
            </w:r>
          </w:p>
        </w:tc>
        <w:tc>
          <w:tcPr>
            <w:tcW w:w="100" w:type="pct"/>
            <w:gridSpan w:val="2"/>
            <w:vAlign w:val="center"/>
            <w:hideMark/>
          </w:tcPr>
          <w:p w:rsidR="00000000" w:rsidRDefault="006954AA">
            <w:pPr>
              <w:divId w:val="1183982206"/>
              <w:rPr>
                <w:rFonts w:eastAsia="Times New Roman"/>
                <w:sz w:val="20"/>
                <w:szCs w:val="20"/>
              </w:rPr>
            </w:pPr>
            <w:r>
              <w:rPr>
                <w:rFonts w:eastAsia="Times New Roman"/>
                <w:sz w:val="20"/>
                <w:szCs w:val="20"/>
              </w:rPr>
              <w:t xml:space="preserve">KIMCO REALTY OP, LLC </w:t>
            </w:r>
          </w:p>
        </w:tc>
        <w:tc>
          <w:tcPr>
            <w:tcW w:w="6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500" w:type="pct"/>
            <w:vAlign w:val="center"/>
            <w:hideMark/>
          </w:tcPr>
          <w:p w:rsidR="00000000" w:rsidRDefault="006954AA">
            <w:pPr>
              <w:rPr>
                <w:rFonts w:eastAsia="Times New Roman"/>
                <w:sz w:val="20"/>
                <w:szCs w:val="20"/>
              </w:rPr>
            </w:pPr>
            <w:r>
              <w:rPr>
                <w:rFonts w:eastAsia="Times New Roman"/>
                <w:sz w:val="20"/>
                <w:szCs w:val="20"/>
              </w:rPr>
              <w:t> </w:t>
            </w:r>
          </w:p>
        </w:tc>
        <w:tc>
          <w:tcPr>
            <w:tcW w:w="100" w:type="pct"/>
            <w:vAlign w:val="center"/>
            <w:hideMark/>
          </w:tcPr>
          <w:p w:rsidR="00000000" w:rsidRDefault="006954AA">
            <w:pPr>
              <w:rPr>
                <w:rFonts w:eastAsia="Times New Roman"/>
                <w:sz w:val="20"/>
                <w:szCs w:val="20"/>
              </w:rPr>
            </w:pPr>
            <w:r>
              <w:rPr>
                <w:rFonts w:eastAsia="Times New Roman"/>
                <w:sz w:val="20"/>
                <w:szCs w:val="20"/>
              </w:rPr>
              <w:t>BY:</w:t>
            </w:r>
          </w:p>
        </w:tc>
        <w:tc>
          <w:tcPr>
            <w:tcW w:w="1750" w:type="pct"/>
            <w:hideMark/>
          </w:tcPr>
          <w:p w:rsidR="00000000" w:rsidRDefault="006954AA">
            <w:pPr>
              <w:rPr>
                <w:rFonts w:eastAsia="Times New Roman"/>
                <w:sz w:val="20"/>
                <w:szCs w:val="20"/>
              </w:rPr>
            </w:pPr>
            <w:r>
              <w:rPr>
                <w:rFonts w:eastAsia="Times New Roman"/>
                <w:sz w:val="20"/>
                <w:szCs w:val="20"/>
              </w:rPr>
              <w:t>KIMCO REAL</w:t>
            </w:r>
            <w:r>
              <w:rPr>
                <w:rFonts w:eastAsia="Times New Roman"/>
                <w:sz w:val="20"/>
                <w:szCs w:val="20"/>
              </w:rPr>
              <w:t>TY CORPORATION, managing member</w:t>
            </w:r>
          </w:p>
        </w:tc>
        <w:tc>
          <w:tcPr>
            <w:tcW w:w="6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500" w:type="pct"/>
            <w:vAlign w:val="center"/>
            <w:hideMark/>
          </w:tcPr>
          <w:p w:rsidR="00000000" w:rsidRDefault="006954AA">
            <w:pPr>
              <w:rPr>
                <w:rFonts w:eastAsia="Times New Roman"/>
                <w:sz w:val="20"/>
                <w:szCs w:val="20"/>
              </w:rPr>
            </w:pPr>
            <w:r>
              <w:rPr>
                <w:rFonts w:eastAsia="Times New Roman"/>
                <w:sz w:val="20"/>
                <w:szCs w:val="20"/>
              </w:rPr>
              <w:t> </w:t>
            </w:r>
          </w:p>
        </w:tc>
        <w:tc>
          <w:tcPr>
            <w:tcW w:w="100" w:type="pct"/>
            <w:vAlign w:val="center"/>
            <w:hideMark/>
          </w:tcPr>
          <w:p w:rsidR="00000000" w:rsidRDefault="006954AA">
            <w:pPr>
              <w:rPr>
                <w:rFonts w:eastAsia="Times New Roman"/>
                <w:sz w:val="20"/>
                <w:szCs w:val="20"/>
              </w:rPr>
            </w:pPr>
            <w:r>
              <w:rPr>
                <w:rFonts w:eastAsia="Times New Roman"/>
                <w:sz w:val="20"/>
                <w:szCs w:val="20"/>
              </w:rPr>
              <w:t> </w:t>
            </w:r>
          </w:p>
        </w:tc>
        <w:tc>
          <w:tcPr>
            <w:tcW w:w="1750" w:type="pct"/>
            <w:vAlign w:val="center"/>
            <w:hideMark/>
          </w:tcPr>
          <w:p w:rsidR="00000000" w:rsidRDefault="006954AA">
            <w:pPr>
              <w:rPr>
                <w:rFonts w:eastAsia="Times New Roman"/>
                <w:sz w:val="20"/>
                <w:szCs w:val="20"/>
              </w:rPr>
            </w:pPr>
            <w:r>
              <w:rPr>
                <w:rFonts w:eastAsia="Times New Roman"/>
                <w:sz w:val="20"/>
                <w:szCs w:val="20"/>
              </w:rPr>
              <w:t> </w:t>
            </w:r>
          </w:p>
        </w:tc>
        <w:tc>
          <w:tcPr>
            <w:tcW w:w="6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500" w:type="pct"/>
            <w:vAlign w:val="center"/>
            <w:hideMark/>
          </w:tcPr>
          <w:p w:rsidR="00000000" w:rsidRDefault="006954AA">
            <w:pPr>
              <w:rPr>
                <w:rFonts w:eastAsia="Times New Roman"/>
                <w:sz w:val="20"/>
                <w:szCs w:val="20"/>
              </w:rPr>
            </w:pPr>
            <w:r>
              <w:rPr>
                <w:rFonts w:eastAsia="Times New Roman"/>
                <w:sz w:val="20"/>
                <w:szCs w:val="20"/>
              </w:rPr>
              <w:t> </w:t>
            </w:r>
          </w:p>
        </w:tc>
        <w:tc>
          <w:tcPr>
            <w:tcW w:w="100" w:type="pct"/>
            <w:vAlign w:val="center"/>
            <w:hideMark/>
          </w:tcPr>
          <w:p w:rsidR="00000000" w:rsidRDefault="006954AA">
            <w:pPr>
              <w:rPr>
                <w:rFonts w:eastAsia="Times New Roman"/>
                <w:sz w:val="20"/>
                <w:szCs w:val="20"/>
              </w:rPr>
            </w:pPr>
            <w:r>
              <w:rPr>
                <w:rFonts w:eastAsia="Times New Roman"/>
                <w:sz w:val="20"/>
                <w:szCs w:val="20"/>
              </w:rPr>
              <w:t>By:</w:t>
            </w:r>
          </w:p>
        </w:tc>
        <w:tc>
          <w:tcPr>
            <w:tcW w:w="1750" w:type="pct"/>
            <w:tcBorders>
              <w:bottom w:val="single" w:sz="6" w:space="0" w:color="000000"/>
            </w:tcBorders>
            <w:vAlign w:val="center"/>
            <w:hideMark/>
          </w:tcPr>
          <w:p w:rsidR="00000000" w:rsidRDefault="006954AA">
            <w:pPr>
              <w:rPr>
                <w:rFonts w:eastAsia="Times New Roman"/>
                <w:sz w:val="20"/>
                <w:szCs w:val="20"/>
              </w:rPr>
            </w:pPr>
            <w:r>
              <w:rPr>
                <w:rFonts w:eastAsia="Times New Roman"/>
                <w:sz w:val="20"/>
                <w:szCs w:val="20"/>
              </w:rPr>
              <w:t>/s/ Conor C. Flynn</w:t>
            </w:r>
          </w:p>
        </w:tc>
        <w:tc>
          <w:tcPr>
            <w:tcW w:w="6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500" w:type="pct"/>
            <w:vAlign w:val="center"/>
            <w:hideMark/>
          </w:tcPr>
          <w:p w:rsidR="00000000" w:rsidRDefault="006954AA">
            <w:pPr>
              <w:rPr>
                <w:rFonts w:eastAsia="Times New Roman"/>
                <w:sz w:val="20"/>
                <w:szCs w:val="20"/>
              </w:rPr>
            </w:pPr>
            <w:r>
              <w:rPr>
                <w:rFonts w:eastAsia="Times New Roman"/>
                <w:sz w:val="20"/>
                <w:szCs w:val="20"/>
              </w:rPr>
              <w:t> </w:t>
            </w:r>
          </w:p>
        </w:tc>
        <w:tc>
          <w:tcPr>
            <w:tcW w:w="100" w:type="pct"/>
            <w:gridSpan w:val="2"/>
            <w:vAlign w:val="center"/>
            <w:hideMark/>
          </w:tcPr>
          <w:p w:rsidR="00000000" w:rsidRDefault="006954AA">
            <w:pPr>
              <w:rPr>
                <w:rFonts w:eastAsia="Times New Roman"/>
                <w:sz w:val="20"/>
                <w:szCs w:val="20"/>
              </w:rPr>
            </w:pPr>
            <w:r>
              <w:rPr>
                <w:rFonts w:eastAsia="Times New Roman"/>
                <w:sz w:val="20"/>
                <w:szCs w:val="20"/>
              </w:rPr>
              <w:t>Conor C. Flynn</w:t>
            </w:r>
          </w:p>
        </w:tc>
        <w:tc>
          <w:tcPr>
            <w:tcW w:w="6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500" w:type="pct"/>
            <w:vAlign w:val="center"/>
            <w:hideMark/>
          </w:tcPr>
          <w:p w:rsidR="00000000" w:rsidRDefault="006954AA">
            <w:pPr>
              <w:rPr>
                <w:rFonts w:eastAsia="Times New Roman"/>
                <w:sz w:val="20"/>
                <w:szCs w:val="20"/>
              </w:rPr>
            </w:pPr>
            <w:r>
              <w:rPr>
                <w:rFonts w:eastAsia="Times New Roman"/>
                <w:sz w:val="20"/>
                <w:szCs w:val="20"/>
              </w:rPr>
              <w:t> </w:t>
            </w:r>
          </w:p>
        </w:tc>
        <w:tc>
          <w:tcPr>
            <w:tcW w:w="100" w:type="pct"/>
            <w:vAlign w:val="center"/>
            <w:hideMark/>
          </w:tcPr>
          <w:p w:rsidR="00000000" w:rsidRDefault="006954AA">
            <w:pPr>
              <w:rPr>
                <w:rFonts w:eastAsia="Times New Roman"/>
                <w:sz w:val="20"/>
                <w:szCs w:val="20"/>
              </w:rPr>
            </w:pPr>
            <w:r>
              <w:rPr>
                <w:rFonts w:eastAsia="Times New Roman"/>
                <w:sz w:val="20"/>
                <w:szCs w:val="20"/>
              </w:rPr>
              <w:t> </w:t>
            </w:r>
          </w:p>
        </w:tc>
        <w:tc>
          <w:tcPr>
            <w:tcW w:w="1750" w:type="pct"/>
            <w:vAlign w:val="center"/>
            <w:hideMark/>
          </w:tcPr>
          <w:p w:rsidR="00000000" w:rsidRDefault="006954AA">
            <w:pPr>
              <w:rPr>
                <w:rFonts w:eastAsia="Times New Roman"/>
                <w:sz w:val="20"/>
                <w:szCs w:val="20"/>
              </w:rPr>
            </w:pPr>
            <w:r>
              <w:rPr>
                <w:rFonts w:eastAsia="Times New Roman"/>
                <w:sz w:val="20"/>
                <w:szCs w:val="20"/>
              </w:rPr>
              <w:t>Chief Executive Officer</w:t>
            </w:r>
          </w:p>
        </w:tc>
        <w:tc>
          <w:tcPr>
            <w:tcW w:w="600" w:type="pct"/>
            <w:vAlign w:val="center"/>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1468082509"/>
        <w:rPr>
          <w:rFonts w:eastAsia="Times New Roman"/>
          <w:sz w:val="20"/>
          <w:szCs w:val="20"/>
        </w:rPr>
      </w:pPr>
      <w:r>
        <w:rPr>
          <w:rFonts w:eastAsia="Times New Roman"/>
          <w:sz w:val="20"/>
          <w:szCs w:val="20"/>
        </w:rPr>
        <w:t xml:space="preserve">Dated:  February 24, 2023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Pursuant to the requirements of the Securities Exchange Act of 1934, this report has been signed below by the following directors and officers of Kimco Realty Corporation, the managing member of the registrant, and in the capacities and on the dates indica</w:t>
      </w:r>
      <w:r>
        <w:rPr>
          <w:sz w:val="20"/>
          <w:szCs w:val="20"/>
        </w:rPr>
        <w:t>ted.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33"/>
        <w:gridCol w:w="252"/>
        <w:gridCol w:w="3775"/>
        <w:gridCol w:w="1846"/>
      </w:tblGrid>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u w:val="single"/>
              </w:rPr>
              <w:t>Signature</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tcMar>
              <w:top w:w="0" w:type="dxa"/>
              <w:left w:w="360" w:type="dxa"/>
              <w:bottom w:w="0" w:type="dxa"/>
              <w:right w:w="0" w:type="dxa"/>
            </w:tcMar>
            <w:vAlign w:val="center"/>
            <w:hideMark/>
          </w:tcPr>
          <w:p w:rsidR="00000000" w:rsidRDefault="006954AA">
            <w:pPr>
              <w:rPr>
                <w:rFonts w:eastAsia="Times New Roman"/>
                <w:sz w:val="20"/>
                <w:szCs w:val="20"/>
              </w:rPr>
            </w:pPr>
            <w:r>
              <w:rPr>
                <w:rFonts w:eastAsia="Times New Roman"/>
                <w:sz w:val="20"/>
                <w:szCs w:val="20"/>
                <w:u w:val="single"/>
              </w:rPr>
              <w:t>Title</w:t>
            </w:r>
          </w:p>
        </w:tc>
        <w:tc>
          <w:tcPr>
            <w:tcW w:w="1100" w:type="pct"/>
            <w:tcMar>
              <w:top w:w="0" w:type="dxa"/>
              <w:left w:w="360" w:type="dxa"/>
              <w:bottom w:w="0" w:type="dxa"/>
              <w:right w:w="0" w:type="dxa"/>
            </w:tcMar>
            <w:vAlign w:val="center"/>
            <w:hideMark/>
          </w:tcPr>
          <w:p w:rsidR="00000000" w:rsidRDefault="006954AA">
            <w:pPr>
              <w:rPr>
                <w:rFonts w:eastAsia="Times New Roman"/>
                <w:sz w:val="20"/>
                <w:szCs w:val="20"/>
              </w:rPr>
            </w:pPr>
            <w:r>
              <w:rPr>
                <w:rFonts w:eastAsia="Times New Roman"/>
                <w:sz w:val="20"/>
                <w:szCs w:val="20"/>
                <w:u w:val="single"/>
              </w:rPr>
              <w:t>Date</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Milton Cooper</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Executive Chairman of the Board of Directors</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Milton Cooper</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Conor C. Flynn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Chief Executive Officer and 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Conor C. Flynn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Frank Lourenso</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Frank Lourenso</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Richard Saltzman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Richard Saltzman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Philip Coviello</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Philip Coviello</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Mary Hogan Preusse</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Mary Hogan Preusse</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Valerie Richardson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Valerie Richardson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Henry Moniz</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Director</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Henry Moniz</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Glenn G. Cohen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Executive Vice President -</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Glenn G. Cohen</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Chief Financial Officer and Treasurer</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vAlign w:val="center"/>
            <w:hideMark/>
          </w:tcPr>
          <w:p w:rsidR="00000000" w:rsidRDefault="006954AA">
            <w:pPr>
              <w:rPr>
                <w:rFonts w:eastAsia="Times New Roman"/>
                <w:sz w:val="20"/>
                <w:szCs w:val="20"/>
              </w:rPr>
            </w:pPr>
            <w:r>
              <w:rPr>
                <w:rFonts w:eastAsia="Times New Roman"/>
                <w:sz w:val="20"/>
                <w:szCs w:val="20"/>
              </w:rPr>
              <w:t> </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rPr>
                <w:rFonts w:eastAsia="Times New Roman"/>
                <w:sz w:val="20"/>
                <w:szCs w:val="20"/>
              </w:rPr>
            </w:pPr>
            <w:r>
              <w:rPr>
                <w:rFonts w:eastAsia="Times New Roman"/>
                <w:sz w:val="20"/>
                <w:szCs w:val="20"/>
              </w:rPr>
              <w:t> </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50" w:type="pct"/>
            <w:tcBorders>
              <w:bottom w:val="single" w:sz="6" w:space="0" w:color="000000"/>
            </w:tcBorders>
            <w:vAlign w:val="center"/>
            <w:hideMark/>
          </w:tcPr>
          <w:p w:rsidR="00000000" w:rsidRDefault="006954AA">
            <w:pPr>
              <w:ind w:firstLine="360"/>
              <w:rPr>
                <w:rFonts w:eastAsia="Times New Roman"/>
                <w:sz w:val="20"/>
                <w:szCs w:val="20"/>
              </w:rPr>
            </w:pPr>
            <w:r>
              <w:rPr>
                <w:rFonts w:eastAsia="Times New Roman"/>
                <w:sz w:val="20"/>
                <w:szCs w:val="20"/>
              </w:rPr>
              <w:t>/s/ Paul Westbrook</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Vice President -</w:t>
            </w:r>
          </w:p>
        </w:tc>
        <w:tc>
          <w:tcPr>
            <w:tcW w:w="1100" w:type="pct"/>
            <w:vAlign w:val="center"/>
            <w:hideMark/>
          </w:tcPr>
          <w:p w:rsidR="00000000" w:rsidRDefault="006954AA">
            <w:pPr>
              <w:ind w:firstLine="360"/>
              <w:rPr>
                <w:rFonts w:eastAsia="Times New Roman"/>
                <w:sz w:val="20"/>
                <w:szCs w:val="20"/>
              </w:rPr>
            </w:pPr>
            <w:r>
              <w:rPr>
                <w:rFonts w:eastAsia="Times New Roman"/>
                <w:sz w:val="20"/>
                <w:szCs w:val="20"/>
              </w:rPr>
              <w:t>February 24, 2023</w:t>
            </w:r>
          </w:p>
        </w:tc>
      </w:tr>
      <w:tr w:rsidR="00000000">
        <w:trPr>
          <w:tblCellSpacing w:w="0" w:type="dxa"/>
        </w:trPr>
        <w:tc>
          <w:tcPr>
            <w:tcW w:w="1450" w:type="pct"/>
            <w:vAlign w:val="center"/>
            <w:hideMark/>
          </w:tcPr>
          <w:p w:rsidR="00000000" w:rsidRDefault="006954AA">
            <w:pPr>
              <w:ind w:firstLine="360"/>
              <w:rPr>
                <w:rFonts w:eastAsia="Times New Roman"/>
                <w:sz w:val="20"/>
                <w:szCs w:val="20"/>
              </w:rPr>
            </w:pPr>
            <w:r>
              <w:rPr>
                <w:rFonts w:eastAsia="Times New Roman"/>
                <w:sz w:val="20"/>
                <w:szCs w:val="20"/>
              </w:rPr>
              <w:t>Paul Westbrook</w:t>
            </w:r>
          </w:p>
        </w:tc>
        <w:tc>
          <w:tcPr>
            <w:tcW w:w="150" w:type="pct"/>
            <w:vAlign w:val="center"/>
            <w:hideMark/>
          </w:tcPr>
          <w:p w:rsidR="00000000" w:rsidRDefault="006954AA">
            <w:pPr>
              <w:rPr>
                <w:rFonts w:eastAsia="Times New Roman"/>
                <w:sz w:val="20"/>
                <w:szCs w:val="20"/>
              </w:rPr>
            </w:pPr>
            <w:r>
              <w:rPr>
                <w:rFonts w:eastAsia="Times New Roman"/>
                <w:sz w:val="20"/>
                <w:szCs w:val="20"/>
              </w:rPr>
              <w:t> </w:t>
            </w:r>
          </w:p>
        </w:tc>
        <w:tc>
          <w:tcPr>
            <w:tcW w:w="2250" w:type="pct"/>
            <w:vAlign w:val="center"/>
            <w:hideMark/>
          </w:tcPr>
          <w:p w:rsidR="00000000" w:rsidRDefault="006954AA">
            <w:pPr>
              <w:ind w:firstLine="360"/>
              <w:rPr>
                <w:rFonts w:eastAsia="Times New Roman"/>
                <w:sz w:val="20"/>
                <w:szCs w:val="20"/>
              </w:rPr>
            </w:pPr>
            <w:r>
              <w:rPr>
                <w:rFonts w:eastAsia="Times New Roman"/>
                <w:sz w:val="20"/>
                <w:szCs w:val="20"/>
              </w:rPr>
              <w:t>Chief Accounting Officer</w:t>
            </w:r>
          </w:p>
        </w:tc>
        <w:tc>
          <w:tcPr>
            <w:tcW w:w="1100" w:type="pct"/>
            <w:vAlign w:val="center"/>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12978299"/>
        <w:rPr>
          <w:rFonts w:eastAsia="Times New Roman"/>
          <w:sz w:val="20"/>
          <w:szCs w:val="20"/>
        </w:rPr>
      </w:pPr>
      <w:r>
        <w:rPr>
          <w:rFonts w:eastAsia="Times New Roman"/>
          <w:sz w:val="20"/>
          <w:szCs w:val="20"/>
        </w:rPr>
        <w:t xml:space="preserve">50 </w:t>
      </w:r>
    </w:p>
    <w:p w:rsidR="00000000" w:rsidRDefault="006954AA">
      <w:pPr>
        <w:divId w:val="1831017690"/>
        <w:rPr>
          <w:rFonts w:eastAsia="Times New Roman"/>
          <w:sz w:val="20"/>
          <w:szCs w:val="20"/>
        </w:rPr>
      </w:pPr>
      <w:r>
        <w:rPr>
          <w:rFonts w:eastAsia="Times New Roman"/>
          <w:sz w:val="20"/>
          <w:szCs w:val="20"/>
        </w:rPr>
        <w:pict>
          <v:rect id="_x0000_i1085" style="width:415.3pt;height:1.5pt" o:hralign="center" o:hrstd="t" o:hrnoshade="t" o:hr="t" fillcolor="black" stroked="f"/>
        </w:pict>
      </w:r>
    </w:p>
    <w:p w:rsidR="00000000" w:rsidRDefault="006954AA">
      <w:pPr>
        <w:divId w:val="17156154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divId w:val="1877738535"/>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260" w:firstLine="360"/>
        <w:jc w:val="center"/>
        <w:divId w:val="1070470201"/>
        <w:rPr>
          <w:sz w:val="20"/>
          <w:szCs w:val="20"/>
        </w:rPr>
      </w:pPr>
      <w:r>
        <w:rPr>
          <w:sz w:val="20"/>
          <w:szCs w:val="20"/>
        </w:rPr>
        <w:t>ANNUAL REPORT ON FORM 10-K</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ind w:left="260" w:firstLine="360"/>
        <w:jc w:val="center"/>
        <w:divId w:val="1070470201"/>
        <w:rPr>
          <w:sz w:val="20"/>
          <w:szCs w:val="20"/>
        </w:rPr>
      </w:pPr>
      <w:r>
        <w:rPr>
          <w:sz w:val="20"/>
          <w:szCs w:val="20"/>
        </w:rPr>
        <w:t>ITEM 8, ITEM 15 (a) (1) and (2)</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ind w:left="260" w:firstLine="360"/>
        <w:jc w:val="center"/>
        <w:divId w:val="1070470201"/>
        <w:rPr>
          <w:sz w:val="20"/>
          <w:szCs w:val="20"/>
        </w:rPr>
      </w:pPr>
      <w:r>
        <w:rPr>
          <w:sz w:val="20"/>
          <w:szCs w:val="20"/>
        </w:rPr>
        <w:t>INDEX TO FINANCIAL STATEMENTS</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ind w:left="260" w:firstLine="360"/>
        <w:jc w:val="center"/>
        <w:divId w:val="1070470201"/>
        <w:rPr>
          <w:sz w:val="20"/>
          <w:szCs w:val="20"/>
        </w:rPr>
      </w:pPr>
      <w:r>
        <w:rPr>
          <w:sz w:val="20"/>
          <w:szCs w:val="20"/>
        </w:rPr>
        <w:t>AND</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ind w:left="240" w:firstLine="360"/>
        <w:jc w:val="center"/>
        <w:divId w:val="1070470201"/>
        <w:rPr>
          <w:sz w:val="20"/>
          <w:szCs w:val="20"/>
        </w:rPr>
      </w:pPr>
      <w:r>
        <w:rPr>
          <w:sz w:val="20"/>
          <w:szCs w:val="20"/>
        </w:rPr>
        <w:t>FINANCIAL STATEMENT SCHEDULES</w:t>
      </w:r>
    </w:p>
    <w:p w:rsidR="00000000" w:rsidRDefault="006954AA">
      <w:pPr>
        <w:pStyle w:val="a3"/>
        <w:spacing w:before="0" w:beforeAutospacing="0" w:after="0" w:afterAutospacing="0"/>
        <w:divId w:val="107047020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82"/>
        <w:gridCol w:w="6693"/>
        <w:gridCol w:w="631"/>
      </w:tblGrid>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sz w:val="20"/>
                <w:szCs w:val="20"/>
              </w:rPr>
              <w:t>Form 10-K</w:t>
            </w:r>
            <w:r>
              <w:rPr>
                <w:sz w:val="20"/>
                <w:szCs w:val="20"/>
              </w:rPr>
              <w:br/>
              <w:t>Page</w:t>
            </w:r>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rPr>
                <w:sz w:val="20"/>
                <w:szCs w:val="20"/>
              </w:rPr>
            </w:pPr>
            <w:r>
              <w:rPr>
                <w:sz w:val="20"/>
                <w:szCs w:val="20"/>
              </w:rPr>
              <w:t>KIMCO REALTY CORPORATION AND SUBSIDIARIES</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rPr>
                <w:sz w:val="20"/>
                <w:szCs w:val="20"/>
              </w:rPr>
            </w:pPr>
            <w:hyperlink w:anchor="report" w:history="1">
              <w:r>
                <w:rPr>
                  <w:rStyle w:val="a4"/>
                  <w:sz w:val="20"/>
                  <w:szCs w:val="20"/>
                </w:rPr>
                <w:t>Report of Independent Registered Public Accounting Firm (PCAOB ID 238)</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report" w:history="1">
              <w:r>
                <w:rPr>
                  <w:rStyle w:val="a4"/>
                  <w:sz w:val="20"/>
                  <w:szCs w:val="20"/>
                </w:rPr>
                <w:t>52</w:t>
              </w:r>
            </w:hyperlink>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rPr>
                <w:sz w:val="20"/>
                <w:szCs w:val="20"/>
              </w:rPr>
            </w:pPr>
            <w:r>
              <w:rPr>
                <w:sz w:val="20"/>
                <w:szCs w:val="20"/>
              </w:rPr>
              <w:t>Consolidated Financial Statements and Financial Statement Schedules:</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ind w:left="720"/>
              <w:rPr>
                <w:sz w:val="20"/>
                <w:szCs w:val="20"/>
              </w:rPr>
            </w:pPr>
            <w:hyperlink w:anchor="bs" w:history="1">
              <w:r>
                <w:rPr>
                  <w:rStyle w:val="a4"/>
                  <w:sz w:val="20"/>
                  <w:szCs w:val="20"/>
                </w:rPr>
                <w:t>Consolidated Balance Sheets as of December 31, 2022 and 2021</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bs" w:history="1">
              <w:r>
                <w:rPr>
                  <w:rStyle w:val="a4"/>
                  <w:sz w:val="20"/>
                  <w:szCs w:val="20"/>
                </w:rPr>
                <w:t>54</w:t>
              </w:r>
            </w:hyperlink>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ind w:left="720"/>
              <w:rPr>
                <w:sz w:val="20"/>
                <w:szCs w:val="20"/>
              </w:rPr>
            </w:pPr>
            <w:hyperlink w:anchor="income" w:history="1">
              <w:r>
                <w:rPr>
                  <w:rStyle w:val="a4"/>
                  <w:sz w:val="20"/>
                  <w:szCs w:val="20"/>
                </w:rPr>
                <w:t>Consolidated Statements of Income for the years ended December 31, 2022, 2021 and 2020</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income" w:history="1">
              <w:r>
                <w:rPr>
                  <w:rStyle w:val="a4"/>
                  <w:sz w:val="20"/>
                  <w:szCs w:val="20"/>
                </w:rPr>
                <w:t>55</w:t>
              </w:r>
            </w:hyperlink>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ind w:left="720"/>
              <w:rPr>
                <w:sz w:val="20"/>
                <w:szCs w:val="20"/>
              </w:rPr>
            </w:pPr>
            <w:hyperlink w:anchor="comp" w:history="1">
              <w:r>
                <w:rPr>
                  <w:rStyle w:val="a4"/>
                  <w:sz w:val="20"/>
                  <w:szCs w:val="20"/>
                </w:rPr>
                <w:t>Consolidated Statements of Comprehensive Income for the years ended December 31, 2022, 2021 and 2020</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comp" w:history="1">
              <w:r>
                <w:rPr>
                  <w:rStyle w:val="a4"/>
                  <w:sz w:val="20"/>
                  <w:szCs w:val="20"/>
                </w:rPr>
                <w:t>56</w:t>
              </w:r>
            </w:hyperlink>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ind w:left="720"/>
              <w:rPr>
                <w:sz w:val="20"/>
                <w:szCs w:val="20"/>
              </w:rPr>
            </w:pPr>
            <w:hyperlink w:anchor="equity" w:history="1">
              <w:r>
                <w:rPr>
                  <w:rStyle w:val="a4"/>
                  <w:sz w:val="20"/>
                  <w:szCs w:val="20"/>
                </w:rPr>
                <w:t>Consolidated Statements of Changes in Equity for the years ended December 31, 2022, 2021 and 2020</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equity" w:history="1">
              <w:r>
                <w:rPr>
                  <w:rStyle w:val="a4"/>
                  <w:sz w:val="20"/>
                  <w:szCs w:val="20"/>
                </w:rPr>
                <w:t>57</w:t>
              </w:r>
            </w:hyperlink>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rPr>
                <w:sz w:val="20"/>
                <w:szCs w:val="20"/>
              </w:rPr>
            </w:pPr>
            <w:r>
              <w:rPr>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ind w:left="720"/>
              <w:rPr>
                <w:sz w:val="20"/>
                <w:szCs w:val="20"/>
              </w:rPr>
            </w:pPr>
            <w:hyperlink w:anchor="cf" w:history="1">
              <w:r>
                <w:rPr>
                  <w:rStyle w:val="a4"/>
                  <w:sz w:val="20"/>
                  <w:szCs w:val="20"/>
                </w:rPr>
                <w:t>Consolidated Statements of Cash Flows for the years ended December 31, 2022, 2021 and 2020</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cf" w:history="1">
              <w:r>
                <w:rPr>
                  <w:rStyle w:val="a4"/>
                  <w:sz w:val="20"/>
                  <w:szCs w:val="20"/>
                </w:rPr>
                <w:t>58</w:t>
              </w:r>
            </w:hyperlink>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rPr>
                <w:sz w:val="20"/>
                <w:szCs w:val="20"/>
              </w:rPr>
            </w:pPr>
            <w:hyperlink w:anchor="notes" w:history="1">
              <w:r>
                <w:rPr>
                  <w:rStyle w:val="a4"/>
                  <w:sz w:val="20"/>
                  <w:szCs w:val="20"/>
                </w:rPr>
                <w:t>Notes to Consolidated Financial Statements</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notes" w:history="1">
              <w:r>
                <w:rPr>
                  <w:rStyle w:val="a4"/>
                  <w:sz w:val="20"/>
                  <w:szCs w:val="20"/>
                </w:rPr>
                <w:t>59</w:t>
              </w:r>
            </w:hyperlink>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pStyle w:val="a3"/>
              <w:spacing w:before="0" w:beforeAutospacing="0" w:after="0" w:afterAutospacing="0"/>
              <w:rPr>
                <w:sz w:val="20"/>
                <w:szCs w:val="20"/>
              </w:rPr>
            </w:pPr>
            <w:r>
              <w:rPr>
                <w:sz w:val="20"/>
                <w:szCs w:val="20"/>
              </w:rPr>
              <w:t>Financial Statement Schedules:</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gridSpan w:val="2"/>
            <w:hideMark/>
          </w:tcPr>
          <w:p w:rsidR="00000000" w:rsidRDefault="006954AA">
            <w:pPr>
              <w:rPr>
                <w:rFonts w:eastAsia="Times New Roman"/>
                <w:sz w:val="20"/>
                <w:szCs w:val="20"/>
              </w:rPr>
            </w:pPr>
            <w:r>
              <w:rPr>
                <w:rFonts w:eastAsia="Times New Roman"/>
                <w:sz w:val="20"/>
                <w:szCs w:val="20"/>
              </w:rPr>
              <w:t> </w:t>
            </w:r>
          </w:p>
        </w:tc>
        <w:tc>
          <w:tcPr>
            <w:tcW w:w="4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070470201"/>
          <w:tblCellSpacing w:w="0" w:type="dxa"/>
        </w:trPr>
        <w:tc>
          <w:tcPr>
            <w:tcW w:w="450" w:type="pct"/>
            <w:hideMark/>
          </w:tcPr>
          <w:p w:rsidR="00000000" w:rsidRDefault="006954AA">
            <w:pPr>
              <w:pStyle w:val="a3"/>
              <w:spacing w:before="0" w:beforeAutospacing="0" w:after="0" w:afterAutospacing="0"/>
              <w:ind w:left="720"/>
              <w:rPr>
                <w:sz w:val="20"/>
                <w:szCs w:val="20"/>
              </w:rPr>
            </w:pPr>
            <w:r>
              <w:rPr>
                <w:sz w:val="20"/>
                <w:szCs w:val="20"/>
              </w:rPr>
              <w:t>II.</w:t>
            </w:r>
          </w:p>
        </w:tc>
        <w:tc>
          <w:tcPr>
            <w:tcW w:w="4100" w:type="pct"/>
            <w:hideMark/>
          </w:tcPr>
          <w:p w:rsidR="00000000" w:rsidRDefault="006954AA">
            <w:pPr>
              <w:pStyle w:val="a3"/>
              <w:spacing w:before="0" w:beforeAutospacing="0" w:after="0" w:afterAutospacing="0"/>
              <w:rPr>
                <w:sz w:val="20"/>
                <w:szCs w:val="20"/>
              </w:rPr>
            </w:pPr>
            <w:hyperlink w:anchor="scheduleii" w:history="1">
              <w:r>
                <w:rPr>
                  <w:rStyle w:val="a4"/>
                  <w:sz w:val="20"/>
                  <w:szCs w:val="20"/>
                </w:rPr>
                <w:t>Valuation and Qualifying Accounts for the years ended December 31, 2022, 2021 and 2020</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scheduleii" w:history="1">
              <w:r>
                <w:rPr>
                  <w:rStyle w:val="a4"/>
                  <w:sz w:val="20"/>
                  <w:szCs w:val="20"/>
                </w:rPr>
                <w:t>101</w:t>
              </w:r>
            </w:hyperlink>
          </w:p>
        </w:tc>
      </w:tr>
      <w:tr w:rsidR="00000000">
        <w:trPr>
          <w:divId w:val="1070470201"/>
          <w:tblCellSpacing w:w="0" w:type="dxa"/>
        </w:trPr>
        <w:tc>
          <w:tcPr>
            <w:tcW w:w="450" w:type="pct"/>
            <w:hideMark/>
          </w:tcPr>
          <w:p w:rsidR="00000000" w:rsidRDefault="006954AA">
            <w:pPr>
              <w:pStyle w:val="a3"/>
              <w:spacing w:before="0" w:beforeAutospacing="0" w:after="0" w:afterAutospacing="0"/>
              <w:ind w:left="720"/>
              <w:rPr>
                <w:sz w:val="20"/>
                <w:szCs w:val="20"/>
              </w:rPr>
            </w:pPr>
            <w:r>
              <w:rPr>
                <w:sz w:val="20"/>
                <w:szCs w:val="20"/>
              </w:rPr>
              <w:t>III.</w:t>
            </w:r>
          </w:p>
        </w:tc>
        <w:tc>
          <w:tcPr>
            <w:tcW w:w="4100" w:type="pct"/>
            <w:hideMark/>
          </w:tcPr>
          <w:p w:rsidR="00000000" w:rsidRDefault="006954AA">
            <w:pPr>
              <w:pStyle w:val="a3"/>
              <w:spacing w:before="0" w:beforeAutospacing="0" w:after="0" w:afterAutospacing="0"/>
              <w:rPr>
                <w:sz w:val="20"/>
                <w:szCs w:val="20"/>
              </w:rPr>
            </w:pPr>
            <w:hyperlink w:anchor="scheduleiii" w:history="1">
              <w:r>
                <w:rPr>
                  <w:rStyle w:val="a4"/>
                  <w:sz w:val="20"/>
                  <w:szCs w:val="20"/>
                </w:rPr>
                <w:t>Real Estate and Accumulated Depreciation as of December 31, 2022</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scheduleiii" w:history="1">
              <w:r>
                <w:rPr>
                  <w:rStyle w:val="a4"/>
                  <w:sz w:val="20"/>
                  <w:szCs w:val="20"/>
                </w:rPr>
                <w:t>102</w:t>
              </w:r>
            </w:hyperlink>
          </w:p>
        </w:tc>
      </w:tr>
      <w:tr w:rsidR="00000000">
        <w:trPr>
          <w:divId w:val="1070470201"/>
          <w:tblCellSpacing w:w="0" w:type="dxa"/>
        </w:trPr>
        <w:tc>
          <w:tcPr>
            <w:tcW w:w="450" w:type="pct"/>
            <w:hideMark/>
          </w:tcPr>
          <w:p w:rsidR="00000000" w:rsidRDefault="006954AA">
            <w:pPr>
              <w:pStyle w:val="a3"/>
              <w:spacing w:before="0" w:beforeAutospacing="0" w:after="0" w:afterAutospacing="0"/>
              <w:ind w:left="720"/>
              <w:rPr>
                <w:sz w:val="20"/>
                <w:szCs w:val="20"/>
              </w:rPr>
            </w:pPr>
            <w:r>
              <w:rPr>
                <w:sz w:val="20"/>
                <w:szCs w:val="20"/>
              </w:rPr>
              <w:t>IV.</w:t>
            </w:r>
          </w:p>
        </w:tc>
        <w:tc>
          <w:tcPr>
            <w:tcW w:w="4100" w:type="pct"/>
            <w:hideMark/>
          </w:tcPr>
          <w:p w:rsidR="00000000" w:rsidRDefault="006954AA">
            <w:pPr>
              <w:pStyle w:val="a3"/>
              <w:spacing w:before="0" w:beforeAutospacing="0" w:after="0" w:afterAutospacing="0"/>
              <w:rPr>
                <w:sz w:val="20"/>
                <w:szCs w:val="20"/>
              </w:rPr>
            </w:pPr>
            <w:hyperlink w:anchor="scheduleiv" w:history="1">
              <w:r>
                <w:rPr>
                  <w:rStyle w:val="a4"/>
                  <w:sz w:val="20"/>
                  <w:szCs w:val="20"/>
                </w:rPr>
                <w:t>Mortgage Loans on Real Estate as of December 31, 2022</w:t>
              </w:r>
            </w:hyperlink>
          </w:p>
        </w:tc>
        <w:tc>
          <w:tcPr>
            <w:tcW w:w="450" w:type="pct"/>
            <w:vAlign w:val="bottom"/>
            <w:hideMark/>
          </w:tcPr>
          <w:p w:rsidR="00000000" w:rsidRDefault="006954AA">
            <w:pPr>
              <w:pStyle w:val="a3"/>
              <w:spacing w:before="0" w:beforeAutospacing="0" w:after="0" w:afterAutospacing="0"/>
              <w:jc w:val="center"/>
              <w:rPr>
                <w:sz w:val="20"/>
                <w:szCs w:val="20"/>
              </w:rPr>
            </w:pPr>
            <w:hyperlink w:anchor="scheduleiv" w:history="1">
              <w:r>
                <w:rPr>
                  <w:rStyle w:val="a4"/>
                  <w:sz w:val="20"/>
                  <w:szCs w:val="20"/>
                </w:rPr>
                <w:t>104</w:t>
              </w:r>
            </w:hyperlink>
          </w:p>
        </w:tc>
      </w:tr>
    </w:tbl>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jc w:val="center"/>
        <w:divId w:val="1745684091"/>
        <w:rPr>
          <w:rFonts w:eastAsia="Times New Roman"/>
          <w:sz w:val="20"/>
          <w:szCs w:val="20"/>
        </w:rPr>
      </w:pPr>
      <w:r>
        <w:rPr>
          <w:rFonts w:eastAsia="Times New Roman"/>
          <w:sz w:val="20"/>
          <w:szCs w:val="20"/>
        </w:rPr>
        <w:t xml:space="preserve">51 </w:t>
      </w:r>
    </w:p>
    <w:p w:rsidR="00000000" w:rsidRDefault="006954AA">
      <w:pPr>
        <w:divId w:val="1745684091"/>
        <w:rPr>
          <w:rFonts w:eastAsia="Times New Roman"/>
          <w:sz w:val="20"/>
          <w:szCs w:val="20"/>
        </w:rPr>
      </w:pPr>
      <w:r>
        <w:rPr>
          <w:rFonts w:eastAsia="Times New Roman"/>
          <w:sz w:val="20"/>
          <w:szCs w:val="20"/>
        </w:rPr>
        <w:pict>
          <v:rect id="_x0000_i1086" style="width:415.3pt;height:1.5pt" o:hralign="center" o:hrstd="t" o:hrnoshade="t" o:hr="t" fillcolor="black" stroked="f"/>
        </w:pict>
      </w:r>
    </w:p>
    <w:p w:rsidR="00000000" w:rsidRDefault="006954AA">
      <w:pPr>
        <w:divId w:val="1745684091"/>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center"/>
        <w:divId w:val="1070470201"/>
        <w:rPr>
          <w:sz w:val="20"/>
          <w:szCs w:val="20"/>
        </w:rPr>
      </w:pPr>
      <w:r>
        <w:rPr>
          <w:b/>
          <w:bCs/>
          <w:sz w:val="20"/>
          <w:szCs w:val="20"/>
        </w:rPr>
        <w:t>Report of Independent Registered Public Accounting Firm</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divId w:val="1070470201"/>
        <w:rPr>
          <w:sz w:val="20"/>
          <w:szCs w:val="20"/>
        </w:rPr>
      </w:pPr>
      <w:r>
        <w:rPr>
          <w:sz w:val="20"/>
          <w:szCs w:val="20"/>
        </w:rPr>
        <w:t>To the Board of Directors and Stockholders of Kimco Realty Corporation</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divId w:val="1070470201"/>
        <w:rPr>
          <w:sz w:val="20"/>
          <w:szCs w:val="20"/>
        </w:rPr>
      </w:pPr>
      <w:r>
        <w:rPr>
          <w:b/>
          <w:bCs/>
          <w:i/>
          <w:iCs/>
          <w:sz w:val="20"/>
          <w:szCs w:val="20"/>
        </w:rPr>
        <w:t>Opinions on the Financial Statements and Internal Control over Financial Reporting</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We have audited the consolidated financial statements, including the related notes, as listed in the index appearing under Item 15(a)(1), and the financial statement sched</w:t>
      </w:r>
      <w:r>
        <w:rPr>
          <w:sz w:val="20"/>
          <w:szCs w:val="20"/>
        </w:rPr>
        <w:t>ules listed in the index appearing under Item 15(a)(2), of Kimco Realty Corporation and its subsidiaries (the “Company”) (collectively referred to as the “consolidated financial statements”). We also have audited the Company's internal control over financi</w:t>
      </w:r>
      <w:r>
        <w:rPr>
          <w:sz w:val="20"/>
          <w:szCs w:val="20"/>
        </w:rPr>
        <w:t xml:space="preserve">al reporting as of December 31, 2022, based on criteria established in </w:t>
      </w:r>
      <w:r>
        <w:rPr>
          <w:i/>
          <w:iCs/>
          <w:sz w:val="20"/>
          <w:szCs w:val="20"/>
        </w:rPr>
        <w:t>Internal Control - Integrated Framework</w:t>
      </w:r>
      <w:r>
        <w:rPr>
          <w:sz w:val="20"/>
          <w:szCs w:val="20"/>
        </w:rPr>
        <w:t xml:space="preserve"> (2013) issued by the Committee of Sponsoring Organizations of the Treadway Commission (COSO).</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In our opinion, the consolidated financial statem</w:t>
      </w:r>
      <w:r>
        <w:rPr>
          <w:sz w:val="20"/>
          <w:szCs w:val="20"/>
        </w:rPr>
        <w:t xml:space="preserve">ents referred to above present fairly, in all material respects, the financial position of the Company as of December 31, 2022 and 2021, and the results of its operations and its cash flows for each of the three years in the period ended December 31, 2022 </w:t>
      </w:r>
      <w:r>
        <w:rPr>
          <w:sz w:val="20"/>
          <w:szCs w:val="20"/>
        </w:rPr>
        <w:t>in conformity with accounting principles generally accepted in the United States of America. Also in our opinion, the Company maintained, in all material respects, effective internal control over financial reporting as of December 31, 2022, based on criter</w:t>
      </w:r>
      <w:r>
        <w:rPr>
          <w:sz w:val="20"/>
          <w:szCs w:val="20"/>
        </w:rPr>
        <w:t xml:space="preserve">ia established in </w:t>
      </w:r>
      <w:r>
        <w:rPr>
          <w:i/>
          <w:iCs/>
          <w:sz w:val="20"/>
          <w:szCs w:val="20"/>
        </w:rPr>
        <w:t>Internal Control - Integrated Framework</w:t>
      </w:r>
      <w:r>
        <w:rPr>
          <w:sz w:val="20"/>
          <w:szCs w:val="20"/>
        </w:rPr>
        <w:t xml:space="preserve"> (2013) issued by the COSO.</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b/>
          <w:bCs/>
          <w:i/>
          <w:iCs/>
          <w:sz w:val="20"/>
          <w:szCs w:val="20"/>
        </w:rPr>
        <w:t>Basis for Opinions</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The Company's management is responsible for these consolidated financial statements, for maintaining effective internal control over financial repor</w:t>
      </w:r>
      <w:r>
        <w:rPr>
          <w:sz w:val="20"/>
          <w:szCs w:val="20"/>
        </w:rPr>
        <w:t>ting, and for its assessment of the effectiveness of internal control over financial reporting, included in Management’s Report on Internal Control Over Financial Reporting appearing under Item 9A. Our responsibility is to express opinions on the Company’s</w:t>
      </w:r>
      <w:r>
        <w:rPr>
          <w:sz w:val="20"/>
          <w:szCs w:val="20"/>
        </w:rPr>
        <w:t xml:space="preserve"> consolidated financial statements and on the Company's internal control over financial reporting based on our audits. We are a public accounting firm registered with the Public Company Accounting Oversight Board (United States) (PCAOB) and are required to</w:t>
      </w:r>
      <w:r>
        <w:rPr>
          <w:sz w:val="20"/>
          <w:szCs w:val="20"/>
        </w:rPr>
        <w:t xml:space="preserve"> be independent with respect to the Company in accordance with the U.S. federal securities laws and the applicable rules and regulations of the Securities and Exchange Commission and the PCAOB.</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 xml:space="preserve">We conducted our audits in accordance with the standards of </w:t>
      </w:r>
      <w:r>
        <w:rPr>
          <w:sz w:val="20"/>
          <w:szCs w:val="20"/>
        </w:rPr>
        <w:t>the PCAOB. Those standards require that we plan and perform the audits to obtain reasonable assurance about whether the consolidated financial statements are free of material misstatement, whether due to error or fraud, and whether effective internal contr</w:t>
      </w:r>
      <w:r>
        <w:rPr>
          <w:sz w:val="20"/>
          <w:szCs w:val="20"/>
        </w:rPr>
        <w:t>ol over financial reporting was maintained in all material respects.</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 xml:space="preserve">Our audits of the consolidated financial statements included performing procedures to assess the risks of material misstatement of the consolidated financial statements, whether due to </w:t>
      </w:r>
      <w:r>
        <w:rPr>
          <w:sz w:val="20"/>
          <w:szCs w:val="20"/>
        </w:rPr>
        <w:t>error or fraud, and performing procedures that respond to those risks. Such procedures included examining, on a test basis, evidence regarding the amounts and disclosures in the consolidated financial statements. Our audits also included evaluating the acc</w:t>
      </w:r>
      <w:r>
        <w:rPr>
          <w:sz w:val="20"/>
          <w:szCs w:val="20"/>
        </w:rPr>
        <w:t>ounting principles used and significant estimates made by management, as well as evaluating the overall presentation of the consolidated financial statements. Our audit of internal control over financial reporting included obtaining an understanding of int</w:t>
      </w:r>
      <w:r>
        <w:rPr>
          <w:sz w:val="20"/>
          <w:szCs w:val="20"/>
        </w:rPr>
        <w:t>ernal control over financial reporting, assessing the risk that a material weakness exists, and testing and evaluating the design and operating effectiveness of internal control based on the assessed risk. Our audits also included performing such other pro</w:t>
      </w:r>
      <w:r>
        <w:rPr>
          <w:sz w:val="20"/>
          <w:szCs w:val="20"/>
        </w:rPr>
        <w:t>cedures as we considered necessary in the circumstances. We believe that our audits provide a reasonable basis for our opinions.</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b/>
          <w:bCs/>
          <w:i/>
          <w:iCs/>
          <w:sz w:val="20"/>
          <w:szCs w:val="20"/>
        </w:rPr>
        <w:t>Definition and Limitations of Internal Control over Financial Reporting</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A company’s internal control over financial reporti</w:t>
      </w:r>
      <w:r>
        <w:rPr>
          <w:sz w:val="20"/>
          <w:szCs w:val="20"/>
        </w:rPr>
        <w:t>ng is a process designed to provide reasonable assurance regarding the reliability of financial reporting and the preparation of financial statements for external purposes in accordance with generally accepted accounting principles. A company’s internal co</w:t>
      </w:r>
      <w:r>
        <w:rPr>
          <w:sz w:val="20"/>
          <w:szCs w:val="20"/>
        </w:rPr>
        <w:t>ntrol over financial reporting includes those policies and procedures that (i) pertain to the maintenance of records that, in reasonable detail, accurately and fairly reflect the transactions and dispositions of the assets of the company; (ii) provide reas</w:t>
      </w:r>
      <w:r>
        <w:rPr>
          <w:sz w:val="20"/>
          <w:szCs w:val="20"/>
        </w:rPr>
        <w:t>onable assurance that transactions are recorded as necessary to permit preparation of financial statements in accordance with generally accepted accounting principles, and that receipts and expenditures of the company are being made only in accordance with</w:t>
      </w:r>
      <w:r>
        <w:rPr>
          <w:sz w:val="20"/>
          <w:szCs w:val="20"/>
        </w:rPr>
        <w:t xml:space="preserve"> authorizations of management and directors of the company; and (iii) provide reasonable assurance regarding prevention or timely detection of unauthorized acquisition, use, or disposition of the company’s assets that could have a material effect on the fi</w:t>
      </w:r>
      <w:r>
        <w:rPr>
          <w:sz w:val="20"/>
          <w:szCs w:val="20"/>
        </w:rPr>
        <w:t>nancial statements.</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w:t>
      </w:r>
      <w:r>
        <w:rPr>
          <w:sz w:val="20"/>
          <w:szCs w:val="20"/>
        </w:rPr>
        <w:t>ecome inadequate because of changes in conditions, or that the degree of compliance with the policies or procedures may deteriorate.</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b/>
          <w:bCs/>
          <w:i/>
          <w:iCs/>
          <w:sz w:val="20"/>
          <w:szCs w:val="20"/>
        </w:rPr>
        <w:t>Critical Audit Matters</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The critical audit matter communicated below is a matter arising from the current period audit of the consolidated financial statements that was communicated or required to be communicated to the audit committee and that (i) relates to accounts or disclosu</w:t>
      </w:r>
      <w:r>
        <w:rPr>
          <w:sz w:val="20"/>
          <w:szCs w:val="20"/>
        </w:rPr>
        <w:t>res that are material to the consolidated financial statements and (ii) involved our especially challenging, subjective, or complex judgments. The communication of critical audit matters does not alter in any way our opinion on the consolidated financial s</w:t>
      </w:r>
      <w:r>
        <w:rPr>
          <w:sz w:val="20"/>
          <w:szCs w:val="20"/>
        </w:rPr>
        <w:t>tatements, taken as a whole, and we are not, by communicating the critical audit matter below, providing a separate opinion on the critical audit matter or on the accounts or disclosures to which it relates.</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i/>
          <w:iCs/>
          <w:sz w:val="20"/>
          <w:szCs w:val="20"/>
        </w:rPr>
        <w:t>Analysis of Real Estate Properties for Indicat</w:t>
      </w:r>
      <w:r>
        <w:rPr>
          <w:i/>
          <w:iCs/>
          <w:sz w:val="20"/>
          <w:szCs w:val="20"/>
        </w:rPr>
        <w:t>ors of Impairment</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As described in Notes 1 and 6 to the consolidated financial statements, the net carrying value of the Company’s real estate net was $15.0 billion. On a continuous basis, management assesses whether there are indicators, including proper</w:t>
      </w:r>
      <w:r>
        <w:rPr>
          <w:sz w:val="20"/>
          <w:szCs w:val="20"/>
        </w:rPr>
        <w:t>ty operating performance, changes in anticipated holding period, and general market conditions, that the value of the Company’s real estate properties may be impaired. An impairment is recognized on properties held for use when the expected undiscounted ca</w:t>
      </w:r>
      <w:r>
        <w:rPr>
          <w:sz w:val="20"/>
          <w:szCs w:val="20"/>
        </w:rPr>
        <w:t>sh flows for a property are less than its carrying amount, at which time, the property is written-down to its estimated fair value.</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jc w:val="center"/>
        <w:divId w:val="566887760"/>
        <w:rPr>
          <w:rFonts w:eastAsia="Times New Roman"/>
          <w:sz w:val="20"/>
          <w:szCs w:val="20"/>
        </w:rPr>
      </w:pPr>
      <w:r>
        <w:rPr>
          <w:rFonts w:eastAsia="Times New Roman"/>
          <w:sz w:val="20"/>
          <w:szCs w:val="20"/>
        </w:rPr>
        <w:t xml:space="preserve">52 </w:t>
      </w:r>
    </w:p>
    <w:p w:rsidR="00000000" w:rsidRDefault="006954AA">
      <w:pPr>
        <w:divId w:val="29498839"/>
        <w:rPr>
          <w:rFonts w:eastAsia="Times New Roman"/>
          <w:sz w:val="20"/>
          <w:szCs w:val="20"/>
        </w:rPr>
      </w:pPr>
      <w:r>
        <w:rPr>
          <w:rFonts w:eastAsia="Times New Roman"/>
          <w:sz w:val="20"/>
          <w:szCs w:val="20"/>
        </w:rPr>
        <w:pict>
          <v:rect id="_x0000_i1087" style="width:415.3pt;height:1.5pt" o:hralign="center" o:hrstd="t" o:hrnoshade="t" o:hr="t" fillcolor="black" stroked="f"/>
        </w:pict>
      </w:r>
    </w:p>
    <w:p w:rsidR="00000000" w:rsidRDefault="006954AA">
      <w:pPr>
        <w:divId w:val="141617256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The principal considerations for our determination that performing procedures relating to the analysis of real estate properties for indicators of impairment of property carrying values is a critical audit matter are (i) the significant judgment by managem</w:t>
      </w:r>
      <w:r>
        <w:rPr>
          <w:sz w:val="20"/>
          <w:szCs w:val="20"/>
        </w:rPr>
        <w:t xml:space="preserve">ent to identify indicators of impairment related to property operating performance, changes in anticipated holding period, and general market conditions which led to (ii) a high degree of auditor judgment, subjectivity, and effort in performing procedures </w:t>
      </w:r>
      <w:r>
        <w:rPr>
          <w:sz w:val="20"/>
          <w:szCs w:val="20"/>
        </w:rPr>
        <w:t>and evaluating audit evidence related to management’s determination of impairment indicators related to property operating performance, changes in anticipated holding period, and general market conditions.</w:t>
      </w:r>
    </w:p>
    <w:p w:rsidR="00000000" w:rsidRDefault="006954AA">
      <w:pPr>
        <w:pStyle w:val="a3"/>
        <w:spacing w:before="0" w:beforeAutospacing="0" w:after="0" w:afterAutospacing="0"/>
        <w:jc w:val="both"/>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Addressing the matter involved performing proced</w:t>
      </w:r>
      <w:r>
        <w:rPr>
          <w:sz w:val="20"/>
          <w:szCs w:val="20"/>
        </w:rPr>
        <w:t>ures and evaluating audit evidence in connection with forming our overall opinion on the consolidated financial statements. These procedures included testing the effectiveness of controls relating to management’s analysis of real estate properties for indi</w:t>
      </w:r>
      <w:r>
        <w:rPr>
          <w:sz w:val="20"/>
          <w:szCs w:val="20"/>
        </w:rPr>
        <w:t>cators of impairment. These procedures also included, among others (i) testing management’s process for identifying real estate properties for indicators of impairment, (ii) evaluating the appropriateness of management’s undiscounted cash flow analysis, (i</w:t>
      </w:r>
      <w:r>
        <w:rPr>
          <w:sz w:val="20"/>
          <w:szCs w:val="20"/>
        </w:rPr>
        <w:t>ii) testing the underlying data used in the analysis, and (iv) evaluating the reasonableness of management’s determination of impairment indicators related to property operating performance, changes in anticipated holding period, and general market conditi</w:t>
      </w:r>
      <w:r>
        <w:rPr>
          <w:sz w:val="20"/>
          <w:szCs w:val="20"/>
        </w:rPr>
        <w:t>ons.  Evaluating the reasonableness of management’s determination of impairment indicators included (i) evaluating property operating performance and management’s intent with respect to holding or disposing of properties, (ii) evaluating the consistency of</w:t>
      </w:r>
      <w:r>
        <w:rPr>
          <w:sz w:val="20"/>
          <w:szCs w:val="20"/>
        </w:rPr>
        <w:t xml:space="preserve"> the sales prices utilized by management with external market and industry data, and (iii) assessing management’s considerations of general market conditions.</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jc w:val="both"/>
        <w:divId w:val="1070470201"/>
        <w:rPr>
          <w:sz w:val="20"/>
          <w:szCs w:val="20"/>
        </w:rPr>
      </w:pPr>
      <w:r>
        <w:rPr>
          <w:sz w:val="20"/>
          <w:szCs w:val="20"/>
        </w:rPr>
        <w:t>/s/ PricewaterhouseCoopers LLP</w:t>
      </w:r>
    </w:p>
    <w:p w:rsidR="00000000" w:rsidRDefault="006954AA">
      <w:pPr>
        <w:pStyle w:val="a3"/>
        <w:spacing w:before="0" w:beforeAutospacing="0" w:after="0" w:afterAutospacing="0"/>
        <w:jc w:val="both"/>
        <w:divId w:val="1070470201"/>
        <w:rPr>
          <w:sz w:val="20"/>
          <w:szCs w:val="20"/>
        </w:rPr>
      </w:pPr>
      <w:r>
        <w:rPr>
          <w:sz w:val="20"/>
          <w:szCs w:val="20"/>
        </w:rPr>
        <w:t>New York, New York</w:t>
      </w:r>
    </w:p>
    <w:p w:rsidR="00000000" w:rsidRDefault="006954AA">
      <w:pPr>
        <w:pStyle w:val="a3"/>
        <w:spacing w:before="0" w:beforeAutospacing="0" w:after="0" w:afterAutospacing="0"/>
        <w:jc w:val="both"/>
        <w:divId w:val="1070470201"/>
        <w:rPr>
          <w:sz w:val="20"/>
          <w:szCs w:val="20"/>
        </w:rPr>
      </w:pPr>
      <w:r>
        <w:rPr>
          <w:sz w:val="20"/>
          <w:szCs w:val="20"/>
        </w:rPr>
        <w:t>February 24, 2023</w:t>
      </w:r>
    </w:p>
    <w:p w:rsidR="00000000" w:rsidRDefault="006954AA">
      <w:pPr>
        <w:pStyle w:val="a3"/>
        <w:spacing w:before="0" w:beforeAutospacing="0" w:after="0" w:afterAutospacing="0"/>
        <w:divId w:val="1070470201"/>
        <w:rPr>
          <w:sz w:val="20"/>
          <w:szCs w:val="20"/>
        </w:rPr>
      </w:pPr>
      <w:r>
        <w:rPr>
          <w:sz w:val="20"/>
          <w:szCs w:val="20"/>
        </w:rPr>
        <w:t> </w:t>
      </w:r>
    </w:p>
    <w:p w:rsidR="00000000" w:rsidRDefault="006954AA">
      <w:pPr>
        <w:pStyle w:val="a3"/>
        <w:spacing w:before="0" w:beforeAutospacing="0" w:after="0" w:afterAutospacing="0"/>
        <w:divId w:val="1070470201"/>
        <w:rPr>
          <w:sz w:val="20"/>
          <w:szCs w:val="20"/>
        </w:rPr>
      </w:pPr>
      <w:r>
        <w:rPr>
          <w:sz w:val="20"/>
          <w:szCs w:val="20"/>
        </w:rPr>
        <w:t>We have served as the</w:t>
      </w:r>
      <w:r>
        <w:rPr>
          <w:sz w:val="20"/>
          <w:szCs w:val="20"/>
        </w:rPr>
        <w:t xml:space="preserve"> Company’s auditor since at least 1991.We have not been able to determine the specific year we began serving as auditor of the Company.</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444229244"/>
        <w:rPr>
          <w:rFonts w:eastAsia="Times New Roman"/>
          <w:sz w:val="20"/>
          <w:szCs w:val="20"/>
        </w:rPr>
      </w:pPr>
      <w:r>
        <w:rPr>
          <w:rFonts w:eastAsia="Times New Roman"/>
          <w:sz w:val="20"/>
          <w:szCs w:val="20"/>
        </w:rPr>
        <w:t xml:space="preserve">53 </w:t>
      </w:r>
    </w:p>
    <w:p w:rsidR="00000000" w:rsidRDefault="006954AA">
      <w:pPr>
        <w:divId w:val="1444229244"/>
        <w:rPr>
          <w:rFonts w:eastAsia="Times New Roman"/>
          <w:sz w:val="20"/>
          <w:szCs w:val="20"/>
        </w:rPr>
      </w:pPr>
      <w:r>
        <w:rPr>
          <w:rFonts w:eastAsia="Times New Roman"/>
          <w:sz w:val="20"/>
          <w:szCs w:val="20"/>
        </w:rPr>
        <w:pict>
          <v:rect id="_x0000_i1088" style="width:415.3pt;height:1.5pt" o:hralign="center" o:hrstd="t" o:hrnoshade="t" o:hr="t" fillcolor="black" stroked="f"/>
        </w:pict>
      </w:r>
    </w:p>
    <w:p w:rsidR="00000000" w:rsidRDefault="006954AA">
      <w:pPr>
        <w:divId w:val="1444229244"/>
        <w:rPr>
          <w:rFonts w:eastAsia="Times New Roman"/>
          <w:sz w:val="20"/>
          <w:szCs w:val="20"/>
        </w:rPr>
      </w:pPr>
      <w:r>
        <w:rPr>
          <w:rFonts w:eastAsia="Times New Roman"/>
          <w:sz w:val="20"/>
          <w:szCs w:val="20"/>
        </w:rPr>
        <w:t xml:space="preserve">  </w:t>
      </w:r>
    </w:p>
    <w:p w:rsidR="00000000" w:rsidRDefault="006954AA">
      <w:pPr>
        <w:divId w:val="593517631"/>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w:t>
      </w:r>
      <w:r>
        <w:rPr>
          <w:sz w:val="20"/>
          <w:szCs w:val="20"/>
        </w:rPr>
        <w:t>Y CORPORATION AND SUBSIDIARIES</w:t>
      </w:r>
    </w:p>
    <w:p w:rsidR="00000000" w:rsidRDefault="006954AA">
      <w:pPr>
        <w:pStyle w:val="a3"/>
        <w:spacing w:before="0" w:beforeAutospacing="0" w:after="0" w:afterAutospacing="0"/>
        <w:jc w:val="center"/>
        <w:rPr>
          <w:sz w:val="20"/>
          <w:szCs w:val="20"/>
        </w:rPr>
      </w:pPr>
      <w:r>
        <w:rPr>
          <w:sz w:val="20"/>
          <w:szCs w:val="20"/>
        </w:rPr>
        <w:t>CONSOLIDATED BALANCE SHEETS</w:t>
      </w:r>
    </w:p>
    <w:p w:rsidR="00000000" w:rsidRDefault="006954AA">
      <w:pPr>
        <w:pStyle w:val="a3"/>
        <w:spacing w:before="0" w:beforeAutospacing="0" w:after="0" w:afterAutospacing="0"/>
        <w:jc w:val="center"/>
        <w:rPr>
          <w:sz w:val="20"/>
          <w:szCs w:val="20"/>
        </w:rPr>
      </w:pPr>
      <w:r>
        <w:rPr>
          <w:sz w:val="20"/>
          <w:szCs w:val="20"/>
        </w:rPr>
        <w:t>(in thousands, except share data)</w:t>
      </w:r>
    </w:p>
    <w:p w:rsidR="00000000" w:rsidRDefault="006954AA">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827554468"/>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Real estate:</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900"/>
              <w:rPr>
                <w:sz w:val="20"/>
                <w:szCs w:val="20"/>
              </w:rPr>
            </w:pPr>
            <w:r>
              <w:rPr>
                <w:sz w:val="20"/>
                <w:szCs w:val="20"/>
              </w:rPr>
              <w:t>Land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4,124,542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3,984,447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900"/>
              <w:rPr>
                <w:sz w:val="20"/>
                <w:szCs w:val="20"/>
              </w:rPr>
            </w:pPr>
            <w:r>
              <w:rPr>
                <w:sz w:val="20"/>
                <w:szCs w:val="20"/>
              </w:rPr>
              <w:t>Building and 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14,332,700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14,067,824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900"/>
              <w:rPr>
                <w:sz w:val="20"/>
                <w:szCs w:val="20"/>
              </w:rPr>
            </w:pPr>
            <w:r>
              <w:rPr>
                <w:sz w:val="20"/>
                <w:szCs w:val="20"/>
              </w:rPr>
              <w:t>Real estate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18,457,242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18,052,271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900"/>
              <w:rPr>
                <w:sz w:val="20"/>
                <w:szCs w:val="20"/>
              </w:rPr>
            </w:pPr>
            <w:r>
              <w:rPr>
                <w:sz w:val="20"/>
                <w:szCs w:val="20"/>
              </w:rPr>
              <w:t>Less: accumulated depreciation and amortization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(3,417,414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(3,010,699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Total real estate,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15,039,828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15,041,572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1,091,551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1,006,899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Other investments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107,581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122,015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Cash and cash equivalents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149,829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334,663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Marketable securities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597,732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1,211,739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Accounts and notes receivable,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304,226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254,677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Deferred charges and prepaid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147,863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144,461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Operating lease right-of-use assets,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133,733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147,458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253,779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195,715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17,826,122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Notes payable,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6,780,969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7,027,050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Mortgages payable,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376,917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448,652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Accounts payable and accrued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207,815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220,308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Dividends payable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Operating lease liabilities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113,679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123,779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601,574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510,382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liabilities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8,086,280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8,335,537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Redeemable 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92,933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13,480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Commitments and contingencies (Footnote 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Stockholders' equity:</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900" w:hanging="36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shares; issued and outstanding (in series)</w:t>
            </w:r>
            <w:r>
              <w:rPr>
                <w:sz w:val="20"/>
                <w:szCs w:val="20"/>
              </w:rPr>
              <w:t xml:space="preserve"> </w:t>
            </w:r>
            <w:r>
              <w:rPr>
                <w:sz w:val="20"/>
                <w:szCs w:val="20"/>
              </w:rPr>
              <w:t>19,43</w:t>
            </w:r>
            <w:r>
              <w:rPr>
                <w:sz w:val="20"/>
                <w:szCs w:val="20"/>
              </w:rPr>
              <w:t>5</w:t>
            </w:r>
            <w:r>
              <w:rPr>
                <w:sz w:val="20"/>
                <w:szCs w:val="20"/>
              </w:rPr>
              <w:t xml:space="preserve"> and</w:t>
            </w:r>
            <w:r>
              <w:rPr>
                <w:sz w:val="20"/>
                <w:szCs w:val="20"/>
              </w:rPr>
              <w:t xml:space="preserve"> </w:t>
            </w:r>
            <w:r>
              <w:rPr>
                <w:sz w:val="20"/>
                <w:szCs w:val="20"/>
              </w:rPr>
              <w:t>19,58</w:t>
            </w:r>
            <w:r>
              <w:rPr>
                <w:sz w:val="20"/>
                <w:szCs w:val="20"/>
              </w:rPr>
              <w:t>0</w:t>
            </w:r>
            <w:r>
              <w:rPr>
                <w:sz w:val="20"/>
                <w:szCs w:val="20"/>
              </w:rPr>
              <w:t xml:space="preserve"> shares, respectively; aggregate liquidation preference </w:t>
            </w:r>
            <w:r>
              <w:rPr>
                <w:sz w:val="20"/>
                <w:szCs w:val="20"/>
              </w:rPr>
              <w:t>$</w:t>
            </w:r>
            <w:r>
              <w:rPr>
                <w:sz w:val="20"/>
                <w:szCs w:val="20"/>
              </w:rPr>
              <w:t>485,86</w:t>
            </w:r>
            <w:r>
              <w:rPr>
                <w:sz w:val="20"/>
                <w:szCs w:val="20"/>
              </w:rPr>
              <w:t>8</w:t>
            </w:r>
            <w:r>
              <w:rPr>
                <w:sz w:val="20"/>
                <w:szCs w:val="20"/>
              </w:rPr>
              <w:t xml:space="preserve"> and </w:t>
            </w:r>
            <w:r>
              <w:rPr>
                <w:sz w:val="20"/>
                <w:szCs w:val="20"/>
              </w:rPr>
              <w:t>$</w:t>
            </w:r>
            <w:r>
              <w:rPr>
                <w:sz w:val="20"/>
                <w:szCs w:val="20"/>
              </w:rPr>
              <w:t>489,50</w:t>
            </w:r>
            <w:r>
              <w:rPr>
                <w:sz w:val="20"/>
                <w:szCs w:val="20"/>
              </w:rPr>
              <w:t>0</w:t>
            </w:r>
            <w:r>
              <w:rPr>
                <w:sz w:val="20"/>
                <w:szCs w:val="20"/>
              </w:rPr>
              <w:t>, respectively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900" w:hanging="36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par value, </w:t>
            </w:r>
            <w:r>
              <w:rPr>
                <w:sz w:val="20"/>
                <w:szCs w:val="20"/>
              </w:rPr>
              <w:t>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618,483,56</w:t>
            </w:r>
            <w:r>
              <w:rPr>
                <w:sz w:val="20"/>
                <w:szCs w:val="20"/>
              </w:rPr>
              <w:t>5</w:t>
            </w:r>
            <w:r>
              <w:rPr>
                <w:sz w:val="20"/>
                <w:szCs w:val="20"/>
              </w:rPr>
              <w:t xml:space="preserve"> and</w:t>
            </w:r>
            <w:r>
              <w:rPr>
                <w:sz w:val="20"/>
                <w:szCs w:val="20"/>
              </w:rPr>
              <w:t xml:space="preserve"> </w:t>
            </w:r>
            <w:r>
              <w:rPr>
                <w:sz w:val="20"/>
                <w:szCs w:val="20"/>
              </w:rPr>
              <w:t>616,658,59</w:t>
            </w:r>
            <w:r>
              <w:rPr>
                <w:sz w:val="20"/>
                <w:szCs w:val="20"/>
              </w:rPr>
              <w:t>3</w:t>
            </w:r>
            <w:r>
              <w:rPr>
                <w:sz w:val="20"/>
                <w:szCs w:val="20"/>
              </w:rPr>
              <w:t xml:space="preserve"> shares, respectively</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6,185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Paid-in capital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9,618,271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9,591,871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(Cumulative distributions in excess of net income)/retained earnings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(119,548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299,115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Accumulated other comprehensive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10,581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9,515,508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9,899,389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131,401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210,793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equity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9,646,909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10,110,182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827554468"/>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17,826,122</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6" w:type="dxa"/>
            <w:hideMark/>
          </w:tcPr>
          <w:p w:rsidR="00000000" w:rsidRDefault="006954AA">
            <w:pPr>
              <w:pStyle w:val="a3"/>
              <w:spacing w:before="0" w:beforeAutospacing="0" w:after="0" w:afterAutospacing="0"/>
              <w:jc w:val="both"/>
              <w:rPr>
                <w:sz w:val="20"/>
                <w:szCs w:val="20"/>
              </w:rPr>
            </w:pPr>
            <w:r>
              <w:rPr>
                <w:sz w:val="20"/>
                <w:szCs w:val="20"/>
              </w:rPr>
              <w:t>Includes restricted assets of consolidated variable interest entities (“VIEs”) at December 31, 2022 and December 31, 2021 of $436,605 and $227,858, respectively. See Footnote 17 of the Notes to Consolidated Financial Statements.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64"/>
        <w:gridCol w:w="6242"/>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(2)</w:t>
            </w:r>
          </w:p>
        </w:tc>
        <w:tc>
          <w:tcPr>
            <w:tcW w:w="6" w:type="dxa"/>
            <w:hideMark/>
          </w:tcPr>
          <w:p w:rsidR="00000000" w:rsidRDefault="006954AA">
            <w:pPr>
              <w:pStyle w:val="a3"/>
              <w:spacing w:before="0" w:beforeAutospacing="0" w:after="0" w:afterAutospacing="0"/>
              <w:jc w:val="both"/>
              <w:rPr>
                <w:sz w:val="20"/>
                <w:szCs w:val="20"/>
              </w:rPr>
            </w:pPr>
            <w:r>
              <w:rPr>
                <w:sz w:val="20"/>
                <w:szCs w:val="20"/>
              </w:rPr>
              <w:t>Includes non-recourse</w:t>
            </w:r>
            <w:r>
              <w:rPr>
                <w:sz w:val="20"/>
                <w:szCs w:val="20"/>
              </w:rPr>
              <w:t xml:space="preserve"> liabilities of consolidated VIEs at December 31, 2022 and December 31, 2021 of $199,132 and $153,924, respectively. See Footnote 17 of the Notes to Consolidated Financial Statements.</w:t>
            </w:r>
          </w:p>
        </w:tc>
      </w:tr>
    </w:tbl>
    <w:p w:rsidR="00000000" w:rsidRDefault="006954AA">
      <w:pPr>
        <w:pStyle w:val="a3"/>
        <w:spacing w:before="0" w:beforeAutospacing="0" w:after="0" w:afterAutospacing="0"/>
        <w:ind w:firstLine="144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54AA">
      <w:pPr>
        <w:pStyle w:val="a3"/>
        <w:spacing w:before="0" w:beforeAutospacing="0" w:after="0" w:afterAutospacing="0"/>
        <w:jc w:val="center"/>
        <w:rPr>
          <w:sz w:val="20"/>
          <w:szCs w:val="20"/>
        </w:rPr>
      </w:pPr>
      <w:r>
        <w:rPr>
          <w:sz w:val="20"/>
          <w:szCs w:val="20"/>
        </w:rPr>
        <w:t> </w:t>
      </w:r>
    </w:p>
    <w:p w:rsidR="00000000" w:rsidRDefault="006954AA">
      <w:pPr>
        <w:jc w:val="center"/>
        <w:divId w:val="51856725"/>
        <w:rPr>
          <w:rFonts w:eastAsia="Times New Roman"/>
          <w:sz w:val="20"/>
          <w:szCs w:val="20"/>
        </w:rPr>
      </w:pPr>
      <w:r>
        <w:rPr>
          <w:rFonts w:eastAsia="Times New Roman"/>
          <w:sz w:val="20"/>
          <w:szCs w:val="20"/>
        </w:rPr>
        <w:t xml:space="preserve">54 </w:t>
      </w:r>
    </w:p>
    <w:p w:rsidR="00000000" w:rsidRDefault="006954AA">
      <w:pPr>
        <w:divId w:val="51856725"/>
        <w:rPr>
          <w:rFonts w:eastAsia="Times New Roman"/>
          <w:sz w:val="20"/>
          <w:szCs w:val="20"/>
        </w:rPr>
      </w:pPr>
      <w:r>
        <w:rPr>
          <w:rFonts w:eastAsia="Times New Roman"/>
          <w:sz w:val="20"/>
          <w:szCs w:val="20"/>
        </w:rPr>
        <w:pict>
          <v:rect id="_x0000_i1089" style="width:415.3pt;height:1.5pt" o:hralign="center" o:hrstd="t" o:hrnoshade="t" o:hr="t" fillcolor="black" stroked="f"/>
        </w:pict>
      </w:r>
    </w:p>
    <w:p w:rsidR="00000000" w:rsidRDefault="006954AA">
      <w:pPr>
        <w:divId w:val="51856725"/>
        <w:rPr>
          <w:rFonts w:eastAsia="Times New Roman"/>
          <w:sz w:val="20"/>
          <w:szCs w:val="20"/>
        </w:rPr>
      </w:pPr>
      <w:r>
        <w:rPr>
          <w:rFonts w:eastAsia="Times New Roman"/>
          <w:sz w:val="20"/>
          <w:szCs w:val="20"/>
        </w:rPr>
        <w:t xml:space="preserve">  </w:t>
      </w:r>
    </w:p>
    <w:p w:rsidR="00000000" w:rsidRDefault="006954AA">
      <w:pPr>
        <w:divId w:val="1494639562"/>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REALTY CORPORATION AND SUBSIDIARIES</w:t>
      </w:r>
    </w:p>
    <w:p w:rsidR="00000000" w:rsidRDefault="006954AA">
      <w:pPr>
        <w:pStyle w:val="a3"/>
        <w:spacing w:before="0" w:beforeAutospacing="0" w:after="0" w:afterAutospacing="0"/>
        <w:jc w:val="center"/>
        <w:rPr>
          <w:sz w:val="20"/>
          <w:szCs w:val="20"/>
        </w:rPr>
      </w:pPr>
      <w:r>
        <w:rPr>
          <w:sz w:val="20"/>
          <w:szCs w:val="20"/>
        </w:rPr>
        <w:t>CONSOLIDATED STATEMENTS OF INCOME</w:t>
      </w:r>
    </w:p>
    <w:p w:rsidR="00000000" w:rsidRDefault="006954AA">
      <w:pPr>
        <w:pStyle w:val="a3"/>
        <w:spacing w:before="0" w:beforeAutospacing="0" w:after="0" w:afterAutospacing="0"/>
        <w:jc w:val="center"/>
        <w:rPr>
          <w:sz w:val="20"/>
          <w:szCs w:val="20"/>
        </w:rPr>
      </w:pPr>
      <w:r>
        <w:rPr>
          <w:sz w:val="20"/>
          <w:szCs w:val="20"/>
        </w:rPr>
        <w:t>(in thousands, except per share data)</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862204609"/>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r>
      <w:tr w:rsidR="00000000">
        <w:trPr>
          <w:divId w:val="862204609"/>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1,710,848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1,349,702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1,044,888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16,836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14,883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13,005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1080"/>
              <w:rPr>
                <w:sz w:val="20"/>
                <w:szCs w:val="20"/>
              </w:rPr>
            </w:pPr>
            <w:r>
              <w:rPr>
                <w:sz w:val="20"/>
                <w:szCs w:val="20"/>
              </w:rPr>
              <w:t>Total revenues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1,727,684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1,364,585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1,057,893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(15,811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(13,773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(11,270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(224,729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(181,256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r>
              <w:rPr>
                <w:rFonts w:eastAsia="Times New Roman"/>
                <w:sz w:val="20"/>
                <w:szCs w:val="20"/>
              </w:rPr>
              <w:t>157,661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(290,367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(222,882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(174,038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(119,534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(104,121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(93,217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(21,958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Merger charges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(505,000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(395,320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(288,955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1080"/>
              <w:rPr>
                <w:sz w:val="20"/>
                <w:szCs w:val="20"/>
              </w:rPr>
            </w:pPr>
            <w:r>
              <w:rPr>
                <w:sz w:val="20"/>
                <w:szCs w:val="20"/>
              </w:rPr>
              <w:t>Total operating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(1,177,399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(971,140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(731,765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15,179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30,841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6,484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565,464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424,286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332,612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Other income,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28,829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19,810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4,119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(Loss)/gain on marketable securities,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(315,508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505,163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594,753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Gain on sale of cost method investment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Interest expense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(226,823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(204,133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(186,904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(7,658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(7,538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investments,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44,304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745,126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927,874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Provision for income taxes,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(56,654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(3,380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109,481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84,778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47,353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Equity in income of other investments,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17,403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23,172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28,628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Net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114,534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849,696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Net loss/(income) attributable to 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11,442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(5,637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(2,044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Net income attributable to the Company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125,976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844,059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1,000,833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Preferred dividends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(25,218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(25,416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(25,416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100,758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818,643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975,417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tcMar>
              <w:top w:w="0" w:type="dxa"/>
              <w:left w:w="540" w:type="dxa"/>
              <w:bottom w:w="0" w:type="dxa"/>
              <w:right w:w="0" w:type="dxa"/>
            </w:tcMar>
            <w:vAlign w:val="center"/>
            <w:hideMark/>
          </w:tcPr>
          <w:p w:rsidR="00000000" w:rsidRDefault="006954AA">
            <w:pPr>
              <w:rPr>
                <w:rFonts w:eastAsia="Times New Roman"/>
                <w:sz w:val="20"/>
                <w:szCs w:val="20"/>
              </w:rPr>
            </w:pPr>
            <w:r>
              <w:rPr>
                <w:rFonts w:eastAsia="Times New Roman"/>
                <w:sz w:val="20"/>
                <w:szCs w:val="20"/>
              </w:rPr>
              <w:t>Net income available to the Company's common shareholders:</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-Basic</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0.16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1.61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720"/>
              <w:rPr>
                <w:sz w:val="20"/>
                <w:szCs w:val="20"/>
              </w:rPr>
            </w:pPr>
            <w:r>
              <w:rPr>
                <w:sz w:val="20"/>
                <w:szCs w:val="20"/>
              </w:rPr>
              <w:t>-Diluted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0.16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2.25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-Basic</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615,528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506,248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429,950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862204609"/>
          <w:tblCellSpacing w:w="0" w:type="dxa"/>
        </w:trPr>
        <w:tc>
          <w:tcPr>
            <w:tcW w:w="0" w:type="auto"/>
            <w:shd w:val="clear" w:color="auto" w:fill="CCEEFF"/>
            <w:vAlign w:val="bottom"/>
            <w:hideMark/>
          </w:tcPr>
          <w:p w:rsidR="00000000" w:rsidRDefault="006954AA">
            <w:pPr>
              <w:pStyle w:val="a3"/>
              <w:spacing w:before="0" w:beforeAutospacing="0" w:after="0" w:afterAutospacing="0"/>
              <w:ind w:left="720"/>
              <w:rPr>
                <w:sz w:val="20"/>
                <w:szCs w:val="20"/>
              </w:rPr>
            </w:pPr>
            <w:r>
              <w:rPr>
                <w:sz w:val="20"/>
                <w:szCs w:val="20"/>
              </w:rPr>
              <w:t>-Diluted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617,858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511,385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431,633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961963585"/>
        <w:rPr>
          <w:rFonts w:eastAsia="Times New Roman"/>
          <w:sz w:val="20"/>
          <w:szCs w:val="20"/>
        </w:rPr>
      </w:pPr>
      <w:r>
        <w:rPr>
          <w:rFonts w:eastAsia="Times New Roman"/>
          <w:sz w:val="20"/>
          <w:szCs w:val="20"/>
        </w:rPr>
        <w:t xml:space="preserve">55 </w:t>
      </w:r>
    </w:p>
    <w:p w:rsidR="00000000" w:rsidRDefault="006954AA">
      <w:pPr>
        <w:divId w:val="1900361757"/>
        <w:rPr>
          <w:rFonts w:eastAsia="Times New Roman"/>
          <w:sz w:val="20"/>
          <w:szCs w:val="20"/>
        </w:rPr>
      </w:pPr>
      <w:r>
        <w:rPr>
          <w:rFonts w:eastAsia="Times New Roman"/>
          <w:sz w:val="20"/>
          <w:szCs w:val="20"/>
        </w:rPr>
        <w:pict>
          <v:rect id="_x0000_i1090" style="width:415.3pt;height:1.5pt" o:hralign="center" o:hrstd="t" o:hrnoshade="t" o:hr="t" fillcolor="black" stroked="f"/>
        </w:pict>
      </w:r>
    </w:p>
    <w:p w:rsidR="00000000" w:rsidRDefault="006954AA">
      <w:pPr>
        <w:divId w:val="2068524209"/>
        <w:rPr>
          <w:rFonts w:eastAsia="Times New Roman"/>
          <w:sz w:val="20"/>
          <w:szCs w:val="20"/>
        </w:rPr>
      </w:pPr>
      <w:r>
        <w:rPr>
          <w:rFonts w:eastAsia="Times New Roman"/>
          <w:sz w:val="20"/>
          <w:szCs w:val="20"/>
        </w:rPr>
        <w:t xml:space="preserve">  </w:t>
      </w:r>
    </w:p>
    <w:p w:rsidR="00000000" w:rsidRDefault="006954AA">
      <w:pPr>
        <w:divId w:val="1056319234"/>
        <w:rPr>
          <w:rFonts w:eastAsia="Times New Roman"/>
          <w:sz w:val="20"/>
          <w:szCs w:val="20"/>
        </w:rPr>
      </w:pPr>
      <w:r>
        <w:rPr>
          <w:rFonts w:eastAsia="Times New Roman"/>
          <w:sz w:val="20"/>
          <w:szCs w:val="20"/>
        </w:rPr>
        <w:t> </w:t>
      </w: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REALTY CORPORATION AND SUBSIDIARIES</w:t>
      </w:r>
    </w:p>
    <w:p w:rsidR="00000000" w:rsidRDefault="006954AA">
      <w:pPr>
        <w:pStyle w:val="a3"/>
        <w:spacing w:before="0" w:beforeAutospacing="0" w:after="0" w:afterAutospacing="0"/>
        <w:jc w:val="center"/>
        <w:rPr>
          <w:sz w:val="20"/>
          <w:szCs w:val="20"/>
        </w:rPr>
      </w:pPr>
      <w:r>
        <w:rPr>
          <w:sz w:val="20"/>
          <w:szCs w:val="20"/>
        </w:rPr>
        <w:t>CONSOLIDATED STATEMENTS OF COMPREHENSIVE INCOME</w:t>
      </w:r>
    </w:p>
    <w:p w:rsidR="00000000" w:rsidRDefault="006954AA">
      <w:pPr>
        <w:pStyle w:val="a3"/>
        <w:spacing w:before="0" w:beforeAutospacing="0" w:after="0" w:afterAutospacing="0"/>
        <w:jc w:val="center"/>
        <w:rPr>
          <w:sz w:val="20"/>
          <w:szCs w:val="20"/>
        </w:rPr>
      </w:pPr>
      <w:r>
        <w:rPr>
          <w:sz w:val="20"/>
          <w:szCs w:val="20"/>
        </w:rPr>
        <w:t>(in thousands)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26101937"/>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r>
      <w:tr w:rsidR="00000000">
        <w:trPr>
          <w:divId w:val="26101937"/>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2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114,534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849,696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1,002,877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Change in unrealized gains related to defined benefit plan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8,365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comprehensive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8,365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122,899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851,912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Comprehensive loss/(income) attributable to 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11,442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(5,637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(2,044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26101937"/>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26101937"/>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134,341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846,275</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1,000,833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33201565"/>
        <w:rPr>
          <w:rFonts w:eastAsia="Times New Roman"/>
          <w:sz w:val="20"/>
          <w:szCs w:val="20"/>
        </w:rPr>
      </w:pPr>
      <w:r>
        <w:rPr>
          <w:rFonts w:eastAsia="Times New Roman"/>
          <w:sz w:val="20"/>
          <w:szCs w:val="20"/>
        </w:rPr>
        <w:t xml:space="preserve">56 </w:t>
      </w:r>
    </w:p>
    <w:p w:rsidR="00000000" w:rsidRDefault="006954AA">
      <w:pPr>
        <w:divId w:val="1191651674"/>
        <w:rPr>
          <w:rFonts w:eastAsia="Times New Roman"/>
          <w:sz w:val="20"/>
          <w:szCs w:val="20"/>
        </w:rPr>
      </w:pPr>
      <w:r>
        <w:rPr>
          <w:rFonts w:eastAsia="Times New Roman"/>
          <w:sz w:val="20"/>
          <w:szCs w:val="20"/>
        </w:rPr>
        <w:pict>
          <v:rect id="_x0000_i1091" style="width:415.3pt;height:1.5pt" o:hralign="center" o:hrstd="t" o:hrnoshade="t" o:hr="t" fillcolor="black" stroked="f"/>
        </w:pict>
      </w:r>
    </w:p>
    <w:p w:rsidR="00000000" w:rsidRDefault="006954AA">
      <w:pPr>
        <w:divId w:val="2087922992"/>
        <w:rPr>
          <w:rFonts w:eastAsia="Times New Roman"/>
          <w:sz w:val="20"/>
          <w:szCs w:val="20"/>
        </w:rPr>
      </w:pPr>
      <w:r>
        <w:rPr>
          <w:rFonts w:eastAsia="Times New Roman"/>
          <w:sz w:val="20"/>
          <w:szCs w:val="20"/>
        </w:rPr>
        <w:t xml:space="preserve">  </w:t>
      </w:r>
    </w:p>
    <w:p w:rsidR="00000000" w:rsidRDefault="006954AA">
      <w:pPr>
        <w:divId w:val="2013874339"/>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REALTY CORPORATION AND SUBSIDIARIES</w:t>
      </w:r>
    </w:p>
    <w:p w:rsidR="00000000" w:rsidRDefault="006954AA">
      <w:pPr>
        <w:pStyle w:val="a3"/>
        <w:spacing w:before="0" w:beforeAutospacing="0" w:after="0" w:afterAutospacing="0"/>
        <w:jc w:val="center"/>
        <w:rPr>
          <w:sz w:val="20"/>
          <w:szCs w:val="20"/>
        </w:rPr>
      </w:pPr>
      <w:r>
        <w:rPr>
          <w:sz w:val="20"/>
          <w:szCs w:val="20"/>
        </w:rPr>
        <w:t>CONSOLIDATED STATEMENTS OF CHANGES IN</w:t>
      </w:r>
      <w:r>
        <w:rPr>
          <w:sz w:val="20"/>
          <w:szCs w:val="20"/>
        </w:rPr>
        <w:t xml:space="preserve"> EQUITY</w:t>
      </w:r>
    </w:p>
    <w:p w:rsidR="00000000" w:rsidRDefault="006954AA">
      <w:pPr>
        <w:pStyle w:val="a3"/>
        <w:spacing w:before="0" w:beforeAutospacing="0" w:after="0" w:afterAutospacing="0"/>
        <w:jc w:val="center"/>
        <w:rPr>
          <w:sz w:val="20"/>
          <w:szCs w:val="20"/>
        </w:rPr>
      </w:pPr>
      <w:r>
        <w:rPr>
          <w:sz w:val="20"/>
          <w:szCs w:val="20"/>
        </w:rPr>
        <w:t>For the Years Ended December 31, 2022, 2021 and 2020</w:t>
      </w:r>
    </w:p>
    <w:p w:rsidR="00000000" w:rsidRDefault="006954AA">
      <w:pPr>
        <w:pStyle w:val="a3"/>
        <w:spacing w:before="0" w:beforeAutospacing="0" w:after="0" w:afterAutospacing="0"/>
        <w:jc w:val="center"/>
        <w:rPr>
          <w:sz w:val="20"/>
          <w:szCs w:val="20"/>
        </w:rPr>
      </w:pPr>
      <w:r>
        <w:rPr>
          <w:sz w:val="20"/>
          <w:szCs w:val="20"/>
        </w:rPr>
        <w:t>(in thousands)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150"/>
        <w:gridCol w:w="748"/>
        <w:gridCol w:w="54"/>
        <w:gridCol w:w="40"/>
        <w:gridCol w:w="178"/>
        <w:gridCol w:w="889"/>
        <w:gridCol w:w="40"/>
        <w:gridCol w:w="40"/>
        <w:gridCol w:w="73"/>
        <w:gridCol w:w="364"/>
        <w:gridCol w:w="55"/>
        <w:gridCol w:w="47"/>
        <w:gridCol w:w="94"/>
        <w:gridCol w:w="467"/>
        <w:gridCol w:w="54"/>
        <w:gridCol w:w="40"/>
        <w:gridCol w:w="40"/>
        <w:gridCol w:w="520"/>
        <w:gridCol w:w="54"/>
        <w:gridCol w:w="40"/>
        <w:gridCol w:w="94"/>
        <w:gridCol w:w="467"/>
        <w:gridCol w:w="54"/>
        <w:gridCol w:w="40"/>
        <w:gridCol w:w="80"/>
        <w:gridCol w:w="640"/>
        <w:gridCol w:w="54"/>
        <w:gridCol w:w="40"/>
        <w:gridCol w:w="156"/>
        <w:gridCol w:w="778"/>
        <w:gridCol w:w="54"/>
        <w:gridCol w:w="40"/>
        <w:gridCol w:w="172"/>
        <w:gridCol w:w="860"/>
        <w:gridCol w:w="54"/>
        <w:gridCol w:w="40"/>
        <w:gridCol w:w="80"/>
        <w:gridCol w:w="720"/>
        <w:gridCol w:w="54"/>
      </w:tblGrid>
      <w:tr w:rsidR="00000000">
        <w:trPr>
          <w:divId w:val="729617213"/>
          <w:tblCellSpacing w:w="0" w:type="dxa"/>
        </w:trPr>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vAlign w:val="bottom"/>
            <w:hideMark/>
          </w:tcPr>
          <w:p w:rsidR="00000000" w:rsidRDefault="006954AA">
            <w:pPr>
              <w:pStyle w:val="a3"/>
              <w:spacing w:before="0" w:beforeAutospacing="0" w:after="0" w:afterAutospacing="0"/>
              <w:jc w:val="center"/>
              <w:rPr>
                <w:sz w:val="16"/>
                <w:szCs w:val="16"/>
              </w:rPr>
            </w:pPr>
            <w:r>
              <w:rPr>
                <w:sz w:val="16"/>
                <w:szCs w:val="16"/>
              </w:rPr>
              <w:t> </w:t>
            </w:r>
          </w:p>
          <w:p w:rsidR="00000000" w:rsidRDefault="006954AA">
            <w:pPr>
              <w:jc w:val="center"/>
              <w:rPr>
                <w:rFonts w:eastAsia="Times New Roman"/>
                <w:sz w:val="16"/>
                <w:szCs w:val="16"/>
              </w:rPr>
            </w:pPr>
            <w:r>
              <w:rPr>
                <w:rFonts w:eastAsia="Times New Roman"/>
                <w:b/>
                <w:bCs/>
                <w:sz w:val="16"/>
                <w:szCs w:val="16"/>
              </w:rPr>
              <w:t>(Cumulative Distributions in </w:t>
            </w:r>
            <w:r>
              <w:rPr>
                <w:rFonts w:eastAsia="Times New Roman"/>
                <w:sz w:val="16"/>
                <w:szCs w:val="16"/>
              </w:rPr>
              <w:t xml:space="preserve"> </w:t>
            </w:r>
          </w:p>
          <w:p w:rsidR="00000000" w:rsidRDefault="006954AA">
            <w:pPr>
              <w:pStyle w:val="a3"/>
              <w:spacing w:before="0" w:beforeAutospacing="0" w:after="0" w:afterAutospacing="0"/>
              <w:jc w:val="center"/>
              <w:rPr>
                <w:sz w:val="16"/>
                <w:szCs w:val="16"/>
              </w:rPr>
            </w:pPr>
            <w:r>
              <w:rPr>
                <w:b/>
                <w:bCs/>
                <w:sz w:val="16"/>
                <w:szCs w:val="16"/>
              </w:rPr>
              <w:t>Excess of Net Income)/ </w:t>
            </w:r>
          </w:p>
          <w:p w:rsidR="00000000" w:rsidRDefault="006954AA">
            <w:pPr>
              <w:jc w:val="center"/>
              <w:rPr>
                <w:rFonts w:eastAsia="Times New Roman"/>
                <w:sz w:val="16"/>
                <w:szCs w:val="16"/>
              </w:rPr>
            </w:pPr>
            <w:r>
              <w:rPr>
                <w:rFonts w:eastAsia="Times New Roman"/>
                <w:b/>
                <w:bCs/>
                <w:sz w:val="16"/>
                <w:szCs w:val="16"/>
              </w:rPr>
              <w:t>Retained</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vAlign w:val="bottom"/>
            <w:hideMark/>
          </w:tcPr>
          <w:p w:rsidR="00000000" w:rsidRDefault="006954AA">
            <w:pPr>
              <w:pStyle w:val="a3"/>
              <w:spacing w:before="0" w:beforeAutospacing="0" w:after="0" w:afterAutospacing="0"/>
              <w:jc w:val="center"/>
              <w:rPr>
                <w:sz w:val="16"/>
                <w:szCs w:val="16"/>
              </w:rPr>
            </w:pPr>
            <w:r>
              <w:rPr>
                <w:sz w:val="16"/>
                <w:szCs w:val="16"/>
              </w:rPr>
              <w:t> </w:t>
            </w:r>
          </w:p>
          <w:p w:rsidR="00000000" w:rsidRDefault="006954AA">
            <w:pPr>
              <w:jc w:val="center"/>
              <w:rPr>
                <w:rFonts w:eastAsia="Times New Roman"/>
                <w:sz w:val="16"/>
                <w:szCs w:val="16"/>
              </w:rPr>
            </w:pPr>
            <w:r>
              <w:rPr>
                <w:rFonts w:eastAsia="Times New Roman"/>
                <w:b/>
                <w:bCs/>
                <w:sz w:val="16"/>
                <w:szCs w:val="16"/>
              </w:rPr>
              <w:t>Accumulated Other </w:t>
            </w:r>
            <w:r>
              <w:rPr>
                <w:rFonts w:eastAsia="Times New Roman"/>
                <w:sz w:val="16"/>
                <w:szCs w:val="16"/>
              </w:rPr>
              <w:t xml:space="preserve"> </w:t>
            </w:r>
          </w:p>
          <w:p w:rsidR="00000000" w:rsidRDefault="006954AA">
            <w:pPr>
              <w:pStyle w:val="a3"/>
              <w:spacing w:before="0" w:beforeAutospacing="0" w:after="0" w:afterAutospacing="0"/>
              <w:jc w:val="center"/>
              <w:rPr>
                <w:sz w:val="16"/>
                <w:szCs w:val="16"/>
              </w:rPr>
            </w:pPr>
            <w:r>
              <w:rPr>
                <w:b/>
                <w:bCs/>
                <w:sz w:val="16"/>
                <w:szCs w:val="16"/>
              </w:rPr>
              <w:t>Comprehensive</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Preferred Stock</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Common Stock</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vAlign w:val="bottom"/>
            <w:hideMark/>
          </w:tcPr>
          <w:p w:rsidR="00000000" w:rsidRDefault="006954AA">
            <w:pPr>
              <w:pStyle w:val="a3"/>
              <w:spacing w:before="0" w:beforeAutospacing="0" w:after="0" w:afterAutospacing="0"/>
              <w:jc w:val="center"/>
              <w:rPr>
                <w:sz w:val="16"/>
                <w:szCs w:val="16"/>
              </w:rPr>
            </w:pPr>
            <w:r>
              <w:rPr>
                <w:b/>
                <w:bCs/>
                <w:sz w:val="16"/>
                <w:szCs w:val="16"/>
              </w:rPr>
              <w:t>Paid-in</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vAlign w:val="bottom"/>
            <w:hideMark/>
          </w:tcPr>
          <w:p w:rsidR="00000000" w:rsidRDefault="006954AA">
            <w:pPr>
              <w:pStyle w:val="a3"/>
              <w:spacing w:before="0" w:beforeAutospacing="0" w:after="0" w:afterAutospacing="0"/>
              <w:jc w:val="center"/>
              <w:rPr>
                <w:sz w:val="16"/>
                <w:szCs w:val="16"/>
              </w:rPr>
            </w:pPr>
            <w:r>
              <w:rPr>
                <w:sz w:val="16"/>
                <w:szCs w:val="16"/>
              </w:rPr>
              <w:t> </w:t>
            </w:r>
          </w:p>
          <w:p w:rsidR="00000000" w:rsidRDefault="006954AA">
            <w:pPr>
              <w:jc w:val="center"/>
              <w:rPr>
                <w:rFonts w:eastAsia="Times New Roman"/>
                <w:sz w:val="16"/>
                <w:szCs w:val="16"/>
              </w:rPr>
            </w:pPr>
            <w:r>
              <w:rPr>
                <w:rFonts w:eastAsia="Times New Roman"/>
                <w:b/>
                <w:bCs/>
                <w:sz w:val="16"/>
                <w:szCs w:val="16"/>
              </w:rPr>
              <w:t>Total </w:t>
            </w:r>
            <w:r>
              <w:rPr>
                <w:rFonts w:eastAsia="Times New Roman"/>
                <w:sz w:val="16"/>
                <w:szCs w:val="16"/>
              </w:rPr>
              <w:t xml:space="preserve"> </w:t>
            </w:r>
          </w:p>
          <w:p w:rsidR="00000000" w:rsidRDefault="006954AA">
            <w:pPr>
              <w:pStyle w:val="a3"/>
              <w:spacing w:before="0" w:beforeAutospacing="0" w:after="0" w:afterAutospacing="0"/>
              <w:jc w:val="center"/>
              <w:rPr>
                <w:sz w:val="16"/>
                <w:szCs w:val="16"/>
              </w:rPr>
            </w:pPr>
            <w:r>
              <w:rPr>
                <w:b/>
                <w:bCs/>
                <w:sz w:val="16"/>
                <w:szCs w:val="16"/>
              </w:rPr>
              <w:t>Stockholders'</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vAlign w:val="bottom"/>
            <w:hideMark/>
          </w:tcPr>
          <w:p w:rsidR="00000000" w:rsidRDefault="006954AA">
            <w:pPr>
              <w:pStyle w:val="a3"/>
              <w:spacing w:before="0" w:beforeAutospacing="0" w:after="0" w:afterAutospacing="0"/>
              <w:jc w:val="center"/>
              <w:rPr>
                <w:sz w:val="16"/>
                <w:szCs w:val="16"/>
              </w:rPr>
            </w:pPr>
            <w:r>
              <w:rPr>
                <w:b/>
                <w:bCs/>
                <w:sz w:val="16"/>
                <w:szCs w:val="16"/>
              </w:rPr>
              <w:t>Noncontrolling</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vAlign w:val="bottom"/>
            <w:hideMark/>
          </w:tcPr>
          <w:p w:rsidR="00000000" w:rsidRDefault="006954AA">
            <w:pPr>
              <w:pStyle w:val="a3"/>
              <w:spacing w:before="0" w:beforeAutospacing="0" w:after="0" w:afterAutospacing="0"/>
              <w:jc w:val="center"/>
              <w:rPr>
                <w:sz w:val="16"/>
                <w:szCs w:val="16"/>
              </w:rPr>
            </w:pPr>
            <w:r>
              <w:rPr>
                <w:b/>
                <w:bCs/>
                <w:sz w:val="16"/>
                <w:szCs w:val="16"/>
              </w:rPr>
              <w:t>Total</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r>
      <w:tr w:rsidR="00000000">
        <w:trPr>
          <w:divId w:val="729617213"/>
          <w:tblCellSpacing w:w="0" w:type="dxa"/>
        </w:trPr>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Earnings</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Income</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Issued</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Amount</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Issued</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Amount</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Capital</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Equity</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Interests</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6954AA">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16"/>
                <w:szCs w:val="16"/>
              </w:rPr>
            </w:pPr>
            <w:r>
              <w:rPr>
                <w:b/>
                <w:bCs/>
                <w:sz w:val="16"/>
                <w:szCs w:val="16"/>
              </w:rPr>
              <w:t>Equity</w:t>
            </w:r>
          </w:p>
        </w:tc>
        <w:tc>
          <w:tcPr>
            <w:tcW w:w="0" w:type="auto"/>
            <w:tcMar>
              <w:top w:w="0" w:type="dxa"/>
              <w:left w:w="0" w:type="dxa"/>
              <w:bottom w:w="15" w:type="dxa"/>
              <w:right w:w="0" w:type="dxa"/>
            </w:tcMar>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1000" w:type="pct"/>
            <w:shd w:val="clear" w:color="auto" w:fill="CCEEFF"/>
            <w:vAlign w:val="bottom"/>
            <w:hideMark/>
          </w:tcPr>
          <w:p w:rsidR="00000000" w:rsidRDefault="006954AA">
            <w:pPr>
              <w:pStyle w:val="a3"/>
              <w:spacing w:before="0" w:beforeAutospacing="0" w:after="0" w:afterAutospacing="0"/>
              <w:rPr>
                <w:sz w:val="16"/>
                <w:szCs w:val="16"/>
              </w:rPr>
            </w:pPr>
            <w:r>
              <w:rPr>
                <w:sz w:val="16"/>
                <w:szCs w:val="16"/>
              </w:rPr>
              <w:t>Balance, January 1, 2020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(904,679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431,815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4,318</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5,765,233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4,864,892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64,015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4,928,907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Contributions from noncontrolling interests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149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149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1,000,833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1,000,833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2,044</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1,002,877</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(1,022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(1,022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(1,705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(1,705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944</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(303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(5,392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(5,395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(5,395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980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Acquisition of noncontrolling interests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(19,348</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(19,348</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r>
              <w:rPr>
                <w:rFonts w:eastAsia="Times New Roman"/>
                <w:sz w:val="16"/>
                <w:szCs w:val="16"/>
              </w:rPr>
              <w:t>1,271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(20,619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Adjustment of redeemable noncontrolling interests to estimated fair value</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2,160</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2,160</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2,160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Balance, December 31, 2020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(162,812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432,519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4,325</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5,766,511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5,608,044</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62,210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5,670,254</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Comprehensive income:</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16"/>
                <w:szCs w:val="16"/>
              </w:rPr>
            </w:pPr>
            <w:r>
              <w:rPr>
                <w:sz w:val="16"/>
                <w:szCs w:val="16"/>
              </w:rPr>
              <w:t>Net income</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844,059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844,059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5,637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849,696</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16"/>
                <w:szCs w:val="16"/>
              </w:rPr>
            </w:pPr>
            <w:r>
              <w:rPr>
                <w:sz w:val="16"/>
                <w:szCs w:val="16"/>
              </w:rPr>
              <w:t>Other comprehensive income:</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ind w:left="720"/>
              <w:rPr>
                <w:sz w:val="16"/>
                <w:szCs w:val="16"/>
              </w:rPr>
            </w:pPr>
            <w:r>
              <w:rPr>
                <w:sz w:val="16"/>
                <w:szCs w:val="16"/>
              </w:rPr>
              <w:t>Change in unrealized gains related to defined benefit plan</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(751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(751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(382,132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(382,132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(382,132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(28,707</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(28,707</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Issuance of common stock, net of issuance costs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4,958</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50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76,879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76,929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76,929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Issuance of common stock for merger (1)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179,920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1,799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3,736,936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Surrender of common stock for taxes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(1,127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(20,898</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(20,909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(20,909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316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6,057</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6,060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6,060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22,543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22,543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22,543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Noncontrolling interests assumed from the merger (1)</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177,039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177,039</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Redemption/conversion of noncontrolling interests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73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1,539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1,540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(4,635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(3,095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Adjustment of redeemable noncontrolling interests to estimated fair value</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2,304</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2,304</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2,304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Balance at December 31, 2021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299,115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616,659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6,167</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9,591,871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9,899,389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210,793</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10,110,182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Contributions from noncontrolling interest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891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891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Net income/(loss)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125,976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125,976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(11,442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114,534</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16"/>
                <w:szCs w:val="16"/>
              </w:rPr>
            </w:pPr>
            <w:r>
              <w:rPr>
                <w:sz w:val="16"/>
                <w:szCs w:val="16"/>
              </w:rPr>
              <w:t>Other comprehensive income:</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16"/>
                <w:szCs w:val="16"/>
              </w:rPr>
            </w:pPr>
            <w:r>
              <w:rPr>
                <w:sz w:val="16"/>
                <w:szCs w:val="16"/>
              </w:rPr>
              <w:t>Change in unrealized gains related to defined benefit plan</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8,365</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8,365</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8,365</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(1,770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(1,770</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(544,703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(544,703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(544,703</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Repurchase of preferred stock</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64</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(3,505</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(3,442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(3,442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(65,232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r>
              <w:rPr>
                <w:rFonts w:eastAsia="Times New Roman"/>
                <w:sz w:val="16"/>
                <w:szCs w:val="16"/>
              </w:rPr>
              <w:t>65,232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Issuance of common stock, net of issuance costs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2,162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11,259</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11,281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11,281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Surrender of restricted common stock</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(616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(6</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r>
              <w:rPr>
                <w:rFonts w:eastAsia="Times New Roman"/>
                <w:sz w:val="16"/>
                <w:szCs w:val="16"/>
              </w:rPr>
              <w:t>13,784</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(13,790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(13,790</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206</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4,231</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4,232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6954AA">
            <w:pPr>
              <w:jc w:val="right"/>
              <w:rPr>
                <w:rFonts w:eastAsia="Times New Roman"/>
                <w:sz w:val="16"/>
                <w:szCs w:val="16"/>
              </w:rPr>
            </w:pPr>
            <w:r>
              <w:rPr>
                <w:rFonts w:eastAsia="Times New Roman"/>
                <w:sz w:val="16"/>
                <w:szCs w:val="16"/>
              </w:rPr>
              <w:t>4,232</w:t>
            </w:r>
          </w:p>
        </w:tc>
        <w:tc>
          <w:tcPr>
            <w:tcW w:w="50" w:type="pct"/>
            <w:shd w:val="clear" w:color="auto" w:fill="CCEE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26,602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26,602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6954AA">
            <w:pPr>
              <w:jc w:val="right"/>
              <w:rPr>
                <w:rFonts w:eastAsia="Times New Roman"/>
                <w:sz w:val="16"/>
                <w:szCs w:val="16"/>
              </w:rPr>
            </w:pPr>
            <w:r>
              <w:rPr>
                <w:rFonts w:eastAsia="Times New Roman"/>
                <w:sz w:val="16"/>
                <w:szCs w:val="16"/>
              </w:rPr>
              <w:t>26,602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r>
      <w:tr w:rsidR="006954AA">
        <w:trPr>
          <w:divId w:val="729617213"/>
          <w:tblCellSpacing w:w="0" w:type="dxa"/>
        </w:trPr>
        <w:tc>
          <w:tcPr>
            <w:tcW w:w="0" w:type="auto"/>
            <w:shd w:val="clear" w:color="auto" w:fill="CCEEFF"/>
            <w:vAlign w:val="bottom"/>
            <w:hideMark/>
          </w:tcPr>
          <w:p w:rsidR="00000000" w:rsidRDefault="006954AA">
            <w:pPr>
              <w:pStyle w:val="a3"/>
              <w:spacing w:before="0" w:beforeAutospacing="0" w:after="0" w:afterAutospacing="0"/>
              <w:rPr>
                <w:sz w:val="16"/>
                <w:szCs w:val="16"/>
              </w:rPr>
            </w:pPr>
            <w:r>
              <w:rPr>
                <w:sz w:val="16"/>
                <w:szCs w:val="16"/>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Style w:val="a6"/>
                <w:rFonts w:eastAsia="Times New Roman"/>
                <w:sz w:val="16"/>
                <w:szCs w:val="16"/>
              </w:rPr>
              <w:t>73</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1</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1,597</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1,598</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(1,839</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6954AA">
            <w:pPr>
              <w:jc w:val="right"/>
              <w:rPr>
                <w:rFonts w:eastAsia="Times New Roman"/>
                <w:sz w:val="16"/>
                <w:szCs w:val="16"/>
              </w:rPr>
            </w:pPr>
            <w:r>
              <w:rPr>
                <w:rFonts w:eastAsia="Times New Roman"/>
                <w:sz w:val="16"/>
                <w:szCs w:val="16"/>
              </w:rPr>
              <w:t>(241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16"/>
                <w:szCs w:val="16"/>
              </w:rPr>
            </w:pPr>
            <w:r>
              <w:rPr>
                <w:rFonts w:eastAsia="Times New Roman"/>
                <w:sz w:val="16"/>
                <w:szCs w:val="16"/>
              </w:rPr>
              <w:t>)</w:t>
            </w:r>
          </w:p>
        </w:tc>
      </w:tr>
      <w:tr w:rsidR="006954AA">
        <w:trPr>
          <w:divId w:val="729617213"/>
          <w:tblCellSpacing w:w="0" w:type="dxa"/>
        </w:trPr>
        <w:tc>
          <w:tcPr>
            <w:tcW w:w="0" w:type="auto"/>
            <w:shd w:val="clear" w:color="auto" w:fill="FFFFFF"/>
            <w:vAlign w:val="bottom"/>
            <w:hideMark/>
          </w:tcPr>
          <w:p w:rsidR="00000000" w:rsidRDefault="006954AA">
            <w:pPr>
              <w:pStyle w:val="a3"/>
              <w:spacing w:before="0" w:beforeAutospacing="0" w:after="0" w:afterAutospacing="0"/>
              <w:rPr>
                <w:sz w:val="16"/>
                <w:szCs w:val="16"/>
              </w:rPr>
            </w:pPr>
            <w:r>
              <w:rPr>
                <w:sz w:val="16"/>
                <w:szCs w:val="16"/>
              </w:rPr>
              <w:t>Balance at December 31, 2022</w:t>
            </w:r>
          </w:p>
        </w:tc>
        <w:tc>
          <w:tcPr>
            <w:tcW w:w="50" w:type="pct"/>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(119,548</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10,581</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618,484</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6,185</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9,618,271</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9,515,508</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131,401</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6954AA">
            <w:pPr>
              <w:jc w:val="right"/>
              <w:rPr>
                <w:rFonts w:eastAsia="Times New Roman"/>
                <w:sz w:val="16"/>
                <w:szCs w:val="16"/>
              </w:rPr>
            </w:pPr>
            <w:r>
              <w:rPr>
                <w:rFonts w:eastAsia="Times New Roman"/>
                <w:sz w:val="16"/>
                <w:szCs w:val="16"/>
              </w:rPr>
              <w:t>9,646,909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16"/>
                <w:szCs w:val="16"/>
              </w:rPr>
            </w:pPr>
            <w:r>
              <w:rPr>
                <w:rFonts w:eastAsia="Times New Roman"/>
                <w:sz w:val="16"/>
                <w:szCs w:val="16"/>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trPr>
          <w:tblCellSpacing w:w="0" w:type="dxa"/>
        </w:trPr>
        <w:tc>
          <w:tcPr>
            <w:tcW w:w="108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(1)</w:t>
            </w:r>
          </w:p>
        </w:tc>
        <w:tc>
          <w:tcPr>
            <w:tcW w:w="0" w:type="auto"/>
            <w:hideMark/>
          </w:tcPr>
          <w:p w:rsidR="00000000" w:rsidRDefault="006954AA">
            <w:pPr>
              <w:pStyle w:val="a3"/>
              <w:spacing w:before="0" w:beforeAutospacing="0" w:after="0" w:afterAutospacing="0"/>
              <w:rPr>
                <w:sz w:val="20"/>
                <w:szCs w:val="20"/>
              </w:rPr>
            </w:pPr>
            <w:r>
              <w:rPr>
                <w:sz w:val="20"/>
                <w:szCs w:val="20"/>
              </w:rPr>
              <w:t>See Footnotes 1 and 2 of the Notes to Consolidated Financial Statements for further details.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54AA">
      <w:pPr>
        <w:pStyle w:val="a3"/>
        <w:spacing w:before="0" w:beforeAutospacing="0" w:after="0" w:afterAutospacing="0"/>
        <w:jc w:val="center"/>
        <w:rPr>
          <w:sz w:val="20"/>
          <w:szCs w:val="20"/>
        </w:rPr>
      </w:pPr>
      <w:r>
        <w:rPr>
          <w:sz w:val="20"/>
          <w:szCs w:val="20"/>
        </w:rPr>
        <w:t> </w:t>
      </w:r>
    </w:p>
    <w:p w:rsidR="00000000" w:rsidRDefault="006954AA">
      <w:pPr>
        <w:jc w:val="center"/>
        <w:divId w:val="750732398"/>
        <w:rPr>
          <w:rFonts w:eastAsia="Times New Roman"/>
          <w:sz w:val="20"/>
          <w:szCs w:val="20"/>
        </w:rPr>
      </w:pPr>
      <w:r>
        <w:rPr>
          <w:rFonts w:eastAsia="Times New Roman"/>
          <w:sz w:val="20"/>
          <w:szCs w:val="20"/>
        </w:rPr>
        <w:t xml:space="preserve">57 </w:t>
      </w:r>
    </w:p>
    <w:p w:rsidR="00000000" w:rsidRDefault="006954AA">
      <w:pPr>
        <w:divId w:val="1560363261"/>
        <w:rPr>
          <w:rFonts w:eastAsia="Times New Roman"/>
          <w:sz w:val="20"/>
          <w:szCs w:val="20"/>
        </w:rPr>
      </w:pPr>
      <w:r>
        <w:rPr>
          <w:rFonts w:eastAsia="Times New Roman"/>
          <w:sz w:val="20"/>
          <w:szCs w:val="20"/>
        </w:rPr>
        <w:pict>
          <v:rect id="_x0000_i1092" style="width:415.3pt;height:1.5pt" o:hralign="center" o:hrstd="t" o:hrnoshade="t" o:hr="t" fillcolor="black" stroked="f"/>
        </w:pict>
      </w:r>
    </w:p>
    <w:p w:rsidR="00000000" w:rsidRDefault="006954AA">
      <w:pPr>
        <w:divId w:val="1476605588"/>
        <w:rPr>
          <w:rFonts w:eastAsia="Times New Roman"/>
          <w:sz w:val="20"/>
          <w:szCs w:val="20"/>
        </w:rPr>
      </w:pPr>
      <w:r>
        <w:rPr>
          <w:rFonts w:eastAsia="Times New Roman"/>
          <w:sz w:val="20"/>
          <w:szCs w:val="20"/>
        </w:rPr>
        <w:t xml:space="preserve">  </w:t>
      </w:r>
    </w:p>
    <w:p w:rsidR="00000000" w:rsidRDefault="006954AA">
      <w:pPr>
        <w:divId w:val="1434086408"/>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REALTY CORPORATION AND SUBSIDIARIES</w:t>
      </w:r>
    </w:p>
    <w:p w:rsidR="00000000" w:rsidRDefault="006954AA">
      <w:pPr>
        <w:pStyle w:val="a3"/>
        <w:spacing w:before="0" w:beforeAutospacing="0" w:after="0" w:afterAutospacing="0"/>
        <w:jc w:val="center"/>
        <w:rPr>
          <w:sz w:val="20"/>
          <w:szCs w:val="20"/>
        </w:rPr>
      </w:pPr>
      <w:r>
        <w:rPr>
          <w:sz w:val="20"/>
          <w:szCs w:val="20"/>
        </w:rPr>
        <w:t>C</w:t>
      </w:r>
      <w:r>
        <w:rPr>
          <w:sz w:val="20"/>
          <w:szCs w:val="20"/>
        </w:rPr>
        <w:t>ONSOLIDATED STATEMENTS OF CASH FLOWS</w:t>
      </w:r>
    </w:p>
    <w:p w:rsidR="00000000" w:rsidRDefault="006954AA">
      <w:pPr>
        <w:pStyle w:val="a3"/>
        <w:spacing w:before="0" w:beforeAutospacing="0" w:after="0" w:afterAutospacing="0"/>
        <w:jc w:val="center"/>
        <w:rPr>
          <w:sz w:val="20"/>
          <w:szCs w:val="20"/>
        </w:rPr>
      </w:pPr>
      <w:r>
        <w:rPr>
          <w:sz w:val="20"/>
          <w:szCs w:val="20"/>
        </w:rPr>
        <w:t>(in thousands)</w:t>
      </w:r>
    </w:p>
    <w:p w:rsidR="00000000" w:rsidRDefault="006954AA">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596554883"/>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2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114,534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849,696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gridSpan w:val="4"/>
            <w:shd w:val="clear" w:color="auto" w:fill="CCEEFF"/>
            <w:vAlign w:val="bottom"/>
            <w:hideMark/>
          </w:tcPr>
          <w:p w:rsidR="00000000" w:rsidRDefault="006954AA">
            <w:pPr>
              <w:pStyle w:val="a3"/>
              <w:spacing w:before="0" w:beforeAutospacing="0" w:after="0" w:afterAutospacing="0"/>
              <w:ind w:left="180"/>
              <w:rPr>
                <w:sz w:val="20"/>
                <w:szCs w:val="20"/>
              </w:rPr>
            </w:pPr>
            <w:r>
              <w:rPr>
                <w:rStyle w:val="a6"/>
                <w:sz w:val="20"/>
                <w:szCs w:val="20"/>
              </w:rPr>
              <w:t>Adjustments to reconcile net income to net cash provided by operating activities: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505,000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395,320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288,955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21,958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Straight-line rental income adjustments,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(33,794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(22,627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5,914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Amortization of above-market and below-market leases,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(13,591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(14,843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(22,515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Amortization of deferred financing costs and fair value debt adjustments,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(28,631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(9,445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6,312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Early extinguishment of debt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7,658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Equity award expense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26,639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23,150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23,685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Gain on sale of properties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(15,179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(30,841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(6,484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Loss/(gain) on marketable securities,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315,508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(505,163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(594,753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Gain on sale of cost method investment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Equity in income of joint ventures,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(109,481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(84,778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(47,353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Equity in income from other investments,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(17,403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(23,172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(28,628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Distributions from joint ventures and other investments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83,553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91,507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149,022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Change in accounts and notes receivable,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(9,104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4,548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(6,473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Change in accounts payable and accrued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37,655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(104,712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5,576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Change in other operating assets and liabilities, net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(24,208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46,638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(9,552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Net cash flow provided by operating activities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861,114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618,875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589,913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Acquisition of operating real estate and other related net assets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(300,772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(355,953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(12,644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Improvements to operating real estate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(193,710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(163,699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(221,278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Improvements to real estate under development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(22,358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Acquisition of Weingarten Realty Investors, net of cash acquired of $56,451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(263,973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Investment in marketable securities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Proceeds from sale of marketable securities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302,504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931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Investment in cost method investments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Proceeds from sale of cost method investment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227,270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(87,301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(12,571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(15,882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Reimbursements of investments in and advances to real estate joint ventures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37,571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47,862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4,499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Investments in and advances to other investments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(17,432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(67,090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(15,418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Reimbursements of investments in and advances to other investments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30,855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64,068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13,435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Investment in mortgage and other financing receivables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(75,063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(41,897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Collection of mortgage and other financing receivables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60,306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13,776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Proceeds from sale of properties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184,294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302,841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30,545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2,450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center"/>
            <w:hideMark/>
          </w:tcPr>
          <w:p w:rsidR="00000000" w:rsidRDefault="006954AA">
            <w:pPr>
              <w:ind w:firstLine="180"/>
              <w:rPr>
                <w:rFonts w:eastAsia="Times New Roman"/>
                <w:sz w:val="20"/>
                <w:szCs w:val="20"/>
              </w:rPr>
            </w:pPr>
            <w:r>
              <w:rPr>
                <w:rFonts w:eastAsia="Times New Roman"/>
                <w:sz w:val="20"/>
                <w:szCs w:val="20"/>
              </w:rPr>
              <w:t>Principal payments from securities held-to-maturity</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center"/>
            <w:hideMark/>
          </w:tcPr>
          <w:p w:rsidR="00000000" w:rsidRDefault="006954AA">
            <w:pPr>
              <w:jc w:val="right"/>
              <w:rPr>
                <w:rFonts w:eastAsia="Times New Roman"/>
                <w:sz w:val="20"/>
                <w:szCs w:val="20"/>
              </w:rPr>
            </w:pPr>
            <w:r>
              <w:rPr>
                <w:rFonts w:eastAsia="Times New Roman"/>
                <w:sz w:val="20"/>
                <w:szCs w:val="20"/>
              </w:rPr>
              <w:t>4,058</w:t>
            </w:r>
          </w:p>
        </w:tc>
        <w:tc>
          <w:tcPr>
            <w:tcW w:w="50" w:type="pct"/>
            <w:shd w:val="clear" w:color="auto" w:fill="CCEEFF"/>
            <w:tcMar>
              <w:top w:w="0" w:type="dxa"/>
              <w:left w:w="0" w:type="dxa"/>
              <w:bottom w:w="15" w:type="dxa"/>
              <w:right w:w="0" w:type="dxa"/>
            </w:tcMar>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center"/>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center"/>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center"/>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Net cash flow used for investing activities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(63,217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(476,259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(33,273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Cash flow from financing activities: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Principal payments on debt, excluding normal amortization of rental property debt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(157,928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(229,288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(158,556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Principal payments on rental property debt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(9,808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(10,622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(10,693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Proceeds from mortgage loan financings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Proceeds from issuance of unsecured term loan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590,000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Proceeds from issuance of unsecured notes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1,250,000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900,000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Repayments from the unsecured revolving credit facility,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(200,000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Repayments of unsecured term loan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(590,000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Repayments of unsecured notes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(1,449,060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(484,905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Financing origination costs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(20,326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(8,197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(18,040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Payment of early extinguishment of debt charges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(6,955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Contributions from 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891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Redemption/distribution of 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(67,453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(34,610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(23,345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Dividends paid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(544,740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(382,132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(379,874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Proceeds from issuance of stock,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15,513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82,989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Repurchase of preferred stock</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(3,441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Shares repurchased for employee tax withholding on equity awards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(13,679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(20,842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(5,379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Change in tenants' security deposits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5,255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1,561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Net cash flow used for financing activities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(982,731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(101,141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(387,399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divId w:val="1596554883"/>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change in cash, cash equivalents and restricted cash</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(184,834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41,475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169,241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Cash, cash equivalents and restricted cash, beginning of year</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Cash, cash equivalents and restricted cash, end of year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149,829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334,663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FFFFFF"/>
            <w:vAlign w:val="bottom"/>
            <w:hideMark/>
          </w:tcPr>
          <w:p w:rsidR="00000000" w:rsidRDefault="006954AA">
            <w:pPr>
              <w:pStyle w:val="a3"/>
              <w:spacing w:before="0" w:beforeAutospacing="0" w:after="0" w:afterAutospacing="0"/>
              <w:ind w:left="180" w:hanging="180"/>
              <w:rPr>
                <w:sz w:val="20"/>
                <w:szCs w:val="20"/>
              </w:rPr>
            </w:pPr>
            <w:r>
              <w:rPr>
                <w:sz w:val="20"/>
                <w:szCs w:val="20"/>
              </w:rPr>
              <w:t xml:space="preserve">Interest paid during the year including payment of early extinguishment of debt charges of </w:t>
            </w:r>
            <w:r>
              <w:rPr>
                <w:sz w:val="20"/>
                <w:szCs w:val="20"/>
              </w:rPr>
              <w:t>$</w:t>
            </w:r>
            <w:r>
              <w:rPr>
                <w:sz w:val="20"/>
                <w:szCs w:val="20"/>
              </w:rPr>
              <w:t>6,95</w:t>
            </w:r>
            <w:r>
              <w:rPr>
                <w:sz w:val="20"/>
                <w:szCs w:val="20"/>
              </w:rPr>
              <w:t>5</w:t>
            </w:r>
            <w:r>
              <w:rPr>
                <w:sz w:val="20"/>
                <w:szCs w:val="20"/>
              </w:rPr>
              <w:t xml:space="preserve">, </w:t>
            </w:r>
            <w:r>
              <w:rPr>
                <w:sz w:val="20"/>
                <w:szCs w:val="20"/>
              </w:rPr>
              <w:t>$</w:t>
            </w:r>
            <w:r>
              <w:rPr>
                <w:sz w:val="20"/>
                <w:szCs w:val="20"/>
              </w:rPr>
              <w:t>0</w:t>
            </w:r>
            <w:r>
              <w:rPr>
                <w:sz w:val="20"/>
                <w:szCs w:val="20"/>
              </w:rPr>
              <w:t xml:space="preserve"> and </w:t>
            </w:r>
            <w:r>
              <w:rPr>
                <w:sz w:val="20"/>
                <w:szCs w:val="20"/>
              </w:rPr>
              <w:t>$</w:t>
            </w:r>
            <w:r>
              <w:rPr>
                <w:sz w:val="20"/>
                <w:szCs w:val="20"/>
              </w:rPr>
              <w:t>7,53</w:t>
            </w:r>
            <w:r>
              <w:rPr>
                <w:sz w:val="20"/>
                <w:szCs w:val="20"/>
              </w:rPr>
              <w:t>8</w:t>
            </w:r>
            <w:r>
              <w:rPr>
                <w:sz w:val="20"/>
                <w:szCs w:val="20"/>
              </w:rPr>
              <w:t xml:space="preserve">, respectively (net of capitalized interest of </w:t>
            </w:r>
            <w:r>
              <w:rPr>
                <w:sz w:val="20"/>
                <w:szCs w:val="20"/>
              </w:rPr>
              <w:t>$</w:t>
            </w:r>
            <w:r>
              <w:rPr>
                <w:sz w:val="20"/>
                <w:szCs w:val="20"/>
              </w:rPr>
              <w:t>66</w:t>
            </w:r>
            <w:r>
              <w:rPr>
                <w:sz w:val="20"/>
                <w:szCs w:val="20"/>
              </w:rPr>
              <w:t>8</w:t>
            </w:r>
            <w:r>
              <w:rPr>
                <w:sz w:val="20"/>
                <w:szCs w:val="20"/>
              </w:rPr>
              <w:t xml:space="preserve">, </w:t>
            </w:r>
            <w:r>
              <w:rPr>
                <w:sz w:val="20"/>
                <w:szCs w:val="20"/>
              </w:rPr>
              <w:t>$</w:t>
            </w:r>
            <w:r>
              <w:rPr>
                <w:sz w:val="20"/>
                <w:szCs w:val="20"/>
              </w:rPr>
              <w:t>58</w:t>
            </w:r>
            <w:r>
              <w:rPr>
                <w:sz w:val="20"/>
                <w:szCs w:val="20"/>
              </w:rPr>
              <w:t>3</w:t>
            </w:r>
            <w:r>
              <w:rPr>
                <w:sz w:val="20"/>
                <w:szCs w:val="20"/>
              </w:rPr>
              <w:t xml:space="preserve"> and </w:t>
            </w:r>
            <w:r>
              <w:rPr>
                <w:sz w:val="20"/>
                <w:szCs w:val="20"/>
              </w:rPr>
              <w:t>$</w:t>
            </w:r>
            <w:r>
              <w:rPr>
                <w:sz w:val="20"/>
                <w:szCs w:val="20"/>
              </w:rPr>
              <w:t>13,68</w:t>
            </w:r>
            <w:r>
              <w:rPr>
                <w:sz w:val="20"/>
                <w:szCs w:val="20"/>
              </w:rPr>
              <w:t>3</w:t>
            </w:r>
            <w:r>
              <w:rPr>
                <w:sz w:val="20"/>
                <w:szCs w:val="20"/>
              </w:rPr>
              <w:t>, respectively)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257,979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197,947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183,558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divId w:val="1596554883"/>
          <w:tblCellSpacing w:w="0" w:type="dxa"/>
        </w:trPr>
        <w:tc>
          <w:tcPr>
            <w:tcW w:w="0" w:type="auto"/>
            <w:shd w:val="clear" w:color="auto" w:fill="CCEEFF"/>
            <w:vAlign w:val="bottom"/>
            <w:hideMark/>
          </w:tcPr>
          <w:p w:rsidR="00000000" w:rsidRDefault="006954AA">
            <w:pPr>
              <w:pStyle w:val="a3"/>
              <w:spacing w:before="0" w:beforeAutospacing="0" w:after="0" w:afterAutospacing="0"/>
              <w:ind w:left="360" w:hanging="180"/>
              <w:rPr>
                <w:sz w:val="20"/>
                <w:szCs w:val="20"/>
              </w:rPr>
            </w:pPr>
            <w:r>
              <w:rPr>
                <w:sz w:val="20"/>
                <w:szCs w:val="20"/>
              </w:rPr>
              <w:t xml:space="preserve">Income taxes paid during the year (net of refunds received of </w:t>
            </w:r>
            <w:r>
              <w:rPr>
                <w:sz w:val="20"/>
                <w:szCs w:val="20"/>
              </w:rPr>
              <w:t>$</w:t>
            </w:r>
            <w:r>
              <w:rPr>
                <w:sz w:val="20"/>
                <w:szCs w:val="20"/>
              </w:rPr>
              <w:t>0</w:t>
            </w:r>
            <w:r>
              <w:rPr>
                <w:sz w:val="20"/>
                <w:szCs w:val="20"/>
              </w:rPr>
              <w:t xml:space="preserve">, </w:t>
            </w:r>
            <w:r>
              <w:rPr>
                <w:sz w:val="20"/>
                <w:szCs w:val="20"/>
              </w:rPr>
              <w:t>$</w:t>
            </w:r>
            <w:r>
              <w:rPr>
                <w:sz w:val="20"/>
                <w:szCs w:val="20"/>
              </w:rPr>
              <w:t>0</w:t>
            </w:r>
            <w:r>
              <w:rPr>
                <w:sz w:val="20"/>
                <w:szCs w:val="20"/>
              </w:rPr>
              <w:t xml:space="preserve"> and </w:t>
            </w:r>
            <w:r>
              <w:rPr>
                <w:sz w:val="20"/>
                <w:szCs w:val="20"/>
              </w:rPr>
              <w:t>$</w:t>
            </w:r>
            <w:r>
              <w:rPr>
                <w:sz w:val="20"/>
                <w:szCs w:val="20"/>
              </w:rPr>
              <w:t>4</w:t>
            </w:r>
            <w:r>
              <w:rPr>
                <w:sz w:val="20"/>
                <w:szCs w:val="20"/>
              </w:rPr>
              <w:t>7</w:t>
            </w:r>
            <w:r>
              <w:rPr>
                <w:sz w:val="20"/>
                <w:szCs w:val="20"/>
              </w:rPr>
              <w:t>, respectively)</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11,869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1,961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747</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54AA">
      <w:pPr>
        <w:pStyle w:val="a3"/>
        <w:spacing w:before="0" w:beforeAutospacing="0" w:after="0" w:afterAutospacing="0"/>
        <w:jc w:val="center"/>
        <w:rPr>
          <w:sz w:val="20"/>
          <w:szCs w:val="20"/>
        </w:rPr>
      </w:pPr>
      <w:r>
        <w:rPr>
          <w:sz w:val="20"/>
          <w:szCs w:val="20"/>
        </w:rPr>
        <w:t> </w:t>
      </w:r>
    </w:p>
    <w:p w:rsidR="00000000" w:rsidRDefault="006954AA">
      <w:pPr>
        <w:jc w:val="center"/>
        <w:divId w:val="567034486"/>
        <w:rPr>
          <w:rFonts w:eastAsia="Times New Roman"/>
          <w:sz w:val="20"/>
          <w:szCs w:val="20"/>
        </w:rPr>
      </w:pPr>
      <w:r>
        <w:rPr>
          <w:rFonts w:eastAsia="Times New Roman"/>
          <w:sz w:val="20"/>
          <w:szCs w:val="20"/>
        </w:rPr>
        <w:t xml:space="preserve">58 </w:t>
      </w:r>
    </w:p>
    <w:p w:rsidR="00000000" w:rsidRDefault="006954AA">
      <w:pPr>
        <w:divId w:val="567034486"/>
        <w:rPr>
          <w:rFonts w:eastAsia="Times New Roman"/>
          <w:sz w:val="20"/>
          <w:szCs w:val="20"/>
        </w:rPr>
      </w:pPr>
      <w:r>
        <w:rPr>
          <w:rFonts w:eastAsia="Times New Roman"/>
          <w:sz w:val="20"/>
          <w:szCs w:val="20"/>
        </w:rPr>
        <w:pict>
          <v:rect id="_x0000_i1093" style="width:415.3pt;height:1.5pt" o:hralign="center" o:hrstd="t" o:hrnoshade="t" o:hr="t" fillcolor="black" stroked="f"/>
        </w:pict>
      </w:r>
    </w:p>
    <w:p w:rsidR="00000000" w:rsidRDefault="006954AA">
      <w:pPr>
        <w:divId w:val="56703448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REALTY CORPORATION AND SUBSIDIARIES</w:t>
      </w:r>
    </w:p>
    <w:p w:rsidR="00000000" w:rsidRDefault="006954AA">
      <w:pPr>
        <w:pStyle w:val="a3"/>
        <w:spacing w:before="0" w:beforeAutospacing="0" w:after="0" w:afterAutospacing="0"/>
        <w:jc w:val="center"/>
        <w:rPr>
          <w:sz w:val="20"/>
          <w:szCs w:val="20"/>
        </w:rPr>
      </w:pPr>
      <w:r>
        <w:rPr>
          <w:sz w:val="20"/>
          <w:szCs w:val="20"/>
        </w:rPr>
        <w:br/>
        <w:t>NOTES TO CONSOLIDATED FINANCIAL STATEMENTS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Amounts relating to the number of buildings, square footage, tenant and occupancy dat</w:t>
      </w:r>
      <w:r>
        <w:rPr>
          <w:sz w:val="20"/>
          <w:szCs w:val="20"/>
        </w:rPr>
        <w:t>a, joint venture debt and average interest rates and terms on joint venture debt are unaudited.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The terms “Kimco,” the “Company” and “our” </w:t>
      </w:r>
      <w:r>
        <w:rPr>
          <w:sz w:val="20"/>
          <w:szCs w:val="20"/>
        </w:rPr>
        <w:t>each refer to Kimco Realty Corporation and its subsidiaries, unless the context indicates otherwise. In statements regarding qualification as a REIT, such terms refer solely to Kimco Realty Corporation.</w:t>
      </w:r>
    </w:p>
    <w:p w:rsidR="00000000" w:rsidRDefault="006954AA">
      <w:pPr>
        <w:pStyle w:val="a3"/>
        <w:spacing w:before="0" w:beforeAutospacing="0" w:after="0" w:afterAutospacing="0"/>
        <w:rPr>
          <w:sz w:val="20"/>
          <w:szCs w:val="20"/>
        </w:rPr>
      </w:pPr>
      <w:r>
        <w:rPr>
          <w:sz w:val="20"/>
          <w:szCs w:val="20"/>
        </w:rPr>
        <w:t> </w:t>
      </w:r>
    </w:p>
    <w:p w:rsidR="00000000" w:rsidRDefault="006954AA">
      <w:pPr>
        <w:divId w:val="1288203022"/>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w:t>
      </w:r>
      <w:r>
        <w:rPr>
          <w:sz w:val="20"/>
          <w:szCs w:val="20"/>
        </w:rPr>
        <w:t>   </w:t>
      </w:r>
      <w:r>
        <w:rPr>
          <w:sz w:val="20"/>
          <w:szCs w:val="20"/>
          <w:u w:val="single"/>
        </w:rPr>
        <w:t>Summary of Significant Accounting Policies: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Business and Organization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operates as a Real Estate Investment Trust (“REIT”) and is engaged principally in the ownership, management, development and operation of open-air shopping centers, which are anchored primarily by grocery stores, </w:t>
      </w:r>
      <w:r>
        <w:rPr>
          <w:sz w:val="20"/>
          <w:szCs w:val="20"/>
        </w:rPr>
        <w:t>off-price retailers, discounters or service-oriented tenants. Additionally, the Company provides complementary services that capitalize on the Company’s established retail real estate expertise. The Company evaluates performance on a property specific or t</w:t>
      </w:r>
      <w:r>
        <w:rPr>
          <w:sz w:val="20"/>
          <w:szCs w:val="20"/>
        </w:rPr>
        <w:t xml:space="preserve">ransactional basis and does </w:t>
      </w:r>
      <w:r>
        <w:rPr>
          <w:rStyle w:val="a6"/>
          <w:sz w:val="20"/>
          <w:szCs w:val="20"/>
        </w:rPr>
        <w:t>not</w:t>
      </w:r>
      <w:r>
        <w:rPr>
          <w:sz w:val="20"/>
          <w:szCs w:val="20"/>
        </w:rPr>
        <w:t xml:space="preserve"> distinguish its principal business or group its operations on a geographical basis for purposes of measuring performance. Accordingly, the Company believes it has a single reportable segment for disclosure purposes in accord</w:t>
      </w:r>
      <w:r>
        <w:rPr>
          <w:sz w:val="20"/>
          <w:szCs w:val="20"/>
        </w:rPr>
        <w:t>ance with accounting principles generally accepted in the United States of America ("GAAP").</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elected to be taxed as a REIT for federal income tax purposes under the Internal Revenue Code of </w:t>
      </w:r>
      <w:r>
        <w:rPr>
          <w:rStyle w:val="a6"/>
          <w:sz w:val="20"/>
          <w:szCs w:val="20"/>
        </w:rPr>
        <w:t>1986,</w:t>
      </w:r>
      <w:r>
        <w:rPr>
          <w:sz w:val="20"/>
          <w:szCs w:val="20"/>
        </w:rPr>
        <w:t xml:space="preserve"> as amended (the "Code"). The Company is or</w:t>
      </w:r>
      <w:r>
        <w:rPr>
          <w:sz w:val="20"/>
          <w:szCs w:val="20"/>
        </w:rPr>
        <w:t>ganized and operates in a manner that enables it to qualify as a REIT under the Code.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January 2023, </w:t>
      </w:r>
      <w:r>
        <w:rPr>
          <w:sz w:val="20"/>
          <w:szCs w:val="20"/>
        </w:rPr>
        <w:t xml:space="preserve">the Company completed its reorganization into an umbrella partnership real estate investment trust “UPREIT”. See Footnote </w:t>
      </w:r>
      <w:r>
        <w:rPr>
          <w:rStyle w:val="a6"/>
          <w:sz w:val="20"/>
          <w:szCs w:val="20"/>
        </w:rPr>
        <w:t>29</w:t>
      </w:r>
      <w:r>
        <w:rPr>
          <w:sz w:val="20"/>
          <w:szCs w:val="20"/>
        </w:rPr>
        <w:t xml:space="preserve"> of the Company’s Consolida</w:t>
      </w:r>
      <w:r>
        <w:rPr>
          <w:sz w:val="20"/>
          <w:szCs w:val="20"/>
        </w:rPr>
        <w:t>ted Financial Statements for further discussion.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Weingarten Merger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August 3, 2021, </w:t>
      </w:r>
      <w:r>
        <w:rPr>
          <w:sz w:val="20"/>
          <w:szCs w:val="20"/>
        </w:rPr>
        <w:t>Weingarten Realty Investors (“Weingarten”) merged with and into the Company, with the Company continuing as the surviving public company (the “Merger”), pursuant to t</w:t>
      </w:r>
      <w:r>
        <w:rPr>
          <w:sz w:val="20"/>
          <w:szCs w:val="20"/>
        </w:rPr>
        <w:t xml:space="preserve">he definitive merger agreement (the “Merger Agreement”) between the Company and Weingarten entered into on </w:t>
      </w:r>
      <w:r>
        <w:rPr>
          <w:rStyle w:val="a6"/>
          <w:sz w:val="20"/>
          <w:szCs w:val="20"/>
        </w:rPr>
        <w:t xml:space="preserve">April 15, 2021. </w:t>
      </w:r>
      <w:r>
        <w:rPr>
          <w:sz w:val="20"/>
          <w:szCs w:val="20"/>
        </w:rPr>
        <w:t>Under the terms of the Merger Agreement, each Weingarten common share was entitled to 1.408 newly issued shares of the Company’s comm</w:t>
      </w:r>
      <w:r>
        <w:rPr>
          <w:sz w:val="20"/>
          <w:szCs w:val="20"/>
        </w:rPr>
        <w:t xml:space="preserve">on stock plus $2.20 in cash, subject to certain adjustments specified in the Merger Agreement. During </w:t>
      </w:r>
      <w:r>
        <w:rPr>
          <w:rStyle w:val="a6"/>
          <w:sz w:val="20"/>
          <w:szCs w:val="20"/>
        </w:rPr>
        <w:t>2021,</w:t>
      </w:r>
      <w:r>
        <w:rPr>
          <w:sz w:val="20"/>
          <w:szCs w:val="20"/>
        </w:rPr>
        <w:t xml:space="preserve"> the Company incurred merger related expenses of $50.2 million associated with the Merger. These charges are primarily comprised of severance, profes</w:t>
      </w:r>
      <w:r>
        <w:rPr>
          <w:sz w:val="20"/>
          <w:szCs w:val="20"/>
        </w:rPr>
        <w:t xml:space="preserve">sional fees and legal fees. See Footnote </w:t>
      </w:r>
      <w:r>
        <w:rPr>
          <w:rStyle w:val="a6"/>
          <w:sz w:val="20"/>
          <w:szCs w:val="20"/>
        </w:rPr>
        <w:t>2</w:t>
      </w:r>
      <w:r>
        <w:rPr>
          <w:sz w:val="20"/>
          <w:szCs w:val="20"/>
        </w:rPr>
        <w:t xml:space="preserve"> of the Company’s Consolidated Financial Statements for further details.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Economic Conditions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economy continues to face several issues including the lack of qualified employees, inflation risk, supply chain </w:t>
      </w:r>
      <w:r>
        <w:rPr>
          <w:sz w:val="20"/>
          <w:szCs w:val="20"/>
        </w:rPr>
        <w:t>issues and new COVID-</w:t>
      </w:r>
      <w:r>
        <w:rPr>
          <w:rStyle w:val="a6"/>
          <w:sz w:val="20"/>
          <w:szCs w:val="20"/>
        </w:rPr>
        <w:t>19</w:t>
      </w:r>
      <w:r>
        <w:rPr>
          <w:sz w:val="20"/>
          <w:szCs w:val="20"/>
        </w:rPr>
        <w:t xml:space="preserve"> variants, which could impact the Company and its tenants. In response to the rising rate of inflation, the Federal Reserve has steadily increased interest rates, and </w:t>
      </w:r>
      <w:r>
        <w:rPr>
          <w:rStyle w:val="a6"/>
          <w:sz w:val="20"/>
          <w:szCs w:val="20"/>
        </w:rPr>
        <w:t xml:space="preserve">may </w:t>
      </w:r>
      <w:r>
        <w:rPr>
          <w:sz w:val="20"/>
          <w:szCs w:val="20"/>
        </w:rPr>
        <w:t>continue to increase interest rates, until the rate of inflati</w:t>
      </w:r>
      <w:r>
        <w:rPr>
          <w:sz w:val="20"/>
          <w:szCs w:val="20"/>
        </w:rPr>
        <w:t>on begins to decrease. These increases in interest rates could adversely impact the business and financial results of the Company and its tenants. In addition, slower economic growth and the potential for a recession could have an adverse effect on the Com</w:t>
      </w:r>
      <w:r>
        <w:rPr>
          <w:sz w:val="20"/>
          <w:szCs w:val="20"/>
        </w:rPr>
        <w:t>pany and its tenants. This could negatively affect the overall demand for retail space, including the demand for leasable space in the Company’s properties. As a result, the Company could feel pricing pressure on rents that it is able to charge to new or r</w:t>
      </w:r>
      <w:r>
        <w:rPr>
          <w:sz w:val="20"/>
          <w:szCs w:val="20"/>
        </w:rPr>
        <w:t>enewing tenants, such that future rents and rent spreads could be negatively impacted. The Company continues to monitor economic, financial, and social conditions and will assess its asset portfolio for any impairment indicators.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Basis of Presentation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accompanying Consolidated Financial Statements include the accounts of the Company. The Company’s subsidiaries include subsidiaries which are wholly owned or which the Company has a controlling interest, including where the Company has been determined</w:t>
      </w:r>
      <w:r>
        <w:rPr>
          <w:sz w:val="20"/>
          <w:szCs w:val="20"/>
        </w:rPr>
        <w:t xml:space="preserve"> to be a primary beneficiary of a variable interest entity (“VIE”) in accordance with the consolidation guidance of the Financial Accounting Standards Board (“FASB”) Accounting Standards Codification (“ASC”). All inter-company balances and transactions hav</w:t>
      </w:r>
      <w:r>
        <w:rPr>
          <w:sz w:val="20"/>
          <w:szCs w:val="20"/>
        </w:rPr>
        <w:t>e been eliminated in consolidation.</w:t>
      </w:r>
    </w:p>
    <w:p w:rsidR="00000000" w:rsidRDefault="006954AA">
      <w:pPr>
        <w:divId w:val="343173071"/>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jc w:val="center"/>
        <w:divId w:val="407924777"/>
        <w:rPr>
          <w:rFonts w:eastAsia="Times New Roman"/>
          <w:sz w:val="20"/>
          <w:szCs w:val="20"/>
        </w:rPr>
      </w:pPr>
      <w:r>
        <w:rPr>
          <w:rStyle w:val="a6"/>
          <w:rFonts w:eastAsia="Times New Roman"/>
          <w:sz w:val="20"/>
          <w:szCs w:val="20"/>
        </w:rPr>
        <w:t>59</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094" style="width:415.3pt;height:1.5pt" o:hralign="center" o:hrstd="t" o:hrnoshade="t" o:hr="t" fillcolor="black" stroked="f"/>
        </w:pict>
      </w:r>
    </w:p>
    <w:p w:rsidR="00000000" w:rsidRDefault="006954AA">
      <w:pPr>
        <w:divId w:val="1921671288"/>
        <w:rPr>
          <w:rFonts w:eastAsia="Times New Roman"/>
          <w:sz w:val="20"/>
          <w:szCs w:val="20"/>
        </w:rPr>
      </w:pPr>
      <w:r>
        <w:rPr>
          <w:rFonts w:eastAsia="Times New Roman"/>
          <w:sz w:val="20"/>
          <w:szCs w:val="20"/>
        </w:rPr>
        <w:t xml:space="preserve">  </w:t>
      </w:r>
    </w:p>
    <w:p w:rsidR="00000000" w:rsidRDefault="006954AA">
      <w:pPr>
        <w:jc w:val="center"/>
        <w:divId w:val="1919367951"/>
        <w:rPr>
          <w:rFonts w:eastAsia="Times New Roman"/>
          <w:sz w:val="20"/>
          <w:szCs w:val="20"/>
        </w:rPr>
      </w:pPr>
      <w:r>
        <w:rPr>
          <w:rFonts w:eastAsia="Times New Roman"/>
          <w:sz w:val="20"/>
          <w:szCs w:val="20"/>
        </w:rPr>
        <w:t xml:space="preserve">KIMCO REALTY CORPORATION AND SUBSIDIARIES </w:t>
      </w:r>
    </w:p>
    <w:p w:rsidR="00000000" w:rsidRDefault="006954AA">
      <w:pPr>
        <w:divId w:val="1148088721"/>
        <w:rPr>
          <w:rFonts w:eastAsia="Times New Roman"/>
          <w:sz w:val="20"/>
          <w:szCs w:val="20"/>
        </w:rPr>
      </w:pPr>
      <w:r>
        <w:rPr>
          <w:rFonts w:eastAsia="Times New Roman"/>
          <w:sz w:val="20"/>
          <w:szCs w:val="20"/>
        </w:rPr>
        <w:t xml:space="preserve">  </w:t>
      </w:r>
    </w:p>
    <w:p w:rsidR="00000000" w:rsidRDefault="006954AA">
      <w:pPr>
        <w:jc w:val="center"/>
        <w:divId w:val="594214961"/>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u w:val="single"/>
        </w:rPr>
        <w:t>Use of Estimates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GAAP requires the Company's management to make estimates a</w:t>
      </w:r>
      <w:r>
        <w:rPr>
          <w:sz w:val="20"/>
          <w:szCs w:val="20"/>
        </w:rPr>
        <w:t>nd assumptions that affect the reported amounts of assets and liabilities, the disclosure of contingent assets and liabilities and the reported amounts of revenues and expenses during a reporting period. The most significant assumptions and estimates relat</w:t>
      </w:r>
      <w:r>
        <w:rPr>
          <w:sz w:val="20"/>
          <w:szCs w:val="20"/>
        </w:rPr>
        <w:t>e to the valuation of real estate and related intangible assets and liabilities, equity method investments, other investments, including the assessment of impairments, as well as, depreciable lives, revenue recognition, and the collectability of trade acco</w:t>
      </w:r>
      <w:r>
        <w:rPr>
          <w:sz w:val="20"/>
          <w:szCs w:val="20"/>
        </w:rPr>
        <w:t>unts receivable. Application of these assumptions requires the exercise of judgment as to future uncertainties, and, as a result, actual results could differ from these estimates.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Subsequent Events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rPr>
        <w:t>The Company has evaluated subsequent events and transa</w:t>
      </w:r>
      <w:r>
        <w:rPr>
          <w:sz w:val="20"/>
          <w:szCs w:val="20"/>
        </w:rPr>
        <w:t xml:space="preserve">ctions for potential recognition or disclosure in its consolidated financial statements (see Footnote </w:t>
      </w:r>
      <w:r>
        <w:rPr>
          <w:rStyle w:val="a6"/>
          <w:sz w:val="20"/>
          <w:szCs w:val="20"/>
        </w:rPr>
        <w:t>29</w:t>
      </w:r>
      <w:r>
        <w:rPr>
          <w:sz w:val="20"/>
          <w:szCs w:val="20"/>
        </w:rPr>
        <w:t xml:space="preserve"> of the Notes to Consolidated Financial Statements).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Real Estate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Real estate assets are stated at cost, less accumulated depreciation and amortizati</w:t>
      </w:r>
      <w:r>
        <w:rPr>
          <w:sz w:val="20"/>
          <w:szCs w:val="20"/>
        </w:rPr>
        <w:t>on. The Company periodically assesses the useful lives of its depreciable real estate assets, including those expected to be redeveloped in future periods, and accounts for any revisions prospectively. Expenditures for maintenance, repairs and demolition c</w:t>
      </w:r>
      <w:r>
        <w:rPr>
          <w:sz w:val="20"/>
          <w:szCs w:val="20"/>
        </w:rPr>
        <w:t>osts are charged to operations as incurred. Significant renovations and replacements, which improve or extend the life of the asset, are capitalized.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evaluates each acquisition transaction to determine whether the acquired asset meets the def</w:t>
      </w:r>
      <w:r>
        <w:rPr>
          <w:sz w:val="20"/>
          <w:szCs w:val="20"/>
        </w:rPr>
        <w:t xml:space="preserve">inition of a business and therefore accounted for as a business combination or if the acquisition transaction should be accounted for as an asset acquisition.  Under </w:t>
      </w:r>
      <w:r>
        <w:rPr>
          <w:i/>
          <w:iCs/>
          <w:sz w:val="20"/>
          <w:szCs w:val="20"/>
        </w:rPr>
        <w:t xml:space="preserve">Business Combinations (Topic </w:t>
      </w:r>
      <w:r>
        <w:rPr>
          <w:rStyle w:val="a6"/>
          <w:sz w:val="20"/>
          <w:szCs w:val="20"/>
        </w:rPr>
        <w:t>805</w:t>
      </w:r>
      <w:r>
        <w:rPr>
          <w:i/>
          <w:iCs/>
          <w:sz w:val="20"/>
          <w:szCs w:val="20"/>
        </w:rPr>
        <w:t>)</w:t>
      </w:r>
      <w:r>
        <w:rPr>
          <w:sz w:val="20"/>
          <w:szCs w:val="20"/>
        </w:rPr>
        <w:t xml:space="preserve">, an acquisition does </w:t>
      </w:r>
      <w:r>
        <w:rPr>
          <w:rStyle w:val="a6"/>
          <w:sz w:val="20"/>
          <w:szCs w:val="20"/>
        </w:rPr>
        <w:t>not</w:t>
      </w:r>
      <w:r>
        <w:rPr>
          <w:sz w:val="20"/>
          <w:szCs w:val="20"/>
        </w:rPr>
        <w:t xml:space="preserve"> qualify as a business when (i) </w:t>
      </w:r>
      <w:r>
        <w:rPr>
          <w:sz w:val="20"/>
          <w:szCs w:val="20"/>
        </w:rPr>
        <w:t xml:space="preserve">substantially all of the fair value is concentrated in a single identifiable asset or group of similar identifiable assets or (ii) the acquisition does </w:t>
      </w:r>
      <w:r>
        <w:rPr>
          <w:rStyle w:val="a6"/>
          <w:sz w:val="20"/>
          <w:szCs w:val="20"/>
        </w:rPr>
        <w:t>not</w:t>
      </w:r>
      <w:r>
        <w:rPr>
          <w:sz w:val="20"/>
          <w:szCs w:val="20"/>
        </w:rPr>
        <w:t xml:space="preserve"> include a substantive process in the form of an acquired workforce or (iii) an acquired contract tha</w:t>
      </w:r>
      <w:r>
        <w:rPr>
          <w:sz w:val="20"/>
          <w:szCs w:val="20"/>
        </w:rPr>
        <w:t>t cannot be replaced without significant cost, effort or delay. Transaction costs related to acquisitions that qualify as asset acquisitions are capitalized as part of the cost basis of the acquired assets, while transaction costs for acquisitions that are</w:t>
      </w:r>
      <w:r>
        <w:rPr>
          <w:sz w:val="20"/>
          <w:szCs w:val="20"/>
        </w:rPr>
        <w:t xml:space="preserve"> deemed to be acquisitions of a business are expensed as incurred.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When substantially all of the fair value is </w:t>
      </w:r>
      <w:r>
        <w:rPr>
          <w:rStyle w:val="a6"/>
          <w:sz w:val="20"/>
          <w:szCs w:val="20"/>
        </w:rPr>
        <w:t>not</w:t>
      </w:r>
      <w:r>
        <w:rPr>
          <w:sz w:val="20"/>
          <w:szCs w:val="20"/>
        </w:rPr>
        <w:t xml:space="preserve"> </w:t>
      </w:r>
      <w:r>
        <w:rPr>
          <w:sz w:val="20"/>
          <w:szCs w:val="20"/>
        </w:rPr>
        <w:t xml:space="preserve">concentrated in a group of similar identifiable assets, the set of assets will generally be considered a business and the Company applies the acquisition method of accounting for business combinations, where all tangible and identifiable intangible assets </w:t>
      </w:r>
      <w:r>
        <w:rPr>
          <w:sz w:val="20"/>
          <w:szCs w:val="20"/>
        </w:rPr>
        <w:t>acquired, and all liabilities assumed are recorded at fair value. In a business combination, the difference, if any, between the purchase price and the fair value of identifiable net assets acquired is either recorded as goodwill or as a bargain purchase g</w:t>
      </w:r>
      <w:r>
        <w:rPr>
          <w:sz w:val="20"/>
          <w:szCs w:val="20"/>
        </w:rPr>
        <w:t>ain.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both a business combination and an asset acquisition, the Company allocates the purchase price of acquired properties to tangible and identifiable intangible assets or liabilities based on their respective fair values. The fair value of any tang</w:t>
      </w:r>
      <w:r>
        <w:rPr>
          <w:sz w:val="20"/>
          <w:szCs w:val="20"/>
        </w:rPr>
        <w:t>ible real estate assets acquired is determined by valuing the building as if it were vacant, and the fair value is then allocated to land, buildings, and improvements based on available information including replacement cost, appraisal or using net operati</w:t>
      </w:r>
      <w:r>
        <w:rPr>
          <w:sz w:val="20"/>
          <w:szCs w:val="20"/>
        </w:rPr>
        <w:t xml:space="preserve">ng income capitalization rates, discounted cash flow analysis or similar fair value models. Fair value estimates are also made using significant assumptions such as capitalization rates, discount rates, fair market lease rates, land values per square foot </w:t>
      </w:r>
      <w:r>
        <w:rPr>
          <w:sz w:val="20"/>
          <w:szCs w:val="20"/>
        </w:rPr>
        <w:t xml:space="preserve">and other market data. Estimates of future cash flows are based on a number of factors including the historical operating results, known and anticipated trends, and market and economic conditions.  Tangible assets </w:t>
      </w:r>
      <w:r>
        <w:rPr>
          <w:rStyle w:val="a6"/>
          <w:sz w:val="20"/>
          <w:szCs w:val="20"/>
        </w:rPr>
        <w:t xml:space="preserve">may </w:t>
      </w:r>
      <w:r>
        <w:rPr>
          <w:sz w:val="20"/>
          <w:szCs w:val="20"/>
        </w:rPr>
        <w:t>include land, land improvements, build</w:t>
      </w:r>
      <w:r>
        <w:rPr>
          <w:sz w:val="20"/>
          <w:szCs w:val="20"/>
        </w:rPr>
        <w:t xml:space="preserve">ings, building improvements and tenant improvements. Intangible assets </w:t>
      </w:r>
      <w:r>
        <w:rPr>
          <w:rStyle w:val="a6"/>
          <w:sz w:val="20"/>
          <w:szCs w:val="20"/>
        </w:rPr>
        <w:t xml:space="preserve">may </w:t>
      </w:r>
      <w:r>
        <w:rPr>
          <w:sz w:val="20"/>
          <w:szCs w:val="20"/>
        </w:rPr>
        <w:t>include the value of in-place leases and above and below-market leases and other identifiable assets or liabilities based on lease or property specific characteristics.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alloca</w:t>
      </w:r>
      <w:r>
        <w:rPr>
          <w:sz w:val="20"/>
          <w:szCs w:val="20"/>
        </w:rPr>
        <w:t>ting the purchase price to identified intangible assets and liabilities of acquired properties, the value of above-market and below-market leases is estimated based on the present value of the difference between the contractual amounts, including fixed rat</w:t>
      </w:r>
      <w:r>
        <w:rPr>
          <w:sz w:val="20"/>
          <w:szCs w:val="20"/>
        </w:rPr>
        <w:t>e below-market lease renewal options, to be paid pursuant to the leases and management’s estimate of the market lease rates and other lease provisions (e.g., expense recapture, base rental changes) measured over a period equal to the estimated remaining te</w:t>
      </w:r>
      <w:r>
        <w:rPr>
          <w:sz w:val="20"/>
          <w:szCs w:val="20"/>
        </w:rPr>
        <w:t>rm of the lease. The capitalized above-market or below-market intangible is amortized to rental income over the estimated remaining term of the respective leases, which includes the expected renewal option period for below-market leases. Mortgage debt disc</w:t>
      </w:r>
      <w:r>
        <w:rPr>
          <w:sz w:val="20"/>
          <w:szCs w:val="20"/>
        </w:rPr>
        <w:t>ounts or premiums are amortized into interest expense over the remaining term of the related debt instrument.</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76165462"/>
        <w:rPr>
          <w:rFonts w:eastAsia="Times New Roman"/>
          <w:sz w:val="20"/>
          <w:szCs w:val="20"/>
        </w:rPr>
      </w:pPr>
      <w:r>
        <w:rPr>
          <w:rStyle w:val="a6"/>
          <w:rFonts w:eastAsia="Times New Roman"/>
          <w:sz w:val="20"/>
          <w:szCs w:val="20"/>
        </w:rPr>
        <w:t>60</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095" style="width:415.3pt;height:1.5pt" o:hralign="center" o:hrstd="t" o:hrnoshade="t" o:hr="t" fillcolor="black" stroked="f"/>
        </w:pict>
      </w:r>
    </w:p>
    <w:p w:rsidR="00000000" w:rsidRDefault="006954AA">
      <w:pPr>
        <w:divId w:val="144901616"/>
        <w:rPr>
          <w:rFonts w:eastAsia="Times New Roman"/>
          <w:sz w:val="20"/>
          <w:szCs w:val="20"/>
        </w:rPr>
      </w:pPr>
      <w:r>
        <w:rPr>
          <w:rFonts w:eastAsia="Times New Roman"/>
          <w:sz w:val="20"/>
          <w:szCs w:val="20"/>
        </w:rPr>
        <w:t xml:space="preserve">  </w:t>
      </w:r>
    </w:p>
    <w:p w:rsidR="00000000" w:rsidRDefault="006954AA">
      <w:pPr>
        <w:jc w:val="center"/>
        <w:divId w:val="1182433223"/>
        <w:rPr>
          <w:rFonts w:eastAsia="Times New Roman"/>
          <w:sz w:val="20"/>
          <w:szCs w:val="20"/>
        </w:rPr>
      </w:pPr>
      <w:r>
        <w:rPr>
          <w:rFonts w:eastAsia="Times New Roman"/>
          <w:sz w:val="20"/>
          <w:szCs w:val="20"/>
        </w:rPr>
        <w:t xml:space="preserve">KIMCO REALTY CORPORATION AND SUBSIDIARIES </w:t>
      </w:r>
    </w:p>
    <w:p w:rsidR="00000000" w:rsidRDefault="006954AA">
      <w:pPr>
        <w:divId w:val="453410203"/>
        <w:rPr>
          <w:rFonts w:eastAsia="Times New Roman"/>
          <w:sz w:val="20"/>
          <w:szCs w:val="20"/>
        </w:rPr>
      </w:pPr>
      <w:r>
        <w:rPr>
          <w:rFonts w:eastAsia="Times New Roman"/>
          <w:sz w:val="20"/>
          <w:szCs w:val="20"/>
        </w:rPr>
        <w:t xml:space="preserve">  </w:t>
      </w:r>
    </w:p>
    <w:p w:rsidR="00000000" w:rsidRDefault="006954AA">
      <w:pPr>
        <w:jc w:val="center"/>
        <w:divId w:val="1515728369"/>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In de</w:t>
      </w:r>
      <w:r>
        <w:rPr>
          <w:sz w:val="20"/>
          <w:szCs w:val="20"/>
        </w:rPr>
        <w:t>termining the value of in-place leases, management considers current market conditions and costs to execute similar leases in arriving at an estimate of the carrying costs during the expected lease-up period from vacant to existing occupancy. In estimating</w:t>
      </w:r>
      <w:r>
        <w:rPr>
          <w:sz w:val="20"/>
          <w:szCs w:val="20"/>
        </w:rPr>
        <w:t xml:space="preserve"> carrying costs, management includes real estate taxes, insurance, other operating expenses, estimates of lost rental revenue during the expected lease-up periods and costs to execute similar leases including leasing commissions, legal and other related co</w:t>
      </w:r>
      <w:r>
        <w:rPr>
          <w:sz w:val="20"/>
          <w:szCs w:val="20"/>
        </w:rPr>
        <w:t>sts based on current market demand. The value assigned to in-place leases and tenant relationships is amortized over the estimated remaining term of the leases. If a lease were to be terminated prior to its scheduled expiration, all unamortized costs relat</w:t>
      </w:r>
      <w:r>
        <w:rPr>
          <w:sz w:val="20"/>
          <w:szCs w:val="20"/>
        </w:rPr>
        <w:t>ing to that lease would be written off.</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useful lives of amortizable intangible assets are evaluated each reporting period with any changes in estimated useful lives being accounted for over the revised remaining useful life.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Depreciation and amorti</w:t>
      </w:r>
      <w:r>
        <w:rPr>
          <w:sz w:val="20"/>
          <w:szCs w:val="20"/>
        </w:rPr>
        <w:t>zation are provided on the straight-line method over the estimated useful lives of the assets, as follows: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741"/>
        <w:gridCol w:w="224"/>
        <w:gridCol w:w="1369"/>
        <w:gridCol w:w="143"/>
        <w:gridCol w:w="207"/>
        <w:gridCol w:w="1911"/>
        <w:gridCol w:w="50"/>
      </w:tblGrid>
      <w:tr w:rsidR="00000000">
        <w:trPr>
          <w:tblCellSpacing w:w="0" w:type="dxa"/>
        </w:trPr>
        <w:tc>
          <w:tcPr>
            <w:tcW w:w="10320" w:type="dxa"/>
            <w:shd w:val="clear" w:color="auto" w:fill="CCEEFF"/>
            <w:vAlign w:val="bottom"/>
            <w:hideMark/>
          </w:tcPr>
          <w:p w:rsidR="00000000" w:rsidRDefault="006954AA">
            <w:pPr>
              <w:pStyle w:val="a3"/>
              <w:spacing w:before="0" w:beforeAutospacing="0" w:after="0" w:afterAutospacing="0"/>
              <w:rPr>
                <w:sz w:val="20"/>
                <w:szCs w:val="20"/>
              </w:rPr>
            </w:pPr>
            <w:r>
              <w:rPr>
                <w:sz w:val="20"/>
                <w:szCs w:val="20"/>
              </w:rPr>
              <w:t>Buildings and building improvements (in years)</w:t>
            </w:r>
          </w:p>
        </w:tc>
        <w:tc>
          <w:tcPr>
            <w:tcW w:w="1050" w:type="dxa"/>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215" w:type="dxa"/>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225" w:type="dxa"/>
            <w:shd w:val="clear" w:color="auto" w:fill="CCEEFF"/>
            <w:vAlign w:val="bottom"/>
            <w:hideMark/>
          </w:tcPr>
          <w:p w:rsidR="00000000" w:rsidRDefault="006954AA">
            <w:pPr>
              <w:rPr>
                <w:rFonts w:eastAsia="Times New Roman"/>
                <w:sz w:val="20"/>
                <w:szCs w:val="20"/>
              </w:rPr>
            </w:pPr>
            <w:r>
              <w:rPr>
                <w:rFonts w:eastAsia="Times New Roman"/>
                <w:sz w:val="20"/>
                <w:szCs w:val="20"/>
              </w:rPr>
              <w:t>5</w:t>
            </w:r>
          </w:p>
        </w:tc>
        <w:tc>
          <w:tcPr>
            <w:tcW w:w="300" w:type="dxa"/>
            <w:shd w:val="clear" w:color="auto" w:fill="CCEEFF"/>
            <w:vAlign w:val="bottom"/>
            <w:hideMark/>
          </w:tcPr>
          <w:p w:rsidR="00000000" w:rsidRDefault="006954AA">
            <w:pPr>
              <w:rPr>
                <w:rFonts w:eastAsia="Times New Roman"/>
                <w:sz w:val="20"/>
                <w:szCs w:val="20"/>
              </w:rPr>
            </w:pPr>
            <w:r>
              <w:rPr>
                <w:rFonts w:eastAsia="Times New Roman"/>
                <w:sz w:val="20"/>
                <w:szCs w:val="20"/>
              </w:rPr>
              <w:t>to</w:t>
            </w:r>
          </w:p>
        </w:tc>
        <w:tc>
          <w:tcPr>
            <w:tcW w:w="6810" w:type="dxa"/>
            <w:shd w:val="clear" w:color="auto" w:fill="CCEEFF"/>
            <w:vAlign w:val="bottom"/>
            <w:hideMark/>
          </w:tcPr>
          <w:p w:rsidR="00000000" w:rsidRDefault="006954AA">
            <w:pPr>
              <w:ind w:left="360"/>
              <w:rPr>
                <w:rFonts w:eastAsia="Times New Roman"/>
                <w:sz w:val="20"/>
                <w:szCs w:val="20"/>
              </w:rPr>
            </w:pPr>
            <w:r>
              <w:rPr>
                <w:rFonts w:eastAsia="Times New Roman"/>
                <w:sz w:val="20"/>
                <w:szCs w:val="20"/>
              </w:rPr>
              <w:t>50</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0320" w:type="dxa"/>
            <w:shd w:val="clear" w:color="auto" w:fill="FFFFFF"/>
            <w:vAlign w:val="bottom"/>
            <w:hideMark/>
          </w:tcPr>
          <w:p w:rsidR="00000000" w:rsidRDefault="006954AA">
            <w:pPr>
              <w:pStyle w:val="a3"/>
              <w:spacing w:before="0" w:beforeAutospacing="0" w:after="0" w:afterAutospacing="0"/>
              <w:rPr>
                <w:sz w:val="20"/>
                <w:szCs w:val="20"/>
              </w:rPr>
            </w:pPr>
            <w:r>
              <w:rPr>
                <w:sz w:val="20"/>
                <w:szCs w:val="20"/>
              </w:rPr>
              <w:t>Fixtures, leasehold and tenant improvements (including certain identified intangible assets)</w:t>
            </w:r>
          </w:p>
        </w:tc>
        <w:tc>
          <w:tcPr>
            <w:tcW w:w="1050" w:type="dxa"/>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215" w:type="dxa"/>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 </w:t>
            </w:r>
          </w:p>
        </w:tc>
        <w:tc>
          <w:tcPr>
            <w:tcW w:w="5745" w:type="dxa"/>
            <w:gridSpan w:val="3"/>
            <w:shd w:val="clear" w:color="auto" w:fill="FFFFFF"/>
            <w:vAlign w:val="bottom"/>
            <w:hideMark/>
          </w:tcPr>
          <w:p w:rsidR="00000000" w:rsidRDefault="006954AA">
            <w:pPr>
              <w:ind w:left="360"/>
              <w:jc w:val="both"/>
              <w:rPr>
                <w:rFonts w:eastAsia="Times New Roman"/>
                <w:sz w:val="20"/>
                <w:szCs w:val="20"/>
              </w:rPr>
            </w:pPr>
            <w:r>
              <w:rPr>
                <w:rFonts w:eastAsia="Times New Roman"/>
                <w:sz w:val="20"/>
                <w:szCs w:val="20"/>
              </w:rPr>
              <w:t>Terms of leases or useful lives, whichever is shorter</w:t>
            </w:r>
          </w:p>
        </w:tc>
        <w:tc>
          <w:tcPr>
            <w:tcW w:w="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difference between the fair value and the face value of debt </w:t>
      </w:r>
      <w:r>
        <w:rPr>
          <w:sz w:val="20"/>
          <w:szCs w:val="20"/>
        </w:rPr>
        <w:t>assumed, if any, in connection with an acquisition is recorded as a premium or discount and is amortized on a straight-line basis, which approximates the effective interest method, over the terms of the related debt agreements.  The fair value of debt is e</w:t>
      </w:r>
      <w:r>
        <w:rPr>
          <w:sz w:val="20"/>
          <w:szCs w:val="20"/>
        </w:rPr>
        <w:t>stimated based upon contractual future cash flows discounted using borrowing spreads and market interest rates that would have been available for debt with similar terms and maturities.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Real estate under development represents the development of open-air</w:t>
      </w:r>
      <w:r>
        <w:rPr>
          <w:sz w:val="20"/>
          <w:szCs w:val="20"/>
        </w:rPr>
        <w:t xml:space="preserve"> shopping center projects, which </w:t>
      </w:r>
      <w:r>
        <w:rPr>
          <w:rStyle w:val="a6"/>
          <w:sz w:val="20"/>
          <w:szCs w:val="20"/>
        </w:rPr>
        <w:t xml:space="preserve">may </w:t>
      </w:r>
      <w:r>
        <w:rPr>
          <w:sz w:val="20"/>
          <w:szCs w:val="20"/>
        </w:rPr>
        <w:t>include residential and mixed-use components, that the Company plans to hold as long-term investments. These properties are carried at cost. The cost of land and buildings under development includes specifically identif</w:t>
      </w:r>
      <w:r>
        <w:rPr>
          <w:sz w:val="20"/>
          <w:szCs w:val="20"/>
        </w:rPr>
        <w:t>iable costs. Capitalized costs include pre-construction costs essential to the development of the property, construction costs, interest costs, real estate taxes, insurance, legal costs, salaries and related costs of personnel directly involved and other c</w:t>
      </w:r>
      <w:r>
        <w:rPr>
          <w:sz w:val="20"/>
          <w:szCs w:val="20"/>
        </w:rPr>
        <w:t>osts incurred during the period of development. The Company ceases cost capitalization when the property is held available for occupancy and placed into service. This usually occurs upon substantial completion of all development activity necessary to bring</w:t>
      </w:r>
      <w:r>
        <w:rPr>
          <w:sz w:val="20"/>
          <w:szCs w:val="20"/>
        </w:rPr>
        <w:t xml:space="preserve"> the property to the condition needed for its intended use, but </w:t>
      </w:r>
      <w:r>
        <w:rPr>
          <w:rStyle w:val="a6"/>
          <w:sz w:val="20"/>
          <w:szCs w:val="20"/>
        </w:rPr>
        <w:t>no</w:t>
      </w:r>
      <w:r>
        <w:rPr>
          <w:sz w:val="20"/>
          <w:szCs w:val="20"/>
        </w:rPr>
        <w:t xml:space="preserve"> later than</w:t>
      </w:r>
      <w:r>
        <w:rPr>
          <w:sz w:val="20"/>
          <w:szCs w:val="20"/>
        </w:rPr>
        <w:t xml:space="preserve"> </w:t>
      </w:r>
      <w:r>
        <w:rPr>
          <w:sz w:val="20"/>
          <w:szCs w:val="20"/>
        </w:rPr>
        <w:t>on</w:t>
      </w:r>
      <w:r>
        <w:rPr>
          <w:sz w:val="20"/>
          <w:szCs w:val="20"/>
        </w:rPr>
        <w:t>e</w:t>
      </w:r>
      <w:r>
        <w:rPr>
          <w:sz w:val="20"/>
          <w:szCs w:val="20"/>
        </w:rPr>
        <w:t xml:space="preserve"> year from the completion of major construction activity. However, the Company </w:t>
      </w:r>
      <w:r>
        <w:rPr>
          <w:rStyle w:val="a6"/>
          <w:sz w:val="20"/>
          <w:szCs w:val="20"/>
        </w:rPr>
        <w:t xml:space="preserve">may </w:t>
      </w:r>
      <w:r>
        <w:rPr>
          <w:sz w:val="20"/>
          <w:szCs w:val="20"/>
        </w:rPr>
        <w:t>continue to capitalize costs even though a project is substantially completed if constructio</w:t>
      </w:r>
      <w:r>
        <w:rPr>
          <w:sz w:val="20"/>
          <w:szCs w:val="20"/>
        </w:rPr>
        <w:t>n is still ongoing at the site. If, in management’s opinion, the current and projected undiscounted cash flows of these assets to be held as long-term investments is less than the net carrying value plus estimated costs to complete the development, the car</w:t>
      </w:r>
      <w:r>
        <w:rPr>
          <w:sz w:val="20"/>
          <w:szCs w:val="20"/>
        </w:rPr>
        <w:t>rying value would be adjusted to an amount that reflects the estimated fair value of the property.</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Company's policy is to classify real estate assets as held-for-sale if the (i) asset is under contract, (ii) the buyer’s deposit is non-refundable, (ii</w:t>
      </w:r>
      <w:r>
        <w:rPr>
          <w:sz w:val="20"/>
          <w:szCs w:val="20"/>
        </w:rPr>
        <w:t xml:space="preserve">i) due diligence has expired and (iv) management believes it is probable that the disposition will occur within </w:t>
      </w:r>
      <w:r>
        <w:rPr>
          <w:rStyle w:val="a6"/>
          <w:sz w:val="20"/>
          <w:szCs w:val="20"/>
        </w:rPr>
        <w:t>one</w:t>
      </w:r>
      <w:r>
        <w:rPr>
          <w:sz w:val="20"/>
          <w:szCs w:val="20"/>
        </w:rPr>
        <w:t xml:space="preserve"> year. When a real estate asset is identified by management as held-for-sale, the Company ceases depreciation of the asset and estimates the </w:t>
      </w:r>
      <w:r>
        <w:rPr>
          <w:sz w:val="20"/>
          <w:szCs w:val="20"/>
        </w:rPr>
        <w:t>fair value. If the fair value of the asset, less cost to sell, is less than the net book value of the asset, an adjustment to the carrying value would be recorded to reflect the estimated fair value of the property, and the asset is included within Other a</w:t>
      </w:r>
      <w:r>
        <w:rPr>
          <w:sz w:val="20"/>
          <w:szCs w:val="20"/>
        </w:rPr>
        <w:t>ssets on the Company's Consolidated Balance Sheets.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On a continuous basis, management assesses whether there are any indicators, including property operating performance, changes in anticipated holding period and general market conditions, that the valu</w:t>
      </w:r>
      <w:r>
        <w:rPr>
          <w:sz w:val="20"/>
          <w:szCs w:val="20"/>
        </w:rPr>
        <w:t xml:space="preserve">e of the real estate properties (including any related amortizable intangible assets or liabilities) </w:t>
      </w:r>
      <w:r>
        <w:rPr>
          <w:rStyle w:val="a6"/>
          <w:sz w:val="20"/>
          <w:szCs w:val="20"/>
        </w:rPr>
        <w:t xml:space="preserve">may </w:t>
      </w:r>
      <w:r>
        <w:rPr>
          <w:sz w:val="20"/>
          <w:szCs w:val="20"/>
        </w:rPr>
        <w:t>be impaired. A property value is considered impaired only if management’s estimated fair value is less than the net carrying value of the property. The</w:t>
      </w:r>
      <w:r>
        <w:rPr>
          <w:sz w:val="20"/>
          <w:szCs w:val="20"/>
        </w:rPr>
        <w:t xml:space="preserve"> Company’s estimated fair value is primarily based upon (i) estimated sales prices from signed contracts or letters of intent from </w:t>
      </w:r>
      <w:r>
        <w:rPr>
          <w:rStyle w:val="a6"/>
          <w:sz w:val="20"/>
          <w:szCs w:val="20"/>
        </w:rPr>
        <w:t>third</w:t>
      </w:r>
      <w:r>
        <w:rPr>
          <w:sz w:val="20"/>
          <w:szCs w:val="20"/>
        </w:rPr>
        <w:t>-party offers or (ii) discounted cash flow models of the property over its remaining hold period. An impairment is recog</w:t>
      </w:r>
      <w:r>
        <w:rPr>
          <w:sz w:val="20"/>
          <w:szCs w:val="20"/>
        </w:rPr>
        <w:t>nized on properties held for use when the expected undiscounted cash flows for a property are less than its carrying amount, at which time, the property is written-down to its estimated fair value. Estimated fair values which are based on discounted cash f</w:t>
      </w:r>
      <w:r>
        <w:rPr>
          <w:sz w:val="20"/>
          <w:szCs w:val="20"/>
        </w:rPr>
        <w:t>low models include all estimated cash inflows and outflows over a specified holding period. Capitalization rates and discount rates utilized in these models are based upon unobservable rates that the Company believes to be within a reasonable range of curr</w:t>
      </w:r>
      <w:r>
        <w:rPr>
          <w:sz w:val="20"/>
          <w:szCs w:val="20"/>
        </w:rPr>
        <w:t>ent market rates. In addition, such cash flow models consider factors such as expected future operating income, trends and prospects, as well as the effects of demand, competition and other factors. To the extent impairment has occurred, the carrying value</w:t>
      </w:r>
      <w:r>
        <w:rPr>
          <w:sz w:val="20"/>
          <w:szCs w:val="20"/>
        </w:rPr>
        <w:t xml:space="preserve"> of the property would be adjusted to an amount to reflect the estimated fair value of the property.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-party offers.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Investments in Unconsolida</w:t>
      </w:r>
      <w:r>
        <w:rPr>
          <w:sz w:val="20"/>
          <w:szCs w:val="20"/>
          <w:u w:val="single"/>
        </w:rPr>
        <w:t>ted Joint Ventures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accounts for its investments in unconsolidated joint ventures under the equity method of accounting as the Company exercises significant influence, but does </w:t>
      </w:r>
      <w:r>
        <w:rPr>
          <w:rStyle w:val="a6"/>
          <w:sz w:val="20"/>
          <w:szCs w:val="20"/>
        </w:rPr>
        <w:t>not</w:t>
      </w:r>
      <w:r>
        <w:rPr>
          <w:sz w:val="20"/>
          <w:szCs w:val="20"/>
        </w:rPr>
        <w:t xml:space="preserve"> control, these entities. These investments are recorded initia</w:t>
      </w:r>
      <w:r>
        <w:rPr>
          <w:sz w:val="20"/>
          <w:szCs w:val="20"/>
        </w:rPr>
        <w:t>lly at cost and are subsequently adjusted for cash contributions and distributions. Earnings for each investment are recognized in accordance with each respective investment agreement and where applicable, are based upon an allocation of the investment’s n</w:t>
      </w:r>
      <w:r>
        <w:rPr>
          <w:sz w:val="20"/>
          <w:szCs w:val="20"/>
        </w:rPr>
        <w:t>et assets at book value as if the investment was hypothetically liquidated at the end of each reporting period.</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100835851"/>
        <w:rPr>
          <w:rFonts w:eastAsia="Times New Roman"/>
          <w:sz w:val="20"/>
          <w:szCs w:val="20"/>
        </w:rPr>
      </w:pPr>
      <w:r>
        <w:rPr>
          <w:rStyle w:val="a6"/>
          <w:rFonts w:eastAsia="Times New Roman"/>
          <w:sz w:val="20"/>
          <w:szCs w:val="20"/>
        </w:rPr>
        <w:t>61</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096" style="width:415.3pt;height:1.5pt" o:hralign="center" o:hrstd="t" o:hrnoshade="t" o:hr="t" fillcolor="black" stroked="f"/>
        </w:pict>
      </w:r>
    </w:p>
    <w:p w:rsidR="00000000" w:rsidRDefault="006954AA">
      <w:pPr>
        <w:divId w:val="214396115"/>
        <w:rPr>
          <w:rFonts w:eastAsia="Times New Roman"/>
          <w:sz w:val="20"/>
          <w:szCs w:val="20"/>
        </w:rPr>
      </w:pPr>
      <w:r>
        <w:rPr>
          <w:rFonts w:eastAsia="Times New Roman"/>
          <w:sz w:val="20"/>
          <w:szCs w:val="20"/>
        </w:rPr>
        <w:t xml:space="preserve">  </w:t>
      </w:r>
    </w:p>
    <w:p w:rsidR="00000000" w:rsidRDefault="006954AA">
      <w:pPr>
        <w:jc w:val="center"/>
        <w:divId w:val="186988056"/>
        <w:rPr>
          <w:rFonts w:eastAsia="Times New Roman"/>
          <w:sz w:val="20"/>
          <w:szCs w:val="20"/>
        </w:rPr>
      </w:pPr>
      <w:r>
        <w:rPr>
          <w:rFonts w:eastAsia="Times New Roman"/>
          <w:sz w:val="20"/>
          <w:szCs w:val="20"/>
        </w:rPr>
        <w:t>K</w:t>
      </w:r>
      <w:r>
        <w:rPr>
          <w:rFonts w:eastAsia="Times New Roman"/>
          <w:sz w:val="20"/>
          <w:szCs w:val="20"/>
        </w:rPr>
        <w:t xml:space="preserve">IMCO REALTY CORPORATION AND SUBSIDIARIES </w:t>
      </w:r>
    </w:p>
    <w:p w:rsidR="00000000" w:rsidRDefault="006954AA">
      <w:pPr>
        <w:divId w:val="1052188757"/>
        <w:rPr>
          <w:rFonts w:eastAsia="Times New Roman"/>
          <w:sz w:val="20"/>
          <w:szCs w:val="20"/>
        </w:rPr>
      </w:pPr>
      <w:r>
        <w:rPr>
          <w:rFonts w:eastAsia="Times New Roman"/>
          <w:sz w:val="20"/>
          <w:szCs w:val="20"/>
        </w:rPr>
        <w:t xml:space="preserve">  </w:t>
      </w:r>
    </w:p>
    <w:p w:rsidR="00000000" w:rsidRDefault="006954AA">
      <w:pPr>
        <w:jc w:val="center"/>
        <w:divId w:val="269288331"/>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Company’s joint ventures primarily consist of co-investments with institutional and other joint venture partners in open-air shopping center properti</w:t>
      </w:r>
      <w:r>
        <w:rPr>
          <w:sz w:val="20"/>
          <w:szCs w:val="20"/>
        </w:rPr>
        <w:t xml:space="preserve">es, consistent with its core business. These joint ventures typically obtain non-recourse </w:t>
      </w:r>
      <w:r>
        <w:rPr>
          <w:rStyle w:val="a6"/>
          <w:sz w:val="20"/>
          <w:szCs w:val="20"/>
        </w:rPr>
        <w:t>third</w:t>
      </w:r>
      <w:r>
        <w:rPr>
          <w:sz w:val="20"/>
          <w:szCs w:val="20"/>
        </w:rPr>
        <w:t>-party financing on their property investments, thus contractually limiting the Company’s exposure to losses primarily to the amount of its equity investment; an</w:t>
      </w:r>
      <w:r>
        <w:rPr>
          <w:sz w:val="20"/>
          <w:szCs w:val="20"/>
        </w:rPr>
        <w:t>d due to the lender’s exposure to losses, a lender typically will require a minimum level of equity in order to mitigate its risk. The Company, on a limited selective basis, has obtained unsecured financing for certain joint ventures. These unsecured finan</w:t>
      </w:r>
      <w:r>
        <w:rPr>
          <w:sz w:val="20"/>
          <w:szCs w:val="20"/>
        </w:rPr>
        <w:t xml:space="preserve">cings </w:t>
      </w:r>
      <w:r>
        <w:rPr>
          <w:rStyle w:val="a6"/>
          <w:sz w:val="20"/>
          <w:szCs w:val="20"/>
        </w:rPr>
        <w:t xml:space="preserve">may </w:t>
      </w:r>
      <w:r>
        <w:rPr>
          <w:sz w:val="20"/>
          <w:szCs w:val="20"/>
        </w:rPr>
        <w:t xml:space="preserve">be guaranteed by the Company with guarantees from the joint venture partners for their proportionate amounts of any guaranty payment the Company is obligated to make. As of </w:t>
      </w:r>
      <w:r>
        <w:rPr>
          <w:rStyle w:val="a6"/>
          <w:sz w:val="20"/>
          <w:szCs w:val="20"/>
        </w:rPr>
        <w:t xml:space="preserve">December 31, 2022, </w:t>
      </w:r>
      <w:r>
        <w:rPr>
          <w:sz w:val="20"/>
          <w:szCs w:val="20"/>
        </w:rPr>
        <w:t xml:space="preserve">the Company did </w:t>
      </w:r>
      <w:r>
        <w:rPr>
          <w:rStyle w:val="a6"/>
          <w:sz w:val="20"/>
          <w:szCs w:val="20"/>
        </w:rPr>
        <w:t>not</w:t>
      </w:r>
      <w:r>
        <w:rPr>
          <w:sz w:val="20"/>
          <w:szCs w:val="20"/>
        </w:rPr>
        <w:t xml:space="preserve"> guaranty any unsecured joint ventu</w:t>
      </w:r>
      <w:r>
        <w:rPr>
          <w:sz w:val="20"/>
          <w:szCs w:val="20"/>
        </w:rPr>
        <w:t>re debt.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To recognize the character of distributions from equity investees within its Consolidated Statements of Cash Flows, all distributions received are presumed to be returns on investment and classified as cash inflows from operating activities unle</w:t>
      </w:r>
      <w:r>
        <w:rPr>
          <w:sz w:val="20"/>
          <w:szCs w:val="20"/>
        </w:rPr>
        <w:t>ss the Company’s cumulative distributions received less distributions received in prior periods that were determined to be returns of investment exceed its cumulative equity in earnings recognized by the investor (as adjusted for amortization of basis diff</w:t>
      </w:r>
      <w:r>
        <w:rPr>
          <w:sz w:val="20"/>
          <w:szCs w:val="20"/>
        </w:rPr>
        <w:t>erences). When such an excess occurs, the current-period distribution up to this excess is considered a return of investment and classified as cash inflows from investing.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a business combination, the fair value of the Company’s investment in an uncons</w:t>
      </w:r>
      <w:r>
        <w:rPr>
          <w:sz w:val="20"/>
          <w:szCs w:val="20"/>
        </w:rPr>
        <w:t>olidated joint venture is calculated using the fair value of the real estate held by the joint venture, which are valued using similar methods as described in the Company’s Real Estate policy above, offset by the fair value of the debt on the property whic</w:t>
      </w:r>
      <w:r>
        <w:rPr>
          <w:sz w:val="20"/>
          <w:szCs w:val="20"/>
        </w:rPr>
        <w:t>h is then multiplied by the Company’s equity ownership percentage.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On a continuous basis, management assesses whether there are any indicators, including the underlying investment property operating performance and general market conditions, that the val</w:t>
      </w:r>
      <w:r>
        <w:rPr>
          <w:sz w:val="20"/>
          <w:szCs w:val="20"/>
        </w:rPr>
        <w:t xml:space="preserve">ue of the Company’s investments in unconsolidated joint ventures </w:t>
      </w:r>
      <w:r>
        <w:rPr>
          <w:rStyle w:val="a6"/>
          <w:sz w:val="20"/>
          <w:szCs w:val="20"/>
        </w:rPr>
        <w:t xml:space="preserve">may </w:t>
      </w:r>
      <w:r>
        <w:rPr>
          <w:sz w:val="20"/>
          <w:szCs w:val="20"/>
        </w:rPr>
        <w:t>be impaired. An investment’s value is impaired only if management’s estimate of the fair value of the investment is less than the carrying value of the investment and such difference is d</w:t>
      </w:r>
      <w:r>
        <w:rPr>
          <w:sz w:val="20"/>
          <w:szCs w:val="20"/>
        </w:rPr>
        <w:t>eemed to be other-than-temporary. To the extent impairment has occurred, the loss will be measured as the excess of the carrying amount of the investment over the estimated fair value of the investment. Estimated fair values which are based on discounted c</w:t>
      </w:r>
      <w:r>
        <w:rPr>
          <w:sz w:val="20"/>
          <w:szCs w:val="20"/>
        </w:rPr>
        <w:t>ash flow models include all estimated cash inflows and outflows over a specified holding period, and, where applicable, any estimated debt premiums. Capitalization rates and discount rates utilized in these models are based upon unobservable rates that the</w:t>
      </w:r>
      <w:r>
        <w:rPr>
          <w:sz w:val="20"/>
          <w:szCs w:val="20"/>
        </w:rPr>
        <w:t xml:space="preserve"> Company believes to be within a reasonable range of current market rates.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Other Investments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Other investments primarily consist of preferred equity investments for which the Company provides capital to owners and developers of real estate. The Company</w:t>
      </w:r>
      <w:r>
        <w:rPr>
          <w:sz w:val="20"/>
          <w:szCs w:val="20"/>
        </w:rPr>
        <w:t xml:space="preserve"> typically accounts for its preferred equity investments on the equity method of accounting, whereby earnings for each investment are recognized in accordance with each respective investment agreement and based upon an allocation of the investment’s net as</w:t>
      </w:r>
      <w:r>
        <w:rPr>
          <w:sz w:val="20"/>
          <w:szCs w:val="20"/>
        </w:rPr>
        <w:t>sets at book value as if the investment was hypothetically liquidated at the end of each reporting period.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On a continuous basis, management assesses whether there are any indicators, including the underlying investment property operating performance and</w:t>
      </w:r>
      <w:r>
        <w:rPr>
          <w:sz w:val="20"/>
          <w:szCs w:val="20"/>
        </w:rPr>
        <w:t xml:space="preserve"> general market conditions, that the value of the Company’s Other investments </w:t>
      </w:r>
      <w:r>
        <w:rPr>
          <w:rStyle w:val="a6"/>
          <w:sz w:val="20"/>
          <w:szCs w:val="20"/>
        </w:rPr>
        <w:t xml:space="preserve">may </w:t>
      </w:r>
      <w:r>
        <w:rPr>
          <w:sz w:val="20"/>
          <w:szCs w:val="20"/>
        </w:rPr>
        <w:t>be impaired. An investment’s value is impaired only if management’s estimate of the fair value of the investment is less than the carrying value of the investment and such di</w:t>
      </w:r>
      <w:r>
        <w:rPr>
          <w:sz w:val="20"/>
          <w:szCs w:val="20"/>
        </w:rPr>
        <w:t>fference is deemed to be other-than-temporary. To the extent impairment has occurred, the loss shall be measured as the excess of the carrying amount of the investment over the estimated fair value of the investment.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Company’s estimated fair values a</w:t>
      </w:r>
      <w:r>
        <w:rPr>
          <w:sz w:val="20"/>
          <w:szCs w:val="20"/>
        </w:rPr>
        <w:t>re based upon a discounted cash flow model for each investment that includes all estimated cash inflows and outflows over a specified holding period and, where applicable, any estimated debt premiums. Capitalization rates, discount rates and credit spreads</w:t>
      </w:r>
      <w:r>
        <w:rPr>
          <w:sz w:val="20"/>
          <w:szCs w:val="20"/>
        </w:rPr>
        <w:t xml:space="preserve"> utilized in these models are based upon rates that the Company believes to be within a reasonable range of current market rates.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jc w:val="center"/>
        <w:divId w:val="296423517"/>
        <w:rPr>
          <w:rFonts w:eastAsia="Times New Roman"/>
          <w:sz w:val="20"/>
          <w:szCs w:val="20"/>
        </w:rPr>
      </w:pPr>
      <w:r>
        <w:rPr>
          <w:rStyle w:val="a6"/>
          <w:rFonts w:eastAsia="Times New Roman"/>
          <w:sz w:val="20"/>
          <w:szCs w:val="20"/>
        </w:rPr>
        <w:t>62</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097" style="width:415.3pt;height:1.5pt" o:hralign="center" o:hrstd="t" o:hrnoshade="t" o:hr="t" fillcolor="black" stroked="f"/>
        </w:pict>
      </w:r>
    </w:p>
    <w:p w:rsidR="00000000" w:rsidRDefault="006954AA">
      <w:pPr>
        <w:divId w:val="1327971867"/>
        <w:rPr>
          <w:rFonts w:eastAsia="Times New Roman"/>
          <w:sz w:val="20"/>
          <w:szCs w:val="20"/>
        </w:rPr>
      </w:pPr>
      <w:r>
        <w:rPr>
          <w:rFonts w:eastAsia="Times New Roman"/>
          <w:sz w:val="20"/>
          <w:szCs w:val="20"/>
        </w:rPr>
        <w:t xml:space="preserve">  </w:t>
      </w:r>
    </w:p>
    <w:p w:rsidR="00000000" w:rsidRDefault="006954AA">
      <w:pPr>
        <w:jc w:val="center"/>
        <w:divId w:val="665859258"/>
        <w:rPr>
          <w:rFonts w:eastAsia="Times New Roman"/>
          <w:sz w:val="20"/>
          <w:szCs w:val="20"/>
        </w:rPr>
      </w:pPr>
      <w:r>
        <w:rPr>
          <w:rFonts w:eastAsia="Times New Roman"/>
          <w:sz w:val="20"/>
          <w:szCs w:val="20"/>
        </w:rPr>
        <w:t xml:space="preserve">KIMCO REALTY CORPORATION AND SUBSIDIARIES </w:t>
      </w:r>
    </w:p>
    <w:p w:rsidR="00000000" w:rsidRDefault="006954AA">
      <w:pPr>
        <w:divId w:val="1453942667"/>
        <w:rPr>
          <w:rFonts w:eastAsia="Times New Roman"/>
          <w:sz w:val="20"/>
          <w:szCs w:val="20"/>
        </w:rPr>
      </w:pPr>
      <w:r>
        <w:rPr>
          <w:rFonts w:eastAsia="Times New Roman"/>
          <w:sz w:val="20"/>
          <w:szCs w:val="20"/>
        </w:rPr>
        <w:t xml:space="preserve">  </w:t>
      </w:r>
    </w:p>
    <w:p w:rsidR="00000000" w:rsidRDefault="006954AA">
      <w:pPr>
        <w:jc w:val="center"/>
        <w:divId w:val="129641959"/>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rPr>
          <w:sz w:val="20"/>
          <w:szCs w:val="20"/>
        </w:rPr>
      </w:pPr>
      <w:r>
        <w:rPr>
          <w:sz w:val="20"/>
          <w:szCs w:val="20"/>
          <w:u w:val="single"/>
        </w:rPr>
        <w:t>Cash, Cash Equivalents and Restricted Cash</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Cash and cash equivalents include demand deposits in banks, commercial p</w:t>
      </w:r>
      <w:r>
        <w:rPr>
          <w:sz w:val="20"/>
          <w:szCs w:val="20"/>
        </w:rPr>
        <w:t xml:space="preserve">aper and certificates of deposit with original maturities of </w:t>
      </w:r>
      <w:r>
        <w:rPr>
          <w:rStyle w:val="a6"/>
          <w:sz w:val="20"/>
          <w:szCs w:val="20"/>
        </w:rPr>
        <w:t>three</w:t>
      </w:r>
      <w:r>
        <w:rPr>
          <w:sz w:val="20"/>
          <w:szCs w:val="20"/>
        </w:rPr>
        <w:t xml:space="preserve"> months or less. Cash and cash equivalent balances </w:t>
      </w:r>
      <w:r>
        <w:rPr>
          <w:rStyle w:val="a6"/>
          <w:sz w:val="20"/>
          <w:szCs w:val="20"/>
        </w:rPr>
        <w:t xml:space="preserve">may, </w:t>
      </w:r>
      <w:r>
        <w:rPr>
          <w:sz w:val="20"/>
          <w:szCs w:val="20"/>
        </w:rPr>
        <w:t>at a limited number of banks and financial institutions, exceed insurable amounts. The Company believes it mitigates risk by investing</w:t>
      </w:r>
      <w:r>
        <w:rPr>
          <w:sz w:val="20"/>
          <w:szCs w:val="20"/>
        </w:rPr>
        <w:t xml:space="preserve"> in or through major financial institutions and primarily in funds that are currently U.S. federal government insured up to applicable account limits. Recoverability of investments is dependent upon the performance of the issuers.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Restricted cash is depo</w:t>
      </w:r>
      <w:r>
        <w:rPr>
          <w:sz w:val="20"/>
          <w:szCs w:val="20"/>
        </w:rPr>
        <w:t xml:space="preserve">sits held or restricted for a specific use. The Company had restricted cash totaling $2.9 million and $9.0 million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respectively, which is included in Cash and cash equivalents on the Company’s Consolidated Balance Sheets. Thi</w:t>
      </w:r>
      <w:r>
        <w:rPr>
          <w:sz w:val="20"/>
          <w:szCs w:val="20"/>
        </w:rPr>
        <w:t xml:space="preserve">s includes cash equivalents of $6.5 million that is held as collateral for certain letters of credit at </w:t>
      </w:r>
      <w:r>
        <w:rPr>
          <w:rStyle w:val="a6"/>
          <w:sz w:val="20"/>
          <w:szCs w:val="20"/>
        </w:rPr>
        <w:t>December 31,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Marketable Securities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classifies its marketable equity securities as available-for-sale in accordance with the FASB’s</w:t>
      </w:r>
      <w:r>
        <w:rPr>
          <w:sz w:val="20"/>
          <w:szCs w:val="20"/>
        </w:rPr>
        <w:t xml:space="preserve"> Investments-Debt and Equity Securities guidance. In accordance with ASC Topic </w:t>
      </w:r>
      <w:r>
        <w:rPr>
          <w:rStyle w:val="a6"/>
          <w:sz w:val="20"/>
          <w:szCs w:val="20"/>
        </w:rPr>
        <w:t>825</w:t>
      </w:r>
      <w:r>
        <w:rPr>
          <w:sz w:val="20"/>
          <w:szCs w:val="20"/>
        </w:rPr>
        <w:t xml:space="preserve"> </w:t>
      </w:r>
      <w:r>
        <w:rPr>
          <w:i/>
          <w:iCs/>
          <w:sz w:val="20"/>
          <w:szCs w:val="20"/>
        </w:rPr>
        <w:t>Financial Instruments:</w:t>
      </w:r>
      <w:r>
        <w:rPr>
          <w:sz w:val="20"/>
          <w:szCs w:val="20"/>
        </w:rPr>
        <w:t xml:space="preserve"> the Company recognizes changes in the fair value of equity investments with readily determinable fair values in net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Other Assets</w:t>
      </w:r>
    </w:p>
    <w:p w:rsidR="00000000" w:rsidRDefault="006954AA">
      <w:pPr>
        <w:pStyle w:val="a3"/>
        <w:spacing w:before="0" w:beforeAutospacing="0" w:after="0" w:afterAutospacing="0"/>
        <w:ind w:left="36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Mortgage </w:t>
      </w:r>
      <w:r>
        <w:rPr>
          <w:i/>
          <w:iCs/>
          <w:sz w:val="20"/>
          <w:szCs w:val="20"/>
        </w:rPr>
        <w:t>and Other Financing Receivables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Mortgages and other financing receivables consist of loans acquired and loans originated by the Company, which are included within Other assets on the Company’s Consolidated Balance Sheets. Borrowers of these loans are pri</w:t>
      </w:r>
      <w:r>
        <w:rPr>
          <w:sz w:val="20"/>
          <w:szCs w:val="20"/>
        </w:rPr>
        <w:t>marily experienced owners, operators or developers of commercial real estate. The Company’s loans are primarily mortgage loans that are collateralized by real estate. Mortgages and other financing receivables are recorded at stated principal amounts, net o</w:t>
      </w:r>
      <w:r>
        <w:rPr>
          <w:sz w:val="20"/>
          <w:szCs w:val="20"/>
        </w:rPr>
        <w:t>f any discount or premium or deferred loan origination costs or fees. The related discounts or premiums on mortgages and other loans purchased are amortized or accreted over the life of the related loan receivable. The Company defers certain loan originati</w:t>
      </w:r>
      <w:r>
        <w:rPr>
          <w:sz w:val="20"/>
          <w:szCs w:val="20"/>
        </w:rPr>
        <w:t>on and commitment fees, net of certain origination costs and amortizes them as an adjustment of the loan’s yield over the term of the related loan.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applies Accounting Standards Update (“ASU”) </w:t>
      </w:r>
      <w:r>
        <w:rPr>
          <w:rStyle w:val="a6"/>
          <w:sz w:val="20"/>
          <w:szCs w:val="20"/>
        </w:rPr>
        <w:t>2016</w:t>
      </w:r>
      <w:r>
        <w:rPr>
          <w:sz w:val="20"/>
          <w:szCs w:val="20"/>
        </w:rPr>
        <w:t>-</w:t>
      </w:r>
      <w:r>
        <w:rPr>
          <w:rStyle w:val="a6"/>
          <w:sz w:val="20"/>
          <w:szCs w:val="20"/>
        </w:rPr>
        <w:t>13</w:t>
      </w:r>
      <w:r>
        <w:rPr>
          <w:sz w:val="20"/>
          <w:szCs w:val="20"/>
        </w:rPr>
        <w:t xml:space="preserve"> </w:t>
      </w:r>
      <w:r>
        <w:rPr>
          <w:i/>
          <w:iCs/>
          <w:sz w:val="20"/>
          <w:szCs w:val="20"/>
        </w:rPr>
        <w:t xml:space="preserve">Financial Instruments </w:t>
      </w:r>
      <w:r>
        <w:rPr>
          <w:sz w:val="20"/>
          <w:szCs w:val="20"/>
        </w:rPr>
        <w:t>–</w:t>
      </w:r>
      <w:r>
        <w:rPr>
          <w:i/>
          <w:iCs/>
          <w:sz w:val="20"/>
          <w:szCs w:val="20"/>
        </w:rPr>
        <w:t xml:space="preserve"> Credit Losses (Top</w:t>
      </w:r>
      <w:r>
        <w:rPr>
          <w:i/>
          <w:iCs/>
          <w:sz w:val="20"/>
          <w:szCs w:val="20"/>
        </w:rPr>
        <w:t xml:space="preserve">ic </w:t>
      </w:r>
      <w:r>
        <w:rPr>
          <w:rStyle w:val="a6"/>
          <w:sz w:val="20"/>
          <w:szCs w:val="20"/>
        </w:rPr>
        <w:t>326</w:t>
      </w:r>
      <w:r>
        <w:rPr>
          <w:i/>
          <w:iCs/>
          <w:sz w:val="20"/>
          <w:szCs w:val="20"/>
        </w:rPr>
        <w:t>): Measurement of Credit Losses on Financial Instruments</w:t>
      </w:r>
      <w:r>
        <w:rPr>
          <w:sz w:val="20"/>
          <w:szCs w:val="20"/>
        </w:rPr>
        <w:t>, which replaces the incurred loss methodology with an expected loss methodology that is referred to as the current expected credit loss (CECL) methodology. The measurement of expected credit lo</w:t>
      </w:r>
      <w:r>
        <w:rPr>
          <w:sz w:val="20"/>
          <w:szCs w:val="20"/>
        </w:rPr>
        <w:t>sses under the CECL methodology is applicable to financial assets measured at amortized cost, including loan receivables and held-to-maturity debt securities. The Company adopted this standard using the modified retrospective method for all financial asset</w:t>
      </w:r>
      <w:r>
        <w:rPr>
          <w:sz w:val="20"/>
          <w:szCs w:val="20"/>
        </w:rPr>
        <w:t>s measured at amortized cost.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On a quarterly basis, the Company reviews credit quality indicators such as (i) payment status to identify performing versus non-performing loans, (ii) changes affecting the underlying real estate collateral and (iii) national and regional economic factors</w:t>
      </w:r>
      <w:r>
        <w:rPr>
          <w:sz w:val="20"/>
          <w:szCs w:val="20"/>
        </w:rPr>
        <w:t xml:space="preserve">. The Company has determined that it has </w:t>
      </w:r>
      <w:r>
        <w:rPr>
          <w:rStyle w:val="a6"/>
          <w:sz w:val="20"/>
          <w:szCs w:val="20"/>
        </w:rPr>
        <w:t>one</w:t>
      </w:r>
      <w:r>
        <w:rPr>
          <w:sz w:val="20"/>
          <w:szCs w:val="20"/>
        </w:rPr>
        <w:t xml:space="preserve"> portfolio segment, primarily represented by loans collateralized by real estate, whereby it determines, as needed, reserves for loan losses on an asset-specific basis. The reserve for loan losses reflects manage</w:t>
      </w:r>
      <w:r>
        <w:rPr>
          <w:sz w:val="20"/>
          <w:szCs w:val="20"/>
        </w:rPr>
        <w:t>ment's estimate of loan losses as of the balance sheet date and are included in Other income, net on the Company’s Consolidated Statements of Income. The reserve is increased through loan loss expense and is decreased by charge-offs when losses are confirm</w:t>
      </w:r>
      <w:r>
        <w:rPr>
          <w:sz w:val="20"/>
          <w:szCs w:val="20"/>
        </w:rPr>
        <w:t>ed through the receipt of assets such as cash or via ownership control of the underlying collateral in full satisfaction of the loan upon foreclosure or when significant collection efforts have ceased.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Interest income on performing loans is accrued as ea</w:t>
      </w:r>
      <w:r>
        <w:rPr>
          <w:sz w:val="20"/>
          <w:szCs w:val="20"/>
        </w:rPr>
        <w:t xml:space="preserve">rned. A non-performing loan is placed on non-accrual status when it is probable that the borrower </w:t>
      </w:r>
      <w:r>
        <w:rPr>
          <w:rStyle w:val="a6"/>
          <w:sz w:val="20"/>
          <w:szCs w:val="20"/>
        </w:rPr>
        <w:t xml:space="preserve">may </w:t>
      </w:r>
      <w:r>
        <w:rPr>
          <w:sz w:val="20"/>
          <w:szCs w:val="20"/>
        </w:rPr>
        <w:t xml:space="preserve">be unable to meet interest payments as they become due. Generally, loans </w:t>
      </w:r>
      <w:r>
        <w:rPr>
          <w:rStyle w:val="a6"/>
          <w:sz w:val="20"/>
          <w:szCs w:val="20"/>
        </w:rPr>
        <w:t>90</w:t>
      </w:r>
      <w:r>
        <w:rPr>
          <w:sz w:val="20"/>
          <w:szCs w:val="20"/>
        </w:rPr>
        <w:t xml:space="preserve"> </w:t>
      </w:r>
      <w:r>
        <w:rPr>
          <w:sz w:val="20"/>
          <w:szCs w:val="20"/>
        </w:rPr>
        <w:t>days or more past due are placed on non-accrual status unless there is sufficient collateral to assure collectability of principal and interest. Upon the designation of non-accrual status, all unpaid accrued interest is reserved and charged against current</w:t>
      </w:r>
      <w:r>
        <w:rPr>
          <w:sz w:val="20"/>
          <w:szCs w:val="20"/>
        </w:rPr>
        <w:t xml:space="preserve"> income. Interest income on non-performing loans is generally recognized on a cash basis. Recognition of interest income on non-performing loans on an accrual basis is resumed when it is probable that the Company will be able to collect amounts due accordi</w:t>
      </w:r>
      <w:r>
        <w:rPr>
          <w:sz w:val="20"/>
          <w:szCs w:val="20"/>
        </w:rPr>
        <w:t>ng to the contractual terms.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Tax Incremental Revenue Bonds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Other assets include Series B tax increment revenue bonds issued by the Sheridan Redevelopment Agency in connection with the development of a project in Sheridan, Colorado which were acquired i</w:t>
      </w:r>
      <w:r>
        <w:rPr>
          <w:sz w:val="20"/>
          <w:szCs w:val="20"/>
        </w:rPr>
        <w:t xml:space="preserve">n connection with the Merger, which mature on </w:t>
      </w:r>
      <w:r>
        <w:rPr>
          <w:rStyle w:val="a6"/>
          <w:sz w:val="20"/>
          <w:szCs w:val="20"/>
        </w:rPr>
        <w:t xml:space="preserve">December 15, 2039. </w:t>
      </w:r>
      <w:r>
        <w:rPr>
          <w:sz w:val="20"/>
          <w:szCs w:val="20"/>
        </w:rPr>
        <w:t>These Series B bonds have been classified as held to maturity and were recorded at estimated fair value upon the date of the Merger. The fair value estimates of the Company’s held to maturity</w:t>
      </w:r>
      <w:r>
        <w:rPr>
          <w:sz w:val="20"/>
          <w:szCs w:val="20"/>
        </w:rPr>
        <w:t xml:space="preserve"> tax increment revenue bonds are based on discounted cash flow analysis, which are based on the expected future sales tax revenues of the project. This analysis reflects the contractual terms of the bonds, including the period to maturity, and uses observa</w:t>
      </w:r>
      <w:r>
        <w:rPr>
          <w:sz w:val="20"/>
          <w:szCs w:val="20"/>
        </w:rPr>
        <w:t>ble market-based inputs, such as market discount rates and unobservable market-based inputs, such as future growth and inflation rates. Interest on these bonds is recorded at an effective interest rate while cash payments are received at the contractual in</w:t>
      </w:r>
      <w:r>
        <w:rPr>
          <w:sz w:val="20"/>
          <w:szCs w:val="20"/>
        </w:rPr>
        <w:t>terest rate.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079598560"/>
        <w:rPr>
          <w:rFonts w:eastAsia="Times New Roman"/>
          <w:sz w:val="20"/>
          <w:szCs w:val="20"/>
        </w:rPr>
      </w:pPr>
      <w:r>
        <w:rPr>
          <w:rStyle w:val="a6"/>
          <w:rFonts w:eastAsia="Times New Roman"/>
          <w:sz w:val="20"/>
          <w:szCs w:val="20"/>
        </w:rPr>
        <w:t>63</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098" style="width:415.3pt;height:1.5pt" o:hralign="center" o:hrstd="t" o:hrnoshade="t" o:hr="t" fillcolor="black" stroked="f"/>
        </w:pict>
      </w:r>
    </w:p>
    <w:p w:rsidR="00000000" w:rsidRDefault="006954AA">
      <w:pPr>
        <w:divId w:val="116604020"/>
        <w:rPr>
          <w:rFonts w:eastAsia="Times New Roman"/>
          <w:sz w:val="20"/>
          <w:szCs w:val="20"/>
        </w:rPr>
      </w:pPr>
      <w:r>
        <w:rPr>
          <w:rFonts w:eastAsia="Times New Roman"/>
          <w:sz w:val="20"/>
          <w:szCs w:val="20"/>
        </w:rPr>
        <w:t xml:space="preserve">  </w:t>
      </w:r>
    </w:p>
    <w:p w:rsidR="00000000" w:rsidRDefault="006954AA">
      <w:pPr>
        <w:jc w:val="center"/>
        <w:divId w:val="914123775"/>
        <w:rPr>
          <w:rFonts w:eastAsia="Times New Roman"/>
          <w:sz w:val="20"/>
          <w:szCs w:val="20"/>
        </w:rPr>
      </w:pPr>
      <w:r>
        <w:rPr>
          <w:rFonts w:eastAsia="Times New Roman"/>
          <w:sz w:val="20"/>
          <w:szCs w:val="20"/>
        </w:rPr>
        <w:t>KIMCO REALTY CORPORAT</w:t>
      </w:r>
      <w:r>
        <w:rPr>
          <w:rFonts w:eastAsia="Times New Roman"/>
          <w:sz w:val="20"/>
          <w:szCs w:val="20"/>
        </w:rPr>
        <w:t xml:space="preserve">ION AND SUBSIDIARIES </w:t>
      </w:r>
    </w:p>
    <w:p w:rsidR="00000000" w:rsidRDefault="006954AA">
      <w:pPr>
        <w:divId w:val="774521105"/>
        <w:rPr>
          <w:rFonts w:eastAsia="Times New Roman"/>
          <w:sz w:val="20"/>
          <w:szCs w:val="20"/>
        </w:rPr>
      </w:pPr>
      <w:r>
        <w:rPr>
          <w:rFonts w:eastAsia="Times New Roman"/>
          <w:sz w:val="20"/>
          <w:szCs w:val="20"/>
        </w:rPr>
        <w:t xml:space="preserve">  </w:t>
      </w:r>
    </w:p>
    <w:p w:rsidR="00000000" w:rsidRDefault="006954AA">
      <w:pPr>
        <w:jc w:val="center"/>
        <w:divId w:val="513610094"/>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held to maturity bonds are evaluated for credit losses based on discounted estimated future cash flows. Any future receipts in excess of the amortized basis will be reco</w:t>
      </w:r>
      <w:r>
        <w:rPr>
          <w:sz w:val="20"/>
          <w:szCs w:val="20"/>
        </w:rPr>
        <w:t>gnized as revenue when received. The credit risk associated with the amortized value of these bonds is deemed as low risk as the bonds are earmarked for repayments from a government entity which are funded through sales and property taxes.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Deferred Leasi</w:t>
      </w:r>
      <w:r>
        <w:rPr>
          <w:i/>
          <w:iCs/>
          <w:sz w:val="20"/>
          <w:szCs w:val="20"/>
        </w:rPr>
        <w:t>ng Costs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Initial direct leasing costs include commissions paid to </w:t>
      </w:r>
      <w:r>
        <w:rPr>
          <w:rStyle w:val="a6"/>
          <w:sz w:val="20"/>
          <w:szCs w:val="20"/>
        </w:rPr>
        <w:t>third</w:t>
      </w:r>
      <w:r>
        <w:rPr>
          <w:sz w:val="20"/>
          <w:szCs w:val="20"/>
        </w:rPr>
        <w:t xml:space="preserve"> parties, including brokers, leasing and referral agents and internal leasing commissions paid to employees for successful execution of lease agreements. These initial direct leasing </w:t>
      </w:r>
      <w:r>
        <w:rPr>
          <w:sz w:val="20"/>
          <w:szCs w:val="20"/>
        </w:rPr>
        <w:t>costs are capitalized and generally amortized over the term of the related leases using the straight-line method. These direct leasing costs are included in Other assets, on the Company’s Consolidated Balance Sheets and are classified as operating activiti</w:t>
      </w:r>
      <w:r>
        <w:rPr>
          <w:sz w:val="20"/>
          <w:szCs w:val="20"/>
        </w:rPr>
        <w:t>es on the Company’s Consolidated Statements of Cash Flows.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Internal employee compensation, payroll-related benefits and certain external legal fees are considered indirect costs associated with the execution of lease agreements. These indirect leasing co</w:t>
      </w:r>
      <w:r>
        <w:rPr>
          <w:sz w:val="20"/>
          <w:szCs w:val="20"/>
        </w:rPr>
        <w:t xml:space="preserve">sts are expensed in accordance with ASU </w:t>
      </w:r>
      <w:r>
        <w:rPr>
          <w:rStyle w:val="a6"/>
          <w:sz w:val="20"/>
          <w:szCs w:val="20"/>
        </w:rPr>
        <w:t>2016</w:t>
      </w:r>
      <w:r>
        <w:rPr>
          <w:sz w:val="20"/>
          <w:szCs w:val="20"/>
        </w:rPr>
        <w:t>-</w:t>
      </w:r>
      <w:r>
        <w:rPr>
          <w:rStyle w:val="a6"/>
          <w:sz w:val="20"/>
          <w:szCs w:val="20"/>
        </w:rPr>
        <w:t>02,</w:t>
      </w:r>
      <w:r>
        <w:rPr>
          <w:sz w:val="20"/>
          <w:szCs w:val="20"/>
        </w:rPr>
        <w:t xml:space="preserve"> </w:t>
      </w:r>
      <w:r>
        <w:rPr>
          <w:i/>
          <w:iCs/>
          <w:sz w:val="20"/>
          <w:szCs w:val="20"/>
        </w:rPr>
        <w:t xml:space="preserve">Leases (Topic </w:t>
      </w:r>
      <w:r>
        <w:rPr>
          <w:rStyle w:val="a6"/>
          <w:sz w:val="20"/>
          <w:szCs w:val="20"/>
        </w:rPr>
        <w:t>842</w:t>
      </w:r>
      <w:r>
        <w:rPr>
          <w:i/>
          <w:iCs/>
          <w:sz w:val="20"/>
          <w:szCs w:val="20"/>
        </w:rPr>
        <w:t xml:space="preserve">) </w:t>
      </w:r>
      <w:r>
        <w:rPr>
          <w:sz w:val="20"/>
          <w:szCs w:val="20"/>
        </w:rPr>
        <w:t xml:space="preserve">(“ASU </w:t>
      </w:r>
      <w:r>
        <w:rPr>
          <w:rStyle w:val="a6"/>
          <w:sz w:val="20"/>
          <w:szCs w:val="20"/>
        </w:rPr>
        <w:t>2016</w:t>
      </w:r>
      <w:r>
        <w:rPr>
          <w:sz w:val="20"/>
          <w:szCs w:val="20"/>
        </w:rPr>
        <w:t>-</w:t>
      </w:r>
      <w:r>
        <w:rPr>
          <w:rStyle w:val="a6"/>
          <w:sz w:val="20"/>
          <w:szCs w:val="20"/>
        </w:rPr>
        <w:t>02”</w:t>
      </w:r>
      <w:r>
        <w:rPr>
          <w:sz w:val="20"/>
          <w:szCs w:val="20"/>
        </w:rPr>
        <w:t>) and included in General and administrative expense on the Company’s Consolidated Statements of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Software Development Costs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Expenditures for major software purchases and software developed for internal use are capitalized and amortized on a straight-line basis generally over a period of</w:t>
      </w:r>
      <w:r>
        <w:rPr>
          <w:sz w:val="20"/>
          <w:szCs w:val="20"/>
        </w:rPr>
        <w:t xml:space="preserve"> </w:t>
      </w:r>
      <w:r>
        <w:rPr>
          <w:sz w:val="20"/>
          <w:szCs w:val="20"/>
        </w:rPr>
        <w:t>thre</w:t>
      </w:r>
      <w:r>
        <w:rPr>
          <w:sz w:val="20"/>
          <w:szCs w:val="20"/>
        </w:rPr>
        <w:t>e</w:t>
      </w:r>
      <w:r>
        <w:rPr>
          <w:sz w:val="20"/>
          <w:szCs w:val="20"/>
        </w:rPr>
        <w:t xml:space="preserve"> to</w:t>
      </w:r>
      <w:r>
        <w:rPr>
          <w:sz w:val="20"/>
          <w:szCs w:val="20"/>
        </w:rPr>
        <w:t xml:space="preserve"> </w:t>
      </w:r>
      <w:r>
        <w:rPr>
          <w:sz w:val="20"/>
          <w:szCs w:val="20"/>
        </w:rPr>
        <w:t>te</w:t>
      </w:r>
      <w:r>
        <w:rPr>
          <w:sz w:val="20"/>
          <w:szCs w:val="20"/>
        </w:rPr>
        <w:t>n</w:t>
      </w:r>
      <w:r>
        <w:rPr>
          <w:sz w:val="20"/>
          <w:szCs w:val="20"/>
        </w:rPr>
        <w:t xml:space="preserve"> years. The Company’s policy provides for the capitalization of external direct </w:t>
      </w:r>
      <w:r>
        <w:rPr>
          <w:sz w:val="20"/>
          <w:szCs w:val="20"/>
        </w:rPr>
        <w:t>costs of materials and services associated with developing or obtaining internal use computer software. In addition, the Company also capitalizes certain payroll and payroll-related costs for employees who are directly associated with internal use computer</w:t>
      </w:r>
      <w:r>
        <w:rPr>
          <w:sz w:val="20"/>
          <w:szCs w:val="20"/>
        </w:rPr>
        <w:t xml:space="preserve"> software projects. The amount of payroll costs that can be capitalized with respect to these employees is limited to the time directly spent on such projects. Costs associated with preliminary project stage activities, training, maintenance and all other </w:t>
      </w:r>
      <w:r>
        <w:rPr>
          <w:sz w:val="20"/>
          <w:szCs w:val="20"/>
        </w:rPr>
        <w:t>post-implementation stage activities are expensed as incurred. These software development costs are included in Other assets on the Company’s Consolidated Balance Sheets.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Deferred Financing Costs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Costs incurred in obtaining long-term financing, include</w:t>
      </w:r>
      <w:r>
        <w:rPr>
          <w:sz w:val="20"/>
          <w:szCs w:val="20"/>
        </w:rPr>
        <w:t>d in Notes payable, net and Mortgages payable, net in the accompanying Consolidated Balance Sheets, are amortized on a straight-line basis, which approximates the effective interest method, over the terms of the related debt agreements, as applicable.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u w:val="single"/>
        </w:rPr>
        <w:t>Re</w:t>
      </w:r>
      <w:r>
        <w:rPr>
          <w:sz w:val="20"/>
          <w:szCs w:val="20"/>
          <w:u w:val="single"/>
        </w:rPr>
        <w:t>venue, Trade Accounts Receivable and Gain Recognition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determines the proper amount of revenue to be recognized in accordance with ASU </w:t>
      </w:r>
      <w:r>
        <w:rPr>
          <w:rStyle w:val="a6"/>
          <w:sz w:val="20"/>
          <w:szCs w:val="20"/>
        </w:rPr>
        <w:t>2014</w:t>
      </w:r>
      <w:r>
        <w:rPr>
          <w:sz w:val="20"/>
          <w:szCs w:val="20"/>
        </w:rPr>
        <w:t>-</w:t>
      </w:r>
      <w:r>
        <w:rPr>
          <w:rStyle w:val="a6"/>
          <w:sz w:val="20"/>
          <w:szCs w:val="20"/>
        </w:rPr>
        <w:t>09,</w:t>
      </w:r>
      <w:r>
        <w:rPr>
          <w:sz w:val="20"/>
          <w:szCs w:val="20"/>
        </w:rPr>
        <w:t xml:space="preserve"> </w:t>
      </w:r>
      <w:r>
        <w:rPr>
          <w:i/>
          <w:iCs/>
          <w:sz w:val="20"/>
          <w:szCs w:val="20"/>
        </w:rPr>
        <w:t xml:space="preserve">Revenue from Contracts with Customers (Topic </w:t>
      </w:r>
      <w:r>
        <w:rPr>
          <w:rStyle w:val="a6"/>
          <w:sz w:val="20"/>
          <w:szCs w:val="20"/>
        </w:rPr>
        <w:t>606</w:t>
      </w:r>
      <w:r>
        <w:rPr>
          <w:i/>
          <w:iCs/>
          <w:sz w:val="20"/>
          <w:szCs w:val="20"/>
        </w:rPr>
        <w:t>)</w:t>
      </w:r>
      <w:r>
        <w:rPr>
          <w:sz w:val="20"/>
          <w:szCs w:val="20"/>
        </w:rPr>
        <w:t xml:space="preserve">, (“Topic </w:t>
      </w:r>
      <w:r>
        <w:rPr>
          <w:rStyle w:val="a6"/>
          <w:sz w:val="20"/>
          <w:szCs w:val="20"/>
        </w:rPr>
        <w:t>606”</w:t>
      </w:r>
      <w:r>
        <w:rPr>
          <w:sz w:val="20"/>
          <w:szCs w:val="20"/>
        </w:rPr>
        <w:t>), by performing the following steps</w:t>
      </w:r>
      <w:r>
        <w:rPr>
          <w:sz w:val="20"/>
          <w:szCs w:val="20"/>
        </w:rPr>
        <w:t>: (i) identify the contract with the customer, (ii) identify the performance obligations within the contract, (iii) determine the transaction price, (iv) allocate the transaction price to the performance obligations and (v) recognize revenue when (or as) a</w:t>
      </w:r>
      <w:r>
        <w:rPr>
          <w:sz w:val="20"/>
          <w:szCs w:val="20"/>
        </w:rPr>
        <w:t xml:space="preserve"> performance obligation is satisfied.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Company had </w:t>
      </w:r>
      <w:r>
        <w:rPr>
          <w:rStyle w:val="a6"/>
          <w:sz w:val="20"/>
          <w:szCs w:val="20"/>
        </w:rPr>
        <w:t>no</w:t>
      </w:r>
      <w:r>
        <w:rPr>
          <w:sz w:val="20"/>
          <w:szCs w:val="20"/>
        </w:rPr>
        <w:t xml:space="preserve"> outstanding contract assets or contract liabilities.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Company’s primary source of revenues are derived from lease agreements which fall under the scope of ASU </w:t>
      </w:r>
      <w:r>
        <w:rPr>
          <w:rStyle w:val="a6"/>
          <w:sz w:val="20"/>
          <w:szCs w:val="20"/>
        </w:rPr>
        <w:t>2</w:t>
      </w:r>
      <w:r>
        <w:rPr>
          <w:rStyle w:val="a6"/>
          <w:sz w:val="20"/>
          <w:szCs w:val="20"/>
        </w:rPr>
        <w:t>016</w:t>
      </w:r>
      <w:r>
        <w:rPr>
          <w:sz w:val="20"/>
          <w:szCs w:val="20"/>
        </w:rPr>
        <w:t>-</w:t>
      </w:r>
      <w:r>
        <w:rPr>
          <w:rStyle w:val="a6"/>
          <w:sz w:val="20"/>
          <w:szCs w:val="20"/>
        </w:rPr>
        <w:t>02,</w:t>
      </w:r>
      <w:r>
        <w:rPr>
          <w:sz w:val="20"/>
          <w:szCs w:val="20"/>
        </w:rPr>
        <w:t xml:space="preserve"> </w:t>
      </w:r>
      <w:r>
        <w:rPr>
          <w:i/>
          <w:iCs/>
          <w:sz w:val="20"/>
          <w:szCs w:val="20"/>
        </w:rPr>
        <w:t xml:space="preserve">Leases (Topic </w:t>
      </w:r>
      <w:r>
        <w:rPr>
          <w:rStyle w:val="a6"/>
          <w:sz w:val="20"/>
          <w:szCs w:val="20"/>
        </w:rPr>
        <w:t>842</w:t>
      </w:r>
      <w:r>
        <w:rPr>
          <w:i/>
          <w:iCs/>
          <w:sz w:val="20"/>
          <w:szCs w:val="20"/>
        </w:rPr>
        <w:t>),</w:t>
      </w:r>
      <w:r>
        <w:rPr>
          <w:sz w:val="20"/>
          <w:szCs w:val="20"/>
        </w:rPr>
        <w:t xml:space="preserve"> (“Topic </w:t>
      </w:r>
      <w:r>
        <w:rPr>
          <w:rStyle w:val="a6"/>
          <w:sz w:val="20"/>
          <w:szCs w:val="20"/>
        </w:rPr>
        <w:t>842”</w:t>
      </w:r>
      <w:r>
        <w:rPr>
          <w:sz w:val="20"/>
          <w:szCs w:val="20"/>
        </w:rPr>
        <w:t xml:space="preserve">), which includes rental income and expense reimbursement income. The Company also has revenues which are accounted for under Topic </w:t>
      </w:r>
      <w:r>
        <w:rPr>
          <w:rStyle w:val="a6"/>
          <w:sz w:val="20"/>
          <w:szCs w:val="20"/>
        </w:rPr>
        <w:t>606,</w:t>
      </w:r>
      <w:r>
        <w:rPr>
          <w:sz w:val="20"/>
          <w:szCs w:val="20"/>
        </w:rPr>
        <w:t xml:space="preserve"> which include fees for services performed at various unconsolidated joint ventu</w:t>
      </w:r>
      <w:r>
        <w:rPr>
          <w:sz w:val="20"/>
          <w:szCs w:val="20"/>
        </w:rPr>
        <w:t xml:space="preserve">res for which the Company is the manager. These fees primarily include property and asset management fees, leasing fees, development fees and property acquisition/disposition fees. Also affected by Topic </w:t>
      </w:r>
      <w:r>
        <w:rPr>
          <w:rStyle w:val="a6"/>
          <w:sz w:val="20"/>
          <w:szCs w:val="20"/>
        </w:rPr>
        <w:t>606</w:t>
      </w:r>
      <w:r>
        <w:rPr>
          <w:sz w:val="20"/>
          <w:szCs w:val="20"/>
        </w:rPr>
        <w:t xml:space="preserve"> are gains on sales of properties and tax increme</w:t>
      </w:r>
      <w:r>
        <w:rPr>
          <w:sz w:val="20"/>
          <w:szCs w:val="20"/>
        </w:rPr>
        <w:t>nt financing (“TIF”) contracts. The Company presents its revenue streams on the Company’s Consolidated Statements of Income as Revenues from rental properties, net and Management and other fee income.</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338077092"/>
        <w:rPr>
          <w:rFonts w:eastAsia="Times New Roman"/>
          <w:sz w:val="20"/>
          <w:szCs w:val="20"/>
        </w:rPr>
      </w:pPr>
      <w:r>
        <w:rPr>
          <w:rStyle w:val="a6"/>
          <w:rFonts w:eastAsia="Times New Roman"/>
          <w:sz w:val="20"/>
          <w:szCs w:val="20"/>
        </w:rPr>
        <w:t>64</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099" style="width:415.3pt;height:1.5pt" o:hralign="center" o:hrstd="t" o:hrnoshade="t" o:hr="t" fillcolor="black" stroked="f"/>
        </w:pict>
      </w:r>
    </w:p>
    <w:p w:rsidR="00000000" w:rsidRDefault="006954AA">
      <w:pPr>
        <w:divId w:val="44642242"/>
        <w:rPr>
          <w:rFonts w:eastAsia="Times New Roman"/>
          <w:sz w:val="20"/>
          <w:szCs w:val="20"/>
        </w:rPr>
      </w:pPr>
      <w:r>
        <w:rPr>
          <w:rFonts w:eastAsia="Times New Roman"/>
          <w:sz w:val="20"/>
          <w:szCs w:val="20"/>
        </w:rPr>
        <w:t xml:space="preserve">  </w:t>
      </w:r>
    </w:p>
    <w:p w:rsidR="00000000" w:rsidRDefault="006954AA">
      <w:pPr>
        <w:jc w:val="center"/>
        <w:divId w:val="919561243"/>
        <w:rPr>
          <w:rFonts w:eastAsia="Times New Roman"/>
          <w:sz w:val="20"/>
          <w:szCs w:val="20"/>
        </w:rPr>
      </w:pPr>
      <w:r>
        <w:rPr>
          <w:rFonts w:eastAsia="Times New Roman"/>
          <w:sz w:val="20"/>
          <w:szCs w:val="20"/>
        </w:rPr>
        <w:t xml:space="preserve">KIMCO REALTY CORPORATION AND SUBSIDIARIES </w:t>
      </w:r>
    </w:p>
    <w:p w:rsidR="00000000" w:rsidRDefault="006954AA">
      <w:pPr>
        <w:divId w:val="1997416998"/>
        <w:rPr>
          <w:rFonts w:eastAsia="Times New Roman"/>
          <w:sz w:val="20"/>
          <w:szCs w:val="20"/>
        </w:rPr>
      </w:pPr>
      <w:r>
        <w:rPr>
          <w:rFonts w:eastAsia="Times New Roman"/>
          <w:sz w:val="20"/>
          <w:szCs w:val="20"/>
        </w:rPr>
        <w:t xml:space="preserve">  </w:t>
      </w:r>
    </w:p>
    <w:p w:rsidR="00000000" w:rsidRDefault="006954AA">
      <w:pPr>
        <w:jc w:val="center"/>
        <w:divId w:val="333578799"/>
        <w:rPr>
          <w:rFonts w:eastAsia="Times New Roman"/>
          <w:sz w:val="20"/>
          <w:szCs w:val="20"/>
        </w:rPr>
      </w:pPr>
      <w:r>
        <w:rPr>
          <w:rFonts w:eastAsia="Times New Roman"/>
          <w:sz w:val="20"/>
          <w:szCs w:val="20"/>
        </w:rPr>
        <w:t>NOTES TO CONSOLIDATED FINAN</w:t>
      </w:r>
      <w:r>
        <w:rPr>
          <w:rFonts w:eastAsia="Times New Roman"/>
          <w:sz w:val="20"/>
          <w:szCs w:val="20"/>
        </w:rPr>
        <w:t xml:space="preserve">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rPr>
          <w:sz w:val="20"/>
          <w:szCs w:val="20"/>
        </w:rPr>
      </w:pPr>
      <w:r>
        <w:rPr>
          <w:i/>
          <w:iCs/>
          <w:sz w:val="20"/>
          <w:szCs w:val="20"/>
        </w:rPr>
        <w:t>Revenues from rental properties, net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Revenues from rental properties, net are comprised of minimum base rent, percentage rent, lease termination fee income, amortization of above-market and below-market rent adjustments and</w:t>
      </w:r>
      <w:r>
        <w:rPr>
          <w:sz w:val="20"/>
          <w:szCs w:val="20"/>
        </w:rPr>
        <w:t xml:space="preserve"> straight-line rent adjustments. The Company accounts for lease and non-lease components as combined components under Topic </w:t>
      </w:r>
      <w:r>
        <w:rPr>
          <w:rStyle w:val="a6"/>
          <w:sz w:val="20"/>
          <w:szCs w:val="20"/>
        </w:rPr>
        <w:t>842.</w:t>
      </w:r>
      <w:r>
        <w:rPr>
          <w:sz w:val="20"/>
          <w:szCs w:val="20"/>
        </w:rPr>
        <w:t xml:space="preserve"> Non-lease components include reimbursements paid to the Company from tenants for common area maintenance costs and other operat</w:t>
      </w:r>
      <w:r>
        <w:rPr>
          <w:sz w:val="20"/>
          <w:szCs w:val="20"/>
        </w:rPr>
        <w:t>ing expenses. The combined components are included in Revenues from rental properties, net on the Company’s Consolidated Statements of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Base rental revenues from rental properties are recognized on a straight-line basis over the terms of the related leases. Certain of these leases also provide for percentage rents based upon the level of sales achieved by the lessee.  These percentage rent</w:t>
      </w:r>
      <w:r>
        <w:rPr>
          <w:sz w:val="20"/>
          <w:szCs w:val="20"/>
        </w:rPr>
        <w:t xml:space="preserve">s are recognized once the required sales level is achieved.  Rental income </w:t>
      </w:r>
      <w:r>
        <w:rPr>
          <w:rStyle w:val="a6"/>
          <w:sz w:val="20"/>
          <w:szCs w:val="20"/>
        </w:rPr>
        <w:t xml:space="preserve">may </w:t>
      </w:r>
      <w:r>
        <w:rPr>
          <w:sz w:val="20"/>
          <w:szCs w:val="20"/>
        </w:rPr>
        <w:t>also include payments received in connection with lease termination agreements.  Lease termination fee income is recognized when the lessee provides consideration in order to te</w:t>
      </w:r>
      <w:r>
        <w:rPr>
          <w:sz w:val="20"/>
          <w:szCs w:val="20"/>
        </w:rPr>
        <w:t xml:space="preserve">rminate an existing lease agreement and has vacated the leased space. If the lessee continues to occupy the leased space for a period of time after the lease termination is agreed upon, the termination fee is accounted for as a lease modification based on </w:t>
      </w:r>
      <w:r>
        <w:rPr>
          <w:sz w:val="20"/>
          <w:szCs w:val="20"/>
        </w:rPr>
        <w:t>the modified lease term. Upon acquisition of real estate operating properties, the Company estimates the fair value of identified intangible assets and liabilities (including above-market and below-market leases, where applicable). The capitalized above-ma</w:t>
      </w:r>
      <w:r>
        <w:rPr>
          <w:sz w:val="20"/>
          <w:szCs w:val="20"/>
        </w:rPr>
        <w:t>rket or below-market intangible asset or liability is amortized to rental income over the estimated remaining term of the respective leases, which includes the expected renewal option period for below-market leases.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Also included in Revenues from rental </w:t>
      </w:r>
      <w:r>
        <w:rPr>
          <w:sz w:val="20"/>
          <w:szCs w:val="20"/>
        </w:rPr>
        <w:t>properties, net are ancillary income and TIF income. Ancillary income is derived through various agreements relating to parking lots, clothing bins, temporary storage, vending machines, ATMs, trash bins and trash collections, seasonal leases, etc. The majo</w:t>
      </w:r>
      <w:r>
        <w:rPr>
          <w:sz w:val="20"/>
          <w:szCs w:val="20"/>
        </w:rPr>
        <w:t>rity of the revenue derived from these sources is through lease agreements/arrangements and is recognized in accordance with the lease terms described in the lease. The Company has TIF agreements with certain municipalities and receives payments in accorda</w:t>
      </w:r>
      <w:r>
        <w:rPr>
          <w:sz w:val="20"/>
          <w:szCs w:val="20"/>
        </w:rPr>
        <w:t>nce with the agreements. TIF reimbursement income is recognized on a cash basis when received.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Management and other fee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Property management fees, property acquisition and disposition fees, construction management fees, leasing fees and asset man</w:t>
      </w:r>
      <w:r>
        <w:rPr>
          <w:sz w:val="20"/>
          <w:szCs w:val="20"/>
        </w:rPr>
        <w:t xml:space="preserve">agement fees all fall within the scope of Topic </w:t>
      </w:r>
      <w:r>
        <w:rPr>
          <w:rStyle w:val="a6"/>
          <w:sz w:val="20"/>
          <w:szCs w:val="20"/>
        </w:rPr>
        <w:t>606.</w:t>
      </w:r>
      <w:r>
        <w:rPr>
          <w:sz w:val="20"/>
          <w:szCs w:val="20"/>
        </w:rPr>
        <w:t xml:space="preserve"> These fees arise from contractual agreements with </w:t>
      </w:r>
      <w:r>
        <w:rPr>
          <w:rStyle w:val="a6"/>
          <w:sz w:val="20"/>
          <w:szCs w:val="20"/>
        </w:rPr>
        <w:t>third</w:t>
      </w:r>
      <w:r>
        <w:rPr>
          <w:sz w:val="20"/>
          <w:szCs w:val="20"/>
        </w:rPr>
        <w:t xml:space="preserve"> parties or with entities in which the Company has a noncontrolling interest. Management and other fee income related to partially owned entities ar</w:t>
      </w:r>
      <w:r>
        <w:rPr>
          <w:sz w:val="20"/>
          <w:szCs w:val="20"/>
        </w:rPr>
        <w:t>e recognized to the extent attributable to the unaffiliated interest. Property and asset management fee income is recognized as a single performance obligation (managing the property) comprised of a series of distinct services (maintaining property, handli</w:t>
      </w:r>
      <w:r>
        <w:rPr>
          <w:sz w:val="20"/>
          <w:szCs w:val="20"/>
        </w:rPr>
        <w:t>ng tenant inquiries, etc.). The Company believes that the overall service of property management is substantially the same each day and has the same pattern of performance over the term of the agreement. As a result, each day of service represents a perfor</w:t>
      </w:r>
      <w:r>
        <w:rPr>
          <w:sz w:val="20"/>
          <w:szCs w:val="20"/>
        </w:rPr>
        <w:t>mance obligation satisfied at that point in time. The time-based output method is used to measure progress over time, as this is representative of the transfer of the services. These fees are recognized at the end of each period for services performed duri</w:t>
      </w:r>
      <w:r>
        <w:rPr>
          <w:sz w:val="20"/>
          <w:szCs w:val="20"/>
        </w:rPr>
        <w:t>ng that period, primarily billed to the customer monthly with payment due upon receipt.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Leasing fee income is recognized as a single performance obligation primarily upon the rent commencement date. The Company believes the leasing services it provides a</w:t>
      </w:r>
      <w:r>
        <w:rPr>
          <w:sz w:val="20"/>
          <w:szCs w:val="20"/>
        </w:rPr>
        <w:t xml:space="preserve">re similar for each available space leased and </w:t>
      </w:r>
      <w:r>
        <w:rPr>
          <w:rStyle w:val="a6"/>
          <w:sz w:val="20"/>
          <w:szCs w:val="20"/>
        </w:rPr>
        <w:t>none</w:t>
      </w:r>
      <w:r>
        <w:rPr>
          <w:sz w:val="20"/>
          <w:szCs w:val="20"/>
        </w:rPr>
        <w:t xml:space="preserve"> of the individual activities necessary to facilitate the execution of each lease are distinct. These fees are billed to the customer monthly with payment due upon receipt.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Property acquisition and dispo</w:t>
      </w:r>
      <w:r>
        <w:rPr>
          <w:sz w:val="20"/>
          <w:szCs w:val="20"/>
        </w:rPr>
        <w:t>sition fees are recognized when the Company satisfies a performance obligation by acquiring a property or transferring control of a property. These fees are billed subsequent to the acquisition or sale of the property and payment is due upon receipt.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Con</w:t>
      </w:r>
      <w:r>
        <w:rPr>
          <w:sz w:val="20"/>
          <w:szCs w:val="20"/>
        </w:rPr>
        <w:t xml:space="preserve">struction management fees are recognized as a single performance obligation (managing the construction of the project) composed of a series of distinct services. The Company believes that the overall service of construction management is substantially the </w:t>
      </w:r>
      <w:r>
        <w:rPr>
          <w:sz w:val="20"/>
          <w:szCs w:val="20"/>
        </w:rPr>
        <w:t xml:space="preserve">same each day and has the same pattern of performance over the term of the agreement. As a result, each day of service represents a performance obligation satisfied at that point in time. These fees are based on the amount spent on the construction at the </w:t>
      </w:r>
      <w:r>
        <w:rPr>
          <w:sz w:val="20"/>
          <w:szCs w:val="20"/>
        </w:rPr>
        <w:t>end of each period for services performed during that period, primarily billed to the customer monthly with payment due upon receipt.</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15527488"/>
        <w:rPr>
          <w:rFonts w:eastAsia="Times New Roman"/>
          <w:sz w:val="20"/>
          <w:szCs w:val="20"/>
        </w:rPr>
      </w:pPr>
      <w:r>
        <w:rPr>
          <w:rStyle w:val="a6"/>
          <w:rFonts w:eastAsia="Times New Roman"/>
          <w:sz w:val="20"/>
          <w:szCs w:val="20"/>
        </w:rPr>
        <w:t>65</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0" style="width:415.3pt;height:1.5pt" o:hralign="center" o:hrstd="t" o:hrnoshade="t" o:hr="t" fillcolor="black" stroked="f"/>
        </w:pict>
      </w:r>
    </w:p>
    <w:p w:rsidR="00000000" w:rsidRDefault="006954AA">
      <w:pPr>
        <w:divId w:val="90399435"/>
        <w:rPr>
          <w:rFonts w:eastAsia="Times New Roman"/>
          <w:sz w:val="20"/>
          <w:szCs w:val="20"/>
        </w:rPr>
      </w:pPr>
      <w:r>
        <w:rPr>
          <w:rFonts w:eastAsia="Times New Roman"/>
          <w:sz w:val="20"/>
          <w:szCs w:val="20"/>
        </w:rPr>
        <w:t xml:space="preserve">  </w:t>
      </w:r>
    </w:p>
    <w:p w:rsidR="00000000" w:rsidRDefault="006954AA">
      <w:pPr>
        <w:jc w:val="center"/>
        <w:divId w:val="597106540"/>
        <w:rPr>
          <w:rFonts w:eastAsia="Times New Roman"/>
          <w:sz w:val="20"/>
          <w:szCs w:val="20"/>
        </w:rPr>
      </w:pPr>
      <w:r>
        <w:rPr>
          <w:rFonts w:eastAsia="Times New Roman"/>
          <w:sz w:val="20"/>
          <w:szCs w:val="20"/>
        </w:rPr>
        <w:t>KIMCO REALTY CORPORATION AND SUBSIDIA</w:t>
      </w:r>
      <w:r>
        <w:rPr>
          <w:rFonts w:eastAsia="Times New Roman"/>
          <w:sz w:val="20"/>
          <w:szCs w:val="20"/>
        </w:rPr>
        <w:t xml:space="preserve">RIES </w:t>
      </w:r>
    </w:p>
    <w:p w:rsidR="00000000" w:rsidRDefault="006954AA">
      <w:pPr>
        <w:divId w:val="2144106382"/>
        <w:rPr>
          <w:rFonts w:eastAsia="Times New Roman"/>
          <w:sz w:val="20"/>
          <w:szCs w:val="20"/>
        </w:rPr>
      </w:pPr>
      <w:r>
        <w:rPr>
          <w:rFonts w:eastAsia="Times New Roman"/>
          <w:sz w:val="20"/>
          <w:szCs w:val="20"/>
        </w:rPr>
        <w:t xml:space="preserve">  </w:t>
      </w:r>
    </w:p>
    <w:p w:rsidR="00000000" w:rsidRDefault="006954AA">
      <w:pPr>
        <w:jc w:val="center"/>
        <w:divId w:val="723068036"/>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rPr>
          <w:sz w:val="20"/>
          <w:szCs w:val="20"/>
        </w:rPr>
      </w:pPr>
      <w:r>
        <w:rPr>
          <w:i/>
          <w:iCs/>
          <w:sz w:val="20"/>
          <w:szCs w:val="20"/>
        </w:rPr>
        <w:t>Trade Accounts Receivable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reviews its trade accounts receivable, related to base rents, straight-line rent, expense reimbursements and other revenues for collectability. The C</w:t>
      </w:r>
      <w:r>
        <w:rPr>
          <w:sz w:val="20"/>
          <w:szCs w:val="20"/>
        </w:rPr>
        <w:t>ompany evaluates the probability of the collection of the lessee’s total accounts receivable, including the corresponding straight-line rent receivable balance on a lease-by-lease basis. The Company’s analysis of its accounts receivable included (i) custom</w:t>
      </w:r>
      <w:r>
        <w:rPr>
          <w:sz w:val="20"/>
          <w:szCs w:val="20"/>
        </w:rPr>
        <w:t>er credit worthiness, (ii) assessment of risk associated with the tenant, and (iii) current economic trends. In addition, tenants in bankruptcy are analyzed and considerations are made in connection with the expected recovery of pre-petition and post-petit</w:t>
      </w:r>
      <w:r>
        <w:rPr>
          <w:sz w:val="20"/>
          <w:szCs w:val="20"/>
        </w:rPr>
        <w:t>ion bankruptcy claims. If a lessee’s accounts receivable balance is considered uncollectible, the Company will write-off the uncollectible receivable balances associated with the lease and will only recognize lease income on a cash basis. The Company inclu</w:t>
      </w:r>
      <w:r>
        <w:rPr>
          <w:sz w:val="20"/>
          <w:szCs w:val="20"/>
        </w:rPr>
        <w:t xml:space="preserve">des provision for doubtful accounts in Revenues from rental properties, net, in accordance with Topic </w:t>
      </w:r>
      <w:r>
        <w:rPr>
          <w:rStyle w:val="a6"/>
          <w:sz w:val="20"/>
          <w:szCs w:val="20"/>
        </w:rPr>
        <w:t>842.</w:t>
      </w:r>
      <w:r>
        <w:rPr>
          <w:sz w:val="20"/>
          <w:szCs w:val="20"/>
        </w:rPr>
        <w:t xml:space="preserve"> Lease income will then be limited to the lesser of (i) the straight-line rental income or (ii) the lease payments that have been collected from the l</w:t>
      </w:r>
      <w:r>
        <w:rPr>
          <w:sz w:val="20"/>
          <w:szCs w:val="20"/>
        </w:rPr>
        <w:t xml:space="preserve">essee. In addition to the lease-specific collectability assessment performed under Topic </w:t>
      </w:r>
      <w:r>
        <w:rPr>
          <w:rStyle w:val="a6"/>
          <w:sz w:val="20"/>
          <w:szCs w:val="20"/>
        </w:rPr>
        <w:t>842,</w:t>
      </w:r>
      <w:r>
        <w:rPr>
          <w:sz w:val="20"/>
          <w:szCs w:val="20"/>
        </w:rPr>
        <w:t xml:space="preserve"> the analysis also recognizes a general reserve under ASC Topic </w:t>
      </w:r>
      <w:r>
        <w:rPr>
          <w:rStyle w:val="a6"/>
          <w:sz w:val="20"/>
          <w:szCs w:val="20"/>
        </w:rPr>
        <w:t>450</w:t>
      </w:r>
      <w:r>
        <w:rPr>
          <w:sz w:val="20"/>
          <w:szCs w:val="20"/>
        </w:rPr>
        <w:t xml:space="preserve"> </w:t>
      </w:r>
      <w:r>
        <w:rPr>
          <w:i/>
          <w:iCs/>
          <w:sz w:val="20"/>
          <w:szCs w:val="20"/>
        </w:rPr>
        <w:t>Contingencies</w:t>
      </w:r>
      <w:r>
        <w:rPr>
          <w:sz w:val="20"/>
          <w:szCs w:val="20"/>
        </w:rPr>
        <w:t>, as a reduction to Revenues from rental properties, for its portfolio of operatin</w:t>
      </w:r>
      <w:r>
        <w:rPr>
          <w:sz w:val="20"/>
          <w:szCs w:val="20"/>
        </w:rPr>
        <w:t xml:space="preserve">g lease receivables which are </w:t>
      </w:r>
      <w:r>
        <w:rPr>
          <w:rStyle w:val="a6"/>
          <w:sz w:val="20"/>
          <w:szCs w:val="20"/>
        </w:rPr>
        <w:t>not</w:t>
      </w:r>
      <w:r>
        <w:rPr>
          <w:sz w:val="20"/>
          <w:szCs w:val="20"/>
        </w:rPr>
        <w:t xml:space="preserve"> expected to be fully collectible based on the Company’s historical and current collection experience and the potential for settlement of arrears. Although the Company estimates uncollectible receivables and provides for th</w:t>
      </w:r>
      <w:r>
        <w:rPr>
          <w:sz w:val="20"/>
          <w:szCs w:val="20"/>
        </w:rPr>
        <w:t xml:space="preserve">em through charges against revenues from rental properties, actual results </w:t>
      </w:r>
      <w:r>
        <w:rPr>
          <w:rStyle w:val="a6"/>
          <w:sz w:val="20"/>
          <w:szCs w:val="20"/>
        </w:rPr>
        <w:t xml:space="preserve">may </w:t>
      </w:r>
      <w:r>
        <w:rPr>
          <w:sz w:val="20"/>
          <w:szCs w:val="20"/>
        </w:rPr>
        <w:t>differ from those estimates. If the Company subsequently determines that it is probable it will collect the remaining lessee’s lease payments under the lease term, the Company w</w:t>
      </w:r>
      <w:r>
        <w:rPr>
          <w:sz w:val="20"/>
          <w:szCs w:val="20"/>
        </w:rPr>
        <w:t>ill then reinstate the straight-line balance.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Gains/losses on sale of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Gains and losses from the sale and/or transfer of nonfinancial assets, such as real estate property, are to be recognized when control of the asset transfers to the buyer, which will occur when the buyer has the ability to direct the use of or obtain subst</w:t>
      </w:r>
      <w:r>
        <w:rPr>
          <w:sz w:val="20"/>
          <w:szCs w:val="20"/>
        </w:rPr>
        <w:t>antially all of the remaining benefits from the asset. This generally occurs when the transaction closes and consideration is exchanged for control of the property.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Lessee Leases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accounts for its leases in accordance with Topic </w:t>
      </w:r>
      <w:r>
        <w:rPr>
          <w:rStyle w:val="a6"/>
          <w:sz w:val="20"/>
          <w:szCs w:val="20"/>
        </w:rPr>
        <w:t>842.</w:t>
      </w:r>
      <w:r>
        <w:rPr>
          <w:sz w:val="20"/>
          <w:szCs w:val="20"/>
        </w:rPr>
        <w:t xml:space="preserve"> The Com</w:t>
      </w:r>
      <w:r>
        <w:rPr>
          <w:sz w:val="20"/>
          <w:szCs w:val="20"/>
        </w:rPr>
        <w:t xml:space="preserve">pany has right-of-use (“ROU”) assets and lease liabilities on its balance sheet for those leases classified as operating and financing leases where the Company is a lessee. The Company’s leases where it is the lessee primarily consist of ground leases and </w:t>
      </w:r>
      <w:r>
        <w:rPr>
          <w:sz w:val="20"/>
          <w:szCs w:val="20"/>
        </w:rPr>
        <w:t xml:space="preserve">administrative office leases. The Company classifies leases based on whether the arrangement is effectively a purchase of the underlying asset. Leases that transfer control of the underlying asset to a lessee are classified as finance leases and all other </w:t>
      </w:r>
      <w:r>
        <w:rPr>
          <w:sz w:val="20"/>
          <w:szCs w:val="20"/>
        </w:rPr>
        <w:t>leases as operating leases. ROU assets represent the Company’s right to use an underlying asset for the lease term and lease liabilities represent the Company’s obligation to make lease payments arising from the lease. In connection with the Merger, the Co</w:t>
      </w:r>
      <w:r>
        <w:rPr>
          <w:sz w:val="20"/>
          <w:szCs w:val="20"/>
        </w:rPr>
        <w:t xml:space="preserve">mpany acquired </w:t>
      </w:r>
      <w:r>
        <w:rPr>
          <w:rStyle w:val="a6"/>
          <w:sz w:val="20"/>
          <w:szCs w:val="20"/>
        </w:rPr>
        <w:t>two</w:t>
      </w:r>
      <w:r>
        <w:rPr>
          <w:sz w:val="20"/>
          <w:szCs w:val="20"/>
        </w:rPr>
        <w:t xml:space="preserve"> properties under finance leasing arrangements that consists of variable lease payments with a bargain purchase option which are included in Other assets, on the Company’s Consolidated Balance Sheets.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ROU assets and lease liabilities ar</w:t>
      </w:r>
      <w:r>
        <w:rPr>
          <w:sz w:val="20"/>
          <w:szCs w:val="20"/>
        </w:rPr>
        <w:t>e recognized at the commencement date of the lease and liabilities are determined based on the estimated present value of the Company’s minimum lease payments under its lease agreements. Variable lease payments are excluded from the lease liabilities and c</w:t>
      </w:r>
      <w:r>
        <w:rPr>
          <w:sz w:val="20"/>
          <w:szCs w:val="20"/>
        </w:rPr>
        <w:t>orresponding ROU assets, as they are recognized in the period in which the obligation for those payments is incurred. Certain of the Company’s leases have renewal options for which the Company assesses whether it is reasonably certain the Company will exer</w:t>
      </w:r>
      <w:r>
        <w:rPr>
          <w:sz w:val="20"/>
          <w:szCs w:val="20"/>
        </w:rPr>
        <w:t>cise these renewal options. Lease payments associated with renewal options that the Company is reasonably certain will be exercised are included in the measurement of the lease liabilities and corresponding ROU assets. The discount rate used to determine t</w:t>
      </w:r>
      <w:r>
        <w:rPr>
          <w:sz w:val="20"/>
          <w:szCs w:val="20"/>
        </w:rPr>
        <w:t>he lease liabilities is based on the estimated incremental borrowing rate on a lease-by-lease basis. When calculating the incremental borrowing rates, the Company utilized data from (i) its recent debt issuances, (ii) publicly available data for instrument</w:t>
      </w:r>
      <w:r>
        <w:rPr>
          <w:sz w:val="20"/>
          <w:szCs w:val="20"/>
        </w:rPr>
        <w:t xml:space="preserve">s with similar characteristics, (iii) observable mortgage rates and (iv) unlevered property yields and discount rates. The Company then applied adjustments to account for considerations related to term and security that </w:t>
      </w:r>
      <w:r>
        <w:rPr>
          <w:rStyle w:val="a6"/>
          <w:sz w:val="20"/>
          <w:szCs w:val="20"/>
        </w:rPr>
        <w:t>may not</w:t>
      </w:r>
      <w:r>
        <w:rPr>
          <w:sz w:val="20"/>
          <w:szCs w:val="20"/>
        </w:rPr>
        <w:t xml:space="preserve"> be fully incorporated by the</w:t>
      </w:r>
      <w:r>
        <w:rPr>
          <w:sz w:val="20"/>
          <w:szCs w:val="20"/>
        </w:rPr>
        <w:t xml:space="preserve"> data sets. Rental expense for lease payments is recognized on a straight-line basis over the lease term. See Footnote </w:t>
      </w:r>
      <w:r>
        <w:rPr>
          <w:rStyle w:val="a6"/>
          <w:sz w:val="20"/>
          <w:szCs w:val="20"/>
        </w:rPr>
        <w:t>11</w:t>
      </w:r>
      <w:r>
        <w:rPr>
          <w:sz w:val="20"/>
          <w:szCs w:val="20"/>
        </w:rPr>
        <w:t xml:space="preserve"> to the Company’s Consolidated Financial Statements for further details.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Income Taxes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elected to qualify as a REIT for </w:t>
      </w:r>
      <w:r>
        <w:rPr>
          <w:sz w:val="20"/>
          <w:szCs w:val="20"/>
        </w:rPr>
        <w:t xml:space="preserve">federal income tax purposes commencing with its taxable year </w:t>
      </w:r>
      <w:r>
        <w:rPr>
          <w:rStyle w:val="a6"/>
          <w:sz w:val="20"/>
          <w:szCs w:val="20"/>
        </w:rPr>
        <w:t xml:space="preserve">January 1, 1992 </w:t>
      </w:r>
      <w:r>
        <w:rPr>
          <w:sz w:val="20"/>
          <w:szCs w:val="20"/>
        </w:rPr>
        <w:t xml:space="preserve">and operates in a manner that enables the Company to qualify and maintain its status as a REIT. Accordingly, the Company generally will </w:t>
      </w:r>
      <w:r>
        <w:rPr>
          <w:rStyle w:val="a6"/>
          <w:sz w:val="20"/>
          <w:szCs w:val="20"/>
        </w:rPr>
        <w:t>not</w:t>
      </w:r>
      <w:r>
        <w:rPr>
          <w:sz w:val="20"/>
          <w:szCs w:val="20"/>
        </w:rPr>
        <w:t xml:space="preserve"> be subject to federal income tax, provi</w:t>
      </w:r>
      <w:r>
        <w:rPr>
          <w:sz w:val="20"/>
          <w:szCs w:val="20"/>
        </w:rPr>
        <w:t xml:space="preserve">ded that distributions to its stockholders equal at least the amount of its REIT taxable income as defined under Sections </w:t>
      </w:r>
      <w:r>
        <w:rPr>
          <w:rStyle w:val="a6"/>
          <w:sz w:val="20"/>
          <w:szCs w:val="20"/>
        </w:rPr>
        <w:t>856</w:t>
      </w:r>
      <w:r>
        <w:rPr>
          <w:sz w:val="20"/>
          <w:szCs w:val="20"/>
        </w:rPr>
        <w:t xml:space="preserve"> through </w:t>
      </w:r>
      <w:r>
        <w:rPr>
          <w:rStyle w:val="a6"/>
          <w:sz w:val="20"/>
          <w:szCs w:val="20"/>
        </w:rPr>
        <w:t>860</w:t>
      </w:r>
      <w:r>
        <w:rPr>
          <w:sz w:val="20"/>
          <w:szCs w:val="20"/>
        </w:rPr>
        <w:t xml:space="preserve"> of the Code. The Company will be subject to federal income tax at regular corporate rates to the extent that it distri</w:t>
      </w:r>
      <w:r>
        <w:rPr>
          <w:sz w:val="20"/>
          <w:szCs w:val="20"/>
        </w:rPr>
        <w:t xml:space="preserve">butes less than </w:t>
      </w:r>
      <w:r>
        <w:rPr>
          <w:rStyle w:val="a6"/>
          <w:sz w:val="20"/>
          <w:szCs w:val="20"/>
        </w:rPr>
        <w:t>100%</w:t>
      </w:r>
      <w:r>
        <w:rPr>
          <w:sz w:val="20"/>
          <w:szCs w:val="20"/>
        </w:rPr>
        <w:t xml:space="preserve"> of its net taxable income, including any net capital gains. Most states, in which the Company holds investments in real estate, conform to the federal rules recognizing REITs.  </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93521948"/>
        <w:rPr>
          <w:rFonts w:eastAsia="Times New Roman"/>
          <w:sz w:val="20"/>
          <w:szCs w:val="20"/>
        </w:rPr>
      </w:pPr>
      <w:r>
        <w:rPr>
          <w:rStyle w:val="a6"/>
          <w:rFonts w:eastAsia="Times New Roman"/>
          <w:sz w:val="20"/>
          <w:szCs w:val="20"/>
        </w:rPr>
        <w:t>66</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1" style="width:415.3pt;height:1.5pt" o:hralign="center" o:hrstd="t" o:hrnoshade="t" o:hr="t" fillcolor="black" stroked="f"/>
        </w:pict>
      </w:r>
    </w:p>
    <w:p w:rsidR="00000000" w:rsidRDefault="006954AA">
      <w:pPr>
        <w:divId w:val="694379201"/>
        <w:rPr>
          <w:rFonts w:eastAsia="Times New Roman"/>
          <w:sz w:val="20"/>
          <w:szCs w:val="20"/>
        </w:rPr>
      </w:pPr>
      <w:r>
        <w:rPr>
          <w:rFonts w:eastAsia="Times New Roman"/>
          <w:sz w:val="20"/>
          <w:szCs w:val="20"/>
        </w:rPr>
        <w:t xml:space="preserve">  </w:t>
      </w:r>
    </w:p>
    <w:p w:rsidR="00000000" w:rsidRDefault="006954AA">
      <w:pPr>
        <w:jc w:val="center"/>
        <w:divId w:val="994336736"/>
        <w:rPr>
          <w:rFonts w:eastAsia="Times New Roman"/>
          <w:sz w:val="20"/>
          <w:szCs w:val="20"/>
        </w:rPr>
      </w:pPr>
      <w:r>
        <w:rPr>
          <w:rFonts w:eastAsia="Times New Roman"/>
          <w:sz w:val="20"/>
          <w:szCs w:val="20"/>
        </w:rPr>
        <w:t xml:space="preserve">KIMCO REALTY CORPORATION AND SUBSIDIARIES </w:t>
      </w:r>
    </w:p>
    <w:p w:rsidR="00000000" w:rsidRDefault="006954AA">
      <w:pPr>
        <w:divId w:val="1096176102"/>
        <w:rPr>
          <w:rFonts w:eastAsia="Times New Roman"/>
          <w:sz w:val="20"/>
          <w:szCs w:val="20"/>
        </w:rPr>
      </w:pPr>
      <w:r>
        <w:rPr>
          <w:rFonts w:eastAsia="Times New Roman"/>
          <w:sz w:val="20"/>
          <w:szCs w:val="20"/>
        </w:rPr>
        <w:t xml:space="preserve">  </w:t>
      </w:r>
    </w:p>
    <w:p w:rsidR="00000000" w:rsidRDefault="006954AA">
      <w:pPr>
        <w:jc w:val="center"/>
        <w:divId w:val="516505419"/>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Compa</w:t>
      </w:r>
      <w:r>
        <w:rPr>
          <w:sz w:val="20"/>
          <w:szCs w:val="20"/>
        </w:rPr>
        <w:t xml:space="preserve">ny maintains certain subsidiaries which made joint elections with the Company to be treated as taxable REIT subsidiaries (“TRSs”), which permit the Company to engage through such TRSs in certain business activities that the REIT </w:t>
      </w:r>
      <w:r>
        <w:rPr>
          <w:rStyle w:val="a6"/>
          <w:sz w:val="20"/>
          <w:szCs w:val="20"/>
        </w:rPr>
        <w:t>may not</w:t>
      </w:r>
      <w:r>
        <w:rPr>
          <w:sz w:val="20"/>
          <w:szCs w:val="20"/>
        </w:rPr>
        <w:t xml:space="preserve"> conduct directly. A</w:t>
      </w:r>
      <w:r>
        <w:rPr>
          <w:sz w:val="20"/>
          <w:szCs w:val="20"/>
        </w:rPr>
        <w:t xml:space="preserve"> TRS is subject to federal and state income taxes on its income, and the Company includes a provision for taxes in its consolidated financial statements.  As such, the Company, through its wholly owned TRSs, has been engaged in various retail real estate r</w:t>
      </w:r>
      <w:r>
        <w:rPr>
          <w:sz w:val="20"/>
          <w:szCs w:val="20"/>
        </w:rPr>
        <w:t xml:space="preserve">elated opportunities including retail real estate management and disposition services which primarily focus on leasing and disposition strategies of retail real estate controlled by both healthy and distressed and/or bankrupt retailers. The Company </w:t>
      </w:r>
      <w:r>
        <w:rPr>
          <w:rStyle w:val="a6"/>
          <w:sz w:val="20"/>
          <w:szCs w:val="20"/>
        </w:rPr>
        <w:t xml:space="preserve">may </w:t>
      </w:r>
      <w:r>
        <w:rPr>
          <w:sz w:val="20"/>
          <w:szCs w:val="20"/>
        </w:rPr>
        <w:t>con</w:t>
      </w:r>
      <w:r>
        <w:rPr>
          <w:sz w:val="20"/>
          <w:szCs w:val="20"/>
        </w:rPr>
        <w:t>sider other investments through its TRSs should suitable opportunities arise.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Income taxes are accounted for under the asset and liability method. Deferred tax assets and liabilities are recognized for the estimated future tax consequences attributable to differences between the financial statement carrying amounts of existing asset</w:t>
      </w:r>
      <w:r>
        <w:rPr>
          <w:sz w:val="20"/>
          <w:szCs w:val="20"/>
        </w:rPr>
        <w:t>s and liabilities and their respective tax bases and operating loss and tax credit carryforwards. Deferred tax assets and liabilities are measured using enacted tax rates in effect for the year in which those temporary differences are expected to be recove</w:t>
      </w:r>
      <w:r>
        <w:rPr>
          <w:sz w:val="20"/>
          <w:szCs w:val="20"/>
        </w:rPr>
        <w:t xml:space="preserve">red or settled. The Company provides a valuation allowance for deferred tax assets for which it does </w:t>
      </w:r>
      <w:r>
        <w:rPr>
          <w:rStyle w:val="a6"/>
          <w:sz w:val="20"/>
          <w:szCs w:val="20"/>
        </w:rPr>
        <w:t>not</w:t>
      </w:r>
      <w:r>
        <w:rPr>
          <w:sz w:val="20"/>
          <w:szCs w:val="20"/>
        </w:rPr>
        <w:t xml:space="preserve"> consider realization of such assets to be more likely than </w:t>
      </w:r>
      <w:r>
        <w:rPr>
          <w:rStyle w:val="a6"/>
          <w:sz w:val="20"/>
          <w:szCs w:val="20"/>
        </w:rPr>
        <w:t>not.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reviews the need to establish a valuation allowance against deferred tax </w:t>
      </w:r>
      <w:r>
        <w:rPr>
          <w:sz w:val="20"/>
          <w:szCs w:val="20"/>
        </w:rPr>
        <w:t>assets on a quarterly basis. The review includes an analysis of various factors, such as future reversals of existing taxable temporary differences, the capacity for the carryback or carryforward of any losses, the expected occurrence of future income or l</w:t>
      </w:r>
      <w:r>
        <w:rPr>
          <w:sz w:val="20"/>
          <w:szCs w:val="20"/>
        </w:rPr>
        <w:t>oss and available tax planning strategies.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applies the FASB’s guidance relating to uncertainty in income taxes recognized in a Company’s financial statements. Under this guidance the Company </w:t>
      </w:r>
      <w:r>
        <w:rPr>
          <w:rStyle w:val="a6"/>
          <w:sz w:val="20"/>
          <w:szCs w:val="20"/>
        </w:rPr>
        <w:t xml:space="preserve">may </w:t>
      </w:r>
      <w:r>
        <w:rPr>
          <w:sz w:val="20"/>
          <w:szCs w:val="20"/>
        </w:rPr>
        <w:t>recognize the tax benefit from an uncertain tax</w:t>
      </w:r>
      <w:r>
        <w:rPr>
          <w:sz w:val="20"/>
          <w:szCs w:val="20"/>
        </w:rPr>
        <w:t xml:space="preserve"> position only if it is more likely than </w:t>
      </w:r>
      <w:r>
        <w:rPr>
          <w:rStyle w:val="a6"/>
          <w:sz w:val="20"/>
          <w:szCs w:val="20"/>
        </w:rPr>
        <w:t>not</w:t>
      </w:r>
      <w:r>
        <w:rPr>
          <w:sz w:val="20"/>
          <w:szCs w:val="20"/>
        </w:rPr>
        <w:t xml:space="preserve"> that the tax position will be sustained on examination by taxing authorities, based on the technical merits of the position. The tax benefits recognized in the financial statements from such a position are measu</w:t>
      </w:r>
      <w:r>
        <w:rPr>
          <w:sz w:val="20"/>
          <w:szCs w:val="20"/>
        </w:rPr>
        <w:t xml:space="preserve">red based on the largest benefit that has a greater than </w:t>
      </w:r>
      <w:r>
        <w:rPr>
          <w:rStyle w:val="a6"/>
          <w:sz w:val="20"/>
          <w:szCs w:val="20"/>
        </w:rPr>
        <w:t>fifty</w:t>
      </w:r>
      <w:r>
        <w:rPr>
          <w:sz w:val="20"/>
          <w:szCs w:val="20"/>
        </w:rPr>
        <w:t xml:space="preserve"> percent likelihood of being realized upon ultimate settlement. The guidance on accounting for uncertainty in income taxes also provides guidance on de-recognition, classification, interest and </w:t>
      </w:r>
      <w:r>
        <w:rPr>
          <w:sz w:val="20"/>
          <w:szCs w:val="20"/>
        </w:rPr>
        <w:t>penalties on income taxes, and accounting in interim periods.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Noncontrolling Interests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accounts for noncontrolling interests in accordance with the Consolidation guidance and the Distinguishing Liabilities from Equity guidance issued by the</w:t>
      </w:r>
      <w:r>
        <w:rPr>
          <w:sz w:val="20"/>
          <w:szCs w:val="20"/>
        </w:rPr>
        <w:t xml:space="preserve"> FASB. Noncontrolling interests represent the portion of equity that the Company does </w:t>
      </w:r>
      <w:r>
        <w:rPr>
          <w:rStyle w:val="a6"/>
          <w:sz w:val="20"/>
          <w:szCs w:val="20"/>
        </w:rPr>
        <w:t>not</w:t>
      </w:r>
      <w:r>
        <w:rPr>
          <w:sz w:val="20"/>
          <w:szCs w:val="20"/>
        </w:rPr>
        <w:t xml:space="preserve"> own in those entities it consolidates. The Company identifies its noncontrolling interests separately within the equity section on the Company’s Consolidated Balance </w:t>
      </w:r>
      <w:r>
        <w:rPr>
          <w:sz w:val="20"/>
          <w:szCs w:val="20"/>
        </w:rPr>
        <w:t>Sheets. The amounts of consolidated net earnings attributable to the Company and to the noncontrolling interests are presented separately on the Company’s Consolidated Statements of Income.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Noncontrolling interests also include amounts related to partne</w:t>
      </w:r>
      <w:r>
        <w:rPr>
          <w:sz w:val="20"/>
          <w:szCs w:val="20"/>
        </w:rPr>
        <w:t>rship units issued by consolidated subsidiaries of the Company in connection with certain property acquisitions. These units have a stated redemption value or a defined redemption amount based upon the trading price of the Company’s common stock and provid</w:t>
      </w:r>
      <w:r>
        <w:rPr>
          <w:sz w:val="20"/>
          <w:szCs w:val="20"/>
        </w:rPr>
        <w:t xml:space="preserve">es the unit holders various rates of return during the holding period. The unit holders generally have the right to redeem their units for cash at any time after </w:t>
      </w:r>
      <w:r>
        <w:rPr>
          <w:rStyle w:val="a6"/>
          <w:sz w:val="20"/>
          <w:szCs w:val="20"/>
        </w:rPr>
        <w:t>one</w:t>
      </w:r>
      <w:r>
        <w:rPr>
          <w:sz w:val="20"/>
          <w:szCs w:val="20"/>
        </w:rPr>
        <w:t xml:space="preserve"> year from issuance. For convertible units, the Company typically has the option to settle </w:t>
      </w:r>
      <w:r>
        <w:rPr>
          <w:sz w:val="20"/>
          <w:szCs w:val="20"/>
        </w:rPr>
        <w:t>redemption amounts in cash or 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evaluates the terms of the partnership units issued in accordance with the FASB’s Distinguishing Liabilities from Equity guidance. Convertible units for which the Company has the option to settle re</w:t>
      </w:r>
      <w:r>
        <w:rPr>
          <w:sz w:val="20"/>
          <w:szCs w:val="20"/>
        </w:rPr>
        <w:t xml:space="preserve">demption amounts in cash or common stock are included in the caption Noncontrolling interests within the equity section on the Company’s Consolidated Balance Sheets. Units which embody a conditional obligation requiring the Company to redeem the units for </w:t>
      </w:r>
      <w:r>
        <w:rPr>
          <w:sz w:val="20"/>
          <w:szCs w:val="20"/>
        </w:rPr>
        <w:t xml:space="preserve">cash after a specified or determinable date (or dates) or upon the occurrence of an event that is </w:t>
      </w:r>
      <w:r>
        <w:rPr>
          <w:rStyle w:val="a6"/>
          <w:sz w:val="20"/>
          <w:szCs w:val="20"/>
        </w:rPr>
        <w:t>not</w:t>
      </w:r>
      <w:r>
        <w:rPr>
          <w:sz w:val="20"/>
          <w:szCs w:val="20"/>
        </w:rPr>
        <w:t xml:space="preserve"> </w:t>
      </w:r>
      <w:r>
        <w:rPr>
          <w:sz w:val="20"/>
          <w:szCs w:val="20"/>
        </w:rPr>
        <w:t xml:space="preserve">solely within the control of the issuer are determined to be contingently redeemable under this guidance and are included as Redeemable noncontrolling interests and classified within the mezzanine section between Total liabilities and Stockholders’ equity </w:t>
      </w:r>
      <w:r>
        <w:rPr>
          <w:sz w:val="20"/>
          <w:szCs w:val="20"/>
        </w:rPr>
        <w:t>on the Company’s Consolidated Balance Sheets.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a business combination, the fair value of the noncontrolling interest in a consolidated joint venture is calculated using the fair value of the real estate held by the joint venture, which are valued using</w:t>
      </w:r>
      <w:r>
        <w:rPr>
          <w:sz w:val="20"/>
          <w:szCs w:val="20"/>
        </w:rPr>
        <w:t xml:space="preserve"> similar methods as described in the Company’s Real Estate policy above, offset by the fair value of the debt on the property which is then multiplied by the partners’ noncontrolling share.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Contingently redeemable noncontrolling interests are recorded at</w:t>
      </w:r>
      <w:r>
        <w:rPr>
          <w:sz w:val="20"/>
          <w:szCs w:val="20"/>
        </w:rPr>
        <w:t xml:space="preserve"> fair value upon issuance. Any change in the fair value or redemption value of these noncontrolling interests is subsequently recognized through Paid-in capital on the Company’s Consolidated Balance Sheets and is included in the Company’s computation of ea</w:t>
      </w:r>
      <w:r>
        <w:rPr>
          <w:sz w:val="20"/>
          <w:szCs w:val="20"/>
        </w:rPr>
        <w:t xml:space="preserve">rnings per share (see Footnote </w:t>
      </w:r>
      <w:r>
        <w:rPr>
          <w:rStyle w:val="a6"/>
          <w:sz w:val="20"/>
          <w:szCs w:val="20"/>
        </w:rPr>
        <w:t>28</w:t>
      </w:r>
      <w:r>
        <w:rPr>
          <w:sz w:val="20"/>
          <w:szCs w:val="20"/>
        </w:rPr>
        <w:t xml:space="preserve"> of the Notes to the Consolidated Financial Statements).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jc w:val="center"/>
        <w:divId w:val="1556619870"/>
        <w:rPr>
          <w:rFonts w:eastAsia="Times New Roman"/>
          <w:sz w:val="20"/>
          <w:szCs w:val="20"/>
        </w:rPr>
      </w:pPr>
      <w:r>
        <w:rPr>
          <w:rStyle w:val="a6"/>
          <w:rFonts w:eastAsia="Times New Roman"/>
          <w:sz w:val="20"/>
          <w:szCs w:val="20"/>
        </w:rPr>
        <w:t>67</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2" style="width:415.3pt;height:1.5pt" o:hralign="center" o:hrstd="t" o:hrnoshade="t" o:hr="t" fillcolor="black" stroked="f"/>
        </w:pict>
      </w:r>
    </w:p>
    <w:p w:rsidR="00000000" w:rsidRDefault="006954AA">
      <w:pPr>
        <w:divId w:val="2058893412"/>
        <w:rPr>
          <w:rFonts w:eastAsia="Times New Roman"/>
          <w:sz w:val="20"/>
          <w:szCs w:val="20"/>
        </w:rPr>
      </w:pPr>
      <w:r>
        <w:rPr>
          <w:rFonts w:eastAsia="Times New Roman"/>
          <w:sz w:val="20"/>
          <w:szCs w:val="20"/>
        </w:rPr>
        <w:t xml:space="preserve">  </w:t>
      </w:r>
    </w:p>
    <w:p w:rsidR="00000000" w:rsidRDefault="006954AA">
      <w:pPr>
        <w:jc w:val="center"/>
        <w:divId w:val="1897736807"/>
        <w:rPr>
          <w:rFonts w:eastAsia="Times New Roman"/>
          <w:sz w:val="20"/>
          <w:szCs w:val="20"/>
        </w:rPr>
      </w:pPr>
      <w:r>
        <w:rPr>
          <w:rFonts w:eastAsia="Times New Roman"/>
          <w:sz w:val="20"/>
          <w:szCs w:val="20"/>
        </w:rPr>
        <w:t xml:space="preserve">KIMCO REALTY CORPORATION AND SUBSIDIARIES </w:t>
      </w:r>
    </w:p>
    <w:p w:rsidR="00000000" w:rsidRDefault="006954AA">
      <w:pPr>
        <w:divId w:val="1211844241"/>
        <w:rPr>
          <w:rFonts w:eastAsia="Times New Roman"/>
          <w:sz w:val="20"/>
          <w:szCs w:val="20"/>
        </w:rPr>
      </w:pPr>
      <w:r>
        <w:rPr>
          <w:rFonts w:eastAsia="Times New Roman"/>
          <w:sz w:val="20"/>
          <w:szCs w:val="20"/>
        </w:rPr>
        <w:t xml:space="preserve">  </w:t>
      </w:r>
    </w:p>
    <w:p w:rsidR="00000000" w:rsidRDefault="006954AA">
      <w:pPr>
        <w:jc w:val="center"/>
        <w:divId w:val="1871143500"/>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u w:val="single"/>
        </w:rPr>
        <w:t>Stock Compensation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May 2020, </w:t>
      </w:r>
      <w:r>
        <w:rPr>
          <w:sz w:val="20"/>
          <w:szCs w:val="20"/>
        </w:rPr>
        <w:t>the Company’</w:t>
      </w:r>
      <w:r>
        <w:rPr>
          <w:sz w:val="20"/>
          <w:szCs w:val="20"/>
        </w:rPr>
        <w:t xml:space="preserve">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that expired in </w:t>
      </w:r>
      <w:r>
        <w:rPr>
          <w:rStyle w:val="a6"/>
          <w:sz w:val="20"/>
          <w:szCs w:val="20"/>
        </w:rPr>
        <w:t xml:space="preserve">March 2020. </w:t>
      </w:r>
      <w:r>
        <w:rPr>
          <w:sz w:val="20"/>
          <w:szCs w:val="20"/>
        </w:rPr>
        <w:t xml:space="preserve">The </w:t>
      </w:r>
      <w:r>
        <w:rPr>
          <w:rStyle w:val="a6"/>
          <w:sz w:val="20"/>
          <w:szCs w:val="20"/>
        </w:rPr>
        <w:t>2020</w:t>
      </w:r>
      <w:r>
        <w:rPr>
          <w:sz w:val="20"/>
          <w:szCs w:val="20"/>
        </w:rPr>
        <w:t xml:space="preserve"> </w:t>
      </w:r>
      <w:r>
        <w:rPr>
          <w:sz w:val="20"/>
          <w:szCs w:val="20"/>
        </w:rPr>
        <w:t xml:space="preserve">Plan provides for a maximum of 10,000,000 shares of the Company’s common stock to be reserved for the issuance of stock options, stock appreciation rights, restricted stock units, performance awards, dividend equivalents, stock payments and deferred stock </w:t>
      </w:r>
      <w:r>
        <w:rPr>
          <w:sz w:val="20"/>
          <w:szCs w:val="20"/>
        </w:rPr>
        <w:t xml:space="preserve">awards. Unless otherwise determined by the Board of Directors at its sole discretion, restricted stock grants generally vest (i) 100% on the </w:t>
      </w:r>
      <w:r>
        <w:rPr>
          <w:rStyle w:val="a6"/>
          <w:sz w:val="20"/>
          <w:szCs w:val="20"/>
        </w:rPr>
        <w:t>fourth</w:t>
      </w:r>
      <w:r>
        <w:rPr>
          <w:sz w:val="20"/>
          <w:szCs w:val="20"/>
        </w:rPr>
        <w:t xml:space="preserve"> or </w:t>
      </w:r>
      <w:r>
        <w:rPr>
          <w:rStyle w:val="a6"/>
          <w:sz w:val="20"/>
          <w:szCs w:val="20"/>
        </w:rPr>
        <w:t>fifth</w:t>
      </w:r>
      <w:r>
        <w:rPr>
          <w:sz w:val="20"/>
          <w:szCs w:val="20"/>
        </w:rPr>
        <w:t xml:space="preserve"> anniversary of the grant, (ii) ratably over three,</w:t>
      </w:r>
      <w:r>
        <w:rPr>
          <w:sz w:val="20"/>
          <w:szCs w:val="20"/>
        </w:rPr>
        <w:t xml:space="preserve"> </w:t>
      </w:r>
      <w:r>
        <w:rPr>
          <w:sz w:val="20"/>
          <w:szCs w:val="20"/>
        </w:rPr>
        <w:t>fou</w:t>
      </w:r>
      <w:r>
        <w:rPr>
          <w:sz w:val="20"/>
          <w:szCs w:val="20"/>
        </w:rPr>
        <w:t>r</w:t>
      </w:r>
      <w:r>
        <w:rPr>
          <w:sz w:val="20"/>
          <w:szCs w:val="20"/>
        </w:rPr>
        <w:t xml:space="preserve"> and</w:t>
      </w:r>
      <w:r>
        <w:rPr>
          <w:sz w:val="20"/>
          <w:szCs w:val="20"/>
        </w:rPr>
        <w:t xml:space="preserve"> </w:t>
      </w:r>
      <w:r>
        <w:rPr>
          <w:sz w:val="20"/>
          <w:szCs w:val="20"/>
        </w:rPr>
        <w:t>fiv</w:t>
      </w:r>
      <w:r>
        <w:rPr>
          <w:sz w:val="20"/>
          <w:szCs w:val="20"/>
        </w:rPr>
        <w:t>e</w:t>
      </w:r>
      <w:r>
        <w:rPr>
          <w:sz w:val="20"/>
          <w:szCs w:val="20"/>
        </w:rPr>
        <w:t xml:space="preserve"> years or (iii) over</w:t>
      </w:r>
      <w:r>
        <w:rPr>
          <w:sz w:val="20"/>
          <w:szCs w:val="20"/>
        </w:rPr>
        <w:t xml:space="preserve"> </w:t>
      </w:r>
      <w:r>
        <w:rPr>
          <w:sz w:val="20"/>
          <w:szCs w:val="20"/>
        </w:rPr>
        <w:t>te</w:t>
      </w:r>
      <w:r>
        <w:rPr>
          <w:sz w:val="20"/>
          <w:szCs w:val="20"/>
        </w:rPr>
        <w:t>n</w:t>
      </w:r>
      <w:r>
        <w:rPr>
          <w:sz w:val="20"/>
          <w:szCs w:val="20"/>
        </w:rPr>
        <w:t xml:space="preserve"> years at 2</w:t>
      </w:r>
      <w:r>
        <w:rPr>
          <w:sz w:val="20"/>
          <w:szCs w:val="20"/>
        </w:rPr>
        <w:t xml:space="preserve">0% per year commencing after the </w:t>
      </w:r>
      <w:r>
        <w:rPr>
          <w:rStyle w:val="a6"/>
          <w:sz w:val="20"/>
          <w:szCs w:val="20"/>
        </w:rPr>
        <w:t>fifth</w:t>
      </w:r>
      <w:r>
        <w:rPr>
          <w:sz w:val="20"/>
          <w:szCs w:val="20"/>
        </w:rPr>
        <w:t xml:space="preserve"> year. Performance share awards, which vest over a period of</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w:t>
      </w:r>
      <w:r>
        <w:rPr>
          <w:sz w:val="20"/>
          <w:szCs w:val="20"/>
        </w:rPr>
        <w:t>e</w:t>
      </w:r>
      <w:r>
        <w:rPr>
          <w:sz w:val="20"/>
          <w:szCs w:val="20"/>
        </w:rPr>
        <w:t xml:space="preserve"> years, </w:t>
      </w:r>
      <w:r>
        <w:rPr>
          <w:rStyle w:val="a6"/>
          <w:sz w:val="20"/>
          <w:szCs w:val="20"/>
        </w:rPr>
        <w:t xml:space="preserve">may </w:t>
      </w:r>
      <w:r>
        <w:rPr>
          <w:sz w:val="20"/>
          <w:szCs w:val="20"/>
        </w:rPr>
        <w:t>provide a right to receive shares of the Company’s common stock or restricted stock based on the Company’s performance relative to it</w:t>
      </w:r>
      <w:r>
        <w:rPr>
          <w:sz w:val="20"/>
          <w:szCs w:val="20"/>
        </w:rPr>
        <w:t xml:space="preserve">s peers, as defined, or based on other performance criteria as determined by the Board of Directors. In addition, the </w:t>
      </w:r>
      <w:r>
        <w:rPr>
          <w:rStyle w:val="a6"/>
          <w:sz w:val="20"/>
          <w:szCs w:val="20"/>
        </w:rPr>
        <w:t>2020</w:t>
      </w:r>
      <w:r>
        <w:rPr>
          <w:sz w:val="20"/>
          <w:szCs w:val="20"/>
        </w:rPr>
        <w:t xml:space="preserve"> Plan provides for the granting of restricted stock to each of the Company’s non-employee directors (the “Independent Directors”) and </w:t>
      </w:r>
      <w:r>
        <w:rPr>
          <w:sz w:val="20"/>
          <w:szCs w:val="20"/>
        </w:rPr>
        <w:t>permits such Independent Directors to elect to receive deferred stock awards in lieu of directors’ fees.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accounts for equity awards in accordance with the FASB’s Stock Compensation guidance which requires that all share-based payments to empl</w:t>
      </w:r>
      <w:r>
        <w:rPr>
          <w:sz w:val="20"/>
          <w:szCs w:val="20"/>
        </w:rPr>
        <w:t>oyees be recognized in the Statements of Income over the service period based on their fair values. Fair value of performance awards is determined using the Monte Carlo method, which is intended to estimate the fair value of the awards at the grant date (s</w:t>
      </w:r>
      <w:r>
        <w:rPr>
          <w:sz w:val="20"/>
          <w:szCs w:val="20"/>
        </w:rPr>
        <w:t xml:space="preserve">ee Footnote </w:t>
      </w:r>
      <w:r>
        <w:rPr>
          <w:rStyle w:val="a6"/>
          <w:sz w:val="20"/>
          <w:szCs w:val="20"/>
        </w:rPr>
        <w:t>23</w:t>
      </w:r>
      <w:r>
        <w:rPr>
          <w:sz w:val="20"/>
          <w:szCs w:val="20"/>
        </w:rPr>
        <w:t xml:space="preserve"> of the Notes to Consolidated Financial Statements for additional disclosure on the assumptions and methodology).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Reclassifications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Certain amounts in the prior period have been reclassified in order to conform to the current period’s pre</w:t>
      </w:r>
      <w:r>
        <w:rPr>
          <w:sz w:val="20"/>
          <w:szCs w:val="20"/>
        </w:rPr>
        <w:t xml:space="preserve">sentation. For comparative purposes, the Company reclassified $5.7 million of land held for development from Real estate under development to Land on the Company’s Consolidated Balance Sheets at </w:t>
      </w:r>
      <w:r>
        <w:rPr>
          <w:rStyle w:val="a6"/>
          <w:sz w:val="20"/>
          <w:szCs w:val="20"/>
        </w:rPr>
        <w:t xml:space="preserve">December 31, 2021. </w:t>
      </w:r>
      <w:r>
        <w:rPr>
          <w:sz w:val="20"/>
          <w:szCs w:val="20"/>
        </w:rPr>
        <w:t>For comparative purposes, for the years en</w:t>
      </w:r>
      <w:r>
        <w:rPr>
          <w:sz w:val="20"/>
          <w:szCs w:val="20"/>
        </w:rPr>
        <w:t>ded </w:t>
      </w:r>
      <w:r>
        <w:rPr>
          <w:rStyle w:val="a6"/>
          <w:sz w:val="20"/>
          <w:szCs w:val="20"/>
        </w:rPr>
        <w:t xml:space="preserve"> December 31, 2021 </w:t>
      </w:r>
      <w:r>
        <w:rPr>
          <w:sz w:val="20"/>
          <w:szCs w:val="20"/>
        </w:rPr>
        <w:t xml:space="preserve">and </w:t>
      </w:r>
      <w:r>
        <w:rPr>
          <w:rStyle w:val="a6"/>
          <w:sz w:val="20"/>
          <w:szCs w:val="20"/>
        </w:rPr>
        <w:t>2020,</w:t>
      </w:r>
      <w:r>
        <w:rPr>
          <w:sz w:val="20"/>
          <w:szCs w:val="20"/>
        </w:rPr>
        <w:t xml:space="preserve"> the Company reclassified cash flows (used for)/provided by on the Company’s Consolidated Statements of Cash Flows as follows (in millions):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firstLine="18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center"/>
            <w:hideMark/>
          </w:tcPr>
          <w:p w:rsidR="00000000" w:rsidRDefault="006954AA">
            <w:pPr>
              <w:rPr>
                <w:rFonts w:eastAsia="Times New Roman"/>
                <w:sz w:val="20"/>
                <w:szCs w:val="20"/>
              </w:rPr>
            </w:pPr>
            <w:r>
              <w:rPr>
                <w:rFonts w:eastAsia="Times New Roman"/>
                <w:sz w:val="20"/>
                <w:szCs w:val="20"/>
              </w:rPr>
              <w:t>Operating activities:</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6954AA">
            <w:pPr>
              <w:pStyle w:val="a3"/>
              <w:spacing w:before="0" w:beforeAutospacing="0" w:after="0" w:afterAutospacing="0"/>
              <w:ind w:firstLine="180"/>
              <w:rPr>
                <w:sz w:val="20"/>
                <w:szCs w:val="20"/>
              </w:rPr>
            </w:pPr>
            <w:r>
              <w:rPr>
                <w:sz w:val="20"/>
                <w:szCs w:val="20"/>
              </w:rPr>
              <w:t>Straight-line rental income adjustments,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firstLine="180"/>
              <w:rPr>
                <w:sz w:val="20"/>
                <w:szCs w:val="20"/>
              </w:rPr>
            </w:pPr>
            <w:r>
              <w:rPr>
                <w:sz w:val="20"/>
                <w:szCs w:val="20"/>
              </w:rPr>
              <w:t>Amortization of amortization of above-market and below-market leases,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firstLine="180"/>
              <w:rPr>
                <w:sz w:val="20"/>
                <w:szCs w:val="20"/>
              </w:rPr>
            </w:pPr>
            <w:r>
              <w:rPr>
                <w:sz w:val="20"/>
                <w:szCs w:val="20"/>
              </w:rPr>
              <w:t>Amortization of deferred financing costs and fair value debt adjustments,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firstLine="180"/>
              <w:rPr>
                <w:sz w:val="20"/>
                <w:szCs w:val="20"/>
              </w:rPr>
            </w:pPr>
            <w:r>
              <w:rPr>
                <w:sz w:val="20"/>
                <w:szCs w:val="20"/>
              </w:rPr>
              <w:t>Change in accounts and notes receivable,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firstLine="180"/>
              <w:rPr>
                <w:sz w:val="20"/>
                <w:szCs w:val="20"/>
              </w:rPr>
            </w:pPr>
            <w:r>
              <w:rPr>
                <w:sz w:val="20"/>
                <w:szCs w:val="20"/>
              </w:rPr>
              <w:t>Change in other operating assets and liabilities,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24.2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6954AA">
            <w:pPr>
              <w:rPr>
                <w:rFonts w:eastAsia="Times New Roman"/>
                <w:sz w:val="20"/>
                <w:szCs w:val="20"/>
              </w:rPr>
            </w:pPr>
            <w:r>
              <w:rPr>
                <w:rFonts w:eastAsia="Times New Roman"/>
                <w:sz w:val="20"/>
                <w:szCs w:val="20"/>
              </w:rPr>
              <w:t>Financing activities:</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center"/>
            <w:hideMark/>
          </w:tcPr>
          <w:p w:rsidR="00000000" w:rsidRDefault="006954AA">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firstLine="180"/>
              <w:rPr>
                <w:sz w:val="20"/>
                <w:szCs w:val="20"/>
              </w:rPr>
            </w:pPr>
            <w:r>
              <w:rPr>
                <w:sz w:val="20"/>
                <w:szCs w:val="20"/>
              </w:rPr>
              <w:t>Change in other financing liabilities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firstLine="180"/>
              <w:rPr>
                <w:sz w:val="20"/>
                <w:szCs w:val="20"/>
              </w:rPr>
            </w:pPr>
            <w:r>
              <w:rPr>
                <w:sz w:val="20"/>
                <w:szCs w:val="20"/>
              </w:rPr>
              <w:t>Shares repurchased for employee tax withholdings on equity awards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firstLine="180"/>
              <w:rPr>
                <w:sz w:val="20"/>
                <w:szCs w:val="20"/>
              </w:rPr>
            </w:pPr>
            <w:r>
              <w:rPr>
                <w:sz w:val="20"/>
                <w:szCs w:val="20"/>
              </w:rPr>
              <w:t>Change in tenant’s security deposits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u w:val="single"/>
        </w:rPr>
        <w:t>New Accounting Pronouncements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table represents ASUs to the FASB’s ASCs that, as of </w:t>
      </w:r>
      <w:r>
        <w:rPr>
          <w:rStyle w:val="a6"/>
          <w:sz w:val="20"/>
          <w:szCs w:val="20"/>
        </w:rPr>
        <w:t xml:space="preserve">December 31, 2022, </w:t>
      </w:r>
      <w:r>
        <w:rPr>
          <w:sz w:val="20"/>
          <w:szCs w:val="20"/>
        </w:rPr>
        <w:t xml:space="preserve">are </w:t>
      </w:r>
      <w:r>
        <w:rPr>
          <w:rStyle w:val="a6"/>
          <w:sz w:val="20"/>
          <w:szCs w:val="20"/>
        </w:rPr>
        <w:t>not</w:t>
      </w:r>
      <w:r>
        <w:rPr>
          <w:sz w:val="20"/>
          <w:szCs w:val="20"/>
        </w:rPr>
        <w:t xml:space="preserve"> yet effective for the Company and for which the Company has </w:t>
      </w:r>
      <w:r>
        <w:rPr>
          <w:rStyle w:val="a6"/>
          <w:sz w:val="20"/>
          <w:szCs w:val="20"/>
        </w:rPr>
        <w:t>not</w:t>
      </w:r>
      <w:r>
        <w:rPr>
          <w:sz w:val="20"/>
          <w:szCs w:val="20"/>
        </w:rPr>
        <w:t xml:space="preserve"> elected early adoption, where permitted:</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24"/>
        <w:gridCol w:w="3565"/>
        <w:gridCol w:w="1003"/>
        <w:gridCol w:w="1898"/>
      </w:tblGrid>
      <w:tr w:rsidR="00000000">
        <w:trPr>
          <w:tblCellSpacing w:w="0" w:type="dxa"/>
        </w:trPr>
        <w:tc>
          <w:tcPr>
            <w:tcW w:w="11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ASU</w:t>
            </w:r>
          </w:p>
        </w:tc>
        <w:tc>
          <w:tcPr>
            <w:tcW w:w="2150" w:type="pct"/>
            <w:tcBorders>
              <w:left w:val="single" w:sz="6" w:space="0" w:color="000000"/>
              <w:bottom w:val="single" w:sz="6" w:space="0" w:color="000000"/>
              <w:right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Description</w:t>
            </w:r>
          </w:p>
        </w:tc>
        <w:tc>
          <w:tcPr>
            <w:tcW w:w="605" w:type="pct"/>
            <w:tcBorders>
              <w:bottom w:val="single" w:sz="6" w:space="0" w:color="000000"/>
              <w:right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Effective </w:t>
            </w:r>
          </w:p>
          <w:p w:rsidR="00000000" w:rsidRDefault="006954AA">
            <w:pPr>
              <w:pStyle w:val="a3"/>
              <w:spacing w:before="0" w:beforeAutospacing="0" w:after="0" w:afterAutospacing="0"/>
              <w:jc w:val="center"/>
              <w:rPr>
                <w:sz w:val="20"/>
                <w:szCs w:val="20"/>
              </w:rPr>
            </w:pPr>
            <w:r>
              <w:rPr>
                <w:b/>
                <w:bCs/>
                <w:sz w:val="20"/>
                <w:szCs w:val="20"/>
              </w:rPr>
              <w:t>Date</w:t>
            </w:r>
          </w:p>
        </w:tc>
        <w:tc>
          <w:tcPr>
            <w:tcW w:w="11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Effect on the financial</w:t>
            </w:r>
            <w:r>
              <w:rPr>
                <w:b/>
                <w:bCs/>
                <w:sz w:val="20"/>
                <w:szCs w:val="20"/>
              </w:rPr>
              <w:t xml:space="preserve"> </w:t>
            </w:r>
          </w:p>
          <w:p w:rsidR="00000000" w:rsidRDefault="006954AA">
            <w:pPr>
              <w:pStyle w:val="a3"/>
              <w:spacing w:before="0" w:beforeAutospacing="0" w:after="0" w:afterAutospacing="0"/>
              <w:jc w:val="center"/>
              <w:rPr>
                <w:sz w:val="20"/>
                <w:szCs w:val="20"/>
              </w:rPr>
            </w:pPr>
            <w:r>
              <w:rPr>
                <w:b/>
                <w:bCs/>
                <w:sz w:val="20"/>
                <w:szCs w:val="20"/>
              </w:rPr>
              <w:t>statements or other significant</w:t>
            </w:r>
          </w:p>
          <w:p w:rsidR="00000000" w:rsidRDefault="006954AA">
            <w:pPr>
              <w:pStyle w:val="a3"/>
              <w:spacing w:before="0" w:beforeAutospacing="0" w:after="0" w:afterAutospacing="0"/>
              <w:jc w:val="center"/>
              <w:rPr>
                <w:sz w:val="20"/>
                <w:szCs w:val="20"/>
              </w:rPr>
            </w:pPr>
            <w:r>
              <w:rPr>
                <w:b/>
                <w:bCs/>
                <w:sz w:val="20"/>
                <w:szCs w:val="20"/>
              </w:rPr>
              <w:t>matters</w:t>
            </w:r>
          </w:p>
        </w:tc>
      </w:tr>
      <w:tr w:rsidR="00000000">
        <w:trPr>
          <w:tblCellSpacing w:w="0" w:type="dxa"/>
        </w:trPr>
        <w:tc>
          <w:tcPr>
            <w:tcW w:w="1100" w:type="pct"/>
            <w:tcBorders>
              <w:bottom w:val="single" w:sz="6" w:space="0" w:color="000000"/>
            </w:tcBorders>
            <w:shd w:val="clear" w:color="auto" w:fill="CCEEFF"/>
            <w:hideMark/>
          </w:tcPr>
          <w:p w:rsidR="00000000" w:rsidRDefault="006954AA">
            <w:pPr>
              <w:pStyle w:val="a3"/>
              <w:spacing w:before="0" w:beforeAutospacing="0" w:after="0" w:afterAutospacing="0"/>
              <w:rPr>
                <w:sz w:val="20"/>
                <w:szCs w:val="20"/>
              </w:rPr>
            </w:pPr>
            <w:r>
              <w:rPr>
                <w:sz w:val="20"/>
                <w:szCs w:val="20"/>
              </w:rPr>
              <w:t xml:space="preserve">ASU </w:t>
            </w:r>
            <w:r>
              <w:rPr>
                <w:rStyle w:val="a6"/>
                <w:sz w:val="20"/>
                <w:szCs w:val="20"/>
              </w:rPr>
              <w:t>2022</w:t>
            </w:r>
            <w:r>
              <w:rPr>
                <w:sz w:val="20"/>
                <w:szCs w:val="20"/>
              </w:rPr>
              <w:t>-</w:t>
            </w:r>
            <w:r>
              <w:rPr>
                <w:rStyle w:val="a6"/>
                <w:sz w:val="20"/>
                <w:szCs w:val="20"/>
              </w:rPr>
              <w:t>03,</w:t>
            </w:r>
            <w:r>
              <w:rPr>
                <w:sz w:val="20"/>
                <w:szCs w:val="20"/>
              </w:rPr>
              <w:t xml:space="preserve"> Fair Value Measurement (Topic </w:t>
            </w:r>
            <w:r>
              <w:rPr>
                <w:rStyle w:val="a6"/>
                <w:sz w:val="20"/>
                <w:szCs w:val="20"/>
              </w:rPr>
              <w:t>820</w:t>
            </w:r>
            <w:r>
              <w:rPr>
                <w:sz w:val="20"/>
                <w:szCs w:val="20"/>
              </w:rPr>
              <w:t>): Fair Value Measurement of Equity Securities Subject to Contractual Sale Restrictions</w:t>
            </w:r>
          </w:p>
        </w:tc>
        <w:tc>
          <w:tcPr>
            <w:tcW w:w="2150" w:type="pct"/>
            <w:tcBorders>
              <w:left w:val="single" w:sz="6" w:space="0" w:color="000000"/>
              <w:bottom w:val="single" w:sz="6" w:space="0" w:color="000000"/>
              <w:right w:val="single" w:sz="6" w:space="0" w:color="000000"/>
            </w:tcBorders>
            <w:shd w:val="clear" w:color="auto" w:fill="CCEEFF"/>
            <w:hideMark/>
          </w:tcPr>
          <w:p w:rsidR="00000000" w:rsidRDefault="006954AA">
            <w:pPr>
              <w:pStyle w:val="a3"/>
              <w:spacing w:before="0" w:beforeAutospacing="0" w:after="0" w:afterAutospacing="0"/>
              <w:jc w:val="both"/>
              <w:rPr>
                <w:sz w:val="20"/>
                <w:szCs w:val="20"/>
              </w:rPr>
            </w:pPr>
            <w:r>
              <w:rPr>
                <w:sz w:val="20"/>
                <w:szCs w:val="20"/>
              </w:rPr>
              <w:t xml:space="preserve">This ASU clarifies the guidance in Topic </w:t>
            </w:r>
            <w:r>
              <w:rPr>
                <w:rStyle w:val="a6"/>
                <w:sz w:val="20"/>
                <w:szCs w:val="20"/>
              </w:rPr>
              <w:t>820,</w:t>
            </w:r>
            <w:r>
              <w:rPr>
                <w:sz w:val="20"/>
                <w:szCs w:val="20"/>
              </w:rPr>
              <w:t xml:space="preserve"> Fair Value Measurement, when measuring the fair value of an equity security subject to contractual restrictions that prohi</w:t>
            </w:r>
            <w:r>
              <w:rPr>
                <w:sz w:val="20"/>
                <w:szCs w:val="20"/>
              </w:rPr>
              <w:t xml:space="preserve">bit the sale of an equity security and provides new disclosure requirements for equity securities subject to contractual sale restrictions that are measured at fair value in accordance with Topic </w:t>
            </w:r>
            <w:r>
              <w:rPr>
                <w:rStyle w:val="a6"/>
                <w:sz w:val="20"/>
                <w:szCs w:val="20"/>
              </w:rPr>
              <w:t>820.</w:t>
            </w:r>
          </w:p>
        </w:tc>
        <w:tc>
          <w:tcPr>
            <w:tcW w:w="605" w:type="pct"/>
            <w:tcBorders>
              <w:bottom w:val="single" w:sz="6" w:space="0" w:color="000000"/>
              <w:right w:val="single" w:sz="6" w:space="0" w:color="000000"/>
            </w:tcBorders>
            <w:shd w:val="clear" w:color="auto" w:fill="CCEEFF"/>
            <w:hideMark/>
          </w:tcPr>
          <w:p w:rsidR="00000000" w:rsidRDefault="006954AA">
            <w:pPr>
              <w:pStyle w:val="a3"/>
              <w:spacing w:before="0" w:beforeAutospacing="0" w:after="0" w:afterAutospacing="0"/>
              <w:jc w:val="center"/>
              <w:rPr>
                <w:sz w:val="20"/>
                <w:szCs w:val="20"/>
              </w:rPr>
            </w:pPr>
            <w:r>
              <w:rPr>
                <w:rStyle w:val="a6"/>
                <w:sz w:val="20"/>
                <w:szCs w:val="20"/>
              </w:rPr>
              <w:t xml:space="preserve">January 1, 2024; </w:t>
            </w:r>
            <w:r>
              <w:rPr>
                <w:sz w:val="20"/>
                <w:szCs w:val="20"/>
              </w:rPr>
              <w:t>Early adoption permitted</w:t>
            </w:r>
          </w:p>
        </w:tc>
        <w:tc>
          <w:tcPr>
            <w:tcW w:w="1150" w:type="pct"/>
            <w:tcBorders>
              <w:bottom w:val="single" w:sz="6" w:space="0" w:color="000000"/>
            </w:tcBorders>
            <w:shd w:val="clear" w:color="auto" w:fill="CCEEFF"/>
            <w:hideMark/>
          </w:tcPr>
          <w:p w:rsidR="00000000" w:rsidRDefault="006954AA">
            <w:pPr>
              <w:pStyle w:val="a3"/>
              <w:spacing w:before="0" w:beforeAutospacing="0" w:after="0" w:afterAutospacing="0"/>
              <w:rPr>
                <w:sz w:val="20"/>
                <w:szCs w:val="20"/>
              </w:rPr>
            </w:pPr>
            <w:r>
              <w:rPr>
                <w:sz w:val="20"/>
                <w:szCs w:val="20"/>
              </w:rPr>
              <w:t>The Company i</w:t>
            </w:r>
            <w:r>
              <w:rPr>
                <w:sz w:val="20"/>
                <w:szCs w:val="20"/>
              </w:rPr>
              <w:t>s assessing the impact this ASU will have on the Company’s financial position and/or results of operations.</w:t>
            </w:r>
          </w:p>
        </w:tc>
      </w:tr>
      <w:tr w:rsidR="00000000">
        <w:trPr>
          <w:tblCellSpacing w:w="0" w:type="dxa"/>
        </w:trPr>
        <w:tc>
          <w:tcPr>
            <w:tcW w:w="1100" w:type="pct"/>
            <w:shd w:val="clear" w:color="auto" w:fill="FFFFFF"/>
            <w:hideMark/>
          </w:tcPr>
          <w:p w:rsidR="00000000" w:rsidRDefault="006954AA">
            <w:pPr>
              <w:pStyle w:val="a3"/>
              <w:spacing w:before="0" w:beforeAutospacing="0" w:after="0" w:afterAutospacing="0"/>
              <w:rPr>
                <w:sz w:val="20"/>
                <w:szCs w:val="20"/>
              </w:rPr>
            </w:pPr>
            <w:r>
              <w:rPr>
                <w:sz w:val="20"/>
                <w:szCs w:val="20"/>
              </w:rPr>
              <w:t xml:space="preserve">ASU </w:t>
            </w:r>
            <w:r>
              <w:rPr>
                <w:rStyle w:val="a6"/>
                <w:sz w:val="20"/>
                <w:szCs w:val="20"/>
              </w:rPr>
              <w:t>2021</w:t>
            </w:r>
            <w:r>
              <w:rPr>
                <w:sz w:val="20"/>
                <w:szCs w:val="20"/>
              </w:rPr>
              <w:t>-</w:t>
            </w:r>
            <w:r>
              <w:rPr>
                <w:rStyle w:val="a6"/>
                <w:sz w:val="20"/>
                <w:szCs w:val="20"/>
              </w:rPr>
              <w:t>08,</w:t>
            </w:r>
            <w:r>
              <w:rPr>
                <w:sz w:val="20"/>
                <w:szCs w:val="20"/>
              </w:rPr>
              <w:t xml:space="preserve"> Business Combinations (Topic </w:t>
            </w:r>
            <w:r>
              <w:rPr>
                <w:rStyle w:val="a6"/>
                <w:sz w:val="20"/>
                <w:szCs w:val="20"/>
              </w:rPr>
              <w:t>805</w:t>
            </w:r>
            <w:r>
              <w:rPr>
                <w:sz w:val="20"/>
                <w:szCs w:val="20"/>
              </w:rPr>
              <w:t>): Accounting for Contract Assets and Contract Liabilities from Contracts with Customers</w:t>
            </w:r>
          </w:p>
        </w:tc>
        <w:tc>
          <w:tcPr>
            <w:tcW w:w="2150" w:type="pct"/>
            <w:tcBorders>
              <w:left w:val="single" w:sz="6" w:space="0" w:color="000000"/>
              <w:right w:val="single" w:sz="6" w:space="0" w:color="000000"/>
            </w:tcBorders>
            <w:shd w:val="clear" w:color="auto" w:fill="FFFFFF"/>
            <w:hideMark/>
          </w:tcPr>
          <w:p w:rsidR="00000000" w:rsidRDefault="006954AA">
            <w:pPr>
              <w:pStyle w:val="a3"/>
              <w:spacing w:before="0" w:beforeAutospacing="0" w:after="0" w:afterAutospacing="0"/>
              <w:jc w:val="both"/>
              <w:rPr>
                <w:sz w:val="20"/>
                <w:szCs w:val="20"/>
              </w:rPr>
            </w:pPr>
            <w:r>
              <w:rPr>
                <w:sz w:val="20"/>
                <w:szCs w:val="20"/>
              </w:rPr>
              <w:t xml:space="preserve">The amendments in this ASU require acquiring entities to apply Topic </w:t>
            </w:r>
            <w:r>
              <w:rPr>
                <w:rStyle w:val="a6"/>
                <w:sz w:val="20"/>
                <w:szCs w:val="20"/>
              </w:rPr>
              <w:t>606</w:t>
            </w:r>
            <w:r>
              <w:rPr>
                <w:sz w:val="20"/>
                <w:szCs w:val="20"/>
              </w:rPr>
              <w:t xml:space="preserve"> to recognize and measure contract assets and contract liabilities in a business combination ra</w:t>
            </w:r>
            <w:r>
              <w:rPr>
                <w:sz w:val="20"/>
                <w:szCs w:val="20"/>
              </w:rPr>
              <w:t xml:space="preserve">ther than at fair value on the acquisition date required by Topic </w:t>
            </w:r>
            <w:r>
              <w:rPr>
                <w:rStyle w:val="a6"/>
                <w:sz w:val="20"/>
                <w:szCs w:val="20"/>
              </w:rPr>
              <w:t>805.</w:t>
            </w:r>
          </w:p>
        </w:tc>
        <w:tc>
          <w:tcPr>
            <w:tcW w:w="605" w:type="pct"/>
            <w:tcBorders>
              <w:right w:val="single" w:sz="6" w:space="0" w:color="000000"/>
            </w:tcBorders>
            <w:shd w:val="clear" w:color="auto" w:fill="FFFFFF"/>
            <w:hideMark/>
          </w:tcPr>
          <w:p w:rsidR="00000000" w:rsidRDefault="006954AA">
            <w:pPr>
              <w:pStyle w:val="a3"/>
              <w:spacing w:before="0" w:beforeAutospacing="0" w:after="0" w:afterAutospacing="0"/>
              <w:jc w:val="center"/>
              <w:rPr>
                <w:sz w:val="20"/>
                <w:szCs w:val="20"/>
              </w:rPr>
            </w:pPr>
            <w:r>
              <w:rPr>
                <w:rStyle w:val="a6"/>
                <w:sz w:val="20"/>
                <w:szCs w:val="20"/>
              </w:rPr>
              <w:t xml:space="preserve">January 1, 2023; </w:t>
            </w:r>
            <w:r>
              <w:rPr>
                <w:sz w:val="20"/>
                <w:szCs w:val="20"/>
              </w:rPr>
              <w:t>Early adoption permitted</w:t>
            </w:r>
          </w:p>
          <w:p w:rsidR="00000000" w:rsidRDefault="006954AA">
            <w:pPr>
              <w:pStyle w:val="a3"/>
              <w:spacing w:before="0" w:beforeAutospacing="0" w:after="0" w:afterAutospacing="0"/>
              <w:jc w:val="center"/>
              <w:rPr>
                <w:sz w:val="20"/>
                <w:szCs w:val="20"/>
              </w:rPr>
            </w:pPr>
            <w:r>
              <w:rPr>
                <w:sz w:val="20"/>
                <w:szCs w:val="20"/>
              </w:rPr>
              <w:t> </w:t>
            </w:r>
          </w:p>
        </w:tc>
        <w:tc>
          <w:tcPr>
            <w:tcW w:w="1150" w:type="pct"/>
            <w:shd w:val="clear" w:color="auto" w:fill="FFFFFF"/>
            <w:hideMark/>
          </w:tcPr>
          <w:p w:rsidR="00000000" w:rsidRDefault="006954AA">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401059649"/>
        <w:rPr>
          <w:rFonts w:eastAsia="Times New Roman"/>
          <w:sz w:val="20"/>
          <w:szCs w:val="20"/>
        </w:rPr>
      </w:pPr>
      <w:r>
        <w:rPr>
          <w:rStyle w:val="a6"/>
          <w:rFonts w:eastAsia="Times New Roman"/>
          <w:sz w:val="20"/>
          <w:szCs w:val="20"/>
        </w:rPr>
        <w:t>68</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3" style="width:415.3pt;height:1.5pt" o:hralign="center" o:hrstd="t" o:hrnoshade="t" o:hr="t" fillcolor="black" stroked="f"/>
        </w:pict>
      </w:r>
    </w:p>
    <w:p w:rsidR="00000000" w:rsidRDefault="006954AA">
      <w:pPr>
        <w:divId w:val="1855419159"/>
        <w:rPr>
          <w:rFonts w:eastAsia="Times New Roman"/>
          <w:sz w:val="20"/>
          <w:szCs w:val="20"/>
        </w:rPr>
      </w:pPr>
      <w:r>
        <w:rPr>
          <w:rFonts w:eastAsia="Times New Roman"/>
          <w:sz w:val="20"/>
          <w:szCs w:val="20"/>
        </w:rPr>
        <w:t xml:space="preserve">  </w:t>
      </w:r>
    </w:p>
    <w:p w:rsidR="00000000" w:rsidRDefault="006954AA">
      <w:pPr>
        <w:jc w:val="center"/>
        <w:divId w:val="1667857998"/>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549534916"/>
        <w:rPr>
          <w:rFonts w:eastAsia="Times New Roman"/>
          <w:sz w:val="20"/>
          <w:szCs w:val="20"/>
        </w:rPr>
      </w:pPr>
      <w:r>
        <w:rPr>
          <w:rFonts w:eastAsia="Times New Roman"/>
          <w:sz w:val="20"/>
          <w:szCs w:val="20"/>
        </w:rPr>
        <w:t xml:space="preserve">  </w:t>
      </w:r>
    </w:p>
    <w:p w:rsidR="00000000" w:rsidRDefault="006954AA">
      <w:pPr>
        <w:jc w:val="center"/>
        <w:divId w:val="1744183572"/>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following ASUs to the FASB’s ASCs have been adopted by the Company as of the date listed:</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Borders>
          <w:top w:val="single" w:sz="6" w:space="0" w:color="000000"/>
          <w:left w:val="single" w:sz="6" w:space="0" w:color="000000"/>
          <w:right w:val="single" w:sz="6" w:space="0" w:color="000000"/>
        </w:tblBorders>
        <w:tblCellMar>
          <w:left w:w="0" w:type="dxa"/>
          <w:right w:w="0" w:type="dxa"/>
        </w:tblCellMar>
        <w:tblLook w:val="04A0" w:firstRow="1" w:lastRow="0" w:firstColumn="1" w:lastColumn="0" w:noHBand="0" w:noVBand="1"/>
      </w:tblPr>
      <w:tblGrid>
        <w:gridCol w:w="1799"/>
        <w:gridCol w:w="3672"/>
        <w:gridCol w:w="1111"/>
        <w:gridCol w:w="1708"/>
      </w:tblGrid>
      <w:tr w:rsidR="00000000">
        <w:trPr>
          <w:tblCellSpacing w:w="0" w:type="dxa"/>
        </w:trPr>
        <w:tc>
          <w:tcPr>
            <w:tcW w:w="1085"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ASU</w:t>
            </w:r>
          </w:p>
        </w:tc>
        <w:tc>
          <w:tcPr>
            <w:tcW w:w="2215" w:type="pct"/>
            <w:tcBorders>
              <w:left w:val="single" w:sz="6" w:space="0" w:color="000000"/>
              <w:bottom w:val="single" w:sz="6" w:space="0" w:color="000000"/>
              <w:right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Description</w:t>
            </w:r>
          </w:p>
        </w:tc>
        <w:tc>
          <w:tcPr>
            <w:tcW w:w="670" w:type="pct"/>
            <w:tcBorders>
              <w:bottom w:val="single" w:sz="6" w:space="0" w:color="000000"/>
              <w:right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Adoption Date</w:t>
            </w:r>
          </w:p>
        </w:tc>
        <w:tc>
          <w:tcPr>
            <w:tcW w:w="1085"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Effect on the financial statements or other significant matters</w:t>
            </w:r>
          </w:p>
        </w:tc>
      </w:tr>
      <w:tr w:rsidR="00000000">
        <w:trPr>
          <w:tblCellSpacing w:w="0" w:type="dxa"/>
        </w:trPr>
        <w:tc>
          <w:tcPr>
            <w:tcW w:w="1085" w:type="pct"/>
            <w:tcBorders>
              <w:bottom w:val="single" w:sz="6" w:space="0" w:color="000000"/>
            </w:tcBorders>
            <w:shd w:val="clear" w:color="auto" w:fill="CCEEFF"/>
            <w:hideMark/>
          </w:tcPr>
          <w:p w:rsidR="00000000" w:rsidRDefault="006954AA">
            <w:pPr>
              <w:pStyle w:val="a3"/>
              <w:spacing w:before="0" w:beforeAutospacing="0" w:after="0" w:afterAutospacing="0"/>
              <w:rPr>
                <w:sz w:val="20"/>
                <w:szCs w:val="20"/>
              </w:rPr>
            </w:pPr>
            <w:r>
              <w:rPr>
                <w:sz w:val="20"/>
                <w:szCs w:val="20"/>
              </w:rPr>
              <w:t xml:space="preserve">ASU </w:t>
            </w:r>
            <w:r>
              <w:rPr>
                <w:rStyle w:val="a6"/>
                <w:sz w:val="20"/>
                <w:szCs w:val="20"/>
              </w:rPr>
              <w:t>2021</w:t>
            </w:r>
            <w:r>
              <w:rPr>
                <w:sz w:val="20"/>
                <w:szCs w:val="20"/>
              </w:rPr>
              <w:t>-</w:t>
            </w:r>
            <w:r>
              <w:rPr>
                <w:rStyle w:val="a6"/>
                <w:sz w:val="20"/>
                <w:szCs w:val="20"/>
              </w:rPr>
              <w:t>05,</w:t>
            </w:r>
            <w:r>
              <w:rPr>
                <w:sz w:val="20"/>
                <w:szCs w:val="20"/>
              </w:rPr>
              <w:t xml:space="preserve"> Lessors – Certain Leases with Variable Lease Payments (Topic </w:t>
            </w:r>
            <w:r>
              <w:rPr>
                <w:rStyle w:val="a6"/>
                <w:sz w:val="20"/>
                <w:szCs w:val="20"/>
              </w:rPr>
              <w:t>842</w:t>
            </w:r>
            <w:r>
              <w:rPr>
                <w:sz w:val="20"/>
                <w:szCs w:val="20"/>
              </w:rPr>
              <w:t>)</w:t>
            </w:r>
          </w:p>
        </w:tc>
        <w:tc>
          <w:tcPr>
            <w:tcW w:w="2215" w:type="pct"/>
            <w:tcBorders>
              <w:left w:val="single" w:sz="6" w:space="0" w:color="000000"/>
              <w:bottom w:val="single" w:sz="6" w:space="0" w:color="000000"/>
              <w:right w:val="single" w:sz="6" w:space="0" w:color="000000"/>
            </w:tcBorders>
            <w:shd w:val="clear" w:color="auto" w:fill="CCEEFF"/>
            <w:hideMark/>
          </w:tcPr>
          <w:p w:rsidR="00000000" w:rsidRDefault="006954AA">
            <w:pPr>
              <w:pStyle w:val="a3"/>
              <w:spacing w:before="0" w:beforeAutospacing="0" w:after="0" w:afterAutospacing="0"/>
              <w:jc w:val="both"/>
              <w:rPr>
                <w:sz w:val="20"/>
                <w:szCs w:val="20"/>
              </w:rPr>
            </w:pPr>
            <w:r>
              <w:rPr>
                <w:sz w:val="20"/>
                <w:szCs w:val="20"/>
              </w:rPr>
              <w:t xml:space="preserve">This ASU amends the lessor lease classification in ASC </w:t>
            </w:r>
            <w:r>
              <w:rPr>
                <w:rStyle w:val="a6"/>
                <w:sz w:val="20"/>
                <w:szCs w:val="20"/>
              </w:rPr>
              <w:t>842</w:t>
            </w:r>
            <w:r>
              <w:rPr>
                <w:sz w:val="20"/>
                <w:szCs w:val="20"/>
              </w:rPr>
              <w:t xml:space="preserve"> for leases that include variable lease payments that </w:t>
            </w:r>
            <w:r>
              <w:rPr>
                <w:sz w:val="20"/>
                <w:szCs w:val="20"/>
              </w:rPr>
              <w:t xml:space="preserve">are </w:t>
            </w:r>
            <w:r>
              <w:rPr>
                <w:rStyle w:val="a6"/>
                <w:sz w:val="20"/>
                <w:szCs w:val="20"/>
              </w:rPr>
              <w:t>not</w:t>
            </w:r>
            <w:r>
              <w:rPr>
                <w:sz w:val="20"/>
                <w:szCs w:val="20"/>
              </w:rPr>
              <w:t xml:space="preserve"> based on an index or rate. Under the amended guidance, lessors will classify a lease with variable payments that do </w:t>
            </w:r>
            <w:r>
              <w:rPr>
                <w:rStyle w:val="a6"/>
                <w:sz w:val="20"/>
                <w:szCs w:val="20"/>
              </w:rPr>
              <w:t>not</w:t>
            </w:r>
            <w:r>
              <w:rPr>
                <w:sz w:val="20"/>
                <w:szCs w:val="20"/>
              </w:rPr>
              <w:t xml:space="preserve"> depend on an index or rate as an operating lease if the lease would have been classified as a sales-type lease or a direct finan</w:t>
            </w:r>
            <w:r>
              <w:rPr>
                <w:sz w:val="20"/>
                <w:szCs w:val="20"/>
              </w:rPr>
              <w:t xml:space="preserve">cing lease under the previous ASU </w:t>
            </w:r>
            <w:r>
              <w:rPr>
                <w:rStyle w:val="a6"/>
                <w:sz w:val="20"/>
                <w:szCs w:val="20"/>
              </w:rPr>
              <w:t>842</w:t>
            </w:r>
            <w:r>
              <w:rPr>
                <w:sz w:val="20"/>
                <w:szCs w:val="20"/>
              </w:rPr>
              <w:t xml:space="preserve"> classification criteria and sales-type or direct financing lease classification would result in a Day </w:t>
            </w:r>
            <w:r>
              <w:rPr>
                <w:rStyle w:val="a6"/>
                <w:sz w:val="20"/>
                <w:szCs w:val="20"/>
              </w:rPr>
              <w:t>1</w:t>
            </w:r>
            <w:r>
              <w:rPr>
                <w:sz w:val="20"/>
                <w:szCs w:val="20"/>
              </w:rPr>
              <w:t xml:space="preserve"> loss.</w:t>
            </w:r>
          </w:p>
        </w:tc>
        <w:tc>
          <w:tcPr>
            <w:tcW w:w="670" w:type="pct"/>
            <w:tcBorders>
              <w:bottom w:val="single" w:sz="6" w:space="0" w:color="000000"/>
              <w:right w:val="single" w:sz="6" w:space="0" w:color="000000"/>
            </w:tcBorders>
            <w:shd w:val="clear" w:color="auto" w:fill="CCEEFF"/>
            <w:hideMark/>
          </w:tcPr>
          <w:p w:rsidR="00000000" w:rsidRDefault="006954AA">
            <w:pPr>
              <w:pStyle w:val="a3"/>
              <w:spacing w:before="0" w:beforeAutospacing="0" w:after="0" w:afterAutospacing="0"/>
              <w:jc w:val="center"/>
              <w:rPr>
                <w:sz w:val="20"/>
                <w:szCs w:val="20"/>
              </w:rPr>
            </w:pPr>
            <w:r>
              <w:rPr>
                <w:rStyle w:val="a6"/>
                <w:sz w:val="20"/>
                <w:szCs w:val="20"/>
              </w:rPr>
              <w:t>January 1, 2022</w:t>
            </w:r>
          </w:p>
        </w:tc>
        <w:tc>
          <w:tcPr>
            <w:tcW w:w="1085" w:type="pct"/>
            <w:tcBorders>
              <w:bottom w:val="single" w:sz="6" w:space="0" w:color="000000"/>
            </w:tcBorders>
            <w:shd w:val="clear" w:color="auto" w:fill="CCEEFF"/>
            <w:hideMark/>
          </w:tcPr>
          <w:p w:rsidR="00000000" w:rsidRDefault="006954AA">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impact the Company’s financial position and/or results of o</w:t>
            </w:r>
            <w:r>
              <w:rPr>
                <w:sz w:val="20"/>
                <w:szCs w:val="20"/>
              </w:rPr>
              <w:t>perations.</w:t>
            </w:r>
          </w:p>
        </w:tc>
      </w:tr>
      <w:tr w:rsidR="00000000">
        <w:trPr>
          <w:trHeight w:val="230"/>
          <w:tblCellSpacing w:w="0" w:type="dxa"/>
        </w:trPr>
        <w:tc>
          <w:tcPr>
            <w:tcW w:w="1085" w:type="pct"/>
            <w:vMerge w:val="restart"/>
            <w:tcBorders>
              <w:bottom w:val="single" w:sz="6" w:space="0" w:color="000000"/>
            </w:tcBorders>
            <w:hideMark/>
          </w:tcPr>
          <w:p w:rsidR="00000000" w:rsidRDefault="006954AA">
            <w:pPr>
              <w:rPr>
                <w:rFonts w:eastAsia="Times New Roman"/>
                <w:sz w:val="20"/>
                <w:szCs w:val="20"/>
              </w:rPr>
            </w:pPr>
            <w:r>
              <w:rPr>
                <w:rFonts w:eastAsia="Times New Roman"/>
                <w:sz w:val="20"/>
                <w:szCs w:val="20"/>
              </w:rPr>
              <w:t xml:space="preserve">ASU </w:t>
            </w:r>
            <w:r>
              <w:rPr>
                <w:rStyle w:val="a6"/>
                <w:rFonts w:eastAsia="Times New Roman"/>
                <w:sz w:val="20"/>
                <w:szCs w:val="20"/>
              </w:rPr>
              <w:t>2020</w:t>
            </w:r>
            <w:r>
              <w:rPr>
                <w:rFonts w:eastAsia="Times New Roman"/>
                <w:sz w:val="20"/>
                <w:szCs w:val="20"/>
              </w:rPr>
              <w:t>-</w:t>
            </w:r>
            <w:r>
              <w:rPr>
                <w:rStyle w:val="a6"/>
                <w:rFonts w:eastAsia="Times New Roman"/>
                <w:sz w:val="20"/>
                <w:szCs w:val="20"/>
              </w:rPr>
              <w:t>04,</w:t>
            </w:r>
            <w:r>
              <w:rPr>
                <w:rFonts w:eastAsia="Times New Roman"/>
                <w:sz w:val="20"/>
                <w:szCs w:val="20"/>
              </w:rPr>
              <w:t xml:space="preserve"> Reference Rate Reform (Topic </w:t>
            </w:r>
            <w:r>
              <w:rPr>
                <w:rStyle w:val="a6"/>
                <w:rFonts w:eastAsia="Times New Roman"/>
                <w:sz w:val="20"/>
                <w:szCs w:val="20"/>
              </w:rPr>
              <w:t>848</w:t>
            </w:r>
            <w:r>
              <w:rPr>
                <w:rFonts w:eastAsia="Times New Roman"/>
                <w:sz w:val="20"/>
                <w:szCs w:val="20"/>
              </w:rPr>
              <w:t>): Facilitation of the Effects of Reference Rate Reform on Financial Reporting</w:t>
            </w:r>
            <w:r>
              <w:rPr>
                <w:rFonts w:eastAsia="Times New Roman"/>
                <w:sz w:val="20"/>
                <w:szCs w:val="20"/>
              </w:rPr>
              <w:br/>
              <w:t> </w:t>
            </w:r>
            <w:r>
              <w:rPr>
                <w:rFonts w:eastAsia="Times New Roman"/>
                <w:sz w:val="20"/>
                <w:szCs w:val="20"/>
              </w:rPr>
              <w:br/>
              <w:t xml:space="preserve">ASU </w:t>
            </w:r>
            <w:r>
              <w:rPr>
                <w:rStyle w:val="a6"/>
                <w:rFonts w:eastAsia="Times New Roman"/>
                <w:sz w:val="20"/>
                <w:szCs w:val="20"/>
              </w:rPr>
              <w:t>2022</w:t>
            </w:r>
            <w:r>
              <w:rPr>
                <w:rFonts w:eastAsia="Times New Roman"/>
                <w:sz w:val="20"/>
                <w:szCs w:val="20"/>
              </w:rPr>
              <w:t>-</w:t>
            </w:r>
            <w:r>
              <w:rPr>
                <w:rStyle w:val="a6"/>
                <w:rFonts w:eastAsia="Times New Roman"/>
                <w:sz w:val="20"/>
                <w:szCs w:val="20"/>
              </w:rPr>
              <w:t>06,</w:t>
            </w:r>
            <w:r>
              <w:rPr>
                <w:rFonts w:eastAsia="Times New Roman"/>
                <w:sz w:val="20"/>
                <w:szCs w:val="20"/>
              </w:rPr>
              <w:t xml:space="preserve"> Deferral of the Sunset Date of Topic </w:t>
            </w:r>
            <w:r>
              <w:rPr>
                <w:rStyle w:val="a6"/>
                <w:rFonts w:eastAsia="Times New Roman"/>
                <w:sz w:val="20"/>
                <w:szCs w:val="20"/>
              </w:rPr>
              <w:t>848</w:t>
            </w:r>
          </w:p>
        </w:tc>
        <w:tc>
          <w:tcPr>
            <w:tcW w:w="2215" w:type="pct"/>
            <w:vMerge w:val="restart"/>
            <w:tcBorders>
              <w:left w:val="single" w:sz="6" w:space="0" w:color="000000"/>
              <w:bottom w:val="single" w:sz="6" w:space="0" w:color="000000"/>
              <w:right w:val="single" w:sz="6" w:space="0" w:color="000000"/>
            </w:tcBorders>
            <w:hideMark/>
          </w:tcPr>
          <w:p w:rsidR="00000000" w:rsidRDefault="006954AA">
            <w:pPr>
              <w:jc w:val="both"/>
              <w:rPr>
                <w:rFonts w:eastAsia="Times New Roman"/>
                <w:sz w:val="20"/>
                <w:szCs w:val="20"/>
              </w:rPr>
            </w:pPr>
            <w:r>
              <w:rPr>
                <w:rFonts w:eastAsia="Times New Roman"/>
                <w:sz w:val="20"/>
                <w:szCs w:val="20"/>
              </w:rPr>
              <w:t xml:space="preserve">In </w:t>
            </w:r>
            <w:r>
              <w:rPr>
                <w:rStyle w:val="a6"/>
                <w:rFonts w:eastAsia="Times New Roman"/>
                <w:sz w:val="20"/>
                <w:szCs w:val="20"/>
              </w:rPr>
              <w:t xml:space="preserve">March 2020, </w:t>
            </w:r>
            <w:r>
              <w:rPr>
                <w:rFonts w:eastAsia="Times New Roman"/>
                <w:sz w:val="20"/>
                <w:szCs w:val="20"/>
              </w:rPr>
              <w:t xml:space="preserve">the FASB issued ASU </w:t>
            </w:r>
            <w:r>
              <w:rPr>
                <w:rStyle w:val="a6"/>
                <w:rFonts w:eastAsia="Times New Roman"/>
                <w:sz w:val="20"/>
                <w:szCs w:val="20"/>
              </w:rPr>
              <w:t>2020</w:t>
            </w:r>
            <w:r>
              <w:rPr>
                <w:rFonts w:eastAsia="Times New Roman"/>
                <w:sz w:val="20"/>
                <w:szCs w:val="20"/>
              </w:rPr>
              <w:t>-</w:t>
            </w:r>
            <w:r>
              <w:rPr>
                <w:rStyle w:val="a6"/>
                <w:rFonts w:eastAsia="Times New Roman"/>
                <w:sz w:val="20"/>
                <w:szCs w:val="20"/>
              </w:rPr>
              <w:t>04,</w:t>
            </w:r>
            <w:r>
              <w:rPr>
                <w:rFonts w:eastAsia="Times New Roman"/>
                <w:sz w:val="20"/>
                <w:szCs w:val="20"/>
              </w:rPr>
              <w:t xml:space="preserve"> </w:t>
            </w:r>
            <w:r>
              <w:rPr>
                <w:rFonts w:eastAsia="Times New Roman"/>
                <w:sz w:val="20"/>
                <w:szCs w:val="20"/>
              </w:rPr>
              <w:t xml:space="preserve">Reference Rate Reform (Topic </w:t>
            </w:r>
            <w:r>
              <w:rPr>
                <w:rStyle w:val="a6"/>
                <w:rFonts w:eastAsia="Times New Roman"/>
                <w:sz w:val="20"/>
                <w:szCs w:val="20"/>
              </w:rPr>
              <w:t>848</w:t>
            </w:r>
            <w:r>
              <w:rPr>
                <w:rFonts w:eastAsia="Times New Roman"/>
                <w:sz w:val="20"/>
                <w:szCs w:val="20"/>
              </w:rPr>
              <w:t xml:space="preserve">) ("ASU </w:t>
            </w:r>
            <w:r>
              <w:rPr>
                <w:rStyle w:val="a6"/>
                <w:rFonts w:eastAsia="Times New Roman"/>
                <w:sz w:val="20"/>
                <w:szCs w:val="20"/>
              </w:rPr>
              <w:t>2020</w:t>
            </w:r>
            <w:r>
              <w:rPr>
                <w:rFonts w:eastAsia="Times New Roman"/>
                <w:sz w:val="20"/>
                <w:szCs w:val="20"/>
              </w:rPr>
              <w:t>-</w:t>
            </w:r>
            <w:r>
              <w:rPr>
                <w:rStyle w:val="a6"/>
                <w:rFonts w:eastAsia="Times New Roman"/>
                <w:sz w:val="20"/>
                <w:szCs w:val="20"/>
              </w:rPr>
              <w:t>04"</w:t>
            </w:r>
            <w:r>
              <w:rPr>
                <w:rFonts w:eastAsia="Times New Roman"/>
                <w:sz w:val="20"/>
                <w:szCs w:val="20"/>
              </w:rPr>
              <w:t xml:space="preserve">). ASU </w:t>
            </w:r>
            <w:r>
              <w:rPr>
                <w:rStyle w:val="a6"/>
                <w:rFonts w:eastAsia="Times New Roman"/>
                <w:sz w:val="20"/>
                <w:szCs w:val="20"/>
              </w:rPr>
              <w:t>2020</w:t>
            </w:r>
            <w:r>
              <w:rPr>
                <w:rFonts w:eastAsia="Times New Roman"/>
                <w:sz w:val="20"/>
                <w:szCs w:val="20"/>
              </w:rPr>
              <w:t>-</w:t>
            </w:r>
            <w:r>
              <w:rPr>
                <w:rStyle w:val="a6"/>
                <w:rFonts w:eastAsia="Times New Roman"/>
                <w:sz w:val="20"/>
                <w:szCs w:val="20"/>
              </w:rPr>
              <w:t>04</w:t>
            </w:r>
            <w:r>
              <w:rPr>
                <w:rFonts w:eastAsia="Times New Roman"/>
                <w:sz w:val="20"/>
                <w:szCs w:val="20"/>
              </w:rPr>
              <w:t xml:space="preserve"> contains practical expedients for reference rate reform related activities that impact debt, leases, derivatives, and other contracts. The guidance in ASU </w:t>
            </w:r>
            <w:r>
              <w:rPr>
                <w:rStyle w:val="a6"/>
                <w:rFonts w:eastAsia="Times New Roman"/>
                <w:sz w:val="20"/>
                <w:szCs w:val="20"/>
              </w:rPr>
              <w:t>2020</w:t>
            </w:r>
            <w:r>
              <w:rPr>
                <w:rFonts w:eastAsia="Times New Roman"/>
                <w:sz w:val="20"/>
                <w:szCs w:val="20"/>
              </w:rPr>
              <w:t>-</w:t>
            </w:r>
            <w:r>
              <w:rPr>
                <w:rStyle w:val="a6"/>
                <w:rFonts w:eastAsia="Times New Roman"/>
                <w:sz w:val="20"/>
                <w:szCs w:val="20"/>
              </w:rPr>
              <w:t>04</w:t>
            </w:r>
            <w:r>
              <w:rPr>
                <w:rFonts w:eastAsia="Times New Roman"/>
                <w:sz w:val="20"/>
                <w:szCs w:val="20"/>
              </w:rPr>
              <w:t xml:space="preserve"> is optional and </w:t>
            </w:r>
            <w:r>
              <w:rPr>
                <w:rStyle w:val="a6"/>
                <w:rFonts w:eastAsia="Times New Roman"/>
                <w:sz w:val="20"/>
                <w:szCs w:val="20"/>
              </w:rPr>
              <w:t xml:space="preserve">may </w:t>
            </w:r>
            <w:r>
              <w:rPr>
                <w:rFonts w:eastAsia="Times New Roman"/>
                <w:sz w:val="20"/>
                <w:szCs w:val="20"/>
              </w:rPr>
              <w:t>be elected</w:t>
            </w:r>
            <w:r>
              <w:rPr>
                <w:rFonts w:eastAsia="Times New Roman"/>
                <w:sz w:val="20"/>
                <w:szCs w:val="20"/>
              </w:rPr>
              <w:t xml:space="preserve"> over time as reference rate reform activities occur.</w:t>
            </w:r>
            <w:r>
              <w:rPr>
                <w:rFonts w:eastAsia="Times New Roman"/>
                <w:sz w:val="20"/>
                <w:szCs w:val="20"/>
              </w:rPr>
              <w:br/>
              <w:t xml:space="preserve">  </w:t>
            </w:r>
          </w:p>
          <w:p w:rsidR="00000000" w:rsidRDefault="006954AA">
            <w:pPr>
              <w:pStyle w:val="a3"/>
              <w:spacing w:before="0" w:beforeAutospacing="0" w:after="0" w:afterAutospacing="0"/>
              <w:jc w:val="both"/>
              <w:rPr>
                <w:sz w:val="20"/>
                <w:szCs w:val="20"/>
              </w:rPr>
            </w:pPr>
            <w:r>
              <w:rPr>
                <w:sz w:val="20"/>
                <w:szCs w:val="20"/>
              </w:rPr>
              <w:t xml:space="preserve">In </w:t>
            </w:r>
            <w:r>
              <w:rPr>
                <w:rStyle w:val="a6"/>
                <w:sz w:val="20"/>
                <w:szCs w:val="20"/>
              </w:rPr>
              <w:t xml:space="preserve">December 2022, </w:t>
            </w:r>
            <w:r>
              <w:rPr>
                <w:sz w:val="20"/>
                <w:szCs w:val="20"/>
              </w:rPr>
              <w:t xml:space="preserve">the FASB issued ASU </w:t>
            </w:r>
            <w:r>
              <w:rPr>
                <w:rStyle w:val="a6"/>
                <w:sz w:val="20"/>
                <w:szCs w:val="20"/>
              </w:rPr>
              <w:t>2022</w:t>
            </w:r>
            <w:r>
              <w:rPr>
                <w:sz w:val="20"/>
                <w:szCs w:val="20"/>
              </w:rPr>
              <w:t>-</w:t>
            </w:r>
            <w:r>
              <w:rPr>
                <w:rStyle w:val="a6"/>
                <w:sz w:val="20"/>
                <w:szCs w:val="20"/>
              </w:rPr>
              <w:t>06,</w:t>
            </w:r>
            <w:r>
              <w:rPr>
                <w:sz w:val="20"/>
                <w:szCs w:val="20"/>
              </w:rPr>
              <w:t xml:space="preserve"> Deferral of the Sunset Date of Topic </w:t>
            </w:r>
            <w:r>
              <w:rPr>
                <w:rStyle w:val="a6"/>
                <w:sz w:val="20"/>
                <w:szCs w:val="20"/>
              </w:rPr>
              <w:t>848</w:t>
            </w:r>
            <w:r>
              <w:rPr>
                <w:sz w:val="20"/>
                <w:szCs w:val="20"/>
              </w:rPr>
              <w:t xml:space="preserve"> (“ASU </w:t>
            </w:r>
            <w:r>
              <w:rPr>
                <w:rStyle w:val="a6"/>
                <w:sz w:val="20"/>
                <w:szCs w:val="20"/>
              </w:rPr>
              <w:t>2022</w:t>
            </w:r>
            <w:r>
              <w:rPr>
                <w:sz w:val="20"/>
                <w:szCs w:val="20"/>
              </w:rPr>
              <w:t>-</w:t>
            </w:r>
            <w:r>
              <w:rPr>
                <w:rStyle w:val="a6"/>
                <w:sz w:val="20"/>
                <w:szCs w:val="20"/>
              </w:rPr>
              <w:t>06”</w:t>
            </w:r>
            <w:r>
              <w:rPr>
                <w:sz w:val="20"/>
                <w:szCs w:val="20"/>
              </w:rPr>
              <w:t xml:space="preserve">) which defers the sunset date of ASU </w:t>
            </w:r>
            <w:r>
              <w:rPr>
                <w:rStyle w:val="a6"/>
                <w:sz w:val="20"/>
                <w:szCs w:val="20"/>
              </w:rPr>
              <w:t>2020</w:t>
            </w:r>
            <w:r>
              <w:rPr>
                <w:sz w:val="20"/>
                <w:szCs w:val="20"/>
              </w:rPr>
              <w:t>-</w:t>
            </w:r>
            <w:r>
              <w:rPr>
                <w:rStyle w:val="a6"/>
                <w:sz w:val="20"/>
                <w:szCs w:val="20"/>
              </w:rPr>
              <w:t>04</w:t>
            </w:r>
            <w:r>
              <w:rPr>
                <w:sz w:val="20"/>
                <w:szCs w:val="20"/>
              </w:rPr>
              <w:t xml:space="preserve"> to </w:t>
            </w:r>
            <w:r>
              <w:rPr>
                <w:rStyle w:val="a6"/>
                <w:sz w:val="20"/>
                <w:szCs w:val="20"/>
              </w:rPr>
              <w:t xml:space="preserve">December 31, 2024. </w:t>
            </w:r>
            <w:r>
              <w:rPr>
                <w:sz w:val="20"/>
                <w:szCs w:val="20"/>
              </w:rPr>
              <w:t xml:space="preserve">ASU </w:t>
            </w:r>
            <w:r>
              <w:rPr>
                <w:rStyle w:val="a6"/>
                <w:sz w:val="20"/>
                <w:szCs w:val="20"/>
              </w:rPr>
              <w:t>2022</w:t>
            </w:r>
            <w:r>
              <w:rPr>
                <w:sz w:val="20"/>
                <w:szCs w:val="20"/>
              </w:rPr>
              <w:t>-</w:t>
            </w:r>
            <w:r>
              <w:rPr>
                <w:rStyle w:val="a6"/>
                <w:sz w:val="20"/>
                <w:szCs w:val="20"/>
              </w:rPr>
              <w:t>06</w:t>
            </w:r>
            <w:r>
              <w:rPr>
                <w:sz w:val="20"/>
                <w:szCs w:val="20"/>
              </w:rPr>
              <w:t xml:space="preserve"> is effective imme</w:t>
            </w:r>
            <w:r>
              <w:rPr>
                <w:sz w:val="20"/>
                <w:szCs w:val="20"/>
              </w:rPr>
              <w:t>diately for all companies.</w:t>
            </w:r>
          </w:p>
        </w:tc>
        <w:tc>
          <w:tcPr>
            <w:tcW w:w="670" w:type="pct"/>
            <w:vMerge w:val="restart"/>
            <w:tcBorders>
              <w:bottom w:val="single" w:sz="6" w:space="0" w:color="000000"/>
              <w:right w:val="single" w:sz="6" w:space="0" w:color="000000"/>
            </w:tcBorders>
            <w:hideMark/>
          </w:tcPr>
          <w:p w:rsidR="00000000" w:rsidRDefault="006954AA">
            <w:pPr>
              <w:jc w:val="center"/>
              <w:rPr>
                <w:rFonts w:eastAsia="Times New Roman"/>
                <w:sz w:val="20"/>
                <w:szCs w:val="20"/>
              </w:rPr>
            </w:pPr>
            <w:r>
              <w:rPr>
                <w:rStyle w:val="a6"/>
                <w:rFonts w:eastAsia="Times New Roman"/>
                <w:sz w:val="20"/>
                <w:szCs w:val="20"/>
              </w:rPr>
              <w:t xml:space="preserve">March 2020 </w:t>
            </w:r>
            <w:r>
              <w:rPr>
                <w:rFonts w:eastAsia="Times New Roman"/>
                <w:sz w:val="20"/>
                <w:szCs w:val="20"/>
              </w:rPr>
              <w:t xml:space="preserve">through </w:t>
            </w:r>
            <w:r>
              <w:rPr>
                <w:rStyle w:val="a6"/>
                <w:rFonts w:eastAsia="Times New Roman"/>
                <w:sz w:val="20"/>
                <w:szCs w:val="20"/>
              </w:rPr>
              <w:t>December 31, 2024</w:t>
            </w:r>
            <w:r>
              <w:rPr>
                <w:rFonts w:eastAsia="Times New Roman"/>
                <w:sz w:val="20"/>
                <w:szCs w:val="20"/>
              </w:rPr>
              <w:br/>
              <w:t> </w:t>
            </w:r>
          </w:p>
        </w:tc>
        <w:tc>
          <w:tcPr>
            <w:tcW w:w="1085" w:type="pct"/>
            <w:vMerge w:val="restart"/>
            <w:tcBorders>
              <w:bottom w:val="single" w:sz="6" w:space="0" w:color="000000"/>
            </w:tcBorders>
            <w:hideMark/>
          </w:tcPr>
          <w:p w:rsidR="00000000" w:rsidRDefault="006954AA">
            <w:pPr>
              <w:rPr>
                <w:rFonts w:eastAsia="Times New Roman"/>
                <w:sz w:val="20"/>
                <w:szCs w:val="20"/>
              </w:rPr>
            </w:pPr>
            <w:r>
              <w:rPr>
                <w:rFonts w:eastAsia="Times New Roman"/>
                <w:sz w:val="20"/>
                <w:szCs w:val="20"/>
              </w:rPr>
              <w:t xml:space="preserve">ASU </w:t>
            </w:r>
            <w:r>
              <w:rPr>
                <w:rStyle w:val="a6"/>
                <w:rFonts w:eastAsia="Times New Roman"/>
                <w:sz w:val="20"/>
                <w:szCs w:val="20"/>
              </w:rPr>
              <w:t>2020</w:t>
            </w:r>
            <w:r>
              <w:rPr>
                <w:rFonts w:eastAsia="Times New Roman"/>
                <w:sz w:val="20"/>
                <w:szCs w:val="20"/>
              </w:rPr>
              <w:t>-</w:t>
            </w:r>
            <w:r>
              <w:rPr>
                <w:rStyle w:val="a6"/>
                <w:rFonts w:eastAsia="Times New Roman"/>
                <w:sz w:val="20"/>
                <w:szCs w:val="20"/>
              </w:rPr>
              <w:t>04</w:t>
            </w:r>
            <w:r>
              <w:rPr>
                <w:rFonts w:eastAsia="Times New Roman"/>
                <w:sz w:val="20"/>
                <w:szCs w:val="20"/>
              </w:rPr>
              <w:t xml:space="preserve"> did </w:t>
            </w:r>
            <w:r>
              <w:rPr>
                <w:rStyle w:val="a6"/>
                <w:rFonts w:eastAsia="Times New Roman"/>
                <w:sz w:val="20"/>
                <w:szCs w:val="20"/>
              </w:rPr>
              <w:t>not</w:t>
            </w:r>
            <w:r>
              <w:rPr>
                <w:rFonts w:eastAsia="Times New Roman"/>
                <w:sz w:val="20"/>
                <w:szCs w:val="20"/>
              </w:rPr>
              <w:t xml:space="preserve"> have a material impact on the Company’s financial position and/or results of operations.</w:t>
            </w:r>
            <w:r>
              <w:rPr>
                <w:rFonts w:eastAsia="Times New Roman"/>
                <w:sz w:val="20"/>
                <w:szCs w:val="20"/>
              </w:rPr>
              <w:br/>
              <w:t> </w:t>
            </w:r>
            <w:r>
              <w:rPr>
                <w:rFonts w:eastAsia="Times New Roman"/>
                <w:sz w:val="20"/>
                <w:szCs w:val="20"/>
              </w:rPr>
              <w:br/>
              <w:t xml:space="preserve">ASU </w:t>
            </w:r>
            <w:r>
              <w:rPr>
                <w:rStyle w:val="a6"/>
                <w:rFonts w:eastAsia="Times New Roman"/>
                <w:sz w:val="20"/>
                <w:szCs w:val="20"/>
              </w:rPr>
              <w:t>2022</w:t>
            </w:r>
            <w:r>
              <w:rPr>
                <w:rFonts w:eastAsia="Times New Roman"/>
                <w:sz w:val="20"/>
                <w:szCs w:val="20"/>
              </w:rPr>
              <w:t>-</w:t>
            </w:r>
            <w:r>
              <w:rPr>
                <w:rStyle w:val="a6"/>
                <w:rFonts w:eastAsia="Times New Roman"/>
                <w:sz w:val="20"/>
                <w:szCs w:val="20"/>
              </w:rPr>
              <w:t>06</w:t>
            </w:r>
            <w:r>
              <w:rPr>
                <w:rFonts w:eastAsia="Times New Roman"/>
                <w:sz w:val="20"/>
                <w:szCs w:val="20"/>
              </w:rPr>
              <w:t xml:space="preserve"> had </w:t>
            </w:r>
            <w:r>
              <w:rPr>
                <w:rStyle w:val="a6"/>
                <w:rFonts w:eastAsia="Times New Roman"/>
                <w:sz w:val="20"/>
                <w:szCs w:val="20"/>
              </w:rPr>
              <w:t>no</w:t>
            </w:r>
            <w:r>
              <w:rPr>
                <w:rFonts w:eastAsia="Times New Roman"/>
                <w:sz w:val="20"/>
                <w:szCs w:val="20"/>
              </w:rPr>
              <w:t xml:space="preserve"> </w:t>
            </w:r>
            <w:r>
              <w:rPr>
                <w:rFonts w:eastAsia="Times New Roman"/>
                <w:sz w:val="20"/>
                <w:szCs w:val="20"/>
              </w:rPr>
              <w:t xml:space="preserve">impact on the Company's consolidated financial statements for the year ended </w:t>
            </w:r>
            <w:r>
              <w:rPr>
                <w:rStyle w:val="a6"/>
                <w:rFonts w:eastAsia="Times New Roman"/>
                <w:sz w:val="20"/>
                <w:szCs w:val="20"/>
              </w:rPr>
              <w:t>December 31, 2022.</w:t>
            </w:r>
          </w:p>
        </w:tc>
      </w:tr>
      <w:tr w:rsidR="00000000">
        <w:trPr>
          <w:trHeight w:val="230"/>
          <w:tblCellSpacing w:w="0" w:type="dxa"/>
        </w:trPr>
        <w:tc>
          <w:tcPr>
            <w:tcW w:w="0" w:type="auto"/>
            <w:vMerge/>
            <w:tcBorders>
              <w:bottom w:val="single" w:sz="6" w:space="0" w:color="000000"/>
            </w:tcBorders>
            <w:vAlign w:val="center"/>
            <w:hideMark/>
          </w:tcPr>
          <w:p w:rsidR="00000000" w:rsidRDefault="006954AA">
            <w:pPr>
              <w:rPr>
                <w:rFonts w:eastAsia="Times New Roman"/>
                <w:sz w:val="20"/>
                <w:szCs w:val="20"/>
              </w:rPr>
            </w:pPr>
          </w:p>
        </w:tc>
        <w:tc>
          <w:tcPr>
            <w:tcW w:w="0" w:type="auto"/>
            <w:vMerge/>
            <w:tcBorders>
              <w:left w:val="single" w:sz="6" w:space="0" w:color="000000"/>
              <w:bottom w:val="single" w:sz="6" w:space="0" w:color="000000"/>
              <w:right w:val="single" w:sz="6" w:space="0" w:color="000000"/>
            </w:tcBorders>
            <w:vAlign w:val="center"/>
            <w:hideMark/>
          </w:tcPr>
          <w:p w:rsidR="00000000" w:rsidRDefault="006954AA">
            <w:pPr>
              <w:rPr>
                <w:sz w:val="20"/>
                <w:szCs w:val="20"/>
              </w:rPr>
            </w:pPr>
          </w:p>
        </w:tc>
        <w:tc>
          <w:tcPr>
            <w:tcW w:w="0" w:type="auto"/>
            <w:vMerge/>
            <w:tcBorders>
              <w:bottom w:val="single" w:sz="6" w:space="0" w:color="000000"/>
              <w:right w:val="single" w:sz="6" w:space="0" w:color="000000"/>
            </w:tcBorders>
            <w:vAlign w:val="center"/>
            <w:hideMark/>
          </w:tcPr>
          <w:p w:rsidR="00000000" w:rsidRDefault="006954AA">
            <w:pPr>
              <w:rPr>
                <w:rFonts w:eastAsia="Times New Roman"/>
                <w:sz w:val="20"/>
                <w:szCs w:val="20"/>
              </w:rPr>
            </w:pPr>
          </w:p>
        </w:tc>
        <w:tc>
          <w:tcPr>
            <w:tcW w:w="0" w:type="auto"/>
            <w:vMerge/>
            <w:tcBorders>
              <w:bottom w:val="single" w:sz="6" w:space="0" w:color="000000"/>
            </w:tcBorders>
            <w:vAlign w:val="center"/>
            <w:hideMark/>
          </w:tcPr>
          <w:p w:rsidR="00000000" w:rsidRDefault="006954AA">
            <w:pPr>
              <w:rPr>
                <w:rFonts w:eastAsia="Times New Roman"/>
                <w:sz w:val="20"/>
                <w:szCs w:val="20"/>
              </w:rPr>
            </w:pPr>
          </w:p>
        </w:tc>
      </w:tr>
    </w:tbl>
    <w:p w:rsidR="00000000" w:rsidRDefault="006954AA">
      <w:pPr>
        <w:rPr>
          <w:rFonts w:eastAsia="Times New Roman"/>
          <w:vanish/>
          <w:sz w:val="20"/>
          <w:szCs w:val="20"/>
        </w:rPr>
      </w:pPr>
    </w:p>
    <w:tbl>
      <w:tblPr>
        <w:tblW w:w="5000" w:type="pct"/>
        <w:tblCellSpacing w:w="0" w:type="dxa"/>
        <w:tblBorders>
          <w:top w:val="single" w:sz="6" w:space="0" w:color="000000"/>
          <w:left w:val="single" w:sz="6" w:space="0" w:color="000000"/>
          <w:right w:val="single" w:sz="6" w:space="0" w:color="000000"/>
        </w:tblBorders>
        <w:tblCellMar>
          <w:left w:w="0" w:type="dxa"/>
          <w:right w:w="0" w:type="dxa"/>
        </w:tblCellMar>
        <w:tblLook w:val="04A0" w:firstRow="1" w:lastRow="0" w:firstColumn="1" w:lastColumn="0" w:noHBand="0" w:noVBand="1"/>
      </w:tblPr>
      <w:tblGrid>
        <w:gridCol w:w="8290"/>
      </w:tblGrid>
      <w:tr w:rsidR="00000000">
        <w:trPr>
          <w:trHeight w:val="230"/>
          <w:tblCellSpacing w:w="0" w:type="dxa"/>
        </w:trPr>
        <w:tc>
          <w:tcPr>
            <w:tcW w:w="1085" w:type="pct"/>
            <w:vMerge w:val="restart"/>
            <w:tcBorders>
              <w:bottom w:val="single" w:sz="6" w:space="0" w:color="000000"/>
            </w:tcBorders>
            <w:hideMark/>
          </w:tcPr>
          <w:p w:rsidR="00000000" w:rsidRDefault="006954AA">
            <w:pPr>
              <w:rPr>
                <w:rFonts w:eastAsia="Times New Roman"/>
                <w:sz w:val="20"/>
                <w:szCs w:val="20"/>
              </w:rPr>
            </w:pPr>
          </w:p>
        </w:tc>
      </w:tr>
      <w:tr w:rsidR="00000000">
        <w:trPr>
          <w:trHeight w:val="230"/>
          <w:tblCellSpacing w:w="0" w:type="dxa"/>
        </w:trPr>
        <w:tc>
          <w:tcPr>
            <w:tcW w:w="0" w:type="auto"/>
            <w:vMerge/>
            <w:tcBorders>
              <w:bottom w:val="single" w:sz="6" w:space="0" w:color="000000"/>
            </w:tcBorders>
            <w:vAlign w:val="center"/>
            <w:hideMark/>
          </w:tcPr>
          <w:p w:rsidR="00000000" w:rsidRDefault="006954AA">
            <w:pPr>
              <w:rPr>
                <w:rFonts w:eastAsia="Times New Roman"/>
                <w:sz w:val="20"/>
                <w:szCs w:val="20"/>
              </w:rPr>
            </w:pP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178081154"/>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2.</w:t>
      </w:r>
      <w:r>
        <w:rPr>
          <w:sz w:val="20"/>
          <w:szCs w:val="20"/>
        </w:rPr>
        <w:t xml:space="preserve"> </w:t>
      </w:r>
      <w:r>
        <w:rPr>
          <w:sz w:val="20"/>
          <w:szCs w:val="20"/>
          <w:u w:val="single"/>
        </w:rPr>
        <w:t>Weingarten Merger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Overview</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August 3, 2021, </w:t>
      </w:r>
      <w:r>
        <w:rPr>
          <w:sz w:val="20"/>
          <w:szCs w:val="20"/>
        </w:rPr>
        <w:t>the Company completed the Merger with Weingarten, under which Weingarten merged with and into the Company, with the Company continuing as the surviving public company. The total purchase price of the Merger was $4.1 billion, which consists primarily of sha</w:t>
      </w:r>
      <w:r>
        <w:rPr>
          <w:sz w:val="20"/>
          <w:szCs w:val="20"/>
        </w:rPr>
        <w:t xml:space="preserve">res of the Company’s common stock issued in exchange for Weingarten common shares, plus $281.1 million of cash consideration. The total purchase price was calculated based on the closing price of the Company’s common stock on </w:t>
      </w:r>
      <w:r>
        <w:rPr>
          <w:rStyle w:val="a6"/>
          <w:sz w:val="20"/>
          <w:szCs w:val="20"/>
        </w:rPr>
        <w:t xml:space="preserve">August 3, 2021, </w:t>
      </w:r>
      <w:r>
        <w:rPr>
          <w:sz w:val="20"/>
          <w:szCs w:val="20"/>
        </w:rPr>
        <w:t>which was $20.</w:t>
      </w:r>
      <w:r>
        <w:rPr>
          <w:sz w:val="20"/>
          <w:szCs w:val="20"/>
        </w:rPr>
        <w:t xml:space="preserve">78 per share. At the effective time of the Merger, each Weingarten common share, issued and outstanding immediately prior to the effective time of the Merger (other than any shares owned directly by the Company or Weingarten and in each case </w:t>
      </w:r>
      <w:r>
        <w:rPr>
          <w:rStyle w:val="a6"/>
          <w:sz w:val="20"/>
          <w:szCs w:val="20"/>
        </w:rPr>
        <w:t>not</w:t>
      </w:r>
      <w:r>
        <w:rPr>
          <w:sz w:val="20"/>
          <w:szCs w:val="20"/>
        </w:rPr>
        <w:t xml:space="preserve"> held on be</w:t>
      </w:r>
      <w:r>
        <w:rPr>
          <w:sz w:val="20"/>
          <w:szCs w:val="20"/>
        </w:rPr>
        <w:t xml:space="preserve">half of </w:t>
      </w:r>
      <w:r>
        <w:rPr>
          <w:rStyle w:val="a6"/>
          <w:sz w:val="20"/>
          <w:szCs w:val="20"/>
        </w:rPr>
        <w:t>third</w:t>
      </w:r>
      <w:r>
        <w:rPr>
          <w:sz w:val="20"/>
          <w:szCs w:val="20"/>
        </w:rPr>
        <w:t xml:space="preserve"> parties) was converted into 1.408 shares of newly issued shares of the Company’s common stock. The number of Weingarten common shares outstanding as of </w:t>
      </w:r>
      <w:r>
        <w:rPr>
          <w:rStyle w:val="a6"/>
          <w:sz w:val="20"/>
          <w:szCs w:val="20"/>
        </w:rPr>
        <w:t xml:space="preserve">August 3, 2021 </w:t>
      </w:r>
      <w:r>
        <w:rPr>
          <w:sz w:val="20"/>
          <w:szCs w:val="20"/>
        </w:rPr>
        <w:t>converted to shares of the Company’s common stock was determined as follows</w:t>
      </w:r>
      <w:r>
        <w:rPr>
          <w:sz w:val="20"/>
          <w:szCs w:val="20"/>
        </w:rPr>
        <w:t>:</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83"/>
        <w:gridCol w:w="67"/>
        <w:gridCol w:w="66"/>
        <w:gridCol w:w="1063"/>
        <w:gridCol w:w="66"/>
      </w:tblGrid>
      <w:tr w:rsidR="00000000">
        <w:trPr>
          <w:tblCellSpacing w:w="0" w:type="dxa"/>
        </w:trPr>
        <w:tc>
          <w:tcPr>
            <w:tcW w:w="40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Weingarten common shares outstanding as of August 3, 2021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127,784,006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Exchange ratio</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Kimco common stock issued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179,919,880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following table presents the purchase price and the total value of stock consideration paid by Kimco at the close of the Merger (in thousands except share price of Kimco common stock):</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1725"/>
        <w:gridCol w:w="50"/>
        <w:gridCol w:w="101"/>
        <w:gridCol w:w="717"/>
        <w:gridCol w:w="50"/>
        <w:gridCol w:w="50"/>
        <w:gridCol w:w="111"/>
        <w:gridCol w:w="1101"/>
        <w:gridCol w:w="50"/>
        <w:gridCol w:w="50"/>
        <w:gridCol w:w="111"/>
        <w:gridCol w:w="1101"/>
        <w:gridCol w:w="50"/>
        <w:gridCol w:w="50"/>
        <w:gridCol w:w="111"/>
        <w:gridCol w:w="1101"/>
        <w:gridCol w:w="50"/>
        <w:gridCol w:w="50"/>
        <w:gridCol w:w="111"/>
        <w:gridCol w:w="1101"/>
        <w:gridCol w:w="5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Price of </w:t>
            </w:r>
          </w:p>
          <w:p w:rsidR="00000000" w:rsidRDefault="006954AA">
            <w:pPr>
              <w:pStyle w:val="a3"/>
              <w:spacing w:before="0" w:beforeAutospacing="0" w:after="0" w:afterAutospacing="0"/>
              <w:jc w:val="center"/>
              <w:rPr>
                <w:sz w:val="20"/>
                <w:szCs w:val="20"/>
              </w:rPr>
            </w:pPr>
            <w:r>
              <w:rPr>
                <w:b/>
                <w:bCs/>
                <w:sz w:val="20"/>
                <w:szCs w:val="20"/>
              </w:rPr>
              <w:t>Kimco</w:t>
            </w:r>
          </w:p>
          <w:p w:rsidR="00000000" w:rsidRDefault="006954AA">
            <w:pPr>
              <w:pStyle w:val="a3"/>
              <w:spacing w:before="0" w:beforeAutospacing="0" w:after="0" w:afterAutospacing="0"/>
              <w:jc w:val="center"/>
              <w:rPr>
                <w:sz w:val="20"/>
                <w:szCs w:val="20"/>
              </w:rPr>
            </w:pPr>
            <w:r>
              <w:rPr>
                <w:b/>
                <w:bCs/>
                <w:sz w:val="20"/>
                <w:szCs w:val="20"/>
              </w:rPr>
              <w:t xml:space="preserve">Common </w:t>
            </w:r>
          </w:p>
          <w:p w:rsidR="00000000" w:rsidRDefault="006954AA">
            <w:pPr>
              <w:pStyle w:val="a3"/>
              <w:spacing w:before="0" w:beforeAutospacing="0" w:after="0" w:afterAutospacing="0"/>
              <w:jc w:val="center"/>
              <w:rPr>
                <w:sz w:val="20"/>
                <w:szCs w:val="20"/>
              </w:rPr>
            </w:pPr>
            <w:r>
              <w:rPr>
                <w:b/>
                <w:bCs/>
                <w:sz w:val="20"/>
                <w:szCs w:val="20"/>
              </w:rPr>
              <w:t>Stock</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Equity </w:t>
            </w:r>
          </w:p>
          <w:p w:rsidR="00000000" w:rsidRDefault="006954AA">
            <w:pPr>
              <w:pStyle w:val="a3"/>
              <w:spacing w:before="0" w:beforeAutospacing="0" w:after="0" w:afterAutospacing="0"/>
              <w:jc w:val="center"/>
              <w:rPr>
                <w:sz w:val="20"/>
                <w:szCs w:val="20"/>
              </w:rPr>
            </w:pPr>
            <w:r>
              <w:rPr>
                <w:b/>
                <w:bCs/>
                <w:sz w:val="20"/>
                <w:szCs w:val="20"/>
              </w:rPr>
              <w:t xml:space="preserve">Consideration </w:t>
            </w:r>
          </w:p>
          <w:p w:rsidR="00000000" w:rsidRDefault="006954AA">
            <w:pPr>
              <w:pStyle w:val="a3"/>
              <w:spacing w:before="0" w:beforeAutospacing="0" w:after="0" w:afterAutospacing="0"/>
              <w:jc w:val="center"/>
              <w:rPr>
                <w:sz w:val="20"/>
                <w:szCs w:val="20"/>
              </w:rPr>
            </w:pPr>
            <w:r>
              <w:rPr>
                <w:b/>
                <w:bCs/>
                <w:sz w:val="20"/>
                <w:szCs w:val="20"/>
              </w:rPr>
              <w:t>Giv</w:t>
            </w:r>
            <w:r>
              <w:rPr>
                <w:b/>
                <w:bCs/>
                <w:sz w:val="20"/>
                <w:szCs w:val="20"/>
              </w:rPr>
              <w:t xml:space="preserve">en (Kimco </w:t>
            </w:r>
          </w:p>
          <w:p w:rsidR="00000000" w:rsidRDefault="006954AA">
            <w:pPr>
              <w:pStyle w:val="a3"/>
              <w:spacing w:before="0" w:beforeAutospacing="0" w:after="0" w:afterAutospacing="0"/>
              <w:jc w:val="center"/>
              <w:rPr>
                <w:sz w:val="20"/>
                <w:szCs w:val="20"/>
              </w:rPr>
            </w:pPr>
            <w:r>
              <w:rPr>
                <w:b/>
                <w:bCs/>
                <w:sz w:val="20"/>
                <w:szCs w:val="20"/>
              </w:rPr>
              <w:t>Shares Issued)</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Calculated</w:t>
            </w:r>
          </w:p>
          <w:p w:rsidR="00000000" w:rsidRDefault="006954AA">
            <w:pPr>
              <w:pStyle w:val="a3"/>
              <w:spacing w:before="0" w:beforeAutospacing="0" w:after="0" w:afterAutospacing="0"/>
              <w:jc w:val="center"/>
              <w:rPr>
                <w:sz w:val="20"/>
                <w:szCs w:val="20"/>
              </w:rPr>
            </w:pPr>
            <w:r>
              <w:rPr>
                <w:b/>
                <w:bCs/>
                <w:sz w:val="20"/>
                <w:szCs w:val="20"/>
              </w:rPr>
              <w:t xml:space="preserve">Value of </w:t>
            </w:r>
          </w:p>
          <w:p w:rsidR="00000000" w:rsidRDefault="006954AA">
            <w:pPr>
              <w:pStyle w:val="a3"/>
              <w:spacing w:before="0" w:beforeAutospacing="0" w:after="0" w:afterAutospacing="0"/>
              <w:jc w:val="center"/>
              <w:rPr>
                <w:sz w:val="20"/>
                <w:szCs w:val="20"/>
              </w:rPr>
            </w:pPr>
            <w:r>
              <w:rPr>
                <w:b/>
                <w:bCs/>
                <w:sz w:val="20"/>
                <w:szCs w:val="20"/>
              </w:rPr>
              <w:t xml:space="preserve">Weingarten </w:t>
            </w:r>
          </w:p>
          <w:p w:rsidR="00000000" w:rsidRDefault="006954AA">
            <w:pPr>
              <w:pStyle w:val="a3"/>
              <w:spacing w:before="0" w:beforeAutospacing="0" w:after="0" w:afterAutospacing="0"/>
              <w:jc w:val="center"/>
              <w:rPr>
                <w:sz w:val="20"/>
                <w:szCs w:val="20"/>
              </w:rPr>
            </w:pPr>
            <w:r>
              <w:rPr>
                <w:b/>
                <w:bCs/>
                <w:sz w:val="20"/>
                <w:szCs w:val="20"/>
              </w:rPr>
              <w:t>Consideration</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Cash</w:t>
            </w:r>
          </w:p>
          <w:p w:rsidR="00000000" w:rsidRDefault="006954AA">
            <w:pPr>
              <w:pStyle w:val="a3"/>
              <w:spacing w:before="0" w:beforeAutospacing="0" w:after="0" w:afterAutospacing="0"/>
              <w:jc w:val="center"/>
              <w:rPr>
                <w:sz w:val="20"/>
                <w:szCs w:val="20"/>
              </w:rPr>
            </w:pPr>
            <w:r>
              <w:rPr>
                <w:b/>
                <w:bCs/>
                <w:sz w:val="20"/>
                <w:szCs w:val="20"/>
              </w:rPr>
              <w:t xml:space="preserve">Consideration </w:t>
            </w:r>
          </w:p>
          <w:p w:rsidR="00000000" w:rsidRDefault="006954AA">
            <w:pPr>
              <w:pStyle w:val="a3"/>
              <w:spacing w:before="0" w:beforeAutospacing="0" w:after="0" w:afterAutospacing="0"/>
              <w:jc w:val="center"/>
              <w:rPr>
                <w:sz w:val="20"/>
                <w:szCs w:val="20"/>
              </w:rPr>
            </w:pPr>
            <w:r>
              <w:rPr>
                <w:b/>
                <w:bCs/>
                <w:sz w:val="20"/>
                <w:szCs w:val="20"/>
              </w:rPr>
              <w:t>*</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Total Value of </w:t>
            </w:r>
          </w:p>
          <w:p w:rsidR="00000000" w:rsidRDefault="006954AA">
            <w:pPr>
              <w:pStyle w:val="a3"/>
              <w:spacing w:before="0" w:beforeAutospacing="0" w:after="0" w:afterAutospacing="0"/>
              <w:jc w:val="center"/>
              <w:rPr>
                <w:sz w:val="20"/>
                <w:szCs w:val="20"/>
              </w:rPr>
            </w:pPr>
            <w:r>
              <w:rPr>
                <w:b/>
                <w:bCs/>
                <w:sz w:val="20"/>
                <w:szCs w:val="20"/>
              </w:rPr>
              <w:t>Consideration</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As of August 3, 2021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20.78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179,920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3,738,735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320,424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4,059,159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Amount includes additional consideration of $39.3 million relating to reimbursements paid by the Company to Weingarten at the closing of the Merger for transaction costs incurred by Weingarten.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a result of the Merger, Kimco acquired 149 properties, </w:t>
      </w:r>
      <w:r>
        <w:rPr>
          <w:sz w:val="20"/>
          <w:szCs w:val="20"/>
        </w:rPr>
        <w:t xml:space="preserve">including 30 held through joint venture programs. The consolidated net assets and results of operations of Weingarten are included in the consolidated financial statements from the closing date, </w:t>
      </w:r>
      <w:r>
        <w:rPr>
          <w:rStyle w:val="a6"/>
          <w:sz w:val="20"/>
          <w:szCs w:val="20"/>
        </w:rPr>
        <w:t>August 3,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355809183"/>
        <w:rPr>
          <w:rFonts w:eastAsia="Times New Roman"/>
          <w:sz w:val="20"/>
          <w:szCs w:val="20"/>
        </w:rPr>
      </w:pPr>
      <w:r>
        <w:rPr>
          <w:rStyle w:val="a6"/>
          <w:rFonts w:eastAsia="Times New Roman"/>
          <w:sz w:val="20"/>
          <w:szCs w:val="20"/>
        </w:rPr>
        <w:t>69</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4" style="width:415.3pt;height:1.5pt" o:hralign="center" o:hrstd="t" o:hrnoshade="t" o:hr="t" fillcolor="black" stroked="f"/>
        </w:pict>
      </w:r>
    </w:p>
    <w:p w:rsidR="00000000" w:rsidRDefault="006954AA">
      <w:pPr>
        <w:divId w:val="1623537391"/>
        <w:rPr>
          <w:rFonts w:eastAsia="Times New Roman"/>
          <w:sz w:val="20"/>
          <w:szCs w:val="20"/>
        </w:rPr>
      </w:pPr>
      <w:r>
        <w:rPr>
          <w:rFonts w:eastAsia="Times New Roman"/>
          <w:sz w:val="20"/>
          <w:szCs w:val="20"/>
        </w:rPr>
        <w:t xml:space="preserve">  </w:t>
      </w:r>
    </w:p>
    <w:p w:rsidR="00000000" w:rsidRDefault="006954AA">
      <w:pPr>
        <w:jc w:val="center"/>
        <w:divId w:val="309332735"/>
        <w:rPr>
          <w:rFonts w:eastAsia="Times New Roman"/>
          <w:sz w:val="20"/>
          <w:szCs w:val="20"/>
        </w:rPr>
      </w:pPr>
      <w:r>
        <w:rPr>
          <w:rFonts w:eastAsia="Times New Roman"/>
          <w:sz w:val="20"/>
          <w:szCs w:val="20"/>
        </w:rPr>
        <w:t xml:space="preserve">KIMCO REALTY CORPORATION AND SUBSIDIARIES </w:t>
      </w:r>
    </w:p>
    <w:p w:rsidR="00000000" w:rsidRDefault="006954AA">
      <w:pPr>
        <w:divId w:val="1966497140"/>
        <w:rPr>
          <w:rFonts w:eastAsia="Times New Roman"/>
          <w:sz w:val="20"/>
          <w:szCs w:val="20"/>
        </w:rPr>
      </w:pPr>
      <w:r>
        <w:rPr>
          <w:rFonts w:eastAsia="Times New Roman"/>
          <w:sz w:val="20"/>
          <w:szCs w:val="20"/>
        </w:rPr>
        <w:t xml:space="preserve">  </w:t>
      </w:r>
    </w:p>
    <w:p w:rsidR="00000000" w:rsidRDefault="006954AA">
      <w:pPr>
        <w:jc w:val="center"/>
        <w:divId w:val="798380959"/>
        <w:rPr>
          <w:rFonts w:eastAsia="Times New Roman"/>
          <w:sz w:val="20"/>
          <w:szCs w:val="20"/>
        </w:rPr>
      </w:pPr>
      <w:r>
        <w:rPr>
          <w:rFonts w:eastAsia="Times New Roman"/>
          <w:sz w:val="20"/>
          <w:szCs w:val="20"/>
        </w:rPr>
        <w:t>NOTES TO CONSOLIDATED FINANCI</w:t>
      </w:r>
      <w:r>
        <w:rPr>
          <w:rFonts w:eastAsia="Times New Roman"/>
          <w:sz w:val="20"/>
          <w:szCs w:val="20"/>
        </w:rPr>
        <w:t xml:space="preserve">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i/>
          <w:iCs/>
          <w:sz w:val="20"/>
          <w:szCs w:val="20"/>
        </w:rPr>
        <w:t>Purchase Price Allocation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accordance with ASC </w:t>
      </w:r>
      <w:r>
        <w:rPr>
          <w:rStyle w:val="a6"/>
          <w:sz w:val="20"/>
          <w:szCs w:val="20"/>
        </w:rPr>
        <w:t>805</w:t>
      </w:r>
      <w:r>
        <w:rPr>
          <w:sz w:val="20"/>
          <w:szCs w:val="20"/>
        </w:rPr>
        <w:t>-</w:t>
      </w:r>
      <w:r>
        <w:rPr>
          <w:rStyle w:val="a6"/>
          <w:sz w:val="20"/>
          <w:szCs w:val="20"/>
        </w:rPr>
        <w:t>10,</w:t>
      </w:r>
      <w:r>
        <w:rPr>
          <w:sz w:val="20"/>
          <w:szCs w:val="20"/>
        </w:rPr>
        <w:t xml:space="preserve"> </w:t>
      </w:r>
      <w:r>
        <w:rPr>
          <w:sz w:val="20"/>
          <w:szCs w:val="20"/>
        </w:rPr>
        <w:t>Business Combinations, the Company accounted for the Merger as a business combination using the acquisition method of accounting. Based on the value of the common shares issued and cash consideration paid, the total fair value of the assets acquired and li</w:t>
      </w:r>
      <w:r>
        <w:rPr>
          <w:sz w:val="20"/>
          <w:szCs w:val="20"/>
        </w:rPr>
        <w:t>abilities assumed in the Merger was $4.1 billion.</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fair value of the real estate assets acquired were determined using either (i) a direct capitalization method, (ii) a discounted cash flow analysis or (iii) estimated sales prices from signed contract</w:t>
      </w:r>
      <w:r>
        <w:rPr>
          <w:sz w:val="20"/>
          <w:szCs w:val="20"/>
        </w:rPr>
        <w:t xml:space="preserve">s or letters of intent from </w:t>
      </w:r>
      <w:r>
        <w:rPr>
          <w:rStyle w:val="a6"/>
          <w:sz w:val="20"/>
          <w:szCs w:val="20"/>
        </w:rPr>
        <w:t>third</w:t>
      </w:r>
      <w:r>
        <w:rPr>
          <w:sz w:val="20"/>
          <w:szCs w:val="20"/>
        </w:rPr>
        <w:t xml:space="preserve"> party offers. Market data and comparable sales information were used in estimating the fair value of the land acquired. The Company determined that these valuation methodologies are classified within Level </w:t>
      </w:r>
      <w:r>
        <w:rPr>
          <w:rStyle w:val="a6"/>
          <w:sz w:val="20"/>
          <w:szCs w:val="20"/>
        </w:rPr>
        <w:t>3</w:t>
      </w:r>
      <w:r>
        <w:rPr>
          <w:sz w:val="20"/>
          <w:szCs w:val="20"/>
        </w:rPr>
        <w:t xml:space="preserve"> of the fair va</w:t>
      </w:r>
      <w:r>
        <w:rPr>
          <w:sz w:val="20"/>
          <w:szCs w:val="20"/>
        </w:rPr>
        <w:t xml:space="preserve">lue hierarchy. The assumptions and estimates included in these methodologies include stabilized net operating income, future income growth, capitalization rates, discount rates, capital expenditures, and cash flow projections at the respective properties. </w:t>
      </w:r>
      <w:r>
        <w:rPr>
          <w:sz w:val="20"/>
          <w:szCs w:val="20"/>
        </w:rPr>
        <w:t>Under the direct capitalization method, the Company derived a normalized net operating income and applied a current market capitalization rate for each property. The estimates of normalized net operating income are based on a number of factors, including h</w:t>
      </w:r>
      <w:r>
        <w:rPr>
          <w:sz w:val="20"/>
          <w:szCs w:val="20"/>
        </w:rPr>
        <w:t>istorical operating results, known trends, fair market lease rates and market/economic conditions. Capitalization rates utilized to derive these fair values ranged from 4.50% to 9.50%.</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discounted cash flow analyses were based on estimated future cash</w:t>
      </w:r>
      <w:r>
        <w:rPr>
          <w:sz w:val="20"/>
          <w:szCs w:val="20"/>
        </w:rPr>
        <w:t xml:space="preserve"> flow projections that utilize discount rates, terminal capitalization rates and planned capital expenditures. These estimates approximate the inputs the Company believes would be utilized by market participants in assessing fair value. The estimates of fu</w:t>
      </w:r>
      <w:r>
        <w:rPr>
          <w:sz w:val="20"/>
          <w:szCs w:val="20"/>
        </w:rPr>
        <w:t>ture cash flow projections are based on a number of factors, including historical operating results, estimated growth rates, known and anticipated trends, fair market lease rates and market/economic conditions. Capitalization and discount rates utilized to</w:t>
      </w:r>
      <w:r>
        <w:rPr>
          <w:sz w:val="20"/>
          <w:szCs w:val="20"/>
        </w:rPr>
        <w:t xml:space="preserve"> derive the fair values ranged from 6.00% to 8.25% and 6.75% to 9.00%,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allocated the purchase price of the acquired properties to tangible and identifiable intangible assets or liabilities based on their respective fair values. </w:t>
      </w:r>
      <w:r>
        <w:rPr>
          <w:sz w:val="20"/>
          <w:szCs w:val="20"/>
        </w:rPr>
        <w:t>The fair value of any tangible real estate assets acquired is determined by valuing the building as if it were vacant, and the fair value is then allocated to land, buildings and improvements.   The Company values above and below-market lease intangibles b</w:t>
      </w:r>
      <w:r>
        <w:rPr>
          <w:sz w:val="20"/>
          <w:szCs w:val="20"/>
        </w:rPr>
        <w:t>ased on estimates of market rent compared to contractual rents over expected lease terms using an appropriate discount rate. In-place leases are valued based on the costs to obtain new leases and an estimate of lost revenues and expenses over an anticipate</w:t>
      </w:r>
      <w:r>
        <w:rPr>
          <w:sz w:val="20"/>
          <w:szCs w:val="20"/>
        </w:rPr>
        <w:t xml:space="preserve">d lease up term. The Company determined that this valuation methodology is classified within Level </w:t>
      </w:r>
      <w:r>
        <w:rPr>
          <w:rStyle w:val="a6"/>
          <w:sz w:val="20"/>
          <w:szCs w:val="20"/>
        </w:rPr>
        <w:t>2</w:t>
      </w:r>
      <w:r>
        <w:rPr>
          <w:sz w:val="20"/>
          <w:szCs w:val="20"/>
        </w:rPr>
        <w:t xml:space="preserve"> and Level </w:t>
      </w:r>
      <w:r>
        <w:rPr>
          <w:rStyle w:val="a6"/>
          <w:sz w:val="20"/>
          <w:szCs w:val="20"/>
        </w:rPr>
        <w:t>3</w:t>
      </w:r>
      <w:r>
        <w:rPr>
          <w:sz w:val="20"/>
          <w:szCs w:val="20"/>
        </w:rPr>
        <w:t xml:space="preserve"> of the fair value hierarchy.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determined the fair value of unsecured debt assumed using current market-based pricing and interest </w:t>
      </w:r>
      <w:r>
        <w:rPr>
          <w:sz w:val="20"/>
          <w:szCs w:val="20"/>
        </w:rPr>
        <w:t>rate yields for similar debt instruments. The Company determined the fair value of secured debt assumed by calculating the net present value of the scheduled debt service payments using current market-based terms for interest rates for debt with similar te</w:t>
      </w:r>
      <w:r>
        <w:rPr>
          <w:sz w:val="20"/>
          <w:szCs w:val="20"/>
        </w:rPr>
        <w:t>rms that the Company believes it could obtain on similar structures and maturities. For the fair value of secured debt assumed, weighted average credit spreads utilized were 3.33% and London Inter-bank Offered Rate (“LIBOR”) + 2.14% for the fixed and float</w:t>
      </w:r>
      <w:r>
        <w:rPr>
          <w:sz w:val="20"/>
          <w:szCs w:val="20"/>
        </w:rPr>
        <w:t>ing rate debt, respectively. Any difference between the fair value and stated value of the assumed debt is recorded as a discount or premium and amortized over the remaining term of the loan. Finance lease obligations assumed are measured at fair value and</w:t>
      </w:r>
      <w:r>
        <w:rPr>
          <w:sz w:val="20"/>
          <w:szCs w:val="20"/>
        </w:rPr>
        <w:t xml:space="preserve"> are included as a liability on the accompanying balance sheet and the Company recorded the corresponding right-of-use assets. The Company determined that the valuation methodology used for its unsecured debt is classified within Level </w:t>
      </w:r>
      <w:r>
        <w:rPr>
          <w:rStyle w:val="a6"/>
          <w:sz w:val="20"/>
          <w:szCs w:val="20"/>
        </w:rPr>
        <w:t>2</w:t>
      </w:r>
      <w:r>
        <w:rPr>
          <w:sz w:val="20"/>
          <w:szCs w:val="20"/>
        </w:rPr>
        <w:t xml:space="preserve"> of the fair value </w:t>
      </w:r>
      <w:r>
        <w:rPr>
          <w:sz w:val="20"/>
          <w:szCs w:val="20"/>
        </w:rPr>
        <w:t xml:space="preserve">hierarchy and the valuation methodology used for its secured debt is classified within Level </w:t>
      </w:r>
      <w:r>
        <w:rPr>
          <w:rStyle w:val="a6"/>
          <w:sz w:val="20"/>
          <w:szCs w:val="20"/>
        </w:rPr>
        <w:t>3</w:t>
      </w:r>
      <w:r>
        <w:rPr>
          <w:sz w:val="20"/>
          <w:szCs w:val="20"/>
        </w:rPr>
        <w:t xml:space="preserve"> of the fair value hierarchy.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table summarizes the final purchase price allocation, including the acquisition date fair value of the tangible and </w:t>
      </w:r>
      <w:r>
        <w:rPr>
          <w:sz w:val="20"/>
          <w:szCs w:val="20"/>
        </w:rPr>
        <w:t>intangible assets acquired and liabilities assumed (in thousands):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1"/>
        <w:gridCol w:w="55"/>
        <w:gridCol w:w="100"/>
        <w:gridCol w:w="1052"/>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Purchase Price </w:t>
            </w:r>
          </w:p>
          <w:p w:rsidR="00000000" w:rsidRDefault="006954AA">
            <w:pPr>
              <w:pStyle w:val="a3"/>
              <w:spacing w:before="0" w:beforeAutospacing="0" w:after="0" w:afterAutospacing="0"/>
              <w:jc w:val="center"/>
              <w:rPr>
                <w:sz w:val="20"/>
                <w:szCs w:val="20"/>
              </w:rPr>
            </w:pPr>
            <w:r>
              <w:rPr>
                <w:b/>
                <w:bCs/>
                <w:sz w:val="20"/>
                <w:szCs w:val="20"/>
              </w:rPr>
              <w:t>Allocation</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1,174,407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Building and 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4,040,244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370,685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Above-market leases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42,133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Real estate assets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5,627,469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585,382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Cash, accounts receivable and other assets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241,582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Total assets acquired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6,454,433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Notes payable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(1,497,632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(317,671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Accounts payable and other liabilities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(283,559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Below-market leases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(119,373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(177,039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Total liabilities assumed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(2,395,274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b/>
                <w:bCs/>
                <w:sz w:val="20"/>
                <w:szCs w:val="20"/>
              </w:rPr>
              <w:t>Total purchase price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4,059,159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395397471"/>
        <w:rPr>
          <w:rFonts w:eastAsia="Times New Roman"/>
          <w:sz w:val="20"/>
          <w:szCs w:val="20"/>
        </w:rPr>
      </w:pPr>
      <w:r>
        <w:rPr>
          <w:rStyle w:val="a6"/>
          <w:rFonts w:eastAsia="Times New Roman"/>
          <w:sz w:val="20"/>
          <w:szCs w:val="20"/>
        </w:rPr>
        <w:t>70</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5" style="width:415.3pt;height:1.5pt" o:hralign="center" o:hrstd="t" o:hrnoshade="t" o:hr="t" fillcolor="black" stroked="f"/>
        </w:pict>
      </w:r>
    </w:p>
    <w:p w:rsidR="00000000" w:rsidRDefault="006954AA">
      <w:pPr>
        <w:divId w:val="1715078457"/>
        <w:rPr>
          <w:rFonts w:eastAsia="Times New Roman"/>
          <w:sz w:val="20"/>
          <w:szCs w:val="20"/>
        </w:rPr>
      </w:pPr>
      <w:r>
        <w:rPr>
          <w:rFonts w:eastAsia="Times New Roman"/>
          <w:sz w:val="20"/>
          <w:szCs w:val="20"/>
        </w:rPr>
        <w:t xml:space="preserve">  </w:t>
      </w:r>
    </w:p>
    <w:p w:rsidR="00000000" w:rsidRDefault="006954AA">
      <w:pPr>
        <w:jc w:val="center"/>
        <w:divId w:val="1629623546"/>
        <w:rPr>
          <w:rFonts w:eastAsia="Times New Roman"/>
          <w:sz w:val="20"/>
          <w:szCs w:val="20"/>
        </w:rPr>
      </w:pPr>
      <w:r>
        <w:rPr>
          <w:rFonts w:eastAsia="Times New Roman"/>
          <w:sz w:val="20"/>
          <w:szCs w:val="20"/>
        </w:rPr>
        <w:t xml:space="preserve">KIMCO REALTY CORPORATION AND SUBSIDIARIES </w:t>
      </w:r>
    </w:p>
    <w:p w:rsidR="00000000" w:rsidRDefault="006954AA">
      <w:pPr>
        <w:divId w:val="1249121336"/>
        <w:rPr>
          <w:rFonts w:eastAsia="Times New Roman"/>
          <w:sz w:val="20"/>
          <w:szCs w:val="20"/>
        </w:rPr>
      </w:pPr>
      <w:r>
        <w:rPr>
          <w:rFonts w:eastAsia="Times New Roman"/>
          <w:sz w:val="20"/>
          <w:szCs w:val="20"/>
        </w:rPr>
        <w:t xml:space="preserve">  </w:t>
      </w:r>
    </w:p>
    <w:p w:rsidR="00000000" w:rsidRDefault="006954AA">
      <w:pPr>
        <w:jc w:val="center"/>
        <w:divId w:val="2139643198"/>
        <w:rPr>
          <w:rFonts w:eastAsia="Times New Roman"/>
          <w:sz w:val="20"/>
          <w:szCs w:val="20"/>
        </w:rPr>
      </w:pPr>
      <w:r>
        <w:rPr>
          <w:rFonts w:eastAsia="Times New Roman"/>
          <w:sz w:val="20"/>
          <w:szCs w:val="20"/>
        </w:rPr>
        <w:t xml:space="preserve">NOTES TO CONSOLIDATED FINANCIAL STATEMENTS, continued </w:t>
      </w:r>
    </w:p>
    <w:p w:rsidR="00000000" w:rsidRDefault="006954AA">
      <w:pPr>
        <w:pStyle w:val="a3"/>
        <w:spacing w:before="0" w:beforeAutospacing="0" w:after="0" w:afterAutospacing="0"/>
        <w:ind w:left="360"/>
        <w:jc w:val="both"/>
        <w:rPr>
          <w:sz w:val="20"/>
          <w:szCs w:val="20"/>
        </w:rPr>
      </w:pPr>
      <w:r>
        <w:rPr>
          <w:sz w:val="20"/>
          <w:szCs w:val="20"/>
        </w:rPr>
        <w:t>The following table details the weighted average amortization periods, in years, of the purchase price allocated to real</w:t>
      </w:r>
      <w:r>
        <w:rPr>
          <w:sz w:val="20"/>
          <w:szCs w:val="20"/>
        </w:rPr>
        <w:t xml:space="preserve"> estate and related intangible assets and liabilities acquired arising from the Merger:</w:t>
      </w:r>
    </w:p>
    <w:p w:rsidR="00000000" w:rsidRDefault="006954AA">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7"/>
        <w:gridCol w:w="61"/>
        <w:gridCol w:w="68"/>
        <w:gridCol w:w="1077"/>
        <w:gridCol w:w="62"/>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 Average</w:t>
            </w:r>
            <w:r>
              <w:rPr>
                <w:b/>
                <w:bCs/>
                <w:sz w:val="20"/>
                <w:szCs w:val="20"/>
              </w:rPr>
              <w:br/>
              <w:t>Amortization Period</w:t>
            </w:r>
          </w:p>
          <w:p w:rsidR="00000000" w:rsidRDefault="006954AA">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Fixtures and leasehold improvements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In-place leases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Above-market leases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Right-of-use intangible assets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Fair market value of debt adjustment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Revenues from rental properties, net and Net income available to the Company’s common shareholders in the Company’s Consolidated Statements of Income includes revenues of $198.3 million and net income of $25.8 million (excluding $50.2 million of merger rel</w:t>
      </w:r>
      <w:r>
        <w:rPr>
          <w:sz w:val="20"/>
          <w:szCs w:val="20"/>
        </w:rPr>
        <w:t xml:space="preserve">ated charges), respectively, resulting from the Merger for the year ended </w:t>
      </w:r>
      <w:r>
        <w:rPr>
          <w:rStyle w:val="a6"/>
          <w:sz w:val="20"/>
          <w:szCs w:val="20"/>
        </w:rPr>
        <w:t>December 31,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Pro forma Information (Unaudited)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pro forma financial information set forth below is based upon the Company’s historical Consolidated Statements of Income for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adjusted to give effect as if the Merger occurred as of </w:t>
      </w:r>
      <w:r>
        <w:rPr>
          <w:rStyle w:val="a6"/>
          <w:sz w:val="20"/>
          <w:szCs w:val="20"/>
        </w:rPr>
        <w:t xml:space="preserve">January 1, 2020. </w:t>
      </w:r>
      <w:r>
        <w:rPr>
          <w:sz w:val="20"/>
          <w:szCs w:val="20"/>
        </w:rPr>
        <w:t>The pro fo</w:t>
      </w:r>
      <w:r>
        <w:rPr>
          <w:sz w:val="20"/>
          <w:szCs w:val="20"/>
        </w:rPr>
        <w:t xml:space="preserve">rma financial information is presented for informational purposes only and </w:t>
      </w:r>
      <w:r>
        <w:rPr>
          <w:rStyle w:val="a6"/>
          <w:sz w:val="20"/>
          <w:szCs w:val="20"/>
        </w:rPr>
        <w:t>may not</w:t>
      </w:r>
      <w:r>
        <w:rPr>
          <w:sz w:val="20"/>
          <w:szCs w:val="20"/>
        </w:rPr>
        <w:t xml:space="preserve"> be indicative of what actual results of income would have been, nor does it purport to represent the results of income for future periods. (Amounts presented in millions). </w:t>
      </w:r>
    </w:p>
    <w:p w:rsidR="00000000" w:rsidRDefault="006954AA">
      <w:pPr>
        <w:pStyle w:val="a3"/>
        <w:spacing w:before="0" w:beforeAutospacing="0" w:after="0" w:afterAutospacing="0"/>
        <w:ind w:left="360"/>
        <w:jc w:val="both"/>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Revenues from rental properties,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2,341.4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2,234.9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income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1,114.6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1,193.</w:t>
            </w:r>
            <w:r>
              <w:rPr>
                <w:rFonts w:eastAsia="Times New Roman"/>
                <w:sz w:val="20"/>
                <w:szCs w:val="20"/>
              </w:rPr>
              <w:t>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income available to the Company’</w:t>
            </w:r>
            <w:r>
              <w:rPr>
                <w:sz w:val="20"/>
                <w:szCs w:val="20"/>
              </w:rPr>
              <w:t>s common shareholders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1,084.1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1,166.</w:t>
            </w:r>
            <w:r>
              <w:rPr>
                <w:rFonts w:eastAsia="Times New Roman"/>
                <w:sz w:val="20"/>
                <w:szCs w:val="20"/>
              </w:rPr>
              <w:t>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The pro forma earnings for the year ended </w:t>
            </w:r>
            <w:r>
              <w:rPr>
                <w:rStyle w:val="a6"/>
                <w:sz w:val="20"/>
                <w:szCs w:val="20"/>
              </w:rPr>
              <w:t xml:space="preserve">December 31, 2021 </w:t>
            </w:r>
            <w:r>
              <w:rPr>
                <w:sz w:val="20"/>
                <w:szCs w:val="20"/>
              </w:rPr>
              <w:t xml:space="preserve">were adjusted to exclude $50.2 </w:t>
            </w:r>
            <w:r>
              <w:rPr>
                <w:sz w:val="20"/>
                <w:szCs w:val="20"/>
              </w:rPr>
              <w:t xml:space="preserve">million of merger costs while the pro forma earnings for the year ended </w:t>
            </w:r>
            <w:r>
              <w:rPr>
                <w:rStyle w:val="a6"/>
                <w:sz w:val="20"/>
                <w:szCs w:val="20"/>
              </w:rPr>
              <w:t xml:space="preserve">December 31, 2020 </w:t>
            </w:r>
            <w:r>
              <w:rPr>
                <w:sz w:val="20"/>
                <w:szCs w:val="20"/>
              </w:rPr>
              <w:t>were adjusted to include $50.2 million of merger costs incurred.</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707534373"/>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3.</w:t>
      </w:r>
      <w:r>
        <w:rPr>
          <w:sz w:val="20"/>
          <w:szCs w:val="20"/>
        </w:rPr>
        <w:t>   </w:t>
      </w:r>
      <w:r>
        <w:rPr>
          <w:sz w:val="20"/>
          <w:szCs w:val="20"/>
          <w:u w:val="single"/>
        </w:rPr>
        <w:t>Real Estate: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rPr>
        <w:t>The Company’</w:t>
      </w:r>
      <w:r>
        <w:rPr>
          <w:sz w:val="20"/>
          <w:szCs w:val="20"/>
        </w:rPr>
        <w:t>s components of Real estate, net consist of the following (in thousands):</w:t>
      </w:r>
    </w:p>
    <w:p w:rsidR="00000000" w:rsidRDefault="006954AA">
      <w:pPr>
        <w:pStyle w:val="a3"/>
        <w:spacing w:before="0" w:beforeAutospacing="0" w:after="0" w:afterAutospacing="0"/>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ind w:left="72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ind w:firstLine="18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Land:</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Developed land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4,102,542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3,962,447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Undeveloped land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16,328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16,328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Land held for development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5,672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5,672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720"/>
              <w:rPr>
                <w:sz w:val="20"/>
                <w:szCs w:val="20"/>
              </w:rPr>
            </w:pPr>
            <w:r>
              <w:rPr>
                <w:sz w:val="20"/>
                <w:szCs w:val="20"/>
              </w:rPr>
              <w:t>Total land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4,124,542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3,984,447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Buildings and improvements: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Buildings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10,158,588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10,042,225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Building 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2,080,437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1,999,319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Tenant improvements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1,046,969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987,216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Fixtures and leasehold 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36,627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31,421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Above-market leases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170,211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166,840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In-place leases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839,868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840,803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720"/>
              <w:rPr>
                <w:sz w:val="20"/>
                <w:szCs w:val="20"/>
              </w:rPr>
            </w:pPr>
            <w:r>
              <w:rPr>
                <w:sz w:val="20"/>
                <w:szCs w:val="20"/>
              </w:rPr>
              <w:t>Total buildings and improvements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14,332,700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14,067,824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Real estate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18,457,242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18,052,271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Accumulated depreciation and amortization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(3,417,414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(3,010,699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Total real estate,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15,039,828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15,041,572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w:t>
            </w:r>
            <w:r>
              <w:rPr>
                <w:sz w:val="20"/>
                <w:szCs w:val="20"/>
              </w:rPr>
              <w:t>the Company had accumulated amortization relating to in-place leases and above-market leases aggregating $671,794 and $569,648, respectively.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312488137"/>
        <w:rPr>
          <w:rFonts w:eastAsia="Times New Roman"/>
          <w:sz w:val="20"/>
          <w:szCs w:val="20"/>
        </w:rPr>
      </w:pPr>
      <w:r>
        <w:rPr>
          <w:rStyle w:val="a6"/>
          <w:rFonts w:eastAsia="Times New Roman"/>
          <w:sz w:val="20"/>
          <w:szCs w:val="20"/>
        </w:rPr>
        <w:t>71</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6" style="width:415.3pt;height:1.5pt" o:hralign="center" o:hrstd="t" o:hrnoshade="t" o:hr="t" fillcolor="black" stroked="f"/>
        </w:pict>
      </w:r>
    </w:p>
    <w:p w:rsidR="00000000" w:rsidRDefault="006954AA">
      <w:pPr>
        <w:divId w:val="350761676"/>
        <w:rPr>
          <w:rFonts w:eastAsia="Times New Roman"/>
          <w:sz w:val="20"/>
          <w:szCs w:val="20"/>
        </w:rPr>
      </w:pPr>
      <w:r>
        <w:rPr>
          <w:rFonts w:eastAsia="Times New Roman"/>
          <w:sz w:val="20"/>
          <w:szCs w:val="20"/>
        </w:rPr>
        <w:t xml:space="preserve">  </w:t>
      </w:r>
    </w:p>
    <w:p w:rsidR="00000000" w:rsidRDefault="006954AA">
      <w:pPr>
        <w:jc w:val="center"/>
        <w:divId w:val="1532843665"/>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465851852"/>
        <w:rPr>
          <w:rFonts w:eastAsia="Times New Roman"/>
          <w:sz w:val="20"/>
          <w:szCs w:val="20"/>
        </w:rPr>
      </w:pPr>
      <w:r>
        <w:rPr>
          <w:rFonts w:eastAsia="Times New Roman"/>
          <w:sz w:val="20"/>
          <w:szCs w:val="20"/>
        </w:rPr>
        <w:t xml:space="preserve">  </w:t>
      </w:r>
    </w:p>
    <w:p w:rsidR="00000000" w:rsidRDefault="006954AA">
      <w:pPr>
        <w:jc w:val="center"/>
        <w:divId w:val="790781577"/>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xml:space="preserve">In addition,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Company had intangible liabilities relating to below-market leases from property acquisitions of $330.9 million and $336.6 million, respectively,</w:t>
      </w:r>
      <w:r>
        <w:rPr>
          <w:sz w:val="20"/>
          <w:szCs w:val="20"/>
        </w:rPr>
        <w:t xml:space="preserve"> net of accumulated amortization of $242.4 million and $227.5 million, respectively. These amounts are included in the caption Other liabilities on the Company’s Consolidated Balance Sheets.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Company’s amortization associated with above-market and b</w:t>
      </w:r>
      <w:r>
        <w:rPr>
          <w:sz w:val="20"/>
          <w:szCs w:val="20"/>
        </w:rPr>
        <w:t xml:space="preserve">elow-market leases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resulted in net increases to revenue of $13.6 million, $14.8 million and $22.5 million, respectively. The Company’</w:t>
      </w:r>
      <w:r>
        <w:rPr>
          <w:sz w:val="20"/>
          <w:szCs w:val="20"/>
        </w:rPr>
        <w:t xml:space="preserve">s amortization expense associated with in-place leases, which is included in depreciation and amortization,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was $118.1 million, $80.1 million and $26.3 million,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estimated net amortiza</w:t>
      </w:r>
      <w:r>
        <w:rPr>
          <w:sz w:val="20"/>
          <w:szCs w:val="20"/>
        </w:rPr>
        <w:t xml:space="preserve">tion income/(expense) associated with the Company’s above-market and below-market leases and in-place leases for the next </w:t>
      </w:r>
      <w:r>
        <w:rPr>
          <w:rStyle w:val="a6"/>
          <w:sz w:val="20"/>
          <w:szCs w:val="20"/>
        </w:rPr>
        <w:t>five</w:t>
      </w:r>
      <w:r>
        <w:rPr>
          <w:sz w:val="20"/>
          <w:szCs w:val="20"/>
        </w:rPr>
        <w:t xml:space="preserve"> years are as follows (in millions):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2755"/>
        <w:gridCol w:w="72"/>
        <w:gridCol w:w="100"/>
        <w:gridCol w:w="782"/>
        <w:gridCol w:w="72"/>
        <w:gridCol w:w="72"/>
        <w:gridCol w:w="100"/>
        <w:gridCol w:w="782"/>
        <w:gridCol w:w="72"/>
        <w:gridCol w:w="72"/>
        <w:gridCol w:w="100"/>
        <w:gridCol w:w="782"/>
        <w:gridCol w:w="72"/>
        <w:gridCol w:w="73"/>
        <w:gridCol w:w="100"/>
        <w:gridCol w:w="783"/>
        <w:gridCol w:w="73"/>
        <w:gridCol w:w="73"/>
        <w:gridCol w:w="100"/>
        <w:gridCol w:w="783"/>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Above-market and below-market leases amortization,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In-place leases amortization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(83.5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58086751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4.</w:t>
      </w:r>
      <w:r>
        <w:rPr>
          <w:sz w:val="20"/>
          <w:szCs w:val="20"/>
        </w:rPr>
        <w:t>   </w:t>
      </w:r>
      <w:r>
        <w:rPr>
          <w:sz w:val="20"/>
          <w:szCs w:val="20"/>
          <w:u w:val="single"/>
        </w:rPr>
        <w:t>Property Acquisitions: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Acquisition/Consolidation of Operating Properties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2022, </w:t>
      </w:r>
      <w:r>
        <w:rPr>
          <w:sz w:val="20"/>
          <w:szCs w:val="20"/>
        </w:rPr>
        <w:t>the Company acquired the following operating properties, through direct asset purchases (in thousands):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47"/>
        <w:gridCol w:w="50"/>
        <w:gridCol w:w="141"/>
        <w:gridCol w:w="984"/>
        <w:gridCol w:w="50"/>
        <w:gridCol w:w="50"/>
        <w:gridCol w:w="100"/>
        <w:gridCol w:w="700"/>
        <w:gridCol w:w="50"/>
        <w:gridCol w:w="50"/>
        <w:gridCol w:w="100"/>
        <w:gridCol w:w="650"/>
        <w:gridCol w:w="50"/>
        <w:gridCol w:w="50"/>
        <w:gridCol w:w="100"/>
        <w:gridCol w:w="550"/>
        <w:gridCol w:w="50"/>
        <w:gridCol w:w="50"/>
        <w:gridCol w:w="100"/>
        <w:gridCol w:w="650"/>
        <w:gridCol w:w="50"/>
        <w:gridCol w:w="50"/>
        <w:gridCol w:w="100"/>
        <w:gridCol w:w="650"/>
        <w:gridCol w:w="50"/>
        <w:gridCol w:w="50"/>
        <w:gridCol w:w="67"/>
        <w:gridCol w:w="467"/>
        <w:gridCol w:w="5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Purchase Price</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15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Property Name</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Location</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Month Acquired</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Cash</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Debt</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Other </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Rancho San Marcos Parcel</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San Marcos, CA</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Jan-22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2,407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2,407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Columbia Crossing Parcel</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Columbia, MD</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Feb-22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16,239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16,239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Oak Forest Parcel</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Houston, TX</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Jun-22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Devon Village (1)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Devon, PA</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Jun-22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Fishtown Crossing</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Philadelphia, PA</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Jul-22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39,291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39,291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Carman’s Plaza</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Massapequa, NY</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Jul-22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51,423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51,423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Pike Center (1)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Rockville, MD</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Jul-22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21,850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21,850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Baybrook Gateway (1)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Webster, TX</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Oct-22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2,978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2,978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Portfolio (8 Properties) (2)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Long Island, NY</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Nov-22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152,078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88,792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135,663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376,533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Gordon Plaza (1)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Woodbridge, VA</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Nov-22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5,573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5,573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The Gardens at Great Neck (1)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Great Neck, NY</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Dec-22</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4,019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4,019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300,437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88,792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135,633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524,892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3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934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Gross leasable area ("GLA")</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522"/>
        <w:gridCol w:w="4784"/>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Land parcel</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44"/>
        <w:gridCol w:w="6362"/>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jc w:val="both"/>
              <w:rPr>
                <w:sz w:val="20"/>
                <w:szCs w:val="20"/>
              </w:rPr>
            </w:pPr>
            <w:r>
              <w:rPr>
                <w:sz w:val="20"/>
                <w:szCs w:val="20"/>
              </w:rPr>
              <w:t xml:space="preserve">Other consists of redeemable noncontrolling interest of $79.7 million and an embedded derivative liability associated with put and call options of these units of $56.0 million. See Footnotes </w:t>
            </w:r>
            <w:r>
              <w:rPr>
                <w:rStyle w:val="a6"/>
                <w:sz w:val="20"/>
                <w:szCs w:val="20"/>
              </w:rPr>
              <w:t>15</w:t>
            </w:r>
            <w:r>
              <w:rPr>
                <w:sz w:val="20"/>
                <w:szCs w:val="20"/>
              </w:rPr>
              <w:t xml:space="preserve"> and </w:t>
            </w:r>
            <w:r>
              <w:rPr>
                <w:rStyle w:val="a6"/>
                <w:sz w:val="20"/>
                <w:szCs w:val="20"/>
              </w:rPr>
              <w:t>16</w:t>
            </w:r>
            <w:r>
              <w:rPr>
                <w:sz w:val="20"/>
                <w:szCs w:val="20"/>
              </w:rPr>
              <w:t xml:space="preserve"> of the Company’s Consolidated Financial Statemen</w:t>
            </w:r>
            <w:r>
              <w:rPr>
                <w:sz w:val="20"/>
                <w:szCs w:val="20"/>
              </w:rPr>
              <w:t>ts for additional discussion regarding fair value allocation to unitholders for noncontrolling interests.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88098140"/>
        <w:rPr>
          <w:rFonts w:eastAsia="Times New Roman"/>
          <w:sz w:val="20"/>
          <w:szCs w:val="20"/>
        </w:rPr>
      </w:pPr>
      <w:r>
        <w:rPr>
          <w:rStyle w:val="a6"/>
          <w:rFonts w:eastAsia="Times New Roman"/>
          <w:sz w:val="20"/>
          <w:szCs w:val="20"/>
        </w:rPr>
        <w:t>72</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7" style="width:415.3pt;height:1.5pt" o:hralign="center" o:hrstd="t" o:hrnoshade="t" o:hr="t" fillcolor="black" stroked="f"/>
        </w:pict>
      </w:r>
    </w:p>
    <w:p w:rsidR="00000000" w:rsidRDefault="006954AA">
      <w:pPr>
        <w:divId w:val="1344895585"/>
        <w:rPr>
          <w:rFonts w:eastAsia="Times New Roman"/>
          <w:sz w:val="20"/>
          <w:szCs w:val="20"/>
        </w:rPr>
      </w:pPr>
      <w:r>
        <w:rPr>
          <w:rFonts w:eastAsia="Times New Roman"/>
          <w:sz w:val="20"/>
          <w:szCs w:val="20"/>
        </w:rPr>
        <w:t xml:space="preserve">  </w:t>
      </w:r>
    </w:p>
    <w:p w:rsidR="00000000" w:rsidRDefault="006954AA">
      <w:pPr>
        <w:jc w:val="center"/>
        <w:divId w:val="1988053191"/>
        <w:rPr>
          <w:rFonts w:eastAsia="Times New Roman"/>
          <w:sz w:val="20"/>
          <w:szCs w:val="20"/>
        </w:rPr>
      </w:pPr>
      <w:r>
        <w:rPr>
          <w:rFonts w:eastAsia="Times New Roman"/>
          <w:sz w:val="20"/>
          <w:szCs w:val="20"/>
        </w:rPr>
        <w:t xml:space="preserve">KIMCO REALTY CORPORATION AND SUBSIDIARIES </w:t>
      </w:r>
    </w:p>
    <w:p w:rsidR="00000000" w:rsidRDefault="006954AA">
      <w:pPr>
        <w:divId w:val="544214827"/>
        <w:rPr>
          <w:rFonts w:eastAsia="Times New Roman"/>
          <w:sz w:val="20"/>
          <w:szCs w:val="20"/>
        </w:rPr>
      </w:pPr>
      <w:r>
        <w:rPr>
          <w:rFonts w:eastAsia="Times New Roman"/>
          <w:sz w:val="20"/>
          <w:szCs w:val="20"/>
        </w:rPr>
        <w:t xml:space="preserve">  </w:t>
      </w:r>
    </w:p>
    <w:p w:rsidR="00000000" w:rsidRDefault="006954AA">
      <w:pPr>
        <w:jc w:val="center"/>
        <w:divId w:val="339627944"/>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2021, </w:t>
      </w:r>
      <w:r>
        <w:rPr>
          <w:sz w:val="20"/>
          <w:szCs w:val="20"/>
        </w:rPr>
        <w:t xml:space="preserve">in addition to the properties acquired in the Merger (see Footnote </w:t>
      </w:r>
      <w:r>
        <w:rPr>
          <w:rStyle w:val="a6"/>
          <w:sz w:val="20"/>
          <w:szCs w:val="20"/>
        </w:rPr>
        <w:t>2</w:t>
      </w:r>
      <w:r>
        <w:rPr>
          <w:sz w:val="20"/>
          <w:szCs w:val="20"/>
        </w:rPr>
        <w:t xml:space="preserve"> of the Notes to Consolidated Financial Statements), the Company acquired the following o</w:t>
      </w:r>
      <w:r>
        <w:rPr>
          <w:sz w:val="20"/>
          <w:szCs w:val="20"/>
        </w:rPr>
        <w:t>perating properties, through direct asset purchases or consolidation due to change in control resulting from the purchase of additional interests or obtaining control through the modification of a joint venture investment (in thousands):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09"/>
        <w:gridCol w:w="50"/>
        <w:gridCol w:w="110"/>
        <w:gridCol w:w="764"/>
        <w:gridCol w:w="50"/>
        <w:gridCol w:w="50"/>
        <w:gridCol w:w="141"/>
        <w:gridCol w:w="982"/>
        <w:gridCol w:w="50"/>
        <w:gridCol w:w="50"/>
        <w:gridCol w:w="100"/>
        <w:gridCol w:w="650"/>
        <w:gridCol w:w="50"/>
        <w:gridCol w:w="50"/>
        <w:gridCol w:w="100"/>
        <w:gridCol w:w="650"/>
        <w:gridCol w:w="50"/>
        <w:gridCol w:w="50"/>
        <w:gridCol w:w="100"/>
        <w:gridCol w:w="650"/>
        <w:gridCol w:w="50"/>
        <w:gridCol w:w="50"/>
        <w:gridCol w:w="100"/>
        <w:gridCol w:w="650"/>
        <w:gridCol w:w="50"/>
        <w:gridCol w:w="50"/>
        <w:gridCol w:w="50"/>
        <w:gridCol w:w="450"/>
        <w:gridCol w:w="5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Purchase Price</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c>
          <w:tcPr>
            <w:tcW w:w="0" w:type="auto"/>
            <w:vAlign w:val="bottom"/>
            <w:hideMark/>
          </w:tcPr>
          <w:p w:rsidR="00000000" w:rsidRDefault="006954AA">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15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Property Name</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Location</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Month Acquired/ Consolidated</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Cash</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Debt</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Other </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0" w:type="auto"/>
            <w:tcBorders>
              <w:bottom w:val="single" w:sz="6" w:space="0" w:color="000000"/>
            </w:tcBorders>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Distribution Center #1 (1)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Lancaster, CA</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Jan-21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58,723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11,277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Distribution Center #2 (1)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Woodland, CA</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Jan-21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27,589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6,411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Jamestown Portfolio (6 properties) (2)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firstLine="40"/>
              <w:jc w:val="center"/>
              <w:rPr>
                <w:sz w:val="20"/>
                <w:szCs w:val="20"/>
              </w:rPr>
            </w:pPr>
            <w:r>
              <w:rPr>
                <w:rStyle w:val="a6"/>
                <w:sz w:val="20"/>
                <w:szCs w:val="20"/>
              </w:rPr>
              <w:t>Various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Oct-21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172,899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87,094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429,993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KimPru Portfolio (2 properties) (2)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Various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Oct-21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61,705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64,169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15,212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141,086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Columbia Crossing Parcel</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Columbia, MD</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Oct-21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12,600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12,600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Centro Arlington (2)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Arlington, VA</w:t>
            </w:r>
          </w:p>
        </w:tc>
        <w:tc>
          <w:tcPr>
            <w:tcW w:w="0" w:type="auto"/>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Nov-21</w:t>
            </w:r>
          </w:p>
        </w:tc>
        <w:tc>
          <w:tcPr>
            <w:tcW w:w="0" w:type="auto"/>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24,178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184,850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209,028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357,694</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234,169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304,844</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896,707</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3,256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4"/>
        <w:gridCol w:w="6362"/>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jc w:val="both"/>
              <w:rPr>
                <w:sz w:val="20"/>
                <w:szCs w:val="20"/>
              </w:rPr>
            </w:pPr>
            <w:r>
              <w:rPr>
                <w:sz w:val="20"/>
                <w:szCs w:val="20"/>
              </w:rPr>
              <w:t xml:space="preserve">Other consists of the fair value of the assets acquired which exceeded the purchase price upon closing. The transaction was a sale-leaseback with the seller which resulted in the recognition of a prepayment of rent of $17.7 million in accordance with ASC </w:t>
            </w:r>
            <w:r>
              <w:rPr>
                <w:rStyle w:val="a6"/>
                <w:sz w:val="20"/>
                <w:szCs w:val="20"/>
              </w:rPr>
              <w:t>8</w:t>
            </w:r>
            <w:r>
              <w:rPr>
                <w:rStyle w:val="a6"/>
                <w:sz w:val="20"/>
                <w:szCs w:val="20"/>
              </w:rPr>
              <w:t>42,</w:t>
            </w:r>
            <w:r>
              <w:rPr>
                <w:sz w:val="20"/>
                <w:szCs w:val="20"/>
              </w:rPr>
              <w:t xml:space="preserve"> Leases at closing. The prepayment of rent was amortized over the initial term of the lease through Revenues from rental properties, net on the Company's Consolidated Statements of Income. See Footnote </w:t>
            </w:r>
            <w:r>
              <w:rPr>
                <w:rStyle w:val="a6"/>
                <w:sz w:val="20"/>
                <w:szCs w:val="20"/>
              </w:rPr>
              <w:t>16</w:t>
            </w:r>
            <w:r>
              <w:rPr>
                <w:sz w:val="20"/>
                <w:szCs w:val="20"/>
              </w:rPr>
              <w:t xml:space="preserve"> of the Company’s Consolidated Financial Statemen</w:t>
            </w:r>
            <w:r>
              <w:rPr>
                <w:sz w:val="20"/>
                <w:szCs w:val="20"/>
              </w:rPr>
              <w:t>ts for additional discussion regarding fair value allocation of partnership interest for noncontrolling interests.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16"/>
        <w:gridCol w:w="6290"/>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jc w:val="both"/>
              <w:rPr>
                <w:sz w:val="20"/>
                <w:szCs w:val="20"/>
              </w:rPr>
            </w:pPr>
            <w:r>
              <w:rPr>
                <w:sz w:val="20"/>
                <w:szCs w:val="20"/>
              </w:rPr>
              <w:t>Other includes the Company’s previously held equity investments and net gains on change in control. The Company evaluated these transac</w:t>
            </w:r>
            <w:r>
              <w:rPr>
                <w:sz w:val="20"/>
                <w:szCs w:val="20"/>
              </w:rPr>
              <w:t>tions pursuant to the FASB’s Consolidation guidance and as a result, recognized net gains on change in control of interests of $5.0 million, in aggregate, resulting from the fair value adjustments associated with the Company’s previously held equity intere</w:t>
            </w:r>
            <w:r>
              <w:rPr>
                <w:sz w:val="20"/>
                <w:szCs w:val="20"/>
              </w:rPr>
              <w:t>sts, which are included in Equity in income of joint ventures, net on the Company’s Consolidated Statements of Income. The Company previously held an ownership interest of 30.0% in Jamestown Portfolio, 15.0% in KimPru Portfolio and 90.0% in Centro Arlingto</w:t>
            </w:r>
            <w:r>
              <w:rPr>
                <w:sz w:val="20"/>
                <w:szCs w:val="20"/>
              </w:rPr>
              <w:t>n.</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Included in the Company’s Consolidated Statements of Income are $9.1 million and $10.3 million in total revenues from the date of acquisition through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w:t>
      </w:r>
      <w:r>
        <w:rPr>
          <w:sz w:val="20"/>
          <w:szCs w:val="20"/>
        </w:rPr>
        <w:t>respectively, for operating properties acquired during each of the respective years.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Purchase Price Allocations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purchase price for these acquisitions is allocated to real estate and related intangible assets acquired and liabilities assumed, as app</w:t>
      </w:r>
      <w:r>
        <w:rPr>
          <w:sz w:val="20"/>
          <w:szCs w:val="20"/>
        </w:rPr>
        <w:t xml:space="preserve">licable, in accordance with our accounting policies for asset acquisitions. The purchase price allocations for properties acquired/consolidated during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are as follows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3776"/>
        <w:gridCol w:w="67"/>
        <w:gridCol w:w="101"/>
        <w:gridCol w:w="798"/>
        <w:gridCol w:w="67"/>
        <w:gridCol w:w="67"/>
        <w:gridCol w:w="81"/>
        <w:gridCol w:w="808"/>
        <w:gridCol w:w="67"/>
        <w:gridCol w:w="67"/>
        <w:gridCol w:w="101"/>
        <w:gridCol w:w="798"/>
        <w:gridCol w:w="68"/>
        <w:gridCol w:w="68"/>
        <w:gridCol w:w="81"/>
        <w:gridCol w:w="808"/>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Allocation as of</w:t>
            </w:r>
          </w:p>
          <w:p w:rsidR="00000000" w:rsidRDefault="006954AA">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w:t>
            </w:r>
          </w:p>
          <w:p w:rsidR="00000000" w:rsidRDefault="006954AA">
            <w:pPr>
              <w:pStyle w:val="a3"/>
              <w:spacing w:before="0" w:beforeAutospacing="0" w:after="0" w:afterAutospacing="0"/>
              <w:jc w:val="center"/>
              <w:rPr>
                <w:sz w:val="20"/>
                <w:szCs w:val="20"/>
              </w:rPr>
            </w:pPr>
            <w:r>
              <w:rPr>
                <w:b/>
                <w:bCs/>
                <w:sz w:val="20"/>
                <w:szCs w:val="20"/>
              </w:rPr>
              <w:t xml:space="preserve">Average Useful </w:t>
            </w:r>
          </w:p>
          <w:p w:rsidR="00000000" w:rsidRDefault="006954AA">
            <w:pPr>
              <w:pStyle w:val="a3"/>
              <w:spacing w:before="0" w:beforeAutospacing="0" w:after="0" w:afterAutospacing="0"/>
              <w:jc w:val="center"/>
              <w:rPr>
                <w:sz w:val="20"/>
                <w:szCs w:val="20"/>
              </w:rPr>
            </w:pPr>
            <w:r>
              <w:rPr>
                <w:b/>
                <w:bCs/>
                <w:sz w:val="20"/>
                <w:szCs w:val="20"/>
              </w:rPr>
              <w:t>Life (in Years)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Allocation as of </w:t>
            </w:r>
          </w:p>
          <w:p w:rsidR="00000000" w:rsidRDefault="006954AA">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w:t>
            </w:r>
          </w:p>
          <w:p w:rsidR="00000000" w:rsidRDefault="006954AA">
            <w:pPr>
              <w:pStyle w:val="a3"/>
              <w:spacing w:before="0" w:beforeAutospacing="0" w:after="0" w:afterAutospacing="0"/>
              <w:jc w:val="center"/>
              <w:rPr>
                <w:sz w:val="20"/>
                <w:szCs w:val="20"/>
              </w:rPr>
            </w:pPr>
            <w:r>
              <w:rPr>
                <w:b/>
                <w:bCs/>
                <w:sz w:val="20"/>
                <w:szCs w:val="20"/>
              </w:rPr>
              <w:t>Average Useful</w:t>
            </w:r>
          </w:p>
          <w:p w:rsidR="00000000" w:rsidRDefault="006954AA">
            <w:pPr>
              <w:pStyle w:val="a3"/>
              <w:spacing w:before="0" w:beforeAutospacing="0" w:after="0" w:afterAutospacing="0"/>
              <w:jc w:val="center"/>
              <w:rPr>
                <w:sz w:val="20"/>
                <w:szCs w:val="20"/>
              </w:rPr>
            </w:pPr>
            <w:r>
              <w:rPr>
                <w:b/>
                <w:bCs/>
                <w:sz w:val="20"/>
                <w:szCs w:val="20"/>
              </w:rPr>
              <w:t>Life (in Years)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207,067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154,320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271,525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679,646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13,273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18,476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11,689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16,391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Solar panels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In-place leases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28,405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48,648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Above-market leases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8,408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6,581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(24,069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(39,712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Mortgage fair value adjustment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9,430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21,331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(3,144</w:t>
            </w: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(8,974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b/>
                <w:bCs/>
                <w:sz w:val="20"/>
                <w:szCs w:val="20"/>
              </w:rPr>
              <w:t>Net assets acquired/consolidated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524,892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896,707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2130008040"/>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5.</w:t>
      </w:r>
      <w:r>
        <w:rPr>
          <w:sz w:val="20"/>
          <w:szCs w:val="20"/>
        </w:rPr>
        <w:t>    </w:t>
      </w:r>
      <w:r>
        <w:rPr>
          <w:sz w:val="20"/>
          <w:szCs w:val="20"/>
          <w:u w:val="single"/>
        </w:rPr>
        <w:t>Dispositions of Real Estate</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table below summarizes the Company’s disposition activity relating to operating properties and parcels, in separate transactions (dollars in millions):</w:t>
      </w:r>
    </w:p>
    <w:p w:rsidR="00000000" w:rsidRDefault="006954AA">
      <w:pPr>
        <w:pStyle w:val="a3"/>
        <w:spacing w:before="0" w:beforeAutospacing="0" w:after="0" w:afterAutospacing="0"/>
        <w:ind w:left="360"/>
        <w:jc w:val="both"/>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Aggregate sales price/gross fair value (1)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31.8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Gain on sale of properties (1)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Number of operating properties sold/deconsolidated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
        <w:gridCol w:w="360"/>
        <w:gridCol w:w="7846"/>
      </w:tblGrid>
      <w:tr w:rsidR="00000000">
        <w:trPr>
          <w:tblCellSpacing w:w="0" w:type="dxa"/>
        </w:trPr>
        <w:tc>
          <w:tcPr>
            <w:tcW w:w="10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2021,</w:t>
            </w:r>
            <w:r>
              <w:rPr>
                <w:sz w:val="20"/>
                <w:szCs w:val="20"/>
              </w:rPr>
              <w:t xml:space="preserve"> the Company purchased its partner’s 70.0% remaining interest in Jamestown Portfolio, which is comprised of six </w:t>
            </w:r>
            <w:r>
              <w:rPr>
                <w:sz w:val="20"/>
                <w:szCs w:val="20"/>
              </w:rPr>
              <w:t>property interests. The Company then entered into a joint venture with Blackstone Real Estate Income Trust, Inc. (“BREIT”) in which it contributed these six properties for a gross sales price of $425.8 million, including $170.0 million of non-recourse mort</w:t>
            </w:r>
            <w:r>
              <w:rPr>
                <w:sz w:val="20"/>
                <w:szCs w:val="20"/>
              </w:rPr>
              <w:t xml:space="preserve">gage debt. As a result, the Company </w:t>
            </w:r>
            <w:r>
              <w:rPr>
                <w:rStyle w:val="a6"/>
                <w:sz w:val="20"/>
                <w:szCs w:val="20"/>
              </w:rPr>
              <w:t>no</w:t>
            </w:r>
            <w:r>
              <w:rPr>
                <w:sz w:val="20"/>
                <w:szCs w:val="20"/>
              </w:rPr>
              <w:t xml:space="preserve"> longer consolidates these </w:t>
            </w:r>
            <w:r>
              <w:rPr>
                <w:rStyle w:val="a6"/>
                <w:sz w:val="20"/>
                <w:szCs w:val="20"/>
              </w:rPr>
              <w:t>six</w:t>
            </w:r>
            <w:r>
              <w:rPr>
                <w:sz w:val="20"/>
                <w:szCs w:val="20"/>
              </w:rPr>
              <w:t xml:space="preserve"> property interests and recognized a loss on change in control of interests of $0.4 million. The Company has a 50.0% investment in this joint venture ($130.1 million as of the date of deco</w:t>
            </w:r>
            <w:r>
              <w:rPr>
                <w:sz w:val="20"/>
                <w:szCs w:val="20"/>
              </w:rPr>
              <w:t>nsolidation), included in Investments in and advances to real estate joint ventures on the Company’s Consolidated Balance Sheets.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0"/>
        <w:gridCol w:w="360"/>
        <w:gridCol w:w="7846"/>
      </w:tblGrid>
      <w:tr w:rsidR="00000000">
        <w:trPr>
          <w:tblCellSpacing w:w="0" w:type="dxa"/>
        </w:trPr>
        <w:tc>
          <w:tcPr>
            <w:tcW w:w="10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amounts are before noncontrolling interests of $1.7 million and $3.0 mi</w:t>
            </w:r>
            <w:r>
              <w:rPr>
                <w:sz w:val="20"/>
                <w:szCs w:val="20"/>
              </w:rPr>
              <w:t>llion, respectively and taxes of  $1.2 million and $2.2 million, respectively, after utilization of net operating loss carryforwards.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510288271"/>
        <w:rPr>
          <w:rFonts w:eastAsia="Times New Roman"/>
          <w:sz w:val="20"/>
          <w:szCs w:val="20"/>
        </w:rPr>
      </w:pPr>
      <w:r>
        <w:rPr>
          <w:rStyle w:val="a6"/>
          <w:rFonts w:eastAsia="Times New Roman"/>
          <w:sz w:val="20"/>
          <w:szCs w:val="20"/>
        </w:rPr>
        <w:t>73</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8" style="width:415.3pt;height:1.5pt" o:hralign="center" o:hrstd="t" o:hrnoshade="t" o:hr="t" fillcolor="black" stroked="f"/>
        </w:pict>
      </w:r>
    </w:p>
    <w:p w:rsidR="00000000" w:rsidRDefault="006954AA">
      <w:pPr>
        <w:divId w:val="386343793"/>
        <w:rPr>
          <w:rFonts w:eastAsia="Times New Roman"/>
          <w:sz w:val="20"/>
          <w:szCs w:val="20"/>
        </w:rPr>
      </w:pPr>
      <w:r>
        <w:rPr>
          <w:rFonts w:eastAsia="Times New Roman"/>
          <w:sz w:val="20"/>
          <w:szCs w:val="20"/>
        </w:rPr>
        <w:t xml:space="preserve">  </w:t>
      </w:r>
    </w:p>
    <w:p w:rsidR="00000000" w:rsidRDefault="006954AA">
      <w:pPr>
        <w:jc w:val="center"/>
        <w:divId w:val="664019825"/>
        <w:rPr>
          <w:rFonts w:eastAsia="Times New Roman"/>
          <w:sz w:val="20"/>
          <w:szCs w:val="20"/>
        </w:rPr>
      </w:pPr>
      <w:r>
        <w:rPr>
          <w:rFonts w:eastAsia="Times New Roman"/>
          <w:sz w:val="20"/>
          <w:szCs w:val="20"/>
        </w:rPr>
        <w:t xml:space="preserve">KIMCO REALTY CORPORATION AND SUBSIDIARIES </w:t>
      </w:r>
    </w:p>
    <w:p w:rsidR="00000000" w:rsidRDefault="006954AA">
      <w:pPr>
        <w:divId w:val="849952979"/>
        <w:rPr>
          <w:rFonts w:eastAsia="Times New Roman"/>
          <w:sz w:val="20"/>
          <w:szCs w:val="20"/>
        </w:rPr>
      </w:pPr>
      <w:r>
        <w:rPr>
          <w:rFonts w:eastAsia="Times New Roman"/>
          <w:sz w:val="20"/>
          <w:szCs w:val="20"/>
        </w:rPr>
        <w:t xml:space="preserve">  </w:t>
      </w:r>
    </w:p>
    <w:p w:rsidR="00000000" w:rsidRDefault="006954AA">
      <w:pPr>
        <w:jc w:val="center"/>
        <w:divId w:val="994140595"/>
        <w:rPr>
          <w:rFonts w:eastAsia="Times New Roman"/>
          <w:sz w:val="20"/>
          <w:szCs w:val="20"/>
        </w:rPr>
      </w:pPr>
      <w:r>
        <w:rPr>
          <w:rFonts w:eastAsia="Times New Roman"/>
          <w:sz w:val="20"/>
          <w:szCs w:val="20"/>
        </w:rPr>
        <w:t xml:space="preserve">NOTES TO CONSOLIDATED FINANCIAL STATEMENTS, continued </w:t>
      </w:r>
    </w:p>
    <w:p w:rsidR="00000000" w:rsidRDefault="006954AA">
      <w:pPr>
        <w:divId w:val="613246359"/>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6.</w:t>
      </w:r>
      <w:r>
        <w:rPr>
          <w:sz w:val="20"/>
          <w:szCs w:val="20"/>
        </w:rPr>
        <w:t>    </w:t>
      </w:r>
      <w:r>
        <w:rPr>
          <w:sz w:val="20"/>
          <w:szCs w:val="20"/>
          <w:u w:val="single"/>
        </w:rPr>
        <w:t>Imp</w:t>
      </w:r>
      <w:r>
        <w:rPr>
          <w:sz w:val="20"/>
          <w:szCs w:val="20"/>
          <w:u w:val="single"/>
        </w:rPr>
        <w:t>airments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Management assesses on a continuous basis whether there are any indicators, including property operating performance, changes in anticipated holding period, general market conditions and delays of or change in plans for development, that the va</w:t>
      </w:r>
      <w:r>
        <w:rPr>
          <w:sz w:val="20"/>
          <w:szCs w:val="20"/>
        </w:rPr>
        <w:t xml:space="preserve">lue of the Company’s assets (including any related amortizable intangible assets or liabilities) </w:t>
      </w:r>
      <w:r>
        <w:rPr>
          <w:rStyle w:val="a6"/>
          <w:sz w:val="20"/>
          <w:szCs w:val="20"/>
        </w:rPr>
        <w:t xml:space="preserve">may </w:t>
      </w:r>
      <w:r>
        <w:rPr>
          <w:sz w:val="20"/>
          <w:szCs w:val="20"/>
        </w:rPr>
        <w:t>be impaired. To the extent impairment has occurred, the carrying value of the asset would be adjusted to an amount to reflect the estimated fair value of t</w:t>
      </w:r>
      <w:r>
        <w:rPr>
          <w:sz w:val="20"/>
          <w:szCs w:val="20"/>
        </w:rPr>
        <w:t>he asset.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a capital recycling program which provides for the disposition of certain properties, typically of lesser quality assets in less desirable locations. The Company adjusted the anticipated hold period for these properties and as a result the </w:t>
      </w:r>
      <w:r>
        <w:rPr>
          <w:sz w:val="20"/>
          <w:szCs w:val="20"/>
        </w:rPr>
        <w:t xml:space="preserve">Company recognized impairment charges on certain operating properties (see Footnote </w:t>
      </w:r>
      <w:r>
        <w:rPr>
          <w:rStyle w:val="a6"/>
          <w:sz w:val="20"/>
          <w:szCs w:val="20"/>
        </w:rPr>
        <w:t>18</w:t>
      </w:r>
      <w:r>
        <w:rPr>
          <w:sz w:val="20"/>
          <w:szCs w:val="20"/>
        </w:rPr>
        <w:t xml:space="preserve"> of the Notes to Consolidated Financial Statements for fair value disclosure).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Company’s efforts to market certain assets and management’s assessment as to the like</w:t>
      </w:r>
      <w:r>
        <w:rPr>
          <w:sz w:val="20"/>
          <w:szCs w:val="20"/>
        </w:rPr>
        <w:t xml:space="preserve">lihood and timing of such potential transactions and/or the property hold period resulted in the Company recognizing impairment charges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as follows (in millions):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7"/>
        <w:gridCol w:w="56"/>
        <w:gridCol w:w="100"/>
        <w:gridCol w:w="1053"/>
        <w:gridCol w:w="56"/>
        <w:gridCol w:w="56"/>
        <w:gridCol w:w="101"/>
        <w:gridCol w:w="1053"/>
        <w:gridCol w:w="56"/>
        <w:gridCol w:w="56"/>
        <w:gridCol w:w="101"/>
        <w:gridCol w:w="1053"/>
        <w:gridCol w:w="5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Properties marketed for sale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Properties disposed/deeded in lieu/foreclosed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impairments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Total impairment charges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4"/>
        <w:gridCol w:w="6362"/>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jc w:val="both"/>
              <w:rPr>
                <w:sz w:val="20"/>
                <w:szCs w:val="20"/>
              </w:rPr>
            </w:pPr>
            <w:r>
              <w:rPr>
                <w:sz w:val="20"/>
                <w:szCs w:val="20"/>
              </w:rPr>
              <w:t xml:space="preserve">Amounts relate to adjustments to property carrying values for properties which the Company has marketed for sale and as such has adjusted the anticipated hold periods for such properties. During </w:t>
            </w:r>
            <w:r>
              <w:rPr>
                <w:rStyle w:val="a6"/>
                <w:sz w:val="20"/>
                <w:szCs w:val="20"/>
              </w:rPr>
              <w:t>2022,</w:t>
            </w:r>
            <w:r>
              <w:rPr>
                <w:sz w:val="20"/>
                <w:szCs w:val="20"/>
              </w:rPr>
              <w:t xml:space="preserve"> the Company recognized impairment charges of $19.2 mill</w:t>
            </w:r>
            <w:r>
              <w:rPr>
                <w:sz w:val="20"/>
                <w:szCs w:val="20"/>
              </w:rPr>
              <w:t>ion, before noncontrolling interests of $16.0 million, related to</w:t>
            </w:r>
            <w:r>
              <w:rPr>
                <w:sz w:val="20"/>
                <w:szCs w:val="20"/>
              </w:rPr>
              <w:t xml:space="preserve"> </w:t>
            </w:r>
            <w:r>
              <w:rPr>
                <w:sz w:val="20"/>
                <w:szCs w:val="20"/>
              </w:rPr>
              <w:t>fiv</w:t>
            </w:r>
            <w:r>
              <w:rPr>
                <w:sz w:val="20"/>
                <w:szCs w:val="20"/>
              </w:rPr>
              <w:t>e</w:t>
            </w:r>
            <w:r>
              <w:rPr>
                <w:sz w:val="20"/>
                <w:szCs w:val="20"/>
              </w:rPr>
              <w:t xml:space="preserve"> properties. The Company’s estimated fair values of these assets were primarily based upon sales prices from signed contracts, which were less than the carrying value of the assets.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w:t>
      </w:r>
      <w:r>
        <w:rPr>
          <w:sz w:val="20"/>
          <w:szCs w:val="20"/>
        </w:rPr>
        <w:t>he Company also recognized its share of impairment charges related to certain properties within various unconsolidated joint ventures in which the Company holds noncontrolling interests. The Company’s share of these impairment charges were $4.6 million, $2</w:t>
      </w:r>
      <w:r>
        <w:rPr>
          <w:sz w:val="20"/>
          <w:szCs w:val="20"/>
        </w:rPr>
        <w:t xml:space="preserve">.9 million and $0.8 million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respectively, and are included in Equity in income of joint ventures, net on the Company’s Consolidated Statements of Income. (see Footnote </w:t>
      </w:r>
      <w:r>
        <w:rPr>
          <w:rStyle w:val="a6"/>
          <w:sz w:val="20"/>
          <w:szCs w:val="20"/>
        </w:rPr>
        <w:t>7</w:t>
      </w:r>
      <w:r>
        <w:rPr>
          <w:sz w:val="20"/>
          <w:szCs w:val="20"/>
        </w:rPr>
        <w:t xml:space="preserve"> of the Notes to Consolidated Fin</w:t>
      </w:r>
      <w:r>
        <w:rPr>
          <w:sz w:val="20"/>
          <w:szCs w:val="20"/>
        </w:rPr>
        <w:t>ancial Statements).</w:t>
      </w:r>
    </w:p>
    <w:p w:rsidR="00000000" w:rsidRDefault="006954AA">
      <w:pPr>
        <w:pStyle w:val="a3"/>
        <w:spacing w:before="0" w:beforeAutospacing="0" w:after="0" w:afterAutospacing="0"/>
        <w:rPr>
          <w:sz w:val="20"/>
          <w:szCs w:val="20"/>
        </w:rPr>
      </w:pPr>
      <w:r>
        <w:rPr>
          <w:sz w:val="20"/>
          <w:szCs w:val="20"/>
        </w:rPr>
        <w:t> </w:t>
      </w:r>
    </w:p>
    <w:p w:rsidR="00000000" w:rsidRDefault="006954AA">
      <w:pPr>
        <w:divId w:val="600264272"/>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7.</w:t>
      </w:r>
      <w:r>
        <w:rPr>
          <w:sz w:val="20"/>
          <w:szCs w:val="20"/>
        </w:rPr>
        <w:t>    </w:t>
      </w:r>
      <w:r>
        <w:rPr>
          <w:sz w:val="20"/>
          <w:szCs w:val="20"/>
          <w:u w:val="single"/>
        </w:rPr>
        <w:t>Investment in and Advances to Real Estate Joint Ventures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has investments in and advances to various real estate joint ventures. These joint ventures are engaged primarily in the operation of shopping centers wh</w:t>
      </w:r>
      <w:r>
        <w:rPr>
          <w:sz w:val="20"/>
          <w:szCs w:val="20"/>
        </w:rPr>
        <w:t xml:space="preserve">ich are either owned or held under long-term operating leases. The Company and the joint venture partners have joint approval rights for major decisions, including those regarding property operations. As such, the Company holds noncontrolling interests in </w:t>
      </w:r>
      <w:r>
        <w:rPr>
          <w:sz w:val="20"/>
          <w:szCs w:val="20"/>
        </w:rPr>
        <w:t xml:space="preserve">these joint ventures and accounts for them under the equity method of accounting. The Company manages certain of these joint venture investments and, where applicable, earns acquisition fees, leasing commissions, property management fees, asset management </w:t>
      </w:r>
      <w:r>
        <w:rPr>
          <w:sz w:val="20"/>
          <w:szCs w:val="20"/>
        </w:rPr>
        <w:t xml:space="preserve">fees and construction management fees. The table below presents unconsolidated joint venture investments for which the Company held an ownership interest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(in millions, except number of properties):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31"/>
        <w:gridCol w:w="50"/>
        <w:gridCol w:w="171"/>
        <w:gridCol w:w="1196"/>
        <w:gridCol w:w="50"/>
        <w:gridCol w:w="50"/>
        <w:gridCol w:w="220"/>
        <w:gridCol w:w="859"/>
        <w:gridCol w:w="50"/>
        <w:gridCol w:w="50"/>
        <w:gridCol w:w="220"/>
        <w:gridCol w:w="894"/>
        <w:gridCol w:w="5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vAlign w:val="bottom"/>
            <w:hideMark/>
          </w:tcPr>
          <w:p w:rsidR="00000000" w:rsidRDefault="006954AA">
            <w:pPr>
              <w:pStyle w:val="a3"/>
              <w:spacing w:before="0" w:beforeAutospacing="0" w:after="0" w:afterAutospacing="0"/>
              <w:jc w:val="center"/>
              <w:rPr>
                <w:sz w:val="20"/>
                <w:szCs w:val="20"/>
              </w:rPr>
            </w:pPr>
            <w:r>
              <w:rPr>
                <w:b/>
                <w:bCs/>
                <w:sz w:val="20"/>
                <w:szCs w:val="20"/>
              </w:rPr>
              <w:t>Noncontrolling</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w:t>
            </w:r>
            <w:r>
              <w:rPr>
                <w:b/>
                <w:bCs/>
                <w:sz w:val="20"/>
                <w:szCs w:val="20"/>
              </w:rPr>
              <w:t>e Company's Investment</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Ownership Interest</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600" w:type="pct"/>
            <w:tcBorders>
              <w:bottom w:val="single" w:sz="6" w:space="0" w:color="000000"/>
            </w:tcBorders>
            <w:vAlign w:val="bottom"/>
            <w:hideMark/>
          </w:tcPr>
          <w:p w:rsidR="00000000" w:rsidRDefault="006954AA">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12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ind w:left="120"/>
              <w:jc w:val="right"/>
              <w:rPr>
                <w:rFonts w:eastAsia="Times New Roman"/>
                <w:sz w:val="20"/>
                <w:szCs w:val="20"/>
              </w:rPr>
            </w:pPr>
            <w:r>
              <w:rPr>
                <w:rFonts w:eastAsia="Times New Roman"/>
                <w:sz w:val="20"/>
                <w:szCs w:val="20"/>
              </w:rPr>
              <w:t>153.6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12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ind w:left="120"/>
              <w:jc w:val="right"/>
              <w:rPr>
                <w:rFonts w:eastAsia="Times New Roman"/>
                <w:sz w:val="20"/>
                <w:szCs w:val="20"/>
              </w:rPr>
            </w:pPr>
            <w:r>
              <w:rPr>
                <w:rFonts w:eastAsia="Times New Roman"/>
                <w:sz w:val="20"/>
                <w:szCs w:val="20"/>
              </w:rPr>
              <w:t>163.0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ind w:left="120"/>
              <w:jc w:val="center"/>
              <w:rPr>
                <w:rFonts w:eastAsia="Times New Roman"/>
                <w:sz w:val="20"/>
                <w:szCs w:val="20"/>
              </w:rPr>
            </w:pPr>
            <w:r>
              <w:rPr>
                <w:rFonts w:eastAsia="Times New Roman"/>
                <w:sz w:val="20"/>
                <w:szCs w:val="20"/>
              </w:rPr>
              <w:t>52.1%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ind w:left="120"/>
              <w:jc w:val="right"/>
              <w:rPr>
                <w:rFonts w:eastAsia="Times New Roman"/>
                <w:sz w:val="20"/>
                <w:szCs w:val="20"/>
              </w:rPr>
            </w:pPr>
            <w:r>
              <w:rPr>
                <w:rFonts w:eastAsia="Times New Roman"/>
                <w:sz w:val="20"/>
                <w:szCs w:val="20"/>
              </w:rPr>
              <w:t>281.5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ind w:left="120"/>
              <w:jc w:val="right"/>
              <w:rPr>
                <w:rFonts w:eastAsia="Times New Roman"/>
                <w:sz w:val="20"/>
                <w:szCs w:val="20"/>
              </w:rPr>
            </w:pPr>
            <w:r>
              <w:rPr>
                <w:rFonts w:eastAsia="Times New Roman"/>
                <w:sz w:val="20"/>
                <w:szCs w:val="20"/>
              </w:rPr>
              <w:t>186.0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Canada Pension Plan Investment Board (“CPP”)</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ind w:left="120"/>
              <w:jc w:val="right"/>
              <w:rPr>
                <w:rFonts w:eastAsia="Times New Roman"/>
                <w:sz w:val="20"/>
                <w:szCs w:val="20"/>
              </w:rPr>
            </w:pPr>
            <w:r>
              <w:rPr>
                <w:rFonts w:eastAsia="Times New Roman"/>
                <w:sz w:val="20"/>
                <w:szCs w:val="20"/>
              </w:rPr>
              <w:t>190.8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ind w:left="120"/>
              <w:jc w:val="right"/>
              <w:rPr>
                <w:rFonts w:eastAsia="Times New Roman"/>
                <w:sz w:val="20"/>
                <w:szCs w:val="20"/>
              </w:rPr>
            </w:pPr>
            <w:r>
              <w:rPr>
                <w:rFonts w:eastAsia="Times New Roman"/>
                <w:sz w:val="20"/>
                <w:szCs w:val="20"/>
              </w:rPr>
              <w:t>165.1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Institutional Joint Ventures (2)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pStyle w:val="a3"/>
              <w:spacing w:before="0" w:beforeAutospacing="0" w:after="0" w:afterAutospacing="0"/>
              <w:ind w:left="240" w:hanging="120"/>
              <w:jc w:val="center"/>
              <w:rPr>
                <w:sz w:val="20"/>
                <w:szCs w:val="20"/>
              </w:rPr>
            </w:pPr>
            <w:r>
              <w:rPr>
                <w:sz w:val="20"/>
                <w:szCs w:val="20"/>
              </w:rPr>
              <w:t> </w:t>
            </w:r>
          </w:p>
        </w:tc>
        <w:tc>
          <w:tcPr>
            <w:tcW w:w="0" w:type="auto"/>
            <w:shd w:val="clear" w:color="auto" w:fill="FFFFFF"/>
            <w:vAlign w:val="bottom"/>
            <w:hideMark/>
          </w:tcPr>
          <w:p w:rsidR="00000000" w:rsidRDefault="006954AA">
            <w:pPr>
              <w:ind w:left="120"/>
              <w:jc w:val="center"/>
              <w:rPr>
                <w:rFonts w:eastAsia="Times New Roman"/>
                <w:sz w:val="20"/>
                <w:szCs w:val="20"/>
              </w:rPr>
            </w:pPr>
            <w:r>
              <w:rPr>
                <w:rStyle w:val="a6"/>
                <w:rFonts w:eastAsia="Times New Roman"/>
                <w:sz w:val="20"/>
                <w:szCs w:val="20"/>
              </w:rPr>
              <w:t>Various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ind w:left="120"/>
              <w:jc w:val="right"/>
              <w:rPr>
                <w:rFonts w:eastAsia="Times New Roman"/>
                <w:sz w:val="20"/>
                <w:szCs w:val="20"/>
              </w:rPr>
            </w:pPr>
            <w:r>
              <w:rPr>
                <w:rFonts w:eastAsia="Times New Roman"/>
                <w:sz w:val="20"/>
                <w:szCs w:val="20"/>
              </w:rPr>
              <w:t>256.8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ind w:left="120"/>
              <w:jc w:val="right"/>
              <w:rPr>
                <w:rFonts w:eastAsia="Times New Roman"/>
                <w:sz w:val="20"/>
                <w:szCs w:val="20"/>
              </w:rPr>
            </w:pPr>
            <w:r>
              <w:rPr>
                <w:rFonts w:eastAsia="Times New Roman"/>
                <w:sz w:val="20"/>
                <w:szCs w:val="20"/>
              </w:rPr>
              <w:t>281.8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Joint Venture Programs</w:t>
            </w:r>
          </w:p>
        </w:tc>
        <w:tc>
          <w:tcPr>
            <w:tcW w:w="0" w:type="auto"/>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pStyle w:val="a3"/>
              <w:spacing w:before="0" w:beforeAutospacing="0" w:after="0" w:afterAutospacing="0"/>
              <w:ind w:left="240" w:hanging="120"/>
              <w:jc w:val="center"/>
              <w:rPr>
                <w:sz w:val="20"/>
                <w:szCs w:val="20"/>
              </w:rPr>
            </w:pPr>
            <w:r>
              <w:rPr>
                <w:sz w:val="20"/>
                <w:szCs w:val="20"/>
              </w:rPr>
              <w:t> </w:t>
            </w:r>
          </w:p>
        </w:tc>
        <w:tc>
          <w:tcPr>
            <w:tcW w:w="0" w:type="auto"/>
            <w:shd w:val="clear" w:color="auto" w:fill="CCEEFF"/>
            <w:vAlign w:val="bottom"/>
            <w:hideMark/>
          </w:tcPr>
          <w:p w:rsidR="00000000" w:rsidRDefault="006954AA">
            <w:pPr>
              <w:ind w:left="120"/>
              <w:jc w:val="center"/>
              <w:rPr>
                <w:rFonts w:eastAsia="Times New Roman"/>
                <w:sz w:val="20"/>
                <w:szCs w:val="20"/>
              </w:rPr>
            </w:pPr>
            <w:r>
              <w:rPr>
                <w:rStyle w:val="a6"/>
                <w:rFonts w:eastAsia="Times New Roman"/>
                <w:sz w:val="20"/>
                <w:szCs w:val="20"/>
              </w:rPr>
              <w:t>Various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ind w:left="120"/>
              <w:jc w:val="right"/>
              <w:rPr>
                <w:rFonts w:eastAsia="Times New Roman"/>
                <w:sz w:val="20"/>
                <w:szCs w:val="20"/>
              </w:rPr>
            </w:pPr>
            <w:r>
              <w:rPr>
                <w:rFonts w:eastAsia="Times New Roman"/>
                <w:sz w:val="20"/>
                <w:szCs w:val="20"/>
              </w:rPr>
              <w:t>208.9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ind w:left="120"/>
              <w:jc w:val="right"/>
              <w:rPr>
                <w:rFonts w:eastAsia="Times New Roman"/>
                <w:sz w:val="20"/>
                <w:szCs w:val="20"/>
              </w:rPr>
            </w:pPr>
            <w:r>
              <w:rPr>
                <w:rFonts w:eastAsia="Times New Roman"/>
                <w:sz w:val="20"/>
                <w:szCs w:val="20"/>
              </w:rPr>
              <w:t>211.0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b/>
                <w:bCs/>
                <w:sz w:val="20"/>
                <w:szCs w:val="20"/>
              </w:rPr>
              <w:t>Total*</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ind w:left="120"/>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6954AA">
            <w:pPr>
              <w:ind w:left="120"/>
              <w:jc w:val="right"/>
              <w:rPr>
                <w:rFonts w:eastAsia="Times New Roman"/>
                <w:sz w:val="20"/>
                <w:szCs w:val="20"/>
              </w:rPr>
            </w:pPr>
            <w:r>
              <w:rPr>
                <w:rFonts w:eastAsia="Times New Roman"/>
                <w:b/>
                <w:bCs/>
                <w:sz w:val="20"/>
                <w:szCs w:val="20"/>
              </w:rPr>
              <w:t>1,091.6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1,006.9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540" w:hanging="180"/>
        <w:jc w:val="both"/>
        <w:rPr>
          <w:sz w:val="20"/>
          <w:szCs w:val="20"/>
        </w:rPr>
      </w:pPr>
      <w:r>
        <w:rPr>
          <w:sz w:val="20"/>
          <w:szCs w:val="20"/>
        </w:rPr>
        <w:t xml:space="preserve">* Representing 111 property interests and 22.4 million square feet of GLA, as of </w:t>
      </w:r>
      <w:r>
        <w:rPr>
          <w:rStyle w:val="a6"/>
          <w:sz w:val="20"/>
          <w:szCs w:val="20"/>
        </w:rPr>
        <w:t xml:space="preserve">December 31, 2022, </w:t>
      </w:r>
      <w:r>
        <w:rPr>
          <w:sz w:val="20"/>
          <w:szCs w:val="20"/>
        </w:rPr>
        <w:t xml:space="preserve">and 120 </w:t>
      </w:r>
      <w:r>
        <w:rPr>
          <w:sz w:val="20"/>
          <w:szCs w:val="20"/>
        </w:rPr>
        <w:t xml:space="preserve">property interests and 24.7 million square feet of GLA, as of </w:t>
      </w:r>
      <w:r>
        <w:rPr>
          <w:rStyle w:val="a6"/>
          <w:sz w:val="20"/>
          <w:szCs w:val="20"/>
        </w:rPr>
        <w:t>December 31, 2021.</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89"/>
        <w:gridCol w:w="6117"/>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2022,</w:t>
            </w:r>
            <w:r>
              <w:rPr>
                <w:sz w:val="20"/>
                <w:szCs w:val="20"/>
              </w:rPr>
              <w:t xml:space="preserve"> the Company purchased additional ownership interests for $55.1 million, including the General Partner’s ownership interest from Milton Cooper, Executive Cha</w:t>
            </w:r>
            <w:r>
              <w:rPr>
                <w:sz w:val="20"/>
                <w:szCs w:val="20"/>
              </w:rPr>
              <w:t xml:space="preserve">irman of the Board of Directors of the Company, for $0.1 million. There was </w:t>
            </w:r>
            <w:r>
              <w:rPr>
                <w:rStyle w:val="a6"/>
                <w:sz w:val="20"/>
                <w:szCs w:val="20"/>
              </w:rPr>
              <w:t>no</w:t>
            </w:r>
            <w:r>
              <w:rPr>
                <w:sz w:val="20"/>
                <w:szCs w:val="20"/>
              </w:rPr>
              <w:t xml:space="preserve"> change in control as a result of these transactions.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2021,</w:t>
            </w:r>
            <w:r>
              <w:rPr>
                <w:sz w:val="20"/>
                <w:szCs w:val="20"/>
              </w:rPr>
              <w:t xml:space="preserve"> </w:t>
            </w:r>
            <w:r>
              <w:rPr>
                <w:sz w:val="20"/>
                <w:szCs w:val="20"/>
              </w:rPr>
              <w:t xml:space="preserve">the Company entered into a new joint venture with BREIT in which it contributed six properties for a gross sales price of $425.8 million. See Footnote </w:t>
            </w:r>
            <w:r>
              <w:rPr>
                <w:rStyle w:val="a6"/>
                <w:sz w:val="20"/>
                <w:szCs w:val="20"/>
              </w:rPr>
              <w:t>5</w:t>
            </w:r>
            <w:r>
              <w:rPr>
                <w:sz w:val="20"/>
                <w:szCs w:val="20"/>
              </w:rPr>
              <w:t xml:space="preserve"> of the Notes to Consolidated Financial Statements for the operating properties disposed of by the Compa</w:t>
            </w:r>
            <w:r>
              <w:rPr>
                <w:sz w:val="20"/>
                <w:szCs w:val="20"/>
              </w:rPr>
              <w:t>ny.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02032249"/>
        <w:rPr>
          <w:rFonts w:eastAsia="Times New Roman"/>
          <w:sz w:val="20"/>
          <w:szCs w:val="20"/>
        </w:rPr>
      </w:pPr>
      <w:r>
        <w:rPr>
          <w:rStyle w:val="a6"/>
          <w:rFonts w:eastAsia="Times New Roman"/>
          <w:sz w:val="20"/>
          <w:szCs w:val="20"/>
        </w:rPr>
        <w:t>74</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09" style="width:415.3pt;height:1.5pt" o:hralign="center" o:hrstd="t" o:hrnoshade="t" o:hr="t" fillcolor="black" stroked="f"/>
        </w:pict>
      </w:r>
    </w:p>
    <w:p w:rsidR="00000000" w:rsidRDefault="006954AA">
      <w:pPr>
        <w:divId w:val="1004479376"/>
        <w:rPr>
          <w:rFonts w:eastAsia="Times New Roman"/>
          <w:sz w:val="20"/>
          <w:szCs w:val="20"/>
        </w:rPr>
      </w:pPr>
      <w:r>
        <w:rPr>
          <w:rFonts w:eastAsia="Times New Roman"/>
          <w:sz w:val="20"/>
          <w:szCs w:val="20"/>
        </w:rPr>
        <w:t xml:space="preserve">  </w:t>
      </w:r>
    </w:p>
    <w:p w:rsidR="00000000" w:rsidRDefault="006954AA">
      <w:pPr>
        <w:jc w:val="center"/>
        <w:divId w:val="1690598339"/>
        <w:rPr>
          <w:rFonts w:eastAsia="Times New Roman"/>
          <w:sz w:val="20"/>
          <w:szCs w:val="20"/>
        </w:rPr>
      </w:pPr>
      <w:r>
        <w:rPr>
          <w:rFonts w:eastAsia="Times New Roman"/>
          <w:sz w:val="20"/>
          <w:szCs w:val="20"/>
        </w:rPr>
        <w:t xml:space="preserve">KIMCO REALTY CORPORATION AND SUBSIDIARIES </w:t>
      </w:r>
    </w:p>
    <w:p w:rsidR="00000000" w:rsidRDefault="006954AA">
      <w:pPr>
        <w:divId w:val="609972052"/>
        <w:rPr>
          <w:rFonts w:eastAsia="Times New Roman"/>
          <w:sz w:val="20"/>
          <w:szCs w:val="20"/>
        </w:rPr>
      </w:pPr>
      <w:r>
        <w:rPr>
          <w:rFonts w:eastAsia="Times New Roman"/>
          <w:sz w:val="20"/>
          <w:szCs w:val="20"/>
        </w:rPr>
        <w:t xml:space="preserve">  </w:t>
      </w:r>
    </w:p>
    <w:p w:rsidR="00000000" w:rsidRDefault="006954AA">
      <w:pPr>
        <w:jc w:val="center"/>
        <w:divId w:val="1203977221"/>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t</w:t>
      </w:r>
      <w:r>
        <w:rPr>
          <w:sz w:val="20"/>
          <w:szCs w:val="20"/>
        </w:rPr>
        <w:t>able below presents the Company’s share of net income for these investments which is included in Equity in income of joint ventures, net on the Company’s Consolidated Statements of Income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70.3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12.0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109.5</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84.8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47.4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2022,</w:t>
            </w:r>
            <w:r>
              <w:rPr>
                <w:sz w:val="20"/>
                <w:szCs w:val="20"/>
              </w:rPr>
              <w:t xml:space="preserve"> </w:t>
            </w:r>
            <w:r>
              <w:rPr>
                <w:sz w:val="20"/>
                <w:szCs w:val="20"/>
              </w:rPr>
              <w:t>the Prudential Investment Program recognized an impairment charge on a property of $15.1 million, of which the Company’s share was $2.3 million.</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2022,</w:t>
      </w:r>
      <w:r>
        <w:rPr>
          <w:sz w:val="20"/>
          <w:szCs w:val="20"/>
        </w:rPr>
        <w:t xml:space="preserve"> certain of the Company’s real estate joint ventures disposed of </w:t>
      </w:r>
      <w:r>
        <w:rPr>
          <w:rStyle w:val="a6"/>
          <w:sz w:val="20"/>
          <w:szCs w:val="20"/>
        </w:rPr>
        <w:t>nine</w:t>
      </w:r>
      <w:r>
        <w:rPr>
          <w:sz w:val="20"/>
          <w:szCs w:val="20"/>
        </w:rPr>
        <w:t xml:space="preserve"> properties and</w:t>
      </w:r>
      <w:r>
        <w:rPr>
          <w:sz w:val="20"/>
          <w:szCs w:val="20"/>
        </w:rPr>
        <w:t xml:space="preserve"> </w:t>
      </w:r>
      <w:r>
        <w:rPr>
          <w:sz w:val="20"/>
          <w:szCs w:val="20"/>
        </w:rPr>
        <w:t>tw</w:t>
      </w:r>
      <w:r>
        <w:rPr>
          <w:sz w:val="20"/>
          <w:szCs w:val="20"/>
        </w:rPr>
        <w:t>o</w:t>
      </w:r>
      <w:r>
        <w:rPr>
          <w:sz w:val="20"/>
          <w:szCs w:val="20"/>
        </w:rPr>
        <w:t xml:space="preserve"> parcels</w:t>
      </w:r>
      <w:r>
        <w:rPr>
          <w:sz w:val="20"/>
          <w:szCs w:val="20"/>
        </w:rPr>
        <w:t xml:space="preserve">, in separate transactions, for an aggregate sales price of $349.1 million. These transactions resulted in an aggregate net gain to the Company of $39.3 million for the year ended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w:t>
      </w:r>
      <w:r>
        <w:rPr>
          <w:sz w:val="20"/>
          <w:szCs w:val="20"/>
        </w:rPr>
        <w:t>certain of the Company’s real estate joint ventures disposed of four properties and one parcel, in separate transactions, for an aggregate sales price of $88.9 million. These transactions resulted in an aggregate net gain to the Company of $9.9 million for</w:t>
      </w:r>
      <w:r>
        <w:rPr>
          <w:sz w:val="20"/>
          <w:szCs w:val="20"/>
        </w:rPr>
        <w:t xml:space="preserve"> the year ended </w:t>
      </w:r>
      <w:r>
        <w:rPr>
          <w:rStyle w:val="a6"/>
          <w:sz w:val="20"/>
          <w:szCs w:val="20"/>
        </w:rPr>
        <w:t>December 31, 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connection with the Merger, the Company acquired ownership in nine unconsolidated joint ventures, which had a fair market value of $586.2 </w:t>
      </w:r>
      <w:r>
        <w:rPr>
          <w:sz w:val="20"/>
          <w:szCs w:val="20"/>
        </w:rPr>
        <w:t>million at the time of Merger. These joint ventures represented 30 property interests and 4.4 million square feet of GLA.</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addition, during </w:t>
      </w:r>
      <w:r>
        <w:rPr>
          <w:rStyle w:val="a6"/>
          <w:sz w:val="20"/>
          <w:szCs w:val="20"/>
        </w:rPr>
        <w:t>2021,</w:t>
      </w:r>
      <w:r>
        <w:rPr>
          <w:sz w:val="20"/>
          <w:szCs w:val="20"/>
        </w:rPr>
        <w:t xml:space="preserve"> the Company acquired a controlling interest in nine operating properties from certain joint ventures, in s</w:t>
      </w:r>
      <w:r>
        <w:rPr>
          <w:sz w:val="20"/>
          <w:szCs w:val="20"/>
        </w:rPr>
        <w:t>eparate transactions, with an aggregate gross fair value of $780.1 million. The Company evaluated these transactions pursuant to the FASB’s Consolidation guidance and as a result, recognized net gains on change in control of interests of $5.0 million, in a</w:t>
      </w:r>
      <w:r>
        <w:rPr>
          <w:sz w:val="20"/>
          <w:szCs w:val="20"/>
        </w:rPr>
        <w:t xml:space="preserve">ggregate, resulting from the fair value adjustments associated with the Company’s previously held equity interests. See Footnote </w:t>
      </w:r>
      <w:r>
        <w:rPr>
          <w:rStyle w:val="a6"/>
          <w:sz w:val="20"/>
          <w:szCs w:val="20"/>
        </w:rPr>
        <w:t>4</w:t>
      </w:r>
      <w:r>
        <w:rPr>
          <w:sz w:val="20"/>
          <w:szCs w:val="20"/>
        </w:rPr>
        <w:t xml:space="preserve"> of the Notes to Consolidated Financial Statements for the operating properties acquired by the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table below pre</w:t>
      </w:r>
      <w:r>
        <w:rPr>
          <w:sz w:val="20"/>
          <w:szCs w:val="20"/>
        </w:rPr>
        <w:t xml:space="preserve">sents debt balances within the Company’s unconsolidated joint venture investments for which the Company held noncontrolling ownership interests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(dollars in millions):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1685"/>
        <w:gridCol w:w="50"/>
        <w:gridCol w:w="101"/>
        <w:gridCol w:w="828"/>
        <w:gridCol w:w="50"/>
        <w:gridCol w:w="50"/>
        <w:gridCol w:w="75"/>
        <w:gridCol w:w="748"/>
        <w:gridCol w:w="167"/>
        <w:gridCol w:w="50"/>
        <w:gridCol w:w="85"/>
        <w:gridCol w:w="849"/>
        <w:gridCol w:w="50"/>
        <w:gridCol w:w="50"/>
        <w:gridCol w:w="101"/>
        <w:gridCol w:w="828"/>
        <w:gridCol w:w="50"/>
        <w:gridCol w:w="50"/>
        <w:gridCol w:w="75"/>
        <w:gridCol w:w="748"/>
        <w:gridCol w:w="167"/>
        <w:gridCol w:w="50"/>
        <w:gridCol w:w="85"/>
        <w:gridCol w:w="849"/>
        <w:gridCol w:w="5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1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Joint Venture</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Mortgages and</w:t>
            </w:r>
          </w:p>
          <w:p w:rsidR="00000000" w:rsidRDefault="006954AA">
            <w:pPr>
              <w:pStyle w:val="a3"/>
              <w:spacing w:before="0" w:beforeAutospacing="0" w:after="0" w:afterAutospacing="0"/>
              <w:jc w:val="center"/>
              <w:rPr>
                <w:sz w:val="20"/>
                <w:szCs w:val="20"/>
              </w:rPr>
            </w:pPr>
            <w:r>
              <w:rPr>
                <w:b/>
                <w:bCs/>
                <w:sz w:val="20"/>
                <w:szCs w:val="20"/>
              </w:rPr>
              <w:t>Notes Payable, Net</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w:t>
            </w:r>
          </w:p>
          <w:p w:rsidR="00000000" w:rsidRDefault="006954AA">
            <w:pPr>
              <w:pStyle w:val="a3"/>
              <w:spacing w:before="0" w:beforeAutospacing="0" w:after="0" w:afterAutospacing="0"/>
              <w:jc w:val="center"/>
              <w:rPr>
                <w:sz w:val="20"/>
                <w:szCs w:val="20"/>
              </w:rPr>
            </w:pPr>
            <w:r>
              <w:rPr>
                <w:b/>
                <w:bCs/>
                <w:sz w:val="20"/>
                <w:szCs w:val="20"/>
              </w:rPr>
              <w:t xml:space="preserve">Average </w:t>
            </w:r>
          </w:p>
          <w:p w:rsidR="00000000" w:rsidRDefault="006954AA">
            <w:pPr>
              <w:pStyle w:val="a3"/>
              <w:spacing w:before="0" w:beforeAutospacing="0" w:after="0" w:afterAutospacing="0"/>
              <w:jc w:val="center"/>
              <w:rPr>
                <w:sz w:val="20"/>
                <w:szCs w:val="20"/>
              </w:rPr>
            </w:pPr>
            <w:r>
              <w:rPr>
                <w:b/>
                <w:bCs/>
                <w:sz w:val="20"/>
                <w:szCs w:val="20"/>
              </w:rPr>
              <w:t>Interest</w:t>
            </w:r>
          </w:p>
          <w:p w:rsidR="00000000" w:rsidRDefault="006954AA">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w:t>
            </w:r>
          </w:p>
          <w:p w:rsidR="00000000" w:rsidRDefault="006954AA">
            <w:pPr>
              <w:pStyle w:val="a3"/>
              <w:spacing w:before="0" w:beforeAutospacing="0" w:after="0" w:afterAutospacing="0"/>
              <w:jc w:val="center"/>
              <w:rPr>
                <w:sz w:val="20"/>
                <w:szCs w:val="20"/>
              </w:rPr>
            </w:pPr>
            <w:r>
              <w:rPr>
                <w:b/>
                <w:bCs/>
                <w:sz w:val="20"/>
                <w:szCs w:val="20"/>
              </w:rPr>
              <w:t xml:space="preserve">Average </w:t>
            </w:r>
          </w:p>
          <w:p w:rsidR="00000000" w:rsidRDefault="006954AA">
            <w:pPr>
              <w:pStyle w:val="a3"/>
              <w:spacing w:before="0" w:beforeAutospacing="0" w:after="0" w:afterAutospacing="0"/>
              <w:jc w:val="center"/>
              <w:rPr>
                <w:sz w:val="20"/>
                <w:szCs w:val="20"/>
              </w:rPr>
            </w:pPr>
            <w:r>
              <w:rPr>
                <w:b/>
                <w:bCs/>
                <w:sz w:val="20"/>
                <w:szCs w:val="20"/>
              </w:rPr>
              <w:t xml:space="preserve">Remaining </w:t>
            </w:r>
          </w:p>
          <w:p w:rsidR="00000000" w:rsidRDefault="006954AA">
            <w:pPr>
              <w:pStyle w:val="a3"/>
              <w:spacing w:before="0" w:beforeAutospacing="0" w:after="0" w:afterAutospacing="0"/>
              <w:jc w:val="center"/>
              <w:rPr>
                <w:sz w:val="20"/>
                <w:szCs w:val="20"/>
              </w:rPr>
            </w:pPr>
            <w:r>
              <w:rPr>
                <w:b/>
                <w:bCs/>
                <w:sz w:val="20"/>
                <w:szCs w:val="20"/>
              </w:rPr>
              <w:t xml:space="preserve">Term </w:t>
            </w:r>
          </w:p>
          <w:p w:rsidR="00000000" w:rsidRDefault="006954AA">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Mortgages and</w:t>
            </w:r>
          </w:p>
          <w:p w:rsidR="00000000" w:rsidRDefault="006954AA">
            <w:pPr>
              <w:pStyle w:val="a3"/>
              <w:spacing w:before="0" w:beforeAutospacing="0" w:after="0" w:afterAutospacing="0"/>
              <w:jc w:val="center"/>
              <w:rPr>
                <w:sz w:val="20"/>
                <w:szCs w:val="20"/>
              </w:rPr>
            </w:pPr>
            <w:r>
              <w:rPr>
                <w:b/>
                <w:bCs/>
                <w:sz w:val="20"/>
                <w:szCs w:val="20"/>
              </w:rPr>
              <w:t>Notes Payable, Net</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w:t>
            </w:r>
          </w:p>
          <w:p w:rsidR="00000000" w:rsidRDefault="006954AA">
            <w:pPr>
              <w:pStyle w:val="a3"/>
              <w:spacing w:before="0" w:beforeAutospacing="0" w:after="0" w:afterAutospacing="0"/>
              <w:jc w:val="center"/>
              <w:rPr>
                <w:sz w:val="20"/>
                <w:szCs w:val="20"/>
              </w:rPr>
            </w:pPr>
            <w:r>
              <w:rPr>
                <w:b/>
                <w:bCs/>
                <w:sz w:val="20"/>
                <w:szCs w:val="20"/>
              </w:rPr>
              <w:t>Average</w:t>
            </w:r>
          </w:p>
          <w:p w:rsidR="00000000" w:rsidRDefault="006954AA">
            <w:pPr>
              <w:pStyle w:val="a3"/>
              <w:spacing w:before="0" w:beforeAutospacing="0" w:after="0" w:afterAutospacing="0"/>
              <w:jc w:val="center"/>
              <w:rPr>
                <w:sz w:val="20"/>
                <w:szCs w:val="20"/>
              </w:rPr>
            </w:pPr>
            <w:r>
              <w:rPr>
                <w:b/>
                <w:bCs/>
                <w:sz w:val="20"/>
                <w:szCs w:val="20"/>
              </w:rPr>
              <w:t xml:space="preserve">Interest </w:t>
            </w:r>
          </w:p>
          <w:p w:rsidR="00000000" w:rsidRDefault="006954AA">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Weighted </w:t>
            </w:r>
          </w:p>
          <w:p w:rsidR="00000000" w:rsidRDefault="006954AA">
            <w:pPr>
              <w:pStyle w:val="a3"/>
              <w:spacing w:before="0" w:beforeAutospacing="0" w:after="0" w:afterAutospacing="0"/>
              <w:jc w:val="center"/>
              <w:rPr>
                <w:sz w:val="20"/>
                <w:szCs w:val="20"/>
              </w:rPr>
            </w:pPr>
            <w:r>
              <w:rPr>
                <w:b/>
                <w:bCs/>
                <w:sz w:val="20"/>
                <w:szCs w:val="20"/>
              </w:rPr>
              <w:t xml:space="preserve">Average </w:t>
            </w:r>
          </w:p>
          <w:p w:rsidR="00000000" w:rsidRDefault="006954AA">
            <w:pPr>
              <w:pStyle w:val="a3"/>
              <w:spacing w:before="0" w:beforeAutospacing="0" w:after="0" w:afterAutospacing="0"/>
              <w:jc w:val="center"/>
              <w:rPr>
                <w:sz w:val="20"/>
                <w:szCs w:val="20"/>
              </w:rPr>
            </w:pPr>
            <w:r>
              <w:rPr>
                <w:b/>
                <w:bCs/>
                <w:sz w:val="20"/>
                <w:szCs w:val="20"/>
              </w:rPr>
              <w:t xml:space="preserve">Remaining </w:t>
            </w:r>
          </w:p>
          <w:p w:rsidR="00000000" w:rsidRDefault="006954AA">
            <w:pPr>
              <w:pStyle w:val="a3"/>
              <w:spacing w:before="0" w:beforeAutospacing="0" w:after="0" w:afterAutospacing="0"/>
              <w:jc w:val="center"/>
              <w:rPr>
                <w:sz w:val="20"/>
                <w:szCs w:val="20"/>
              </w:rPr>
            </w:pPr>
            <w:r>
              <w:rPr>
                <w:b/>
                <w:bCs/>
                <w:sz w:val="20"/>
                <w:szCs w:val="20"/>
              </w:rPr>
              <w:t xml:space="preserve">Term </w:t>
            </w:r>
          </w:p>
          <w:p w:rsidR="00000000" w:rsidRDefault="006954AA">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380.1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5.20</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426.9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2.02</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297.9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5.46</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492.6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2.55</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6.14</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233.5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4.30</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232.9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388.8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4.10</w:t>
            </w:r>
          </w:p>
        </w:tc>
        <w:tc>
          <w:tcPr>
            <w:tcW w:w="50" w:type="pct"/>
            <w:shd w:val="clear" w:color="auto" w:fill="CCEEFF"/>
            <w:tcMar>
              <w:top w:w="0" w:type="dxa"/>
              <w:left w:w="0" w:type="dxa"/>
              <w:bottom w:w="15" w:type="dxa"/>
              <w:right w:w="0" w:type="dxa"/>
            </w:tcMar>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71.8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402.1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3.58</w:t>
            </w:r>
          </w:p>
        </w:tc>
        <w:tc>
          <w:tcPr>
            <w:tcW w:w="50" w:type="pct"/>
            <w:shd w:val="clear" w:color="auto" w:fill="CCEEFF"/>
            <w:tcMar>
              <w:top w:w="0" w:type="dxa"/>
              <w:left w:w="0" w:type="dxa"/>
              <w:bottom w:w="15" w:type="dxa"/>
              <w:right w:w="0" w:type="dxa"/>
            </w:tcMar>
            <w:vAlign w:val="bottom"/>
            <w:hideMark/>
          </w:tcPr>
          <w:p w:rsidR="00000000" w:rsidRDefault="006954AA">
            <w:pPr>
              <w:pStyle w:val="a3"/>
              <w:spacing w:before="0" w:beforeAutospacing="0" w:after="0" w:afterAutospacing="0"/>
              <w:rPr>
                <w:sz w:val="20"/>
                <w:szCs w:val="20"/>
              </w:rPr>
            </w:pPr>
            <w:r>
              <w:rPr>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83.0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1,383.4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1,638.7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Average remaining term includes extensions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880290981"/>
        <w:rPr>
          <w:rFonts w:eastAsia="Times New Roman"/>
          <w:sz w:val="20"/>
          <w:szCs w:val="20"/>
        </w:rPr>
      </w:pPr>
      <w:r>
        <w:rPr>
          <w:rStyle w:val="a6"/>
          <w:rFonts w:eastAsia="Times New Roman"/>
          <w:sz w:val="20"/>
          <w:szCs w:val="20"/>
        </w:rPr>
        <w:t>75</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0" style="width:415.3pt;height:1.5pt" o:hralign="center" o:hrstd="t" o:hrnoshade="t" o:hr="t" fillcolor="black" stroked="f"/>
        </w:pict>
      </w:r>
    </w:p>
    <w:p w:rsidR="00000000" w:rsidRDefault="006954AA">
      <w:pPr>
        <w:divId w:val="1076052060"/>
        <w:rPr>
          <w:rFonts w:eastAsia="Times New Roman"/>
          <w:sz w:val="20"/>
          <w:szCs w:val="20"/>
        </w:rPr>
      </w:pPr>
      <w:r>
        <w:rPr>
          <w:rFonts w:eastAsia="Times New Roman"/>
          <w:sz w:val="20"/>
          <w:szCs w:val="20"/>
        </w:rPr>
        <w:t xml:space="preserve">  </w:t>
      </w:r>
    </w:p>
    <w:p w:rsidR="00000000" w:rsidRDefault="006954AA">
      <w:pPr>
        <w:jc w:val="center"/>
        <w:divId w:val="641694094"/>
        <w:rPr>
          <w:rFonts w:eastAsia="Times New Roman"/>
          <w:sz w:val="20"/>
          <w:szCs w:val="20"/>
        </w:rPr>
      </w:pPr>
      <w:r>
        <w:rPr>
          <w:rFonts w:eastAsia="Times New Roman"/>
          <w:sz w:val="20"/>
          <w:szCs w:val="20"/>
        </w:rPr>
        <w:t xml:space="preserve">KIMCO REALTY CORPORATION AND SUBSIDIARIES </w:t>
      </w:r>
    </w:p>
    <w:p w:rsidR="00000000" w:rsidRDefault="006954AA">
      <w:pPr>
        <w:divId w:val="2009794607"/>
        <w:rPr>
          <w:rFonts w:eastAsia="Times New Roman"/>
          <w:sz w:val="20"/>
          <w:szCs w:val="20"/>
        </w:rPr>
      </w:pPr>
      <w:r>
        <w:rPr>
          <w:rFonts w:eastAsia="Times New Roman"/>
          <w:sz w:val="20"/>
          <w:szCs w:val="20"/>
        </w:rPr>
        <w:t xml:space="preserve">  </w:t>
      </w:r>
    </w:p>
    <w:p w:rsidR="00000000" w:rsidRDefault="006954AA">
      <w:pPr>
        <w:jc w:val="center"/>
        <w:divId w:val="2029789404"/>
        <w:rPr>
          <w:rFonts w:eastAsia="Times New Roman"/>
          <w:sz w:val="20"/>
          <w:szCs w:val="20"/>
        </w:rPr>
      </w:pPr>
      <w:r>
        <w:rPr>
          <w:rFonts w:eastAsia="Times New Roman"/>
          <w:sz w:val="20"/>
          <w:szCs w:val="20"/>
        </w:rPr>
        <w:t>NOTES TO CONSOLIDATED FINAN</w:t>
      </w:r>
      <w:r>
        <w:rPr>
          <w:rFonts w:eastAsia="Times New Roman"/>
          <w:sz w:val="20"/>
          <w:szCs w:val="20"/>
        </w:rPr>
        <w:t xml:space="preserve">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As of the date of the Merger, the Company acquired ownership in</w:t>
      </w:r>
      <w:r>
        <w:rPr>
          <w:sz w:val="20"/>
          <w:szCs w:val="20"/>
        </w:rPr>
        <w:t xml:space="preserve"> </w:t>
      </w:r>
      <w:r>
        <w:rPr>
          <w:sz w:val="20"/>
          <w:szCs w:val="20"/>
        </w:rPr>
        <w:t>nin</w:t>
      </w:r>
      <w:r>
        <w:rPr>
          <w:sz w:val="20"/>
          <w:szCs w:val="20"/>
        </w:rPr>
        <w:t>e</w:t>
      </w:r>
      <w:r>
        <w:rPr>
          <w:sz w:val="20"/>
          <w:szCs w:val="20"/>
        </w:rPr>
        <w:t xml:space="preserve"> unconsolidated joint ventures, which had an aggregate of $191.5 million of secured debt (including a fair market value adjustment of $0.8 million).</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Uncons</w:t>
      </w:r>
      <w:r>
        <w:rPr>
          <w:i/>
          <w:iCs/>
          <w:sz w:val="20"/>
          <w:szCs w:val="20"/>
        </w:rPr>
        <w:t>olidated Significant Subsidiaries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accordance with Rules </w:t>
      </w:r>
      <w:r>
        <w:rPr>
          <w:rStyle w:val="a6"/>
          <w:sz w:val="20"/>
          <w:szCs w:val="20"/>
        </w:rPr>
        <w:t>3</w:t>
      </w:r>
      <w:r>
        <w:rPr>
          <w:sz w:val="20"/>
          <w:szCs w:val="20"/>
        </w:rPr>
        <w:t>-</w:t>
      </w:r>
      <w:r>
        <w:rPr>
          <w:rStyle w:val="a6"/>
          <w:sz w:val="20"/>
          <w:szCs w:val="20"/>
        </w:rPr>
        <w:t>09</w:t>
      </w:r>
      <w:r>
        <w:rPr>
          <w:sz w:val="20"/>
          <w:szCs w:val="20"/>
        </w:rPr>
        <w:t xml:space="preserve"> and </w:t>
      </w:r>
      <w:r>
        <w:rPr>
          <w:rStyle w:val="a6"/>
          <w:sz w:val="20"/>
          <w:szCs w:val="20"/>
        </w:rPr>
        <w:t>4</w:t>
      </w:r>
      <w:r>
        <w:rPr>
          <w:sz w:val="20"/>
          <w:szCs w:val="20"/>
        </w:rPr>
        <w:t>-</w:t>
      </w:r>
      <w:r>
        <w:rPr>
          <w:rStyle w:val="a6"/>
          <w:sz w:val="20"/>
          <w:szCs w:val="20"/>
        </w:rPr>
        <w:t>08</w:t>
      </w:r>
      <w:r>
        <w:rPr>
          <w:sz w:val="20"/>
          <w:szCs w:val="20"/>
        </w:rPr>
        <w:t>(g) of Regulation S-</w:t>
      </w:r>
      <w:r>
        <w:rPr>
          <w:rStyle w:val="a6"/>
          <w:sz w:val="20"/>
          <w:szCs w:val="20"/>
        </w:rPr>
        <w:t>X,</w:t>
      </w:r>
      <w:r>
        <w:rPr>
          <w:sz w:val="20"/>
          <w:szCs w:val="20"/>
        </w:rPr>
        <w:t xml:space="preserve"> the Company must determine which of its unconsolidated investments, if any, are considered “significant subsidiaries.” In evaluating these investments, there a</w:t>
      </w:r>
      <w:r>
        <w:rPr>
          <w:sz w:val="20"/>
          <w:szCs w:val="20"/>
        </w:rPr>
        <w:t xml:space="preserve">re </w:t>
      </w:r>
      <w:r>
        <w:rPr>
          <w:rStyle w:val="a6"/>
          <w:sz w:val="20"/>
          <w:szCs w:val="20"/>
        </w:rPr>
        <w:t>three</w:t>
      </w:r>
      <w:r>
        <w:rPr>
          <w:sz w:val="20"/>
          <w:szCs w:val="20"/>
        </w:rPr>
        <w:t xml:space="preserve"> tests utilized to determine if any unconsolidated subsidiaries are considered significant subsidiaries: the investment test, the asset test and the income test. Rule </w:t>
      </w:r>
      <w:r>
        <w:rPr>
          <w:rStyle w:val="a6"/>
          <w:sz w:val="20"/>
          <w:szCs w:val="20"/>
        </w:rPr>
        <w:t>3</w:t>
      </w:r>
      <w:r>
        <w:rPr>
          <w:sz w:val="20"/>
          <w:szCs w:val="20"/>
        </w:rPr>
        <w:t>-</w:t>
      </w:r>
      <w:r>
        <w:rPr>
          <w:rStyle w:val="a6"/>
          <w:sz w:val="20"/>
          <w:szCs w:val="20"/>
        </w:rPr>
        <w:t>09</w:t>
      </w:r>
      <w:r>
        <w:rPr>
          <w:sz w:val="20"/>
          <w:szCs w:val="20"/>
        </w:rPr>
        <w:t xml:space="preserve"> of Regulation S-</w:t>
      </w:r>
      <w:r>
        <w:rPr>
          <w:rStyle w:val="a6"/>
          <w:sz w:val="20"/>
          <w:szCs w:val="20"/>
        </w:rPr>
        <w:t>X</w:t>
      </w:r>
      <w:r>
        <w:rPr>
          <w:sz w:val="20"/>
          <w:szCs w:val="20"/>
        </w:rPr>
        <w:t xml:space="preserve"> requires the Company to include separate audited financial</w:t>
      </w:r>
      <w:r>
        <w:rPr>
          <w:sz w:val="20"/>
          <w:szCs w:val="20"/>
        </w:rPr>
        <w:t xml:space="preserve"> statements of any unconsolidated majority-owned subsidiary (unconsolidated subsidiaries in which the Company owns greater than </w:t>
      </w:r>
      <w:r>
        <w:rPr>
          <w:rStyle w:val="a6"/>
          <w:sz w:val="20"/>
          <w:szCs w:val="20"/>
        </w:rPr>
        <w:t>50%</w:t>
      </w:r>
      <w:r>
        <w:rPr>
          <w:sz w:val="20"/>
          <w:szCs w:val="20"/>
        </w:rPr>
        <w:t xml:space="preserve"> of the voting securities) in an annual report if any of the </w:t>
      </w:r>
      <w:r>
        <w:rPr>
          <w:rStyle w:val="a6"/>
          <w:sz w:val="20"/>
          <w:szCs w:val="20"/>
        </w:rPr>
        <w:t>three</w:t>
      </w:r>
      <w:r>
        <w:rPr>
          <w:sz w:val="20"/>
          <w:szCs w:val="20"/>
        </w:rPr>
        <w:t xml:space="preserve"> tests exceed </w:t>
      </w:r>
      <w:r>
        <w:rPr>
          <w:rStyle w:val="a6"/>
          <w:sz w:val="20"/>
          <w:szCs w:val="20"/>
        </w:rPr>
        <w:t>20%.</w:t>
      </w:r>
      <w:r>
        <w:rPr>
          <w:sz w:val="20"/>
          <w:szCs w:val="20"/>
        </w:rPr>
        <w:t xml:space="preserve"> Rule </w:t>
      </w:r>
      <w:r>
        <w:rPr>
          <w:rStyle w:val="a6"/>
          <w:sz w:val="20"/>
          <w:szCs w:val="20"/>
        </w:rPr>
        <w:t>4</w:t>
      </w:r>
      <w:r>
        <w:rPr>
          <w:sz w:val="20"/>
          <w:szCs w:val="20"/>
        </w:rPr>
        <w:t>-</w:t>
      </w:r>
      <w:r>
        <w:rPr>
          <w:rStyle w:val="a6"/>
          <w:sz w:val="20"/>
          <w:szCs w:val="20"/>
        </w:rPr>
        <w:t>08</w:t>
      </w:r>
      <w:r>
        <w:rPr>
          <w:sz w:val="20"/>
          <w:szCs w:val="20"/>
        </w:rPr>
        <w:t>(g) of Regulation S-</w:t>
      </w:r>
      <w:r>
        <w:rPr>
          <w:rStyle w:val="a6"/>
          <w:sz w:val="20"/>
          <w:szCs w:val="20"/>
        </w:rPr>
        <w:t>X</w:t>
      </w:r>
      <w:r>
        <w:rPr>
          <w:sz w:val="20"/>
          <w:szCs w:val="20"/>
        </w:rPr>
        <w:t xml:space="preserve"> requires </w:t>
      </w:r>
      <w:r>
        <w:rPr>
          <w:sz w:val="20"/>
          <w:szCs w:val="20"/>
        </w:rPr>
        <w:t xml:space="preserve">summarized financial information of unconsolidated subsidiaries in an annual report if any of the </w:t>
      </w:r>
      <w:r>
        <w:rPr>
          <w:rStyle w:val="a6"/>
          <w:sz w:val="20"/>
          <w:szCs w:val="20"/>
        </w:rPr>
        <w:t>three</w:t>
      </w:r>
      <w:r>
        <w:rPr>
          <w:sz w:val="20"/>
          <w:szCs w:val="20"/>
        </w:rPr>
        <w:t xml:space="preserve"> tests exceeds </w:t>
      </w:r>
      <w:r>
        <w:rPr>
          <w:rStyle w:val="a6"/>
          <w:sz w:val="20"/>
          <w:szCs w:val="20"/>
        </w:rPr>
        <w:t>10%,</w:t>
      </w:r>
      <w:r>
        <w:rPr>
          <w:sz w:val="20"/>
          <w:szCs w:val="20"/>
        </w:rPr>
        <w:t xml:space="preserve"> and summarized financial information in a quarterly report if any of the </w:t>
      </w:r>
      <w:r>
        <w:rPr>
          <w:rStyle w:val="a6"/>
          <w:sz w:val="20"/>
          <w:szCs w:val="20"/>
        </w:rPr>
        <w:t>three</w:t>
      </w:r>
      <w:r>
        <w:rPr>
          <w:sz w:val="20"/>
          <w:szCs w:val="20"/>
        </w:rPr>
        <w:t xml:space="preserve"> tests exceeds </w:t>
      </w:r>
      <w:r>
        <w:rPr>
          <w:rStyle w:val="a6"/>
          <w:sz w:val="20"/>
          <w:szCs w:val="20"/>
        </w:rPr>
        <w:t>20%</w:t>
      </w:r>
      <w:r>
        <w:rPr>
          <w:sz w:val="20"/>
          <w:szCs w:val="20"/>
        </w:rPr>
        <w:t xml:space="preserve"> pursuant to Rule </w:t>
      </w:r>
      <w:r>
        <w:rPr>
          <w:rStyle w:val="a6"/>
          <w:sz w:val="20"/>
          <w:szCs w:val="20"/>
        </w:rPr>
        <w:t>10</w:t>
      </w:r>
      <w:r>
        <w:rPr>
          <w:sz w:val="20"/>
          <w:szCs w:val="20"/>
        </w:rPr>
        <w:t>-</w:t>
      </w:r>
      <w:r>
        <w:rPr>
          <w:rStyle w:val="a6"/>
          <w:sz w:val="20"/>
          <w:szCs w:val="20"/>
        </w:rPr>
        <w:t>01</w:t>
      </w:r>
      <w:r>
        <w:rPr>
          <w:sz w:val="20"/>
          <w:szCs w:val="20"/>
        </w:rPr>
        <w:t>(b)(</w:t>
      </w:r>
      <w:r>
        <w:rPr>
          <w:rStyle w:val="a6"/>
          <w:sz w:val="20"/>
          <w:szCs w:val="20"/>
        </w:rPr>
        <w:t>1</w:t>
      </w:r>
      <w:r>
        <w:rPr>
          <w:sz w:val="20"/>
          <w:szCs w:val="20"/>
        </w:rPr>
        <w:t>) of Regu</w:t>
      </w:r>
      <w:r>
        <w:rPr>
          <w:sz w:val="20"/>
          <w:szCs w:val="20"/>
        </w:rPr>
        <w:t>lation S-</w:t>
      </w:r>
      <w:r>
        <w:rPr>
          <w:rStyle w:val="a6"/>
          <w:sz w:val="20"/>
          <w:szCs w:val="20"/>
        </w:rPr>
        <w:t>X.</w:t>
      </w: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of </w:t>
      </w:r>
      <w:r>
        <w:rPr>
          <w:rStyle w:val="a6"/>
          <w:sz w:val="20"/>
          <w:szCs w:val="20"/>
        </w:rPr>
        <w:t>December 31,</w:t>
      </w:r>
      <w:r>
        <w:rPr>
          <w:sz w:val="20"/>
          <w:szCs w:val="20"/>
        </w:rPr>
        <w:t xml:space="preserve"> </w:t>
      </w:r>
      <w:r>
        <w:rPr>
          <w:rStyle w:val="a6"/>
          <w:sz w:val="20"/>
          <w:szCs w:val="20"/>
        </w:rPr>
        <w:t>2022,</w:t>
      </w:r>
      <w:r>
        <w:rPr>
          <w:sz w:val="20"/>
          <w:szCs w:val="20"/>
        </w:rPr>
        <w:t xml:space="preserve"> </w:t>
      </w:r>
      <w:r>
        <w:rPr>
          <w:sz w:val="20"/>
          <w:szCs w:val="20"/>
        </w:rPr>
        <w:t xml:space="preserve">the Company held an unconsolidated investment in KIR which the Company determined was significant under the income test and requires summarized financial information under Rule </w:t>
      </w:r>
      <w:r>
        <w:rPr>
          <w:rStyle w:val="a6"/>
          <w:sz w:val="20"/>
          <w:szCs w:val="20"/>
        </w:rPr>
        <w:t>4</w:t>
      </w:r>
      <w:r>
        <w:rPr>
          <w:sz w:val="20"/>
          <w:szCs w:val="20"/>
        </w:rPr>
        <w:t>-</w:t>
      </w:r>
      <w:r>
        <w:rPr>
          <w:rStyle w:val="a6"/>
          <w:sz w:val="20"/>
          <w:szCs w:val="20"/>
        </w:rPr>
        <w:t>08</w:t>
      </w:r>
      <w:r>
        <w:rPr>
          <w:sz w:val="20"/>
          <w:szCs w:val="20"/>
        </w:rPr>
        <w:t>(g) of Regulation S-</w:t>
      </w:r>
      <w:r>
        <w:rPr>
          <w:rStyle w:val="a6"/>
          <w:sz w:val="20"/>
          <w:szCs w:val="20"/>
        </w:rPr>
        <w:t>X.</w:t>
      </w:r>
      <w:r>
        <w:rPr>
          <w:sz w:val="20"/>
          <w:szCs w:val="20"/>
        </w:rPr>
        <w:t>  The Company holds a 52.1% noncontrolling limited pa</w:t>
      </w:r>
      <w:r>
        <w:rPr>
          <w:sz w:val="20"/>
          <w:szCs w:val="20"/>
        </w:rPr>
        <w:t>rtnership interest in KIR and has a master management agreement whereby the Company performs services for fees relating to the management, operation, supervision and maintenance of the joint venture properties. The following table shows summarized unaudite</w:t>
      </w:r>
      <w:r>
        <w:rPr>
          <w:sz w:val="20"/>
          <w:szCs w:val="20"/>
        </w:rPr>
        <w:t>d financial information for KIR, as follows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668.7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769.4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Other assets,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72.4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68.2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741.1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837.6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Liabilities and Members’ Capital:</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Notes payable,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272.9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258.8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Other liabilities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Members’ capital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429.3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328.9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Liabilities and Members’ Capital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741.1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837.6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Revenues,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173.9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(49.5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(36.9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Net 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154.4</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74.8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62.1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Summarized financial information for the Company’</w:t>
      </w:r>
      <w:r>
        <w:rPr>
          <w:sz w:val="20"/>
          <w:szCs w:val="20"/>
        </w:rPr>
        <w:t>s investment in and advances to all other real estate joint ventures is as follows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3,440.1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3,619.4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Other assets,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208.4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193.8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3,648.5</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3,813.2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Liabilities and Members’ Capital:</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Notes payable,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159.5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199.0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Mortgages payable,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925.9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947.2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Other liabilities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73.8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Members’ capital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2,450.8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2,560.6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Liabilities and Members’ Capital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3,648.5</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3,813.2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288172295"/>
        <w:rPr>
          <w:rFonts w:eastAsia="Times New Roman"/>
          <w:sz w:val="20"/>
          <w:szCs w:val="20"/>
        </w:rPr>
      </w:pPr>
      <w:r>
        <w:rPr>
          <w:rStyle w:val="a6"/>
          <w:rFonts w:eastAsia="Times New Roman"/>
          <w:sz w:val="20"/>
          <w:szCs w:val="20"/>
        </w:rPr>
        <w:t>76</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1" style="width:415.3pt;height:1.5pt" o:hralign="center" o:hrstd="t" o:hrnoshade="t" o:hr="t" fillcolor="black" stroked="f"/>
        </w:pict>
      </w:r>
    </w:p>
    <w:p w:rsidR="00000000" w:rsidRDefault="006954AA">
      <w:pPr>
        <w:divId w:val="2086027221"/>
        <w:rPr>
          <w:rFonts w:eastAsia="Times New Roman"/>
          <w:sz w:val="20"/>
          <w:szCs w:val="20"/>
        </w:rPr>
      </w:pPr>
      <w:r>
        <w:rPr>
          <w:rFonts w:eastAsia="Times New Roman"/>
          <w:sz w:val="20"/>
          <w:szCs w:val="20"/>
        </w:rPr>
        <w:t xml:space="preserve">  </w:t>
      </w:r>
    </w:p>
    <w:p w:rsidR="00000000" w:rsidRDefault="006954AA">
      <w:pPr>
        <w:jc w:val="center"/>
        <w:divId w:val="2040080771"/>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560597407"/>
        <w:rPr>
          <w:rFonts w:eastAsia="Times New Roman"/>
          <w:sz w:val="20"/>
          <w:szCs w:val="20"/>
        </w:rPr>
      </w:pPr>
      <w:r>
        <w:rPr>
          <w:rFonts w:eastAsia="Times New Roman"/>
          <w:sz w:val="20"/>
          <w:szCs w:val="20"/>
        </w:rPr>
        <w:t xml:space="preserve">  </w:t>
      </w:r>
    </w:p>
    <w:p w:rsidR="00000000" w:rsidRDefault="006954AA">
      <w:pPr>
        <w:jc w:val="center"/>
        <w:divId w:val="1979411117"/>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tbl>
      <w:tblPr>
        <w:tblW w:w="4500" w:type="pct"/>
        <w:tblCellSpacing w:w="0" w:type="dxa"/>
        <w:tblInd w:w="72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Revenues,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340.3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282.4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(111.7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(101.9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Impairment charges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Depreciation and amortization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(119.0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0.2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Interest expense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expense,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108.1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59.3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Other liabilities included in the Company’</w:t>
      </w:r>
      <w:r>
        <w:rPr>
          <w:sz w:val="20"/>
          <w:szCs w:val="20"/>
        </w:rPr>
        <w:t xml:space="preserve">s accompanying Consolidated Balance Sheets include investments in certain real estate joint ventures totaling $5.3 million and $4.8 million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respectively. The Company has varying equity interests in these real estate joint ven</w:t>
      </w:r>
      <w:r>
        <w:rPr>
          <w:sz w:val="20"/>
          <w:szCs w:val="20"/>
        </w:rPr>
        <w:t xml:space="preserve">tures, which </w:t>
      </w:r>
      <w:r>
        <w:rPr>
          <w:rStyle w:val="a6"/>
          <w:sz w:val="20"/>
          <w:szCs w:val="20"/>
        </w:rPr>
        <w:t xml:space="preserve">may </w:t>
      </w:r>
      <w:r>
        <w:rPr>
          <w:sz w:val="20"/>
          <w:szCs w:val="20"/>
        </w:rPr>
        <w:t>differ from their proportionate share of net income or loss recognized in accordance with GAAP.</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w:t>
      </w:r>
      <w:r>
        <w:rPr>
          <w:sz w:val="20"/>
          <w:szCs w:val="20"/>
        </w:rPr>
        <w:t xml:space="preserve">s maximum exposure to losses associated with its unconsolidated joint ventures is primarily limited to its carrying value in these investments. Generally, such investments contain operating properties and the Company has determined these entities do </w:t>
      </w:r>
      <w:r>
        <w:rPr>
          <w:rStyle w:val="a6"/>
          <w:sz w:val="20"/>
          <w:szCs w:val="20"/>
        </w:rPr>
        <w:t>not</w:t>
      </w:r>
      <w:r>
        <w:rPr>
          <w:sz w:val="20"/>
          <w:szCs w:val="20"/>
        </w:rPr>
        <w:t xml:space="preserve"> co</w:t>
      </w:r>
      <w:r>
        <w:rPr>
          <w:sz w:val="20"/>
          <w:szCs w:val="20"/>
        </w:rPr>
        <w:t xml:space="preserve">ntain the characteristics of a VIE.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Company’s carrying value in these investments was $1.1 billion and $1.0 billion,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divId w:val="141855868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8.</w:t>
      </w:r>
      <w:r>
        <w:rPr>
          <w:sz w:val="20"/>
          <w:szCs w:val="20"/>
        </w:rPr>
        <w:t>    </w:t>
      </w:r>
      <w:r>
        <w:rPr>
          <w:sz w:val="20"/>
          <w:szCs w:val="20"/>
          <w:u w:val="single"/>
        </w:rPr>
        <w:t>Other Investments: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has provided capital to owners and develope</w:t>
      </w:r>
      <w:r>
        <w:rPr>
          <w:sz w:val="20"/>
          <w:szCs w:val="20"/>
        </w:rPr>
        <w:t xml:space="preserve">rs of real estate properties and loans through its Preferred Equity program. The Company’s maximum exposure to losses associated with its preferred equity investments is primarily limited to its net investment. As of </w:t>
      </w:r>
      <w:r>
        <w:rPr>
          <w:rStyle w:val="a6"/>
          <w:sz w:val="20"/>
          <w:szCs w:val="20"/>
        </w:rPr>
        <w:t xml:space="preserve">December 31, 2022, </w:t>
      </w:r>
      <w:r>
        <w:rPr>
          <w:sz w:val="20"/>
          <w:szCs w:val="20"/>
        </w:rPr>
        <w:t>the Company’s net in</w:t>
      </w:r>
      <w:r>
        <w:rPr>
          <w:sz w:val="20"/>
          <w:szCs w:val="20"/>
        </w:rPr>
        <w:t xml:space="preserve">vestment under the Preferred Equity program was $69.4 million relating to 12 properties. As of </w:t>
      </w:r>
      <w:r>
        <w:rPr>
          <w:rStyle w:val="a6"/>
          <w:sz w:val="20"/>
          <w:szCs w:val="20"/>
        </w:rPr>
        <w:t xml:space="preserve">December 31, 2021, </w:t>
      </w:r>
      <w:r>
        <w:rPr>
          <w:sz w:val="20"/>
          <w:szCs w:val="20"/>
        </w:rPr>
        <w:t xml:space="preserve">the Company’s net investment under the Preferred Equity program was $98.7 million relating to 39 properties. During </w:t>
      </w:r>
      <w:r>
        <w:rPr>
          <w:rStyle w:val="a6"/>
          <w:sz w:val="20"/>
          <w:szCs w:val="20"/>
        </w:rPr>
        <w:t>2022</w:t>
      </w:r>
      <w:r>
        <w:rPr>
          <w:sz w:val="20"/>
          <w:szCs w:val="20"/>
        </w:rPr>
        <w:t xml:space="preserve"> and </w:t>
      </w:r>
      <w:r>
        <w:rPr>
          <w:rStyle w:val="a6"/>
          <w:sz w:val="20"/>
          <w:szCs w:val="20"/>
        </w:rPr>
        <w:t>2021,</w:t>
      </w:r>
      <w:r>
        <w:rPr>
          <w:sz w:val="20"/>
          <w:szCs w:val="20"/>
        </w:rPr>
        <w:t xml:space="preserve"> the Company</w:t>
      </w:r>
      <w:r>
        <w:rPr>
          <w:sz w:val="20"/>
          <w:szCs w:val="20"/>
        </w:rPr>
        <w:t xml:space="preserve"> recognized equity in income of $16.9 million and $21.4 million from its preferred equity investments,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the Company invested $60.7 million in </w:t>
      </w:r>
      <w:r>
        <w:rPr>
          <w:rStyle w:val="a6"/>
          <w:sz w:val="20"/>
          <w:szCs w:val="20"/>
        </w:rPr>
        <w:t>four</w:t>
      </w:r>
      <w:r>
        <w:rPr>
          <w:sz w:val="20"/>
          <w:szCs w:val="20"/>
        </w:rPr>
        <w:t xml:space="preserve"> new investments, including a preferred equity investment of $54.9 million in a pr</w:t>
      </w:r>
      <w:r>
        <w:rPr>
          <w:sz w:val="20"/>
          <w:szCs w:val="20"/>
        </w:rPr>
        <w:t>operty located in San Antonio, TX.</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2022, </w:t>
      </w:r>
      <w:r>
        <w:rPr>
          <w:sz w:val="20"/>
          <w:szCs w:val="20"/>
        </w:rPr>
        <w:t>these preferred equity investment properties had non-recourse mortgage loans aggregating $232.8 million. These loans have scheduled maturities ranging from less than</w:t>
      </w:r>
      <w:r>
        <w:rPr>
          <w:sz w:val="20"/>
          <w:szCs w:val="20"/>
        </w:rPr>
        <w:t xml:space="preserve"> </w:t>
      </w:r>
      <w:r>
        <w:rPr>
          <w:sz w:val="20"/>
          <w:szCs w:val="20"/>
        </w:rPr>
        <w:t>on</w:t>
      </w:r>
      <w:r>
        <w:rPr>
          <w:sz w:val="20"/>
          <w:szCs w:val="20"/>
        </w:rPr>
        <w:t>e</w:t>
      </w:r>
      <w:r>
        <w:rPr>
          <w:sz w:val="20"/>
          <w:szCs w:val="20"/>
        </w:rPr>
        <w:t xml:space="preserve"> year to</w:t>
      </w:r>
      <w:r>
        <w:rPr>
          <w:sz w:val="20"/>
          <w:szCs w:val="20"/>
        </w:rPr>
        <w:t xml:space="preserve"> </w:t>
      </w:r>
      <w:r>
        <w:rPr>
          <w:sz w:val="20"/>
          <w:szCs w:val="20"/>
        </w:rPr>
        <w:t>1.</w:t>
      </w:r>
      <w:r>
        <w:rPr>
          <w:sz w:val="20"/>
          <w:szCs w:val="20"/>
        </w:rPr>
        <w:t>5</w:t>
      </w:r>
      <w:r>
        <w:rPr>
          <w:sz w:val="20"/>
          <w:szCs w:val="20"/>
        </w:rPr>
        <w:t> years and be</w:t>
      </w:r>
      <w:r>
        <w:rPr>
          <w:sz w:val="20"/>
          <w:szCs w:val="20"/>
        </w:rPr>
        <w:t xml:space="preserve">ar interest at rates ranging from 4.19% to Secured Overnight Financing Rate ("SOFR") plus 265 basis points (6.78% as of </w:t>
      </w:r>
      <w:r>
        <w:rPr>
          <w:rStyle w:val="a6"/>
          <w:sz w:val="20"/>
          <w:szCs w:val="20"/>
        </w:rPr>
        <w:t xml:space="preserve">December 31, 2022). </w:t>
      </w:r>
      <w:r>
        <w:rPr>
          <w:sz w:val="20"/>
          <w:szCs w:val="20"/>
        </w:rPr>
        <w:t>Due to the Company’s preferred position in these investments, the Company’s share of each investment is subject to f</w:t>
      </w:r>
      <w:r>
        <w:rPr>
          <w:sz w:val="20"/>
          <w:szCs w:val="20"/>
        </w:rPr>
        <w:t>luctuation and is dependent upon property cash flows. The Company’s maximum exposure to losses associated with its preferred equity investments is primarily limited to its invested capital.</w:t>
      </w:r>
    </w:p>
    <w:p w:rsidR="00000000" w:rsidRDefault="006954AA">
      <w:pPr>
        <w:pStyle w:val="a3"/>
        <w:spacing w:before="0" w:beforeAutospacing="0" w:after="0" w:afterAutospacing="0"/>
        <w:rPr>
          <w:sz w:val="20"/>
          <w:szCs w:val="20"/>
        </w:rPr>
      </w:pPr>
      <w:r>
        <w:rPr>
          <w:sz w:val="20"/>
          <w:szCs w:val="20"/>
        </w:rPr>
        <w:t> </w:t>
      </w:r>
    </w:p>
    <w:p w:rsidR="00000000" w:rsidRDefault="006954AA">
      <w:pPr>
        <w:divId w:val="3351037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9.</w:t>
      </w:r>
      <w:r>
        <w:rPr>
          <w:sz w:val="20"/>
          <w:szCs w:val="20"/>
        </w:rPr>
        <w:t>    </w:t>
      </w:r>
      <w:r>
        <w:rPr>
          <w:sz w:val="20"/>
          <w:szCs w:val="20"/>
          <w:u w:val="single"/>
        </w:rPr>
        <w:t>Marketable Securities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amortized cost and unreali</w:t>
      </w:r>
      <w:r>
        <w:rPr>
          <w:sz w:val="20"/>
          <w:szCs w:val="20"/>
        </w:rPr>
        <w:t xml:space="preserve">zed gains, net of marketable securities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are as follows (in thousands):</w:t>
      </w:r>
    </w:p>
    <w:p w:rsidR="00000000" w:rsidRDefault="006954AA">
      <w:pPr>
        <w:pStyle w:val="a3"/>
        <w:spacing w:before="0" w:beforeAutospacing="0" w:after="0" w:afterAutospacing="0"/>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4509"/>
        <w:gridCol w:w="62"/>
        <w:gridCol w:w="101"/>
        <w:gridCol w:w="1050"/>
        <w:gridCol w:w="62"/>
        <w:gridCol w:w="62"/>
        <w:gridCol w:w="100"/>
        <w:gridCol w:w="1051"/>
        <w:gridCol w:w="6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Marketable securities: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87,411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114,159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510,321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1,097,580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597,732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1,211,739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w:t>
      </w:r>
      <w:r>
        <w:rPr>
          <w:sz w:val="20"/>
          <w:szCs w:val="20"/>
        </w:rPr>
        <w:t xml:space="preserve">s net gains/(losses) on marketable securities and dividend income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is as follows (in thousands):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(Loss)/gain on marketable securities,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(315,508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505,163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Dividend income (included in Other income,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18,002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16,958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4,096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725834860"/>
        <w:rPr>
          <w:rFonts w:eastAsia="Times New Roman"/>
          <w:sz w:val="20"/>
          <w:szCs w:val="20"/>
        </w:rPr>
      </w:pPr>
      <w:r>
        <w:rPr>
          <w:rStyle w:val="a6"/>
          <w:rFonts w:eastAsia="Times New Roman"/>
          <w:sz w:val="20"/>
          <w:szCs w:val="20"/>
        </w:rPr>
        <w:t>77</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2" style="width:415.3pt;height:1.5pt" o:hralign="center" o:hrstd="t" o:hrnoshade="t" o:hr="t" fillcolor="black" stroked="f"/>
        </w:pict>
      </w:r>
    </w:p>
    <w:p w:rsidR="00000000" w:rsidRDefault="006954AA">
      <w:pPr>
        <w:divId w:val="173809870"/>
        <w:rPr>
          <w:rFonts w:eastAsia="Times New Roman"/>
          <w:sz w:val="20"/>
          <w:szCs w:val="20"/>
        </w:rPr>
      </w:pPr>
      <w:r>
        <w:rPr>
          <w:rFonts w:eastAsia="Times New Roman"/>
          <w:sz w:val="20"/>
          <w:szCs w:val="20"/>
        </w:rPr>
        <w:t xml:space="preserve">  </w:t>
      </w:r>
    </w:p>
    <w:p w:rsidR="00000000" w:rsidRDefault="006954AA">
      <w:pPr>
        <w:jc w:val="center"/>
        <w:divId w:val="17002947"/>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1595359389"/>
        <w:rPr>
          <w:rFonts w:eastAsia="Times New Roman"/>
          <w:sz w:val="20"/>
          <w:szCs w:val="20"/>
        </w:rPr>
      </w:pPr>
      <w:r>
        <w:rPr>
          <w:rFonts w:eastAsia="Times New Roman"/>
          <w:sz w:val="20"/>
          <w:szCs w:val="20"/>
        </w:rPr>
        <w:t xml:space="preserve">  </w:t>
      </w:r>
    </w:p>
    <w:p w:rsidR="00000000" w:rsidRDefault="006954AA">
      <w:pPr>
        <w:jc w:val="center"/>
        <w:divId w:val="839781692"/>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rPr>
          <w:sz w:val="20"/>
          <w:szCs w:val="20"/>
        </w:rPr>
      </w:pPr>
      <w:r>
        <w:rPr>
          <w:i/>
          <w:iCs/>
          <w:sz w:val="20"/>
          <w:szCs w:val="20"/>
        </w:rPr>
        <w:t>Albertsons Companies, Inc. (</w:t>
      </w:r>
      <w:r>
        <w:rPr>
          <w:sz w:val="20"/>
          <w:szCs w:val="20"/>
        </w:rPr>
        <w:t>“</w:t>
      </w:r>
      <w:r>
        <w:rPr>
          <w:i/>
          <w:iCs/>
          <w:sz w:val="20"/>
          <w:szCs w:val="20"/>
        </w:rPr>
        <w:t>ACI</w:t>
      </w:r>
      <w:r>
        <w:rPr>
          <w:sz w:val="20"/>
          <w:szCs w:val="20"/>
        </w:rPr>
        <w:t>”</w:t>
      </w:r>
      <w:r>
        <w:rPr>
          <w:i/>
          <w:iCs/>
          <w:sz w:val="20"/>
          <w:szCs w:val="20"/>
        </w:rPr>
        <w:t>)</w:t>
      </w:r>
      <w:r>
        <w:rPr>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October 2022, </w:t>
      </w:r>
      <w:r>
        <w:rPr>
          <w:sz w:val="20"/>
          <w:szCs w:val="20"/>
        </w:rPr>
        <w:t>the Company sold 11.5 million shares of </w:t>
      </w:r>
      <w:r>
        <w:rPr>
          <w:sz w:val="20"/>
          <w:szCs w:val="20"/>
        </w:rPr>
        <w:t xml:space="preserve">ACI held by the Company, generating net proceeds of $301.1 million. For tax purposes, the Company recognized a long-term capital gain of $251.5 million.  The Company elected to retain the proceeds for this stock sale for general corporate purposes and pay </w:t>
      </w:r>
      <w:r>
        <w:rPr>
          <w:sz w:val="20"/>
          <w:szCs w:val="20"/>
        </w:rPr>
        <w:t xml:space="preserve">corporate taxes of $57.2 million on the taxable gain. As of </w:t>
      </w:r>
      <w:r>
        <w:rPr>
          <w:rStyle w:val="a6"/>
          <w:sz w:val="20"/>
          <w:szCs w:val="20"/>
        </w:rPr>
        <w:t xml:space="preserve">December 31, 2022, </w:t>
      </w:r>
      <w:r>
        <w:rPr>
          <w:sz w:val="20"/>
          <w:szCs w:val="20"/>
        </w:rPr>
        <w:t xml:space="preserve">the Company holds 28.3 million shares of ACI, which had a value of $587.7 million, which are subject to certain contractual lock-up provisions that expire in </w:t>
      </w:r>
      <w:r>
        <w:rPr>
          <w:rStyle w:val="a6"/>
          <w:sz w:val="20"/>
          <w:szCs w:val="20"/>
        </w:rPr>
        <w:t>May 2023.</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October 13, 2022, </w:t>
      </w:r>
      <w:r>
        <w:rPr>
          <w:sz w:val="20"/>
          <w:szCs w:val="20"/>
        </w:rPr>
        <w:t>The Kroger Co. (“Kroger”) and ACI entered into a definitive merger agreement (“ACI Merger”), with Kroger continuing as the surviving public company. The ACI Merger is subject to numerous regulatory approvals and customary closing conditio</w:t>
      </w:r>
      <w:r>
        <w:rPr>
          <w:sz w:val="20"/>
          <w:szCs w:val="20"/>
        </w:rPr>
        <w:t xml:space="preserve">ns. Separate from the ACI Merger, on </w:t>
      </w:r>
      <w:r>
        <w:rPr>
          <w:rStyle w:val="a6"/>
          <w:sz w:val="20"/>
          <w:szCs w:val="20"/>
        </w:rPr>
        <w:t xml:space="preserve">October 13, 2022, </w:t>
      </w:r>
      <w:r>
        <w:rPr>
          <w:sz w:val="20"/>
          <w:szCs w:val="20"/>
        </w:rPr>
        <w:t xml:space="preserve">ACI declared a special cash dividend of $6.85 per share to ACI shareholders of record as of the close of business on </w:t>
      </w:r>
      <w:r>
        <w:rPr>
          <w:rStyle w:val="a6"/>
          <w:sz w:val="20"/>
          <w:szCs w:val="20"/>
        </w:rPr>
        <w:t xml:space="preserve">October 24, 2022 </w:t>
      </w:r>
      <w:r>
        <w:rPr>
          <w:sz w:val="20"/>
          <w:szCs w:val="20"/>
        </w:rPr>
        <w:t xml:space="preserve">and was scheduled to be paid on </w:t>
      </w:r>
      <w:r>
        <w:rPr>
          <w:rStyle w:val="a6"/>
          <w:sz w:val="20"/>
          <w:szCs w:val="20"/>
        </w:rPr>
        <w:t>November 7,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November 3, </w:t>
      </w:r>
      <w:r>
        <w:rPr>
          <w:rStyle w:val="a6"/>
          <w:sz w:val="20"/>
          <w:szCs w:val="20"/>
        </w:rPr>
        <w:t xml:space="preserve">2022, </w:t>
      </w:r>
      <w:r>
        <w:rPr>
          <w:sz w:val="20"/>
          <w:szCs w:val="20"/>
        </w:rPr>
        <w:t xml:space="preserve">the Superior Court of King County in the State of Washington issued an order temporarily restraining the payment of the special dividend in the case </w:t>
      </w:r>
      <w:r>
        <w:rPr>
          <w:i/>
          <w:iCs/>
          <w:sz w:val="20"/>
          <w:szCs w:val="20"/>
        </w:rPr>
        <w:t>State of Washington v. Albertsons Companies, Inc. et al.</w:t>
      </w:r>
      <w:r>
        <w:rPr>
          <w:sz w:val="20"/>
          <w:szCs w:val="20"/>
        </w:rPr>
        <w:t>, until a hearing on a motion for a prelimina</w:t>
      </w:r>
      <w:r>
        <w:rPr>
          <w:sz w:val="20"/>
          <w:szCs w:val="20"/>
        </w:rPr>
        <w:t xml:space="preserve">ry injunction could be held. On </w:t>
      </w:r>
      <w:r>
        <w:rPr>
          <w:rStyle w:val="a6"/>
          <w:sz w:val="20"/>
          <w:szCs w:val="20"/>
        </w:rPr>
        <w:t xml:space="preserve">December 9, 2022, </w:t>
      </w:r>
      <w:r>
        <w:rPr>
          <w:sz w:val="20"/>
          <w:szCs w:val="20"/>
        </w:rPr>
        <w:t>the Superior Court denied the motion for a preliminary injunction but extended the temporary restraining order for the Attorney General for the State of Washington to appeal to the Supreme Court of the Stat</w:t>
      </w:r>
      <w:r>
        <w:rPr>
          <w:sz w:val="20"/>
          <w:szCs w:val="20"/>
        </w:rPr>
        <w:t xml:space="preserve">e of Washington. Due to the contingency resulting from this unresolved litigation at </w:t>
      </w:r>
      <w:r>
        <w:rPr>
          <w:rStyle w:val="a6"/>
          <w:sz w:val="20"/>
          <w:szCs w:val="20"/>
        </w:rPr>
        <w:t xml:space="preserve">December 31, 2022, </w:t>
      </w:r>
      <w:r>
        <w:rPr>
          <w:sz w:val="20"/>
          <w:szCs w:val="20"/>
        </w:rPr>
        <w:t xml:space="preserve">the Company did </w:t>
      </w:r>
      <w:r>
        <w:rPr>
          <w:rStyle w:val="a6"/>
          <w:sz w:val="20"/>
          <w:szCs w:val="20"/>
        </w:rPr>
        <w:t>not</w:t>
      </w:r>
      <w:r>
        <w:rPr>
          <w:sz w:val="20"/>
          <w:szCs w:val="20"/>
        </w:rPr>
        <w:t xml:space="preserve"> recognize its share of the special dividend for the year ended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January 17, 2023, </w:t>
      </w:r>
      <w:r>
        <w:rPr>
          <w:sz w:val="20"/>
          <w:szCs w:val="20"/>
        </w:rPr>
        <w:t>the Supreme Court of the St</w:t>
      </w:r>
      <w:r>
        <w:rPr>
          <w:sz w:val="20"/>
          <w:szCs w:val="20"/>
        </w:rPr>
        <w:t>ate of Washington denied a motion by the Attorney General of the State of Washington to hear an appeal from the Superior Court’s denial to enjoin the Company from paying the Special Dividend. As a result of the decision by the Supreme Court of the State of</w:t>
      </w:r>
      <w:r>
        <w:rPr>
          <w:sz w:val="20"/>
          <w:szCs w:val="20"/>
        </w:rPr>
        <w:t xml:space="preserve"> Washington, the temporary restraining order preventing payment of the special dividend had also been lifted. On </w:t>
      </w:r>
      <w:r>
        <w:rPr>
          <w:rStyle w:val="a6"/>
          <w:sz w:val="20"/>
          <w:szCs w:val="20"/>
        </w:rPr>
        <w:t xml:space="preserve">January 20, 2023, </w:t>
      </w:r>
      <w:r>
        <w:rPr>
          <w:sz w:val="20"/>
          <w:szCs w:val="20"/>
        </w:rPr>
        <w:t xml:space="preserve">ACI distributed the special dividend to holders of record as of </w:t>
      </w:r>
      <w:r>
        <w:rPr>
          <w:rStyle w:val="a6"/>
          <w:sz w:val="20"/>
          <w:szCs w:val="20"/>
        </w:rPr>
        <w:t xml:space="preserve">October 24, 2022. </w:t>
      </w:r>
      <w:r>
        <w:rPr>
          <w:sz w:val="20"/>
          <w:szCs w:val="20"/>
        </w:rPr>
        <w:t>The Company received its share of the speci</w:t>
      </w:r>
      <w:r>
        <w:rPr>
          <w:sz w:val="20"/>
          <w:szCs w:val="20"/>
        </w:rPr>
        <w:t xml:space="preserve">al dividend payment of $194.1 million during </w:t>
      </w:r>
      <w:r>
        <w:rPr>
          <w:rStyle w:val="a6"/>
          <w:sz w:val="20"/>
          <w:szCs w:val="20"/>
        </w:rPr>
        <w:t xml:space="preserve">January 2023, </w:t>
      </w:r>
      <w:r>
        <w:rPr>
          <w:sz w:val="20"/>
          <w:szCs w:val="20"/>
        </w:rPr>
        <w:t xml:space="preserve">and will recognize this income during the </w:t>
      </w:r>
      <w:r>
        <w:rPr>
          <w:rStyle w:val="a6"/>
          <w:sz w:val="20"/>
          <w:szCs w:val="20"/>
        </w:rPr>
        <w:t>three</w:t>
      </w:r>
      <w:r>
        <w:rPr>
          <w:sz w:val="20"/>
          <w:szCs w:val="20"/>
        </w:rPr>
        <w:t xml:space="preserve"> months ending </w:t>
      </w:r>
      <w:r>
        <w:rPr>
          <w:rStyle w:val="a6"/>
          <w:sz w:val="20"/>
          <w:szCs w:val="20"/>
        </w:rPr>
        <w:t xml:space="preserve"> March 31, 2023.</w:t>
      </w:r>
    </w:p>
    <w:p w:rsidR="00000000" w:rsidRDefault="006954AA">
      <w:pPr>
        <w:pStyle w:val="a3"/>
        <w:spacing w:before="0" w:beforeAutospacing="0" w:after="0" w:afterAutospacing="0"/>
        <w:rPr>
          <w:sz w:val="20"/>
          <w:szCs w:val="20"/>
        </w:rPr>
      </w:pPr>
      <w:r>
        <w:rPr>
          <w:sz w:val="20"/>
          <w:szCs w:val="20"/>
        </w:rPr>
        <w:t> </w:t>
      </w:r>
    </w:p>
    <w:p w:rsidR="00000000" w:rsidRDefault="006954AA">
      <w:pPr>
        <w:divId w:val="342779594"/>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10.</w:t>
      </w:r>
      <w:r>
        <w:rPr>
          <w:sz w:val="20"/>
          <w:szCs w:val="20"/>
        </w:rPr>
        <w:t>  </w:t>
      </w:r>
      <w:r>
        <w:rPr>
          <w:sz w:val="20"/>
          <w:szCs w:val="20"/>
          <w:u w:val="single"/>
        </w:rPr>
        <w:t>Accounts and Notes Receivable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components of Accounts and notes receivable, net of potentially uncollec</w:t>
      </w:r>
      <w:r>
        <w:rPr>
          <w:sz w:val="20"/>
          <w:szCs w:val="20"/>
        </w:rPr>
        <w:t xml:space="preserve">tible amounts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are as follows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5015"/>
        <w:gridCol w:w="73"/>
        <w:gridCol w:w="101"/>
        <w:gridCol w:w="1189"/>
        <w:gridCol w:w="74"/>
        <w:gridCol w:w="74"/>
        <w:gridCol w:w="101"/>
        <w:gridCol w:w="1190"/>
        <w:gridCol w:w="74"/>
      </w:tblGrid>
      <w:tr w:rsidR="00000000">
        <w:trPr>
          <w:tblCellSpacing w:w="0" w:type="dxa"/>
        </w:trPr>
        <w:tc>
          <w:tcPr>
            <w:tcW w:w="3150" w:type="pct"/>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c>
          <w:tcPr>
            <w:tcW w:w="50" w:type="pct"/>
            <w:tcMar>
              <w:top w:w="0" w:type="dxa"/>
              <w:left w:w="0" w:type="dxa"/>
              <w:bottom w:w="15" w:type="dxa"/>
              <w:right w:w="0" w:type="dxa"/>
            </w:tcMar>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CCEEFF"/>
            <w:vAlign w:val="bottom"/>
            <w:hideMark/>
          </w:tcPr>
          <w:p w:rsidR="00000000" w:rsidRDefault="006954AA">
            <w:pPr>
              <w:pStyle w:val="a3"/>
              <w:spacing w:before="0" w:beforeAutospacing="0" w:after="0" w:afterAutospacing="0"/>
              <w:jc w:val="both"/>
              <w:rPr>
                <w:sz w:val="20"/>
                <w:szCs w:val="20"/>
              </w:rPr>
            </w:pPr>
            <w:r>
              <w:rPr>
                <w:sz w:val="20"/>
                <w:szCs w:val="20"/>
              </w:rPr>
              <w:t>Billed tenant receivables</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33,801</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20,970</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FFFFFF"/>
            <w:vAlign w:val="bottom"/>
            <w:hideMark/>
          </w:tcPr>
          <w:p w:rsidR="00000000" w:rsidRDefault="006954AA">
            <w:pPr>
              <w:pStyle w:val="a3"/>
              <w:spacing w:before="0" w:beforeAutospacing="0" w:after="0" w:afterAutospacing="0"/>
              <w:jc w:val="both"/>
              <w:rPr>
                <w:sz w:val="20"/>
                <w:szCs w:val="20"/>
              </w:rPr>
            </w:pPr>
            <w:r>
              <w:rPr>
                <w:sz w:val="20"/>
                <w:szCs w:val="20"/>
              </w:rPr>
              <w:t>Unbilled common area maintenance, insurance and tax reimbursements</w:t>
            </w:r>
          </w:p>
        </w:tc>
        <w:tc>
          <w:tcPr>
            <w:tcW w:w="50" w:type="pct"/>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56,001</w:t>
            </w:r>
          </w:p>
        </w:tc>
        <w:tc>
          <w:tcPr>
            <w:tcW w:w="50" w:type="pct"/>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55,283</w:t>
            </w:r>
          </w:p>
        </w:tc>
        <w:tc>
          <w:tcPr>
            <w:tcW w:w="50" w:type="pct"/>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CCEEFF"/>
            <w:vAlign w:val="bottom"/>
            <w:hideMark/>
          </w:tcPr>
          <w:p w:rsidR="00000000" w:rsidRDefault="006954AA">
            <w:pPr>
              <w:pStyle w:val="a3"/>
              <w:spacing w:before="0" w:beforeAutospacing="0" w:after="0" w:afterAutospacing="0"/>
              <w:jc w:val="both"/>
              <w:rPr>
                <w:sz w:val="20"/>
                <w:szCs w:val="20"/>
              </w:rPr>
            </w:pPr>
            <w:r>
              <w:rPr>
                <w:sz w:val="20"/>
                <w:szCs w:val="20"/>
              </w:rPr>
              <w:t>Deferred rent receivables</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1,905</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5,029</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Defined benefit plan receivable</w:t>
            </w:r>
          </w:p>
        </w:tc>
        <w:tc>
          <w:tcPr>
            <w:tcW w:w="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FFFFFF"/>
            <w:vAlign w:val="center"/>
            <w:hideMark/>
          </w:tcPr>
          <w:p w:rsidR="00000000" w:rsidRDefault="006954AA">
            <w:pPr>
              <w:jc w:val="right"/>
              <w:rPr>
                <w:rFonts w:eastAsia="Times New Roman"/>
                <w:sz w:val="20"/>
                <w:szCs w:val="20"/>
              </w:rPr>
            </w:pPr>
            <w:r>
              <w:rPr>
                <w:rFonts w:eastAsia="Times New Roman"/>
                <w:sz w:val="20"/>
                <w:szCs w:val="20"/>
              </w:rPr>
              <w:t>14,421</w:t>
            </w:r>
          </w:p>
        </w:tc>
        <w:tc>
          <w:tcPr>
            <w:tcW w:w="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FFFFFF"/>
            <w:vAlign w:val="center"/>
            <w:hideMark/>
          </w:tcPr>
          <w:p w:rsidR="00000000" w:rsidRDefault="006954AA">
            <w:pPr>
              <w:jc w:val="right"/>
              <w:rPr>
                <w:rFonts w:eastAsia="Times New Roman"/>
                <w:sz w:val="20"/>
                <w:szCs w:val="20"/>
              </w:rPr>
            </w:pPr>
            <w:r>
              <w:rPr>
                <w:rFonts w:eastAsia="Times New Roman"/>
                <w:sz w:val="20"/>
                <w:szCs w:val="20"/>
              </w:rPr>
              <w:t>6,658</w:t>
            </w:r>
          </w:p>
        </w:tc>
        <w:tc>
          <w:tcPr>
            <w:tcW w:w="50" w:type="pct"/>
            <w:shd w:val="clear" w:color="auto" w:fill="FFFFFF"/>
            <w:vAlign w:val="center"/>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CCEEFF"/>
            <w:vAlign w:val="bottom"/>
            <w:hideMark/>
          </w:tcPr>
          <w:p w:rsidR="00000000" w:rsidRDefault="006954AA">
            <w:pPr>
              <w:pStyle w:val="a3"/>
              <w:spacing w:before="0" w:beforeAutospacing="0" w:after="0" w:afterAutospacing="0"/>
              <w:jc w:val="both"/>
              <w:rPr>
                <w:sz w:val="20"/>
                <w:szCs w:val="20"/>
              </w:rPr>
            </w:pPr>
            <w:r>
              <w:rPr>
                <w:sz w:val="20"/>
                <w:szCs w:val="20"/>
              </w:rPr>
              <w:t>Other receivables</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8,361</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9,067</w:t>
            </w:r>
          </w:p>
        </w:tc>
        <w:tc>
          <w:tcPr>
            <w:tcW w:w="50" w:type="pct"/>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FFFFFF"/>
            <w:vAlign w:val="bottom"/>
            <w:hideMark/>
          </w:tcPr>
          <w:p w:rsidR="00000000" w:rsidRDefault="006954AA">
            <w:pPr>
              <w:pStyle w:val="a3"/>
              <w:spacing w:before="0" w:beforeAutospacing="0" w:after="0" w:afterAutospacing="0"/>
              <w:jc w:val="both"/>
              <w:rPr>
                <w:sz w:val="20"/>
                <w:szCs w:val="20"/>
              </w:rPr>
            </w:pPr>
            <w:r>
              <w:rPr>
                <w:sz w:val="20"/>
                <w:szCs w:val="20"/>
              </w:rPr>
              <w:t>Straight-line rent receivables</w:t>
            </w:r>
          </w:p>
        </w:tc>
        <w:tc>
          <w:tcPr>
            <w:tcW w:w="50" w:type="pct"/>
            <w:shd w:val="clear" w:color="auto" w:fill="FFFFFF"/>
            <w:tcMar>
              <w:top w:w="0" w:type="dxa"/>
              <w:left w:w="0" w:type="dxa"/>
              <w:bottom w:w="15" w:type="dxa"/>
              <w:right w:w="0" w:type="dxa"/>
            </w:tcMar>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189,737</w:t>
            </w:r>
          </w:p>
        </w:tc>
        <w:tc>
          <w:tcPr>
            <w:tcW w:w="50" w:type="pct"/>
            <w:shd w:val="clear" w:color="auto" w:fill="FFFFFF"/>
            <w:tcMar>
              <w:top w:w="0" w:type="dxa"/>
              <w:left w:w="0" w:type="dxa"/>
              <w:bottom w:w="15" w:type="dxa"/>
              <w:right w:w="0" w:type="dxa"/>
            </w:tcMar>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jc w:val="both"/>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157,670</w:t>
            </w:r>
          </w:p>
        </w:tc>
        <w:tc>
          <w:tcPr>
            <w:tcW w:w="50" w:type="pct"/>
            <w:shd w:val="clear" w:color="auto" w:fill="FFFFFF"/>
            <w:tcMar>
              <w:top w:w="0" w:type="dxa"/>
              <w:left w:w="0" w:type="dxa"/>
              <w:bottom w:w="15" w:type="dxa"/>
              <w:right w:w="0" w:type="dxa"/>
            </w:tcMar>
            <w:vAlign w:val="bottom"/>
            <w:hideMark/>
          </w:tcPr>
          <w:p w:rsidR="00000000" w:rsidRDefault="006954AA">
            <w:pPr>
              <w:jc w:val="both"/>
              <w:rPr>
                <w:rFonts w:eastAsia="Times New Roman"/>
                <w:sz w:val="20"/>
                <w:szCs w:val="20"/>
              </w:rPr>
            </w:pPr>
            <w:r>
              <w:rPr>
                <w:rFonts w:eastAsia="Times New Roman"/>
                <w:sz w:val="20"/>
                <w:szCs w:val="20"/>
              </w:rPr>
              <w:t> </w:t>
            </w:r>
          </w:p>
        </w:tc>
      </w:tr>
      <w:tr w:rsidR="00000000">
        <w:trPr>
          <w:tblCellSpacing w:w="0" w:type="dxa"/>
        </w:trPr>
        <w:tc>
          <w:tcPr>
            <w:tcW w:w="3150" w:type="pct"/>
            <w:shd w:val="clear" w:color="auto" w:fill="CCEEFF"/>
            <w:vAlign w:val="bottom"/>
            <w:hideMark/>
          </w:tcPr>
          <w:p w:rsidR="00000000" w:rsidRDefault="006954AA">
            <w:pPr>
              <w:pStyle w:val="a3"/>
              <w:spacing w:before="0" w:beforeAutospacing="0" w:after="0" w:afterAutospacing="0"/>
              <w:jc w:val="both"/>
              <w:rPr>
                <w:sz w:val="20"/>
                <w:szCs w:val="20"/>
              </w:rPr>
            </w:pPr>
            <w:r>
              <w:rPr>
                <w:sz w:val="20"/>
                <w:szCs w:val="20"/>
              </w:rPr>
              <w:t>Total accounts and notes receivable,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304,226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254,677</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397217301"/>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rStyle w:val="a6"/>
          <w:sz w:val="20"/>
          <w:szCs w:val="20"/>
        </w:rPr>
        <w:t>11.</w:t>
      </w:r>
      <w:r>
        <w:rPr>
          <w:sz w:val="20"/>
          <w:szCs w:val="20"/>
        </w:rPr>
        <w:t>  </w:t>
      </w:r>
      <w:r>
        <w:rPr>
          <w:sz w:val="20"/>
          <w:szCs w:val="20"/>
          <w:u w:val="single"/>
        </w:rPr>
        <w:t>Leases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Lessor Leases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898631518"/>
        <w:rPr>
          <w:rFonts w:eastAsia="Times New Roman"/>
          <w:sz w:val="20"/>
          <w:szCs w:val="20"/>
        </w:rPr>
      </w:pPr>
      <w:r>
        <w:rPr>
          <w:rStyle w:val="a6"/>
          <w:rFonts w:eastAsia="Times New Roman"/>
          <w:sz w:val="20"/>
          <w:szCs w:val="20"/>
        </w:rPr>
        <w:t>78</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3" style="width:415.3pt;height:1.5pt" o:hralign="center" o:hrstd="t" o:hrnoshade="t" o:hr="t" fillcolor="black" stroked="f"/>
        </w:pict>
      </w:r>
    </w:p>
    <w:p w:rsidR="00000000" w:rsidRDefault="006954AA">
      <w:pPr>
        <w:divId w:val="409010491"/>
        <w:rPr>
          <w:rFonts w:eastAsia="Times New Roman"/>
          <w:sz w:val="20"/>
          <w:szCs w:val="20"/>
        </w:rPr>
      </w:pPr>
      <w:r>
        <w:rPr>
          <w:rFonts w:eastAsia="Times New Roman"/>
          <w:sz w:val="20"/>
          <w:szCs w:val="20"/>
        </w:rPr>
        <w:t xml:space="preserve">  </w:t>
      </w:r>
    </w:p>
    <w:p w:rsidR="00000000" w:rsidRDefault="006954AA">
      <w:pPr>
        <w:jc w:val="center"/>
        <w:divId w:val="1061834152"/>
        <w:rPr>
          <w:rFonts w:eastAsia="Times New Roman"/>
          <w:sz w:val="20"/>
          <w:szCs w:val="20"/>
        </w:rPr>
      </w:pPr>
      <w:r>
        <w:rPr>
          <w:rFonts w:eastAsia="Times New Roman"/>
          <w:sz w:val="20"/>
          <w:szCs w:val="20"/>
        </w:rPr>
        <w:t xml:space="preserve">KIMCO REALTY CORPORATION AND SUBSIDIARIES </w:t>
      </w:r>
    </w:p>
    <w:p w:rsidR="00000000" w:rsidRDefault="006954AA">
      <w:pPr>
        <w:divId w:val="1115948263"/>
        <w:rPr>
          <w:rFonts w:eastAsia="Times New Roman"/>
          <w:sz w:val="20"/>
          <w:szCs w:val="20"/>
        </w:rPr>
      </w:pPr>
      <w:r>
        <w:rPr>
          <w:rFonts w:eastAsia="Times New Roman"/>
          <w:sz w:val="20"/>
          <w:szCs w:val="20"/>
        </w:rPr>
        <w:t xml:space="preserve">  </w:t>
      </w:r>
    </w:p>
    <w:p w:rsidR="00000000" w:rsidRDefault="006954AA">
      <w:pPr>
        <w:jc w:val="center"/>
        <w:divId w:val="440029562"/>
        <w:rPr>
          <w:rFonts w:eastAsia="Times New Roman"/>
          <w:sz w:val="20"/>
          <w:szCs w:val="20"/>
        </w:rPr>
      </w:pPr>
      <w:r>
        <w:rPr>
          <w:rFonts w:eastAsia="Times New Roman"/>
          <w:sz w:val="20"/>
          <w:szCs w:val="20"/>
        </w:rPr>
        <w:t>NOTES TO CONSOLIDATED FINANCIAL</w:t>
      </w:r>
      <w:r>
        <w:rPr>
          <w:rFonts w:eastAsia="Times New Roman"/>
          <w:sz w:val="20"/>
          <w:szCs w:val="20"/>
        </w:rPr>
        <w:t xml:space="preserve">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disaggregation of the Company’s lease income, which is included in Revenue from rental properties, net on the Company’s Consolidated Statements of Income, as either fixed or variable lease income based on the criteria specifi</w:t>
      </w:r>
      <w:r>
        <w:rPr>
          <w:sz w:val="20"/>
          <w:szCs w:val="20"/>
        </w:rPr>
        <w:t xml:space="preserve">ed in ASC </w:t>
      </w:r>
      <w:r>
        <w:rPr>
          <w:rStyle w:val="a6"/>
          <w:sz w:val="20"/>
          <w:szCs w:val="20"/>
        </w:rPr>
        <w:t>842,</w:t>
      </w:r>
      <w:r>
        <w:rPr>
          <w:sz w:val="20"/>
          <w:szCs w:val="20"/>
        </w:rPr>
        <w:t xml:space="preserve">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is as follows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Year Ended December 31,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1,353,024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1,045,888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871,151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339,722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264,040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232,272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13,591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14,843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22,515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Adjustments for potentially uncollectible revenues and disputed amounts (3)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4,511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24,931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(81,050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1,710,848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1,349,702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1,044,888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The amounts represent adjustments associated with potentially uncollectible revenues and disputed amounts.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Base rental reven</w:t>
      </w:r>
      <w:r>
        <w:rPr>
          <w:sz w:val="20"/>
          <w:szCs w:val="20"/>
        </w:rPr>
        <w:t>ues and fixed-rate expense reimbursements from rental properties are recognized on a straight-line basis over the terms of the related leases. The difference between the amount of rental income contracted through leases and rental income recognized on a st</w:t>
      </w:r>
      <w:r>
        <w:rPr>
          <w:sz w:val="20"/>
          <w:szCs w:val="20"/>
        </w:rPr>
        <w:t xml:space="preserve">raight-line basis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was $33.8 million, $22.6 million and ($5.9) million,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is primarily engaged in the operation of shopping centers that are either owned or held under long-term </w:t>
      </w:r>
      <w:r>
        <w:rPr>
          <w:sz w:val="20"/>
          <w:szCs w:val="20"/>
        </w:rPr>
        <w:t xml:space="preserve">leases that expire at various dates through </w:t>
      </w:r>
      <w:r>
        <w:rPr>
          <w:rStyle w:val="a6"/>
          <w:sz w:val="20"/>
          <w:szCs w:val="20"/>
        </w:rPr>
        <w:t>2121.</w:t>
      </w:r>
      <w:r>
        <w:rPr>
          <w:sz w:val="20"/>
          <w:szCs w:val="20"/>
        </w:rPr>
        <w:t xml:space="preserve"> The Company, in turn, leases premises in these centers to tenants pursuant to lease agreements which provide for terms ranging generally from</w:t>
      </w:r>
      <w:r>
        <w:rPr>
          <w:sz w:val="20"/>
          <w:szCs w:val="20"/>
        </w:rPr>
        <w:t xml:space="preserve"> </w:t>
      </w:r>
      <w:r>
        <w:rPr>
          <w:sz w:val="20"/>
          <w:szCs w:val="20"/>
        </w:rPr>
        <w:t>fiv</w:t>
      </w:r>
      <w:r>
        <w:rPr>
          <w:sz w:val="20"/>
          <w:szCs w:val="20"/>
        </w:rPr>
        <w:t>e</w:t>
      </w:r>
      <w:r>
        <w:rPr>
          <w:sz w:val="20"/>
          <w:szCs w:val="20"/>
        </w:rPr>
        <w:t xml:space="preserve"> to 25 years and for annual minimum rentals plus incremental</w:t>
      </w:r>
      <w:r>
        <w:rPr>
          <w:sz w:val="20"/>
          <w:szCs w:val="20"/>
        </w:rPr>
        <w:t xml:space="preserve"> rents based on operating expense levels and tenants' sales volumes. Annual minimum rentals plus incremental rents based on operating expense levels and percentage rents comprised 98% of total revenues from rental properties for each of the </w:t>
      </w:r>
      <w:r>
        <w:rPr>
          <w:rStyle w:val="a6"/>
          <w:sz w:val="20"/>
          <w:szCs w:val="20"/>
        </w:rPr>
        <w:t>three</w:t>
      </w:r>
      <w:r>
        <w:rPr>
          <w:sz w:val="20"/>
          <w:szCs w:val="20"/>
        </w:rPr>
        <w:t xml:space="preserve"> years end</w:t>
      </w:r>
      <w:r>
        <w:rPr>
          <w:sz w:val="20"/>
          <w:szCs w:val="20"/>
        </w:rPr>
        <w:t xml:space="preserve">ed </w:t>
      </w:r>
      <w:r>
        <w:rPr>
          <w:rStyle w:val="a6"/>
          <w:sz w:val="20"/>
          <w:szCs w:val="20"/>
        </w:rPr>
        <w:t>December 31, 2022, 2021</w:t>
      </w:r>
      <w:r>
        <w:rPr>
          <w:sz w:val="20"/>
          <w:szCs w:val="20"/>
        </w:rPr>
        <w:t xml:space="preserve"> and </w:t>
      </w:r>
      <w:r>
        <w:rPr>
          <w:rStyle w:val="a6"/>
          <w:sz w:val="20"/>
          <w:szCs w:val="20"/>
        </w:rPr>
        <w:t>2020.</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minimum revenues expected to be received by the Company from rental properties under the terms of all non-cancelable tenant leases for future years, assuming </w:t>
      </w:r>
      <w:r>
        <w:rPr>
          <w:rStyle w:val="a6"/>
          <w:sz w:val="20"/>
          <w:szCs w:val="20"/>
        </w:rPr>
        <w:t>no</w:t>
      </w:r>
      <w:r>
        <w:rPr>
          <w:sz w:val="20"/>
          <w:szCs w:val="20"/>
        </w:rPr>
        <w:t xml:space="preserve"> new or renegotiated leases are executed for such pre</w:t>
      </w:r>
      <w:r>
        <w:rPr>
          <w:sz w:val="20"/>
          <w:szCs w:val="20"/>
        </w:rPr>
        <w:t>mises, are as follows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1186"/>
        <w:gridCol w:w="65"/>
        <w:gridCol w:w="100"/>
        <w:gridCol w:w="812"/>
        <w:gridCol w:w="65"/>
        <w:gridCol w:w="65"/>
        <w:gridCol w:w="100"/>
        <w:gridCol w:w="812"/>
        <w:gridCol w:w="65"/>
        <w:gridCol w:w="65"/>
        <w:gridCol w:w="100"/>
        <w:gridCol w:w="812"/>
        <w:gridCol w:w="65"/>
        <w:gridCol w:w="65"/>
        <w:gridCol w:w="100"/>
        <w:gridCol w:w="812"/>
        <w:gridCol w:w="65"/>
        <w:gridCol w:w="65"/>
        <w:gridCol w:w="100"/>
        <w:gridCol w:w="812"/>
        <w:gridCol w:w="66"/>
        <w:gridCol w:w="66"/>
        <w:gridCol w:w="101"/>
        <w:gridCol w:w="845"/>
        <w:gridCol w:w="66"/>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Minimum revenues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1,239.4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1,130.8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989.9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840.5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674.4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2,862.3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Lessee Leases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currently leases real estate space under non-cancelable operating lease agreements for ground leases and administrative office leases. The Company’s operating leases have remaining lease terms ranging from</w:t>
      </w:r>
      <w:r>
        <w:rPr>
          <w:sz w:val="20"/>
          <w:szCs w:val="20"/>
        </w:rPr>
        <w:t xml:space="preserve"> </w:t>
      </w:r>
      <w:r>
        <w:rPr>
          <w:sz w:val="20"/>
          <w:szCs w:val="20"/>
        </w:rPr>
        <w:t>on</w:t>
      </w:r>
      <w:r>
        <w:rPr>
          <w:sz w:val="20"/>
          <w:szCs w:val="20"/>
        </w:rPr>
        <w:t>e</w:t>
      </w:r>
      <w:r>
        <w:rPr>
          <w:sz w:val="20"/>
          <w:szCs w:val="20"/>
        </w:rPr>
        <w:t xml:space="preserve"> to 63 years, some of which include</w:t>
      </w:r>
      <w:r>
        <w:rPr>
          <w:sz w:val="20"/>
          <w:szCs w:val="20"/>
        </w:rPr>
        <w:t xml:space="preserve"> options to extend the terms for up to an additional 75 years.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connection with the Merger, the Company obtained $32.6 </w:t>
      </w:r>
      <w:r>
        <w:rPr>
          <w:sz w:val="20"/>
          <w:szCs w:val="20"/>
        </w:rPr>
        <w:t xml:space="preserve">million of operating right-of-use assets in exchange for new operating lease liabilities related to six properties under operating lease agreements for ground leases. In addition, the Company acquired two properties under finance leasing arrangements that </w:t>
      </w:r>
      <w:r>
        <w:rPr>
          <w:sz w:val="20"/>
          <w:szCs w:val="20"/>
        </w:rPr>
        <w:t>consists of variable lease payments with a bargain purchase option. As a result, the Company obtained finance right-of-use assets of $23.0 million (which are included in Other assets on the Company’s Consolidated Balance Sheets) in exchange for new finance</w:t>
      </w:r>
      <w:r>
        <w:rPr>
          <w:sz w:val="20"/>
          <w:szCs w:val="20"/>
        </w:rPr>
        <w:t xml:space="preserve"> lease liabilities (which are included in Other liabilities on the Company’s Consolidated Balance Sheets).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weighted-average remaining non-cancelable lease term and weighted-average discount rates for the Company’s operating and finance leases as of </w:t>
      </w:r>
      <w:r>
        <w:rPr>
          <w:rStyle w:val="a6"/>
          <w:sz w:val="20"/>
          <w:szCs w:val="20"/>
        </w:rPr>
        <w:t>D</w:t>
      </w:r>
      <w:r>
        <w:rPr>
          <w:rStyle w:val="a6"/>
          <w:sz w:val="20"/>
          <w:szCs w:val="20"/>
        </w:rPr>
        <w:t xml:space="preserve">ecember 31, 2022 </w:t>
      </w:r>
      <w:r>
        <w:rPr>
          <w:sz w:val="20"/>
          <w:szCs w:val="20"/>
        </w:rPr>
        <w:t>were as follows: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91"/>
        <w:gridCol w:w="50"/>
        <w:gridCol w:w="52"/>
        <w:gridCol w:w="1007"/>
        <w:gridCol w:w="167"/>
        <w:gridCol w:w="50"/>
        <w:gridCol w:w="51"/>
        <w:gridCol w:w="1010"/>
        <w:gridCol w:w="1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Finance Leases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Weighted-average remaining lease term (in years)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Weighted-average discount rate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4.44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11939996"/>
        <w:rPr>
          <w:rFonts w:eastAsia="Times New Roman"/>
          <w:sz w:val="20"/>
          <w:szCs w:val="20"/>
        </w:rPr>
      </w:pPr>
      <w:r>
        <w:rPr>
          <w:rStyle w:val="a6"/>
          <w:rFonts w:eastAsia="Times New Roman"/>
          <w:sz w:val="20"/>
          <w:szCs w:val="20"/>
        </w:rPr>
        <w:t>79</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4" style="width:415.3pt;height:1.5pt" o:hralign="center" o:hrstd="t" o:hrnoshade="t" o:hr="t" fillcolor="black" stroked="f"/>
        </w:pict>
      </w:r>
    </w:p>
    <w:p w:rsidR="00000000" w:rsidRDefault="006954AA">
      <w:pPr>
        <w:divId w:val="1723358308"/>
        <w:rPr>
          <w:rFonts w:eastAsia="Times New Roman"/>
          <w:sz w:val="20"/>
          <w:szCs w:val="20"/>
        </w:rPr>
      </w:pPr>
      <w:r>
        <w:rPr>
          <w:rFonts w:eastAsia="Times New Roman"/>
          <w:sz w:val="20"/>
          <w:szCs w:val="20"/>
        </w:rPr>
        <w:t xml:space="preserve">  </w:t>
      </w:r>
    </w:p>
    <w:p w:rsidR="00000000" w:rsidRDefault="006954AA">
      <w:pPr>
        <w:jc w:val="center"/>
        <w:divId w:val="468135061"/>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1664310195"/>
        <w:rPr>
          <w:rFonts w:eastAsia="Times New Roman"/>
          <w:sz w:val="20"/>
          <w:szCs w:val="20"/>
        </w:rPr>
      </w:pPr>
      <w:r>
        <w:rPr>
          <w:rFonts w:eastAsia="Times New Roman"/>
          <w:sz w:val="20"/>
          <w:szCs w:val="20"/>
        </w:rPr>
        <w:t xml:space="preserve">  </w:t>
      </w:r>
    </w:p>
    <w:p w:rsidR="00000000" w:rsidRDefault="006954AA">
      <w:pPr>
        <w:jc w:val="center"/>
        <w:divId w:val="1457986714"/>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components of the Company’s lease expense, which are included in interest expense, rent expense and general and administrative expense on the Company’s Consolidated Statements of Income for</w:t>
      </w:r>
      <w:r>
        <w:rPr>
          <w:sz w:val="20"/>
          <w:szCs w:val="20"/>
        </w:rPr>
        <w:t xml:space="preserve">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were as follows (in thousands):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Finance lease cost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Operating lease cost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12,994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11,637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10,371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Variable lease cost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4,143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3,972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2,852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Total lease cost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18,431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16,178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13,223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520"/>
        <w:jc w:val="both"/>
        <w:rPr>
          <w:sz w:val="20"/>
          <w:szCs w:val="20"/>
        </w:rPr>
      </w:pPr>
      <w:r>
        <w:rPr>
          <w:sz w:val="20"/>
          <w:szCs w:val="20"/>
        </w:rPr>
        <w:t xml:space="preserve">The table below reconciles the undiscounted cash flows for each of the </w:t>
      </w:r>
      <w:r>
        <w:rPr>
          <w:rStyle w:val="a6"/>
          <w:sz w:val="20"/>
          <w:szCs w:val="20"/>
        </w:rPr>
        <w:t>first</w:t>
      </w:r>
      <w:r>
        <w:rPr>
          <w:sz w:val="20"/>
          <w:szCs w:val="20"/>
        </w:rPr>
        <w:t xml:space="preserve"> </w:t>
      </w:r>
      <w:r>
        <w:rPr>
          <w:rStyle w:val="a6"/>
          <w:sz w:val="20"/>
          <w:szCs w:val="20"/>
        </w:rPr>
        <w:t>five</w:t>
      </w:r>
      <w:r>
        <w:rPr>
          <w:sz w:val="20"/>
          <w:szCs w:val="20"/>
        </w:rPr>
        <w:t xml:space="preserve"> years and total of the remaining years to the operating and financing lease liabilities (in thousands):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1"/>
        <w:gridCol w:w="1039"/>
        <w:gridCol w:w="67"/>
        <w:gridCol w:w="67"/>
        <w:gridCol w:w="101"/>
        <w:gridCol w:w="1039"/>
        <w:gridCol w:w="68"/>
      </w:tblGrid>
      <w:tr w:rsidR="00000000">
        <w:trPr>
          <w:tblCellSpacing w:w="0" w:type="dxa"/>
        </w:trPr>
        <w:tc>
          <w:tcPr>
            <w:tcW w:w="0" w:type="auto"/>
            <w:gridSpan w:val="8"/>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Year Ending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Financing Leases (1)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12,410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22,987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2024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11,582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2025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11,067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2026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2027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10,118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188,952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minimum lease payments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244,531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22,987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Less imputed interest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(130,852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(962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lease liabilities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113,679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22,025</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Includes bargain purchase options exercisable in </w:t>
            </w:r>
            <w:r>
              <w:rPr>
                <w:rStyle w:val="a6"/>
                <w:sz w:val="20"/>
                <w:szCs w:val="20"/>
              </w:rPr>
              <w:t>2023</w:t>
            </w:r>
            <w:r>
              <w:rPr>
                <w:sz w:val="20"/>
                <w:szCs w:val="20"/>
              </w:rPr>
              <w:t xml:space="preserve"> related to </w:t>
            </w:r>
            <w:r>
              <w:rPr>
                <w:rStyle w:val="a6"/>
                <w:sz w:val="20"/>
                <w:szCs w:val="20"/>
              </w:rPr>
              <w:t>two</w:t>
            </w:r>
            <w:r>
              <w:rPr>
                <w:sz w:val="20"/>
                <w:szCs w:val="20"/>
              </w:rPr>
              <w:t xml:space="preserve"> properties.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Operating lease liabilities are included in Operating lease liabilities and financing lease liabilities are included in Other liabilities on the Company’s Consolidated Balance Sheets.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1286424950"/>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12.</w:t>
      </w:r>
      <w:r>
        <w:rPr>
          <w:sz w:val="20"/>
          <w:szCs w:val="20"/>
        </w:rPr>
        <w:t>  </w:t>
      </w:r>
      <w:r>
        <w:rPr>
          <w:sz w:val="20"/>
          <w:szCs w:val="20"/>
          <w:u w:val="single"/>
        </w:rPr>
        <w:t>Other Assets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Assets Held-For-Sale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At </w:t>
      </w:r>
      <w:r>
        <w:rPr>
          <w:rStyle w:val="a6"/>
          <w:sz w:val="20"/>
          <w:szCs w:val="20"/>
        </w:rPr>
        <w:t xml:space="preserve">December 31, 2022, </w:t>
      </w:r>
      <w:r>
        <w:rPr>
          <w:sz w:val="20"/>
          <w:szCs w:val="20"/>
        </w:rPr>
        <w:t>the Company had three properties classified as held-for-sale at a net carrying amount of $56.3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Mortgages and Other Financing Receivables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has various mortgages and other financing receivables which consist of loans acquired and loan</w:t>
      </w:r>
      <w:r>
        <w:rPr>
          <w:sz w:val="20"/>
          <w:szCs w:val="20"/>
        </w:rPr>
        <w:t xml:space="preserve">s originated by the Company. For a complete listing of the Company’s mortgages and other financing receivables at </w:t>
      </w:r>
      <w:r>
        <w:rPr>
          <w:rStyle w:val="a6"/>
          <w:sz w:val="20"/>
          <w:szCs w:val="20"/>
        </w:rPr>
        <w:t xml:space="preserve">December 31, 2022, </w:t>
      </w:r>
      <w:r>
        <w:rPr>
          <w:sz w:val="20"/>
          <w:szCs w:val="20"/>
        </w:rPr>
        <w:t xml:space="preserve">see Financial Statement Schedule IV included in this annual report on Form </w:t>
      </w:r>
      <w:r>
        <w:rPr>
          <w:rStyle w:val="a6"/>
          <w:sz w:val="20"/>
          <w:szCs w:val="20"/>
        </w:rPr>
        <w:t>10</w:t>
      </w:r>
      <w:r>
        <w:rPr>
          <w:sz w:val="20"/>
          <w:szCs w:val="20"/>
        </w:rPr>
        <w:t>-K.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table reconciles mortgage </w:t>
      </w:r>
      <w:r>
        <w:rPr>
          <w:sz w:val="20"/>
          <w:szCs w:val="20"/>
        </w:rPr>
        <w:t xml:space="preserve">loans and other financing receivables from </w:t>
      </w:r>
      <w:r>
        <w:rPr>
          <w:rStyle w:val="a6"/>
          <w:sz w:val="20"/>
          <w:szCs w:val="20"/>
        </w:rPr>
        <w:t xml:space="preserve">January 1, 2020 </w:t>
      </w:r>
      <w:r>
        <w:rPr>
          <w:sz w:val="20"/>
          <w:szCs w:val="20"/>
        </w:rPr>
        <w:t xml:space="preserve">to </w:t>
      </w:r>
      <w:r>
        <w:rPr>
          <w:rStyle w:val="a6"/>
          <w:sz w:val="20"/>
          <w:szCs w:val="20"/>
        </w:rPr>
        <w:t>December 31, 2022 (</w:t>
      </w:r>
      <w:r>
        <w:rPr>
          <w:sz w:val="20"/>
          <w:szCs w:val="20"/>
        </w:rPr>
        <w:t>in thousands):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108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73,102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32,246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Additions: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New mortgage and other loans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75,063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55,307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Deductions: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Loan repayments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(60,211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(13,646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Collections of principal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Allowance for credit losses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(906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Other adjustments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(305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at December 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87,359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73,102</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32,246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During </w:t>
            </w:r>
            <w:r>
              <w:rPr>
                <w:rStyle w:val="a6"/>
                <w:sz w:val="20"/>
                <w:szCs w:val="20"/>
              </w:rPr>
              <w:t>2021,</w:t>
            </w:r>
            <w:r>
              <w:rPr>
                <w:sz w:val="20"/>
                <w:szCs w:val="20"/>
              </w:rPr>
              <w:t xml:space="preserve"> the Company acquired $13.4 </w:t>
            </w:r>
            <w:r>
              <w:rPr>
                <w:sz w:val="20"/>
                <w:szCs w:val="20"/>
              </w:rPr>
              <w:t>million of mortgage loan receivables in connection with the Merger.</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During </w:t>
            </w:r>
            <w:r>
              <w:rPr>
                <w:rStyle w:val="a6"/>
                <w:sz w:val="20"/>
                <w:szCs w:val="20"/>
              </w:rPr>
              <w:t>2022,</w:t>
            </w:r>
            <w:r>
              <w:rPr>
                <w:sz w:val="20"/>
                <w:szCs w:val="20"/>
              </w:rPr>
              <w:t xml:space="preserve"> the Company recognized $4.0 </w:t>
            </w:r>
            <w:r>
              <w:rPr>
                <w:sz w:val="20"/>
                <w:szCs w:val="20"/>
              </w:rPr>
              <w:t>million of profit participation related to the repayment of a mortgage loan, which is included in Other income, net on the Company’s Consolidated Statements of Income.</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446999808"/>
        <w:rPr>
          <w:rFonts w:eastAsia="Times New Roman"/>
          <w:sz w:val="20"/>
          <w:szCs w:val="20"/>
        </w:rPr>
      </w:pPr>
      <w:r>
        <w:rPr>
          <w:rStyle w:val="a6"/>
          <w:rFonts w:eastAsia="Times New Roman"/>
          <w:sz w:val="20"/>
          <w:szCs w:val="20"/>
        </w:rPr>
        <w:t>80</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5" style="width:415.3pt;height:1.5pt" o:hralign="center" o:hrstd="t" o:hrnoshade="t" o:hr="t" fillcolor="black" stroked="f"/>
        </w:pict>
      </w:r>
    </w:p>
    <w:p w:rsidR="00000000" w:rsidRDefault="006954AA">
      <w:pPr>
        <w:divId w:val="2001039779"/>
        <w:rPr>
          <w:rFonts w:eastAsia="Times New Roman"/>
          <w:sz w:val="20"/>
          <w:szCs w:val="20"/>
        </w:rPr>
      </w:pPr>
      <w:r>
        <w:rPr>
          <w:rFonts w:eastAsia="Times New Roman"/>
          <w:sz w:val="20"/>
          <w:szCs w:val="20"/>
        </w:rPr>
        <w:t xml:space="preserve">  </w:t>
      </w:r>
    </w:p>
    <w:p w:rsidR="00000000" w:rsidRDefault="006954AA">
      <w:pPr>
        <w:jc w:val="center"/>
        <w:divId w:val="383137933"/>
        <w:rPr>
          <w:rFonts w:eastAsia="Times New Roman"/>
          <w:sz w:val="20"/>
          <w:szCs w:val="20"/>
        </w:rPr>
      </w:pPr>
      <w:r>
        <w:rPr>
          <w:rFonts w:eastAsia="Times New Roman"/>
          <w:sz w:val="20"/>
          <w:szCs w:val="20"/>
        </w:rPr>
        <w:t xml:space="preserve">KIMCO REALTY CORPORATION AND SUBSIDIARIES </w:t>
      </w:r>
    </w:p>
    <w:p w:rsidR="00000000" w:rsidRDefault="006954AA">
      <w:pPr>
        <w:divId w:val="432825605"/>
        <w:rPr>
          <w:rFonts w:eastAsia="Times New Roman"/>
          <w:sz w:val="20"/>
          <w:szCs w:val="20"/>
        </w:rPr>
      </w:pPr>
      <w:r>
        <w:rPr>
          <w:rFonts w:eastAsia="Times New Roman"/>
          <w:sz w:val="20"/>
          <w:szCs w:val="20"/>
        </w:rPr>
        <w:t xml:space="preserve">  </w:t>
      </w:r>
    </w:p>
    <w:p w:rsidR="00000000" w:rsidRDefault="006954AA">
      <w:pPr>
        <w:jc w:val="center"/>
        <w:divId w:val="265700742"/>
        <w:rPr>
          <w:rFonts w:eastAsia="Times New Roman"/>
          <w:sz w:val="20"/>
          <w:szCs w:val="20"/>
        </w:rPr>
      </w:pPr>
      <w:r>
        <w:rPr>
          <w:rFonts w:eastAsia="Times New Roman"/>
          <w:sz w:val="20"/>
          <w:szCs w:val="20"/>
        </w:rPr>
        <w:t>NOTES TO CONSOLIDATED FINAN</w:t>
      </w:r>
      <w:r>
        <w:rPr>
          <w:rFonts w:eastAsia="Times New Roman"/>
          <w:sz w:val="20"/>
          <w:szCs w:val="20"/>
        </w:rPr>
        <w:t xml:space="preserve">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xml:space="preserve">The Company reviews payment status to identify performing versus non-performing loans. As of </w:t>
      </w:r>
      <w:r>
        <w:rPr>
          <w:rStyle w:val="a6"/>
          <w:sz w:val="20"/>
          <w:szCs w:val="20"/>
        </w:rPr>
        <w:t xml:space="preserve">December 31, 2022, </w:t>
      </w:r>
      <w:r>
        <w:rPr>
          <w:sz w:val="20"/>
          <w:szCs w:val="20"/>
        </w:rPr>
        <w:t>the Company had a total of 11 loans, all of which are performing.</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Software Development Costs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of </w:t>
      </w:r>
      <w:r>
        <w:rPr>
          <w:rStyle w:val="a6"/>
          <w:sz w:val="20"/>
          <w:szCs w:val="20"/>
        </w:rPr>
        <w:t>December 3</w:t>
      </w:r>
      <w:r>
        <w:rPr>
          <w:rStyle w:val="a6"/>
          <w:sz w:val="20"/>
          <w:szCs w:val="20"/>
        </w:rPr>
        <w:t xml:space="preserve">1, 2022 </w:t>
      </w:r>
      <w:r>
        <w:rPr>
          <w:sz w:val="20"/>
          <w:szCs w:val="20"/>
        </w:rPr>
        <w:t xml:space="preserve">and </w:t>
      </w:r>
      <w:r>
        <w:rPr>
          <w:rStyle w:val="a6"/>
          <w:sz w:val="20"/>
          <w:szCs w:val="20"/>
        </w:rPr>
        <w:t>2021,</w:t>
      </w:r>
      <w:r>
        <w:rPr>
          <w:sz w:val="20"/>
          <w:szCs w:val="20"/>
        </w:rPr>
        <w:t xml:space="preserve"> the Company had unamortized software development costs of $18.4 million, respectively.  The Company expensed $3.5 million, $3.1 million and $3.2 million in amortization of software development costs during the years ended </w:t>
      </w:r>
      <w:r>
        <w:rPr>
          <w:rStyle w:val="a6"/>
          <w:sz w:val="20"/>
          <w:szCs w:val="20"/>
        </w:rPr>
        <w:t>December 31, 202</w:t>
      </w:r>
      <w:r>
        <w:rPr>
          <w:rStyle w:val="a6"/>
          <w:sz w:val="20"/>
          <w:szCs w:val="20"/>
        </w:rPr>
        <w:t>2, 2021</w:t>
      </w:r>
      <w:r>
        <w:rPr>
          <w:sz w:val="20"/>
          <w:szCs w:val="20"/>
        </w:rPr>
        <w:t xml:space="preserve"> and </w:t>
      </w:r>
      <w:r>
        <w:rPr>
          <w:rStyle w:val="a6"/>
          <w:sz w:val="20"/>
          <w:szCs w:val="20"/>
        </w:rPr>
        <w:t>2020,</w:t>
      </w:r>
      <w:r>
        <w:rPr>
          <w:sz w:val="20"/>
          <w:szCs w:val="20"/>
        </w:rPr>
        <w:t xml:space="preserve"> respectively.</w:t>
      </w:r>
    </w:p>
    <w:p w:rsidR="00000000" w:rsidRDefault="006954AA">
      <w:pPr>
        <w:divId w:val="2091804455"/>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13.</w:t>
      </w:r>
      <w:r>
        <w:rPr>
          <w:sz w:val="20"/>
          <w:szCs w:val="20"/>
        </w:rPr>
        <w:t>  </w:t>
      </w:r>
      <w:r>
        <w:rPr>
          <w:sz w:val="20"/>
          <w:szCs w:val="20"/>
          <w:u w:val="single"/>
        </w:rPr>
        <w:t>Notes Payable</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Company’s Notes payable, net consisted of the following (dollars in millions):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1582"/>
        <w:gridCol w:w="50"/>
        <w:gridCol w:w="100"/>
        <w:gridCol w:w="600"/>
        <w:gridCol w:w="67"/>
        <w:gridCol w:w="50"/>
        <w:gridCol w:w="100"/>
        <w:gridCol w:w="600"/>
        <w:gridCol w:w="67"/>
        <w:gridCol w:w="50"/>
        <w:gridCol w:w="50"/>
        <w:gridCol w:w="517"/>
        <w:gridCol w:w="650"/>
        <w:gridCol w:w="517"/>
        <w:gridCol w:w="50"/>
        <w:gridCol w:w="50"/>
        <w:gridCol w:w="50"/>
        <w:gridCol w:w="517"/>
        <w:gridCol w:w="650"/>
        <w:gridCol w:w="557"/>
        <w:gridCol w:w="50"/>
        <w:gridCol w:w="50"/>
        <w:gridCol w:w="54"/>
        <w:gridCol w:w="813"/>
        <w:gridCol w:w="50"/>
      </w:tblGrid>
      <w:tr w:rsidR="00000000">
        <w:trPr>
          <w:tblCellSpacing w:w="0" w:type="dxa"/>
        </w:trPr>
        <w:tc>
          <w:tcPr>
            <w:tcW w:w="1500" w:type="pct"/>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Carrying Amount at</w:t>
            </w:r>
          </w:p>
          <w:p w:rsidR="00000000" w:rsidRDefault="006954AA">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 at</w:t>
            </w:r>
          </w:p>
          <w:p w:rsidR="00000000" w:rsidRDefault="006954AA">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vAlign w:val="bottom"/>
            <w:hideMark/>
          </w:tcPr>
          <w:p w:rsidR="00000000" w:rsidRDefault="006954AA">
            <w:pPr>
              <w:pStyle w:val="a3"/>
              <w:spacing w:before="0" w:beforeAutospacing="0" w:after="0" w:afterAutospacing="0"/>
              <w:jc w:val="center"/>
              <w:rPr>
                <w:sz w:val="20"/>
                <w:szCs w:val="20"/>
              </w:rPr>
            </w:pPr>
            <w:r>
              <w:rPr>
                <w:b/>
                <w:bCs/>
                <w:sz w:val="20"/>
                <w:szCs w:val="20"/>
              </w:rPr>
              <w:t xml:space="preserve">Maturity Date at </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December 31, 2022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Senior unsecured notes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6,803.0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7,002.1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1.90%</w:t>
            </w:r>
          </w:p>
        </w:tc>
        <w:tc>
          <w:tcPr>
            <w:tcW w:w="20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w:t>
            </w:r>
          </w:p>
        </w:tc>
        <w:tc>
          <w:tcPr>
            <w:tcW w:w="150" w:type="pct"/>
            <w:shd w:val="clear" w:color="auto" w:fill="CCEEFF"/>
            <w:vAlign w:val="bottom"/>
            <w:hideMark/>
          </w:tcPr>
          <w:p w:rsidR="00000000" w:rsidRDefault="006954AA">
            <w:pPr>
              <w:rPr>
                <w:rFonts w:eastAsia="Times New Roman"/>
                <w:sz w:val="20"/>
                <w:szCs w:val="20"/>
              </w:rPr>
            </w:pPr>
            <w:r>
              <w:rPr>
                <w:rFonts w:eastAsia="Times New Roman"/>
                <w:sz w:val="20"/>
                <w:szCs w:val="20"/>
              </w:rPr>
              <w:t>6.88%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1.90%</w:t>
            </w:r>
          </w:p>
        </w:tc>
        <w:tc>
          <w:tcPr>
            <w:tcW w:w="20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w:t>
            </w:r>
          </w:p>
        </w:tc>
        <w:tc>
          <w:tcPr>
            <w:tcW w:w="150" w:type="pct"/>
            <w:shd w:val="clear" w:color="auto" w:fill="CCEEFF"/>
            <w:vAlign w:val="bottom"/>
            <w:hideMark/>
          </w:tcPr>
          <w:p w:rsidR="00000000" w:rsidRDefault="006954AA">
            <w:pPr>
              <w:ind w:left="40"/>
              <w:rPr>
                <w:rFonts w:eastAsia="Times New Roman"/>
                <w:sz w:val="20"/>
                <w:szCs w:val="20"/>
              </w:rPr>
            </w:pPr>
            <w:r>
              <w:rPr>
                <w:rFonts w:eastAsia="Times New Roman"/>
                <w:sz w:val="20"/>
                <w:szCs w:val="20"/>
              </w:rPr>
              <w:t>6.88%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 </w:t>
            </w:r>
          </w:p>
        </w:tc>
        <w:tc>
          <w:tcPr>
            <w:tcW w:w="75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Jan-2024 – Oct-2049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Credit facility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 </w:t>
            </w:r>
          </w:p>
        </w:tc>
        <w:tc>
          <w:tcPr>
            <w:tcW w:w="75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Mar-2024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Fair value debt adjustments,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44.4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Deferred financing costs, net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(66.4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(56.0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50" w:type="pct"/>
            <w:tcBorders>
              <w:bottom w:val="single" w:sz="6" w:space="0" w:color="000000"/>
            </w:tcBorders>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single" w:sz="6" w:space="0" w:color="000000"/>
            </w:tcBorders>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50" w:type="pct"/>
            <w:tcBorders>
              <w:bottom w:val="single" w:sz="6" w:space="0" w:color="000000"/>
            </w:tcBorders>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single" w:sz="6" w:space="0" w:color="000000"/>
            </w:tcBorders>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6,781.0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7,027.1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double" w:sz="6" w:space="0" w:color="000000"/>
            </w:tcBorders>
            <w:shd w:val="clear" w:color="auto" w:fill="CCEEFF"/>
            <w:vAlign w:val="bottom"/>
            <w:hideMark/>
          </w:tcPr>
          <w:p w:rsidR="00000000" w:rsidRDefault="006954AA">
            <w:pPr>
              <w:jc w:val="center"/>
              <w:rPr>
                <w:rFonts w:eastAsia="Times New Roman"/>
                <w:sz w:val="20"/>
                <w:szCs w:val="20"/>
              </w:rPr>
            </w:pPr>
            <w:r>
              <w:rPr>
                <w:rFonts w:eastAsia="Times New Roman"/>
                <w:b/>
                <w:bCs/>
                <w:sz w:val="20"/>
                <w:szCs w:val="20"/>
              </w:rPr>
              <w:t>3.45%</w:t>
            </w:r>
            <w:r>
              <w:rPr>
                <w:rFonts w:eastAsia="Times New Roman"/>
                <w:b/>
                <w:bCs/>
                <w:sz w:val="20"/>
                <w:szCs w:val="20"/>
              </w:rPr>
              <w:t>*</w:t>
            </w:r>
          </w:p>
        </w:tc>
        <w:tc>
          <w:tcPr>
            <w:tcW w:w="1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double" w:sz="6" w:space="0" w:color="000000"/>
            </w:tcBorders>
            <w:shd w:val="clear" w:color="auto" w:fill="CCEEFF"/>
            <w:vAlign w:val="bottom"/>
            <w:hideMark/>
          </w:tcPr>
          <w:p w:rsidR="00000000" w:rsidRDefault="006954AA">
            <w:pPr>
              <w:jc w:val="center"/>
              <w:rPr>
                <w:rFonts w:eastAsia="Times New Roman"/>
                <w:sz w:val="20"/>
                <w:szCs w:val="20"/>
              </w:rPr>
            </w:pPr>
            <w:r>
              <w:rPr>
                <w:rFonts w:eastAsia="Times New Roman"/>
                <w:b/>
                <w:bCs/>
                <w:sz w:val="20"/>
                <w:szCs w:val="20"/>
              </w:rPr>
              <w:t>3.35%</w:t>
            </w:r>
            <w:r>
              <w:rPr>
                <w:rFonts w:eastAsia="Times New Roman"/>
                <w:b/>
                <w:bCs/>
                <w:sz w:val="20"/>
                <w:szCs w:val="20"/>
              </w:rPr>
              <w:t>*</w:t>
            </w:r>
          </w:p>
        </w:tc>
        <w:tc>
          <w:tcPr>
            <w:tcW w:w="1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ind w:left="360"/>
        <w:jc w:val="both"/>
        <w:rPr>
          <w:sz w:val="20"/>
          <w:szCs w:val="20"/>
        </w:rPr>
      </w:pPr>
      <w:r>
        <w:rPr>
          <w:sz w:val="20"/>
          <w:szCs w:val="20"/>
        </w:rPr>
        <w:t>* Weighted-average interest rate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Accrues interest at a rate of Adjusted Term Secured Overnight Financing Rate (“Adjusted Term SOFR”), as defined, plus 0.755% and LIBOR plus 0.765%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respectively.</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w:t>
            </w:r>
            <w:r>
              <w:rPr>
                <w:sz w:val="20"/>
                <w:szCs w:val="20"/>
              </w:rPr>
              <w:t>the Company had $2.5 million and $4.0 million of deferred financing costs, net related to the Credit Facility that are included in Other assets on the Company’s Consolidated Balance Sheets, respectively.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the years ended </w:t>
      </w:r>
      <w:r>
        <w:rPr>
          <w:rStyle w:val="a6"/>
          <w:sz w:val="20"/>
          <w:szCs w:val="20"/>
        </w:rPr>
        <w:t xml:space="preserve">December 31, 2022 </w:t>
      </w:r>
      <w:r>
        <w:rPr>
          <w:sz w:val="20"/>
          <w:szCs w:val="20"/>
        </w:rPr>
        <w:t xml:space="preserve">and </w:t>
      </w:r>
      <w:r>
        <w:rPr>
          <w:rStyle w:val="a6"/>
          <w:sz w:val="20"/>
          <w:szCs w:val="20"/>
        </w:rPr>
        <w:t>2021</w:t>
      </w:r>
      <w:r>
        <w:rPr>
          <w:rStyle w:val="a6"/>
          <w:sz w:val="20"/>
          <w:szCs w:val="20"/>
        </w:rPr>
        <w:t>,</w:t>
      </w:r>
      <w:r>
        <w:rPr>
          <w:sz w:val="20"/>
          <w:szCs w:val="20"/>
        </w:rPr>
        <w:t xml:space="preserve"> the Company issued the following senior unsecured notes (dollars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9"/>
        <w:gridCol w:w="71"/>
        <w:gridCol w:w="101"/>
        <w:gridCol w:w="1044"/>
        <w:gridCol w:w="72"/>
        <w:gridCol w:w="72"/>
        <w:gridCol w:w="72"/>
        <w:gridCol w:w="1044"/>
        <w:gridCol w:w="72"/>
        <w:gridCol w:w="50"/>
        <w:gridCol w:w="1168"/>
        <w:gridCol w:w="50"/>
      </w:tblGrid>
      <w:tr w:rsidR="00000000">
        <w:trPr>
          <w:tblCellSpacing w:w="0" w:type="dxa"/>
        </w:trPr>
        <w:tc>
          <w:tcPr>
            <w:tcW w:w="24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Date Issued</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Amount Issued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Maturity Date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Aug-22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650.0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4.600%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Feb-33</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Feb-22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600.0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3.200%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Apr-32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Sept-21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2.25%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Dec-31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2022, </w:t>
      </w:r>
      <w:r>
        <w:rPr>
          <w:sz w:val="20"/>
          <w:szCs w:val="20"/>
        </w:rPr>
        <w:t>the Company repaid the following senior unsecured notes (dollars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9"/>
        <w:gridCol w:w="71"/>
        <w:gridCol w:w="101"/>
        <w:gridCol w:w="1044"/>
        <w:gridCol w:w="72"/>
        <w:gridCol w:w="72"/>
        <w:gridCol w:w="72"/>
        <w:gridCol w:w="1044"/>
        <w:gridCol w:w="72"/>
        <w:gridCol w:w="50"/>
        <w:gridCol w:w="1168"/>
        <w:gridCol w:w="50"/>
      </w:tblGrid>
      <w:tr w:rsidR="00000000">
        <w:trPr>
          <w:tblCellSpacing w:w="0" w:type="dxa"/>
        </w:trPr>
        <w:tc>
          <w:tcPr>
            <w:tcW w:w="24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Date Paid</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Amount Repaid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Maturity Date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Sep-22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299.7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3.500%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Apr-23</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Sep-22 (1)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3.125%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Jun-23</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Sep-22 (1) (2)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299.4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3.375%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Oct-22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Mar-22 (3)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500.0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3.400%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Nov-22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There was no </w:t>
            </w:r>
            <w:r>
              <w:rPr>
                <w:sz w:val="20"/>
                <w:szCs w:val="20"/>
              </w:rPr>
              <w:t>prepayment charge associated with this early repayment.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Includes partial repayments during </w:t>
            </w:r>
            <w:r>
              <w:rPr>
                <w:rStyle w:val="a6"/>
                <w:sz w:val="20"/>
                <w:szCs w:val="20"/>
              </w:rPr>
              <w:t xml:space="preserve">May </w:t>
            </w:r>
            <w:r>
              <w:rPr>
                <w:sz w:val="20"/>
                <w:szCs w:val="20"/>
              </w:rPr>
              <w:t xml:space="preserve">and </w:t>
            </w:r>
            <w:r>
              <w:rPr>
                <w:rStyle w:val="a6"/>
                <w:sz w:val="20"/>
                <w:szCs w:val="20"/>
              </w:rPr>
              <w:t>June 2022.</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The Company incurred a prepayment charge of $6.5 million and $0.7 </w:t>
            </w:r>
            <w:r>
              <w:rPr>
                <w:sz w:val="20"/>
                <w:szCs w:val="20"/>
              </w:rPr>
              <w:t>million in write-off of deferred financing costs resulting from this early repayment, which are included in Early extinguishment of debt charges on the Company’s Consolidated Statements of Income.</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connection with the Merger, the Company assumed senio</w:t>
      </w:r>
      <w:r>
        <w:rPr>
          <w:sz w:val="20"/>
          <w:szCs w:val="20"/>
        </w:rPr>
        <w:t xml:space="preserve">r unsecured notes aggregating $1.5 billion (including fair market value adjustment of $95.6 million), which had scheduled maturity dates ranging from </w:t>
      </w:r>
      <w:r>
        <w:rPr>
          <w:rStyle w:val="a6"/>
          <w:sz w:val="20"/>
          <w:szCs w:val="20"/>
        </w:rPr>
        <w:t xml:space="preserve">October 2022 </w:t>
      </w:r>
      <w:r>
        <w:rPr>
          <w:sz w:val="20"/>
          <w:szCs w:val="20"/>
        </w:rPr>
        <w:t xml:space="preserve">to </w:t>
      </w:r>
      <w:r>
        <w:rPr>
          <w:rStyle w:val="a6"/>
          <w:sz w:val="20"/>
          <w:szCs w:val="20"/>
        </w:rPr>
        <w:t xml:space="preserve">August 2028 </w:t>
      </w:r>
      <w:r>
        <w:rPr>
          <w:sz w:val="20"/>
          <w:szCs w:val="20"/>
        </w:rPr>
        <w:t>and accrue interest at rates ranging from 3.25% to 6.88% per annum. The senior</w:t>
      </w:r>
      <w:r>
        <w:rPr>
          <w:sz w:val="20"/>
          <w:szCs w:val="20"/>
        </w:rPr>
        <w:t xml:space="preserve"> unsecured notes assumed during the Merger have covenants that are similar to the Company’s existing debt covenants for its senior unsecured notes.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scheduled maturities of all notes payable, excluding unamortized fair value debt adjustments of $44.4 </w:t>
      </w:r>
      <w:r>
        <w:rPr>
          <w:sz w:val="20"/>
          <w:szCs w:val="20"/>
        </w:rPr>
        <w:t xml:space="preserve">million and unamortized debt issuance costs of $66.4 million, as of </w:t>
      </w:r>
      <w:r>
        <w:rPr>
          <w:rStyle w:val="a6"/>
          <w:sz w:val="20"/>
          <w:szCs w:val="20"/>
        </w:rPr>
        <w:t xml:space="preserve">December 31, 2022, </w:t>
      </w:r>
      <w:r>
        <w:rPr>
          <w:sz w:val="20"/>
          <w:szCs w:val="20"/>
        </w:rPr>
        <w:t>were as follows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1179"/>
        <w:gridCol w:w="58"/>
        <w:gridCol w:w="100"/>
        <w:gridCol w:w="656"/>
        <w:gridCol w:w="59"/>
        <w:gridCol w:w="59"/>
        <w:gridCol w:w="100"/>
        <w:gridCol w:w="657"/>
        <w:gridCol w:w="59"/>
        <w:gridCol w:w="59"/>
        <w:gridCol w:w="100"/>
        <w:gridCol w:w="657"/>
        <w:gridCol w:w="59"/>
        <w:gridCol w:w="59"/>
        <w:gridCol w:w="100"/>
        <w:gridCol w:w="657"/>
        <w:gridCol w:w="59"/>
        <w:gridCol w:w="59"/>
        <w:gridCol w:w="100"/>
        <w:gridCol w:w="657"/>
        <w:gridCol w:w="59"/>
        <w:gridCol w:w="59"/>
        <w:gridCol w:w="101"/>
        <w:gridCol w:w="829"/>
        <w:gridCol w:w="59"/>
        <w:gridCol w:w="59"/>
        <w:gridCol w:w="100"/>
        <w:gridCol w:w="657"/>
        <w:gridCol w:w="59"/>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8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Principal payments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646.2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740.5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773.0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433.7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4,209.6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6,803.0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w:t>
      </w:r>
      <w:r>
        <w:rPr>
          <w:sz w:val="20"/>
          <w:szCs w:val="20"/>
        </w:rPr>
        <w:t>s supplemental indentures governing its Senior Unsecured Notes contain covenants whereby the Company is subject to maintaining (a) certain maximum leverage ratios on both unsecured senior corporate and secured debt, minimum debt service coverage ratios and</w:t>
      </w:r>
      <w:r>
        <w:rPr>
          <w:sz w:val="20"/>
          <w:szCs w:val="20"/>
        </w:rPr>
        <w:t xml:space="preserve"> minimum equity levels, (b) certain debt service ratios and (c) certain asset to debt ratios. In addition, the Company is restricted from paying dividends in amounts that exceed by more than $26.0 million the funds from operations, as defined therein, gene</w:t>
      </w:r>
      <w:r>
        <w:rPr>
          <w:sz w:val="20"/>
          <w:szCs w:val="20"/>
        </w:rPr>
        <w:t xml:space="preserve">rated through the end of the calendar quarter most recently completed prior to the declaration of such dividend; however, this dividend limitation does </w:t>
      </w:r>
      <w:r>
        <w:rPr>
          <w:rStyle w:val="a6"/>
          <w:sz w:val="20"/>
          <w:szCs w:val="20"/>
        </w:rPr>
        <w:t>not</w:t>
      </w:r>
      <w:r>
        <w:rPr>
          <w:sz w:val="20"/>
          <w:szCs w:val="20"/>
        </w:rPr>
        <w:t xml:space="preserve"> apply to any distributions necessary to maintain the Company's qualification as a REIT providing the</w:t>
      </w:r>
      <w:r>
        <w:rPr>
          <w:sz w:val="20"/>
          <w:szCs w:val="20"/>
        </w:rPr>
        <w:t xml:space="preserve"> Company is in compliance with its total leverage limitations. The Company was in compliance with all of the covenants as of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991975768"/>
        <w:rPr>
          <w:rFonts w:eastAsia="Times New Roman"/>
          <w:sz w:val="20"/>
          <w:szCs w:val="20"/>
        </w:rPr>
      </w:pPr>
      <w:r>
        <w:rPr>
          <w:rStyle w:val="a6"/>
          <w:rFonts w:eastAsia="Times New Roman"/>
          <w:sz w:val="20"/>
          <w:szCs w:val="20"/>
        </w:rPr>
        <w:t>81</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6" style="width:415.3pt;height:1.5pt" o:hralign="center" o:hrstd="t" o:hrnoshade="t" o:hr="t" fillcolor="black" stroked="f"/>
        </w:pict>
      </w:r>
    </w:p>
    <w:p w:rsidR="00000000" w:rsidRDefault="006954AA">
      <w:pPr>
        <w:divId w:val="2055960237"/>
        <w:rPr>
          <w:rFonts w:eastAsia="Times New Roman"/>
          <w:sz w:val="20"/>
          <w:szCs w:val="20"/>
        </w:rPr>
      </w:pPr>
      <w:r>
        <w:rPr>
          <w:rFonts w:eastAsia="Times New Roman"/>
          <w:sz w:val="20"/>
          <w:szCs w:val="20"/>
        </w:rPr>
        <w:t xml:space="preserve">  </w:t>
      </w:r>
    </w:p>
    <w:p w:rsidR="00000000" w:rsidRDefault="006954AA">
      <w:pPr>
        <w:jc w:val="center"/>
        <w:divId w:val="1888175565"/>
        <w:rPr>
          <w:rFonts w:eastAsia="Times New Roman"/>
          <w:sz w:val="20"/>
          <w:szCs w:val="20"/>
        </w:rPr>
      </w:pPr>
      <w:r>
        <w:rPr>
          <w:rFonts w:eastAsia="Times New Roman"/>
          <w:sz w:val="20"/>
          <w:szCs w:val="20"/>
        </w:rPr>
        <w:t>K</w:t>
      </w:r>
      <w:r>
        <w:rPr>
          <w:rFonts w:eastAsia="Times New Roman"/>
          <w:sz w:val="20"/>
          <w:szCs w:val="20"/>
        </w:rPr>
        <w:t xml:space="preserve">IMCO REALTY CORPORATION AND SUBSIDIARIES </w:t>
      </w:r>
    </w:p>
    <w:p w:rsidR="00000000" w:rsidRDefault="006954AA">
      <w:pPr>
        <w:divId w:val="1399981531"/>
        <w:rPr>
          <w:rFonts w:eastAsia="Times New Roman"/>
          <w:sz w:val="20"/>
          <w:szCs w:val="20"/>
        </w:rPr>
      </w:pPr>
      <w:r>
        <w:rPr>
          <w:rFonts w:eastAsia="Times New Roman"/>
          <w:sz w:val="20"/>
          <w:szCs w:val="20"/>
        </w:rPr>
        <w:t xml:space="preserve">  </w:t>
      </w:r>
    </w:p>
    <w:p w:rsidR="00000000" w:rsidRDefault="006954AA">
      <w:pPr>
        <w:jc w:val="center"/>
        <w:divId w:val="1235161443"/>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Interest on the Company’s fixed-rate Senior Unsecured Notes is payable semi-annually in arrears. Proceeds from these issuances were primarily used for th</w:t>
      </w:r>
      <w:r>
        <w:rPr>
          <w:sz w:val="20"/>
          <w:szCs w:val="20"/>
        </w:rPr>
        <w:t>e acquisition of shopping centers, the expansion and improvement of properties in the Company’s portfolio and the repayment of certain debt obligations of the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Credit Facility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had a $2.0 billion unsecured revolving credit facility (</w:t>
      </w:r>
      <w:r>
        <w:rPr>
          <w:sz w:val="20"/>
          <w:szCs w:val="20"/>
        </w:rPr>
        <w:t xml:space="preserve">the “Credit Facility”) with a group of banks which was set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 month options to extend the maturity date, at the Company's discretion, to </w:t>
      </w:r>
      <w:r>
        <w:rPr>
          <w:rStyle w:val="a6"/>
          <w:sz w:val="20"/>
          <w:szCs w:val="20"/>
        </w:rPr>
        <w:t xml:space="preserve">March 2025. </w:t>
      </w:r>
      <w:r>
        <w:rPr>
          <w:sz w:val="20"/>
          <w:szCs w:val="20"/>
        </w:rPr>
        <w:t>The Credit Facility was a green credit facility tied to susta</w:t>
      </w:r>
      <w:r>
        <w:rPr>
          <w:sz w:val="20"/>
          <w:szCs w:val="20"/>
        </w:rPr>
        <w:t xml:space="preserve">inability metric targets, as described in the agreement. In </w:t>
      </w:r>
      <w:r>
        <w:rPr>
          <w:rStyle w:val="a6"/>
          <w:sz w:val="20"/>
          <w:szCs w:val="20"/>
        </w:rPr>
        <w:t xml:space="preserve">July 2022, </w:t>
      </w:r>
      <w:r>
        <w:rPr>
          <w:sz w:val="20"/>
          <w:szCs w:val="20"/>
        </w:rPr>
        <w:t>the Company amended the Credit Facility to (i) replace LIBOR borrowings with SOFR borrowings, (ii) supplement the sustainability grid with an additional</w:t>
      </w:r>
      <w:r>
        <w:rPr>
          <w:sz w:val="20"/>
          <w:szCs w:val="20"/>
        </w:rPr>
        <w:t xml:space="preserve"> </w:t>
      </w:r>
      <w:r>
        <w:rPr>
          <w:sz w:val="20"/>
          <w:szCs w:val="20"/>
        </w:rPr>
        <w:t>on</w:t>
      </w:r>
      <w:r>
        <w:rPr>
          <w:sz w:val="20"/>
          <w:szCs w:val="20"/>
        </w:rPr>
        <w:t>e</w:t>
      </w:r>
      <w:r>
        <w:rPr>
          <w:sz w:val="20"/>
          <w:szCs w:val="20"/>
        </w:rPr>
        <w:t xml:space="preserve"> basis point reduction of app</w:t>
      </w:r>
      <w:r>
        <w:rPr>
          <w:sz w:val="20"/>
          <w:szCs w:val="20"/>
        </w:rPr>
        <w:t xml:space="preserve">licable margin if certain criteria as defined in the Credit Facility are met, (iii) add a leverage metric test which, if met, reduces the applicable margin by </w:t>
      </w:r>
      <w:r>
        <w:rPr>
          <w:rStyle w:val="a6"/>
          <w:sz w:val="20"/>
          <w:szCs w:val="20"/>
        </w:rPr>
        <w:t>five</w:t>
      </w:r>
      <w:r>
        <w:rPr>
          <w:sz w:val="20"/>
          <w:szCs w:val="20"/>
        </w:rPr>
        <w:t xml:space="preserve"> basis points and (iv) obtain pre-approval of a possible organizational conversion to an UPRE</w:t>
      </w:r>
      <w:r>
        <w:rPr>
          <w:sz w:val="20"/>
          <w:szCs w:val="20"/>
        </w:rPr>
        <w:t xml:space="preserve">IT structure. The Company achieved such targets, which effectively reduced the rate on the Credit Facility by one basis point. The Credit Facility, accrued interest at a rate of Adjusted Term SOFR, as defined in the terms of the Credit Facility, plus 75.5 </w:t>
      </w:r>
      <w:r>
        <w:rPr>
          <w:sz w:val="20"/>
          <w:szCs w:val="20"/>
        </w:rPr>
        <w:t xml:space="preserve">basis points (5.21% as of </w:t>
      </w:r>
      <w:r>
        <w:rPr>
          <w:rStyle w:val="a6"/>
          <w:sz w:val="20"/>
          <w:szCs w:val="20"/>
        </w:rPr>
        <w:t xml:space="preserve">December 31, 2022), </w:t>
      </w:r>
      <w:r>
        <w:rPr>
          <w:sz w:val="20"/>
          <w:szCs w:val="20"/>
        </w:rPr>
        <w:t>and can be increased to $2.75 billion through an accordion feature. Pursuant to the terms of the Credit Facility, the Company, among other things, was subject to covenants requiring the maintenance of (i) maxim</w:t>
      </w:r>
      <w:r>
        <w:rPr>
          <w:sz w:val="20"/>
          <w:szCs w:val="20"/>
        </w:rPr>
        <w:t xml:space="preserve">um indebtedness ratios and (ii) minimum interest and fixed charge coverage ratios. As of </w:t>
      </w:r>
      <w:r>
        <w:rPr>
          <w:rStyle w:val="a6"/>
          <w:sz w:val="20"/>
          <w:szCs w:val="20"/>
        </w:rPr>
        <w:t xml:space="preserve">December 31, 2022, </w:t>
      </w:r>
      <w:r>
        <w:rPr>
          <w:sz w:val="20"/>
          <w:szCs w:val="20"/>
        </w:rPr>
        <w:t>the Credit Facility had</w:t>
      </w:r>
      <w:r>
        <w:rPr>
          <w:sz w:val="20"/>
          <w:szCs w:val="20"/>
        </w:rPr>
        <w:t xml:space="preserve"> </w:t>
      </w:r>
      <w:r>
        <w:rPr>
          <w:sz w:val="20"/>
          <w:szCs w:val="20"/>
        </w:rPr>
        <w:t>n</w:t>
      </w:r>
      <w:r>
        <w:rPr>
          <w:sz w:val="20"/>
          <w:szCs w:val="20"/>
        </w:rPr>
        <w:t>o</w:t>
      </w:r>
      <w:r>
        <w:rPr>
          <w:sz w:val="20"/>
          <w:szCs w:val="20"/>
        </w:rPr>
        <w:t xml:space="preserve"> outstanding balance and appropriations for letters of credit of $1.2 million.</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rStyle w:val="a6"/>
          <w:sz w:val="20"/>
          <w:szCs w:val="20"/>
        </w:rPr>
        <w:t>February 2023, </w:t>
      </w:r>
      <w:r>
        <w:rPr>
          <w:sz w:val="20"/>
          <w:szCs w:val="20"/>
        </w:rPr>
        <w:t>the Company closed on a</w:t>
      </w:r>
      <w:r>
        <w:rPr>
          <w:sz w:val="20"/>
          <w:szCs w:val="20"/>
        </w:rPr>
        <w:t xml:space="preserve"> new $2.0 billion unsecured revolving credit facility (the “New Credit Facility”) with a group of banks, which is scheduled to expire in </w:t>
      </w:r>
      <w:r>
        <w:rPr>
          <w:rStyle w:val="a6"/>
          <w:sz w:val="20"/>
          <w:szCs w:val="20"/>
        </w:rPr>
        <w:t xml:space="preserve">March 2027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March 202</w:t>
      </w:r>
      <w:r>
        <w:rPr>
          <w:rStyle w:val="a6"/>
          <w:sz w:val="20"/>
          <w:szCs w:val="20"/>
        </w:rPr>
        <w:t xml:space="preserve">8.  </w:t>
      </w:r>
      <w:r>
        <w:rPr>
          <w:sz w:val="20"/>
          <w:szCs w:val="20"/>
        </w:rPr>
        <w:t>The New Credit Facility could be increased to $2.75 billion through an accordion feature.  The New Credit Facility is a green credit facility tied to sustainability metric targets, as described in the agreement. The New Credit Facility replaces the Com</w:t>
      </w:r>
      <w:r>
        <w:rPr>
          <w:sz w:val="20"/>
          <w:szCs w:val="20"/>
        </w:rPr>
        <w:t xml:space="preserve">pany’s Credit Facility discussed above, that was scheduled to mature in </w:t>
      </w:r>
      <w:r>
        <w:rPr>
          <w:rStyle w:val="a6"/>
          <w:sz w:val="20"/>
          <w:szCs w:val="20"/>
        </w:rPr>
        <w:t xml:space="preserve">March 2024.  </w:t>
      </w:r>
      <w:r>
        <w:rPr>
          <w:sz w:val="20"/>
          <w:szCs w:val="20"/>
        </w:rPr>
        <w:t>The New Credit Facility accrues interest at a rate of Adjusted Term SOFR, as defined in the terms of the New Credit Facility, plus 77.5 basis points and fluctuates in acco</w:t>
      </w:r>
      <w:r>
        <w:rPr>
          <w:sz w:val="20"/>
          <w:szCs w:val="20"/>
        </w:rPr>
        <w:t xml:space="preserve">rdance with the Company’s credit ratings, which can be further adjusted upward or downward by </w:t>
      </w:r>
      <w:r>
        <w:rPr>
          <w:rStyle w:val="a6"/>
          <w:sz w:val="20"/>
          <w:szCs w:val="20"/>
        </w:rPr>
        <w:t>0.04%</w:t>
      </w:r>
      <w:r>
        <w:rPr>
          <w:sz w:val="20"/>
          <w:szCs w:val="20"/>
        </w:rPr>
        <w:t xml:space="preserve"> based on the sustainability metric targets, as defined in the agreement.  The Company achieved certain sustainability metric targets, which effectively redu</w:t>
      </w:r>
      <w:r>
        <w:rPr>
          <w:sz w:val="20"/>
          <w:szCs w:val="20"/>
        </w:rPr>
        <w:t>ced the rate on the New Credit Facility by two basis points. Pursuant to the terms of the New Credit Facility, the Company continues to be subject to the same covenants under the Credit Facility. For a full description of the New Credit Facility’s covenant</w:t>
      </w:r>
      <w:r>
        <w:rPr>
          <w:sz w:val="20"/>
          <w:szCs w:val="20"/>
        </w:rPr>
        <w:t xml:space="preserve">s refer to the Amended and Restated Credit Agreement dated as of </w:t>
      </w:r>
      <w:r>
        <w:rPr>
          <w:rStyle w:val="a6"/>
          <w:sz w:val="20"/>
          <w:szCs w:val="20"/>
        </w:rPr>
        <w:t xml:space="preserve">February 23, 2023, </w:t>
      </w:r>
      <w:r>
        <w:rPr>
          <w:sz w:val="20"/>
          <w:szCs w:val="20"/>
        </w:rPr>
        <w:t xml:space="preserve">filed as Exhibit </w:t>
      </w:r>
      <w:r>
        <w:rPr>
          <w:rStyle w:val="a6"/>
          <w:sz w:val="20"/>
          <w:szCs w:val="20"/>
        </w:rPr>
        <w:t>10.20</w:t>
      </w:r>
      <w:r>
        <w:rPr>
          <w:sz w:val="20"/>
          <w:szCs w:val="20"/>
        </w:rPr>
        <w:t xml:space="preserve"> to this Annual Report on Form </w:t>
      </w:r>
      <w:r>
        <w:rPr>
          <w:rStyle w:val="a6"/>
          <w:sz w:val="20"/>
          <w:szCs w:val="20"/>
        </w:rPr>
        <w:t>10</w:t>
      </w:r>
      <w:r>
        <w:rPr>
          <w:sz w:val="20"/>
          <w:szCs w:val="20"/>
        </w:rPr>
        <w:t>-K.</w:t>
      </w:r>
    </w:p>
    <w:p w:rsidR="00000000" w:rsidRDefault="006954AA">
      <w:pPr>
        <w:pStyle w:val="a3"/>
        <w:spacing w:before="0" w:beforeAutospacing="0" w:after="0" w:afterAutospacing="0"/>
        <w:rPr>
          <w:sz w:val="20"/>
          <w:szCs w:val="20"/>
        </w:rPr>
      </w:pPr>
      <w:r>
        <w:rPr>
          <w:sz w:val="20"/>
          <w:szCs w:val="20"/>
        </w:rPr>
        <w:t> </w:t>
      </w:r>
    </w:p>
    <w:p w:rsidR="00000000" w:rsidRDefault="006954AA">
      <w:pPr>
        <w:divId w:val="504562040"/>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14.</w:t>
      </w:r>
      <w:r>
        <w:rPr>
          <w:sz w:val="20"/>
          <w:szCs w:val="20"/>
        </w:rPr>
        <w:t>  </w:t>
      </w:r>
      <w:r>
        <w:rPr>
          <w:sz w:val="20"/>
          <w:szCs w:val="20"/>
          <w:u w:val="single"/>
        </w:rPr>
        <w:t>Mortgages Payable</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Mortgages, collateralized by certain shopping center properties (see Financial Statement Schedule III included in this annual report on Form </w:t>
      </w:r>
      <w:r>
        <w:rPr>
          <w:rStyle w:val="a6"/>
          <w:sz w:val="20"/>
          <w:szCs w:val="20"/>
        </w:rPr>
        <w:t>10</w:t>
      </w:r>
      <w:r>
        <w:rPr>
          <w:sz w:val="20"/>
          <w:szCs w:val="20"/>
        </w:rPr>
        <w:t>-K), are generally due in monthly installments of principal and/or interest.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2022 </w:t>
      </w:r>
      <w:r>
        <w:rPr>
          <w:sz w:val="20"/>
          <w:szCs w:val="20"/>
        </w:rPr>
        <w:t xml:space="preserve">and </w:t>
      </w:r>
      <w:r>
        <w:rPr>
          <w:rStyle w:val="a6"/>
          <w:sz w:val="20"/>
          <w:szCs w:val="20"/>
        </w:rPr>
        <w:t>2021</w:t>
      </w:r>
      <w:r>
        <w:rPr>
          <w:rStyle w:val="a6"/>
          <w:sz w:val="20"/>
          <w:szCs w:val="20"/>
        </w:rPr>
        <w:t>,</w:t>
      </w:r>
      <w:r>
        <w:rPr>
          <w:sz w:val="20"/>
          <w:szCs w:val="20"/>
        </w:rPr>
        <w:t xml:space="preserve"> the Company’s Mortgages payable, net consisted of the following (dollars in millions):</w:t>
      </w:r>
    </w:p>
    <w:p w:rsidR="00000000" w:rsidRDefault="006954AA">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1922"/>
        <w:gridCol w:w="50"/>
        <w:gridCol w:w="100"/>
        <w:gridCol w:w="450"/>
        <w:gridCol w:w="67"/>
        <w:gridCol w:w="50"/>
        <w:gridCol w:w="100"/>
        <w:gridCol w:w="450"/>
        <w:gridCol w:w="67"/>
        <w:gridCol w:w="50"/>
        <w:gridCol w:w="50"/>
        <w:gridCol w:w="517"/>
        <w:gridCol w:w="650"/>
        <w:gridCol w:w="517"/>
        <w:gridCol w:w="50"/>
        <w:gridCol w:w="50"/>
        <w:gridCol w:w="50"/>
        <w:gridCol w:w="517"/>
        <w:gridCol w:w="650"/>
        <w:gridCol w:w="517"/>
        <w:gridCol w:w="50"/>
        <w:gridCol w:w="50"/>
        <w:gridCol w:w="54"/>
        <w:gridCol w:w="813"/>
        <w:gridCol w:w="50"/>
      </w:tblGrid>
      <w:tr w:rsidR="00000000">
        <w:trPr>
          <w:tblCellSpacing w:w="0" w:type="dxa"/>
        </w:trPr>
        <w:tc>
          <w:tcPr>
            <w:tcW w:w="1500" w:type="pct"/>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Carrying Amount at</w:t>
            </w:r>
          </w:p>
          <w:p w:rsidR="00000000" w:rsidRDefault="006954AA">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 at</w:t>
            </w:r>
          </w:p>
          <w:p w:rsidR="00000000" w:rsidRDefault="006954AA">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vAlign w:val="bottom"/>
            <w:hideMark/>
          </w:tcPr>
          <w:p w:rsidR="00000000" w:rsidRDefault="006954AA">
            <w:pPr>
              <w:pStyle w:val="a3"/>
              <w:spacing w:before="0" w:beforeAutospacing="0" w:after="0" w:afterAutospacing="0"/>
              <w:jc w:val="center"/>
              <w:rPr>
                <w:sz w:val="20"/>
                <w:szCs w:val="20"/>
              </w:rPr>
            </w:pPr>
            <w:r>
              <w:rPr>
                <w:b/>
                <w:bCs/>
                <w:sz w:val="20"/>
                <w:szCs w:val="20"/>
              </w:rPr>
              <w:t xml:space="preserve">Maturity Date at </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December 31, 2022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379.3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439.2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3.23%</w:t>
            </w:r>
          </w:p>
        </w:tc>
        <w:tc>
          <w:tcPr>
            <w:tcW w:w="20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w:t>
            </w:r>
          </w:p>
        </w:tc>
        <w:tc>
          <w:tcPr>
            <w:tcW w:w="150" w:type="pct"/>
            <w:shd w:val="clear" w:color="auto" w:fill="CCEEFF"/>
            <w:vAlign w:val="bottom"/>
            <w:hideMark/>
          </w:tcPr>
          <w:p w:rsidR="00000000" w:rsidRDefault="006954AA">
            <w:pPr>
              <w:rPr>
                <w:rFonts w:eastAsia="Times New Roman"/>
                <w:sz w:val="20"/>
                <w:szCs w:val="20"/>
              </w:rPr>
            </w:pPr>
            <w:r>
              <w:rPr>
                <w:rFonts w:eastAsia="Times New Roman"/>
                <w:sz w:val="20"/>
                <w:szCs w:val="20"/>
              </w:rPr>
              <w:t>7.23%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3.23%</w:t>
            </w:r>
          </w:p>
        </w:tc>
        <w:tc>
          <w:tcPr>
            <w:tcW w:w="20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w:t>
            </w:r>
          </w:p>
        </w:tc>
        <w:tc>
          <w:tcPr>
            <w:tcW w:w="150" w:type="pct"/>
            <w:shd w:val="clear" w:color="auto" w:fill="CCEEFF"/>
            <w:vAlign w:val="bottom"/>
            <w:hideMark/>
          </w:tcPr>
          <w:p w:rsidR="00000000" w:rsidRDefault="006954AA">
            <w:pPr>
              <w:rPr>
                <w:rFonts w:eastAsia="Times New Roman"/>
                <w:sz w:val="20"/>
                <w:szCs w:val="20"/>
              </w:rPr>
            </w:pPr>
            <w:r>
              <w:rPr>
                <w:rFonts w:eastAsia="Times New Roman"/>
                <w:sz w:val="20"/>
                <w:szCs w:val="20"/>
              </w:rPr>
              <w:t>7.23%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 </w:t>
            </w:r>
          </w:p>
        </w:tc>
        <w:tc>
          <w:tcPr>
            <w:tcW w:w="75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May-2023 – Jun-2031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Fair value debt adjustments,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(0.7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Deferred financing costs,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tcBorders>
              <w:bottom w:val="single" w:sz="6" w:space="0" w:color="000000"/>
            </w:tcBorders>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single" w:sz="6" w:space="0" w:color="000000"/>
            </w:tcBorders>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50" w:type="pct"/>
            <w:tcBorders>
              <w:bottom w:val="single" w:sz="6" w:space="0" w:color="000000"/>
            </w:tcBorders>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single" w:sz="6" w:space="0" w:color="000000"/>
            </w:tcBorders>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1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center"/>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376.9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448.7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150" w:type="pct"/>
            <w:tcBorders>
              <w:bottom w:val="double" w:sz="6" w:space="0" w:color="000000"/>
            </w:tcBorders>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double" w:sz="6" w:space="0" w:color="000000"/>
            </w:tcBorders>
            <w:shd w:val="clear" w:color="auto" w:fill="FFFFFF"/>
            <w:vAlign w:val="bottom"/>
            <w:hideMark/>
          </w:tcPr>
          <w:p w:rsidR="00000000" w:rsidRDefault="006954AA">
            <w:pPr>
              <w:jc w:val="center"/>
              <w:rPr>
                <w:rFonts w:eastAsia="Times New Roman"/>
                <w:sz w:val="20"/>
                <w:szCs w:val="20"/>
              </w:rPr>
            </w:pPr>
            <w:r>
              <w:rPr>
                <w:rFonts w:eastAsia="Times New Roman"/>
                <w:b/>
                <w:bCs/>
                <w:sz w:val="20"/>
                <w:szCs w:val="20"/>
              </w:rPr>
              <w:t>4.16%</w:t>
            </w:r>
            <w:r>
              <w:rPr>
                <w:rFonts w:eastAsia="Times New Roman"/>
                <w:b/>
                <w:bCs/>
                <w:sz w:val="20"/>
                <w:szCs w:val="20"/>
              </w:rPr>
              <w:t>*</w:t>
            </w:r>
          </w:p>
        </w:tc>
        <w:tc>
          <w:tcPr>
            <w:tcW w:w="1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150" w:type="pct"/>
            <w:tcBorders>
              <w:bottom w:val="double" w:sz="6" w:space="0" w:color="000000"/>
            </w:tcBorders>
            <w:shd w:val="clear" w:color="auto" w:fill="FFFFFF"/>
            <w:vAlign w:val="bottom"/>
            <w:hideMark/>
          </w:tcPr>
          <w:p w:rsidR="00000000" w:rsidRDefault="006954AA">
            <w:pPr>
              <w:rPr>
                <w:rFonts w:eastAsia="Times New Roman"/>
                <w:sz w:val="20"/>
                <w:szCs w:val="20"/>
              </w:rPr>
            </w:pPr>
            <w:r>
              <w:rPr>
                <w:rStyle w:val="a6"/>
                <w:rFonts w:eastAsia="Times New Roman"/>
                <w:sz w:val="20"/>
                <w:szCs w:val="20"/>
              </w:rPr>
              <w:t> </w:t>
            </w:r>
          </w:p>
        </w:tc>
        <w:tc>
          <w:tcPr>
            <w:tcW w:w="200" w:type="pct"/>
            <w:tcBorders>
              <w:bottom w:val="double" w:sz="6" w:space="0" w:color="000000"/>
            </w:tcBorders>
            <w:shd w:val="clear" w:color="auto" w:fill="FFFFFF"/>
            <w:vAlign w:val="bottom"/>
            <w:hideMark/>
          </w:tcPr>
          <w:p w:rsidR="00000000" w:rsidRDefault="006954AA">
            <w:pPr>
              <w:jc w:val="center"/>
              <w:rPr>
                <w:rFonts w:eastAsia="Times New Roman"/>
                <w:sz w:val="20"/>
                <w:szCs w:val="20"/>
              </w:rPr>
            </w:pPr>
            <w:r>
              <w:rPr>
                <w:rFonts w:eastAsia="Times New Roman"/>
                <w:b/>
                <w:bCs/>
                <w:sz w:val="20"/>
                <w:szCs w:val="20"/>
              </w:rPr>
              <w:t>4.12%</w:t>
            </w:r>
            <w:r>
              <w:rPr>
                <w:rFonts w:eastAsia="Times New Roman"/>
                <w:b/>
                <w:bCs/>
                <w:sz w:val="20"/>
                <w:szCs w:val="20"/>
              </w:rPr>
              <w:t>*</w:t>
            </w:r>
          </w:p>
        </w:tc>
        <w:tc>
          <w:tcPr>
            <w:tcW w:w="1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ind w:left="360"/>
        <w:jc w:val="both"/>
        <w:rPr>
          <w:sz w:val="20"/>
          <w:szCs w:val="20"/>
        </w:rPr>
      </w:pPr>
      <w:r>
        <w:rPr>
          <w:sz w:val="20"/>
          <w:szCs w:val="20"/>
        </w:rPr>
        <w:t>* Weighted-average interest rate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2022,</w:t>
      </w:r>
      <w:r>
        <w:rPr>
          <w:sz w:val="20"/>
          <w:szCs w:val="20"/>
        </w:rPr>
        <w:t xml:space="preserve"> </w:t>
      </w:r>
      <w:r>
        <w:rPr>
          <w:sz w:val="20"/>
          <w:szCs w:val="20"/>
        </w:rPr>
        <w:t xml:space="preserve">the Company (i) assumed $79.4 million of mortgage debt (including fair market value adjustment of $9.4 million) encumbering six operating properties acquired in </w:t>
      </w:r>
      <w:r>
        <w:rPr>
          <w:rStyle w:val="a6"/>
          <w:sz w:val="20"/>
          <w:szCs w:val="20"/>
        </w:rPr>
        <w:t>2022,</w:t>
      </w:r>
      <w:r>
        <w:rPr>
          <w:sz w:val="20"/>
          <w:szCs w:val="20"/>
        </w:rPr>
        <w:t xml:space="preserve"> (ii) obtained a $19.0 million mortgage relating to a consolidated joint venture operating</w:t>
      </w:r>
      <w:r>
        <w:rPr>
          <w:sz w:val="20"/>
          <w:szCs w:val="20"/>
        </w:rPr>
        <w:t xml:space="preserve"> property and (iii) repaid $158.4 million of mortgage debt (including fair market value adjustment of $0.5 million) that encumbered 11 operating properties.</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the Company (i) assumed $234.1 million of individual non-recourse mortgage debt thro</w:t>
      </w:r>
      <w:r>
        <w:rPr>
          <w:sz w:val="20"/>
          <w:szCs w:val="20"/>
        </w:rPr>
        <w:t>ugh the consolidation of nine operating properties, (ii) repaid $230.5 million of mortgage debt (including fair market value adjustment of $1.2 million) that encumbered 28 operating properties and (iii) deconsolidated $170.0 million of individual non-recou</w:t>
      </w:r>
      <w:r>
        <w:rPr>
          <w:sz w:val="20"/>
          <w:szCs w:val="20"/>
        </w:rPr>
        <w:t xml:space="preserve">rse mortgage debt relating to six operating properties, for which the Company </w:t>
      </w:r>
      <w:r>
        <w:rPr>
          <w:rStyle w:val="a6"/>
          <w:sz w:val="20"/>
          <w:szCs w:val="20"/>
        </w:rPr>
        <w:t>no</w:t>
      </w:r>
      <w:r>
        <w:rPr>
          <w:sz w:val="20"/>
          <w:szCs w:val="20"/>
        </w:rPr>
        <w:t xml:space="preserve"> longer holds a controlling interest.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addition, in connection with the Merger, the Company assumed mortgage debt of $317.7 million (including fair market value adjustment of $11.0 million) that encumbered 16 operating properties, which had scheduled maturity dates ranging from </w:t>
      </w:r>
      <w:r>
        <w:rPr>
          <w:rStyle w:val="a6"/>
          <w:sz w:val="20"/>
          <w:szCs w:val="20"/>
        </w:rPr>
        <w:t xml:space="preserve">April 2022 </w:t>
      </w:r>
      <w:r>
        <w:rPr>
          <w:sz w:val="20"/>
          <w:szCs w:val="20"/>
        </w:rPr>
        <w:t>to</w:t>
      </w:r>
      <w:r>
        <w:rPr>
          <w:sz w:val="20"/>
          <w:szCs w:val="20"/>
        </w:rPr>
        <w:t xml:space="preserve"> </w:t>
      </w:r>
      <w:r>
        <w:rPr>
          <w:rStyle w:val="a6"/>
          <w:sz w:val="20"/>
          <w:szCs w:val="20"/>
        </w:rPr>
        <w:t xml:space="preserve">August 2038 </w:t>
      </w:r>
      <w:r>
        <w:rPr>
          <w:sz w:val="20"/>
          <w:szCs w:val="20"/>
        </w:rPr>
        <w:t>and accrued interest at rates ranging from 3.50% to 6.95% per annum.</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2844924"/>
        <w:rPr>
          <w:rFonts w:eastAsia="Times New Roman"/>
          <w:sz w:val="20"/>
          <w:szCs w:val="20"/>
        </w:rPr>
      </w:pPr>
      <w:r>
        <w:rPr>
          <w:rStyle w:val="a6"/>
          <w:rFonts w:eastAsia="Times New Roman"/>
          <w:sz w:val="20"/>
          <w:szCs w:val="20"/>
        </w:rPr>
        <w:t>82</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7" style="width:415.3pt;height:1.5pt" o:hralign="center" o:hrstd="t" o:hrnoshade="t" o:hr="t" fillcolor="black" stroked="f"/>
        </w:pict>
      </w:r>
    </w:p>
    <w:p w:rsidR="00000000" w:rsidRDefault="006954AA">
      <w:pPr>
        <w:divId w:val="1231113584"/>
        <w:rPr>
          <w:rFonts w:eastAsia="Times New Roman"/>
          <w:sz w:val="20"/>
          <w:szCs w:val="20"/>
        </w:rPr>
      </w:pPr>
      <w:r>
        <w:rPr>
          <w:rFonts w:eastAsia="Times New Roman"/>
          <w:sz w:val="20"/>
          <w:szCs w:val="20"/>
        </w:rPr>
        <w:t xml:space="preserve">  </w:t>
      </w:r>
    </w:p>
    <w:p w:rsidR="00000000" w:rsidRDefault="006954AA">
      <w:pPr>
        <w:jc w:val="center"/>
        <w:divId w:val="1494638387"/>
        <w:rPr>
          <w:rFonts w:eastAsia="Times New Roman"/>
          <w:sz w:val="20"/>
          <w:szCs w:val="20"/>
        </w:rPr>
      </w:pPr>
      <w:r>
        <w:rPr>
          <w:rFonts w:eastAsia="Times New Roman"/>
          <w:sz w:val="20"/>
          <w:szCs w:val="20"/>
        </w:rPr>
        <w:t xml:space="preserve">KIMCO REALTY CORPORATION AND SUBSIDIARIES </w:t>
      </w:r>
    </w:p>
    <w:p w:rsidR="00000000" w:rsidRDefault="006954AA">
      <w:pPr>
        <w:divId w:val="1092358009"/>
        <w:rPr>
          <w:rFonts w:eastAsia="Times New Roman"/>
          <w:sz w:val="20"/>
          <w:szCs w:val="20"/>
        </w:rPr>
      </w:pPr>
      <w:r>
        <w:rPr>
          <w:rFonts w:eastAsia="Times New Roman"/>
          <w:sz w:val="20"/>
          <w:szCs w:val="20"/>
        </w:rPr>
        <w:t xml:space="preserve">  </w:t>
      </w:r>
    </w:p>
    <w:p w:rsidR="00000000" w:rsidRDefault="006954AA">
      <w:pPr>
        <w:jc w:val="center"/>
        <w:divId w:val="1033073413"/>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scheduled principal payments (excludi</w:t>
      </w:r>
      <w:r>
        <w:rPr>
          <w:sz w:val="20"/>
          <w:szCs w:val="20"/>
        </w:rPr>
        <w:t xml:space="preserve">ng any extension options available to the Company) of all mortgages payable, excluding unamortized fair value debt adjustments of $0.7 million and unamortized debt issuance costs of $1.7 million, as of </w:t>
      </w:r>
      <w:r>
        <w:rPr>
          <w:rStyle w:val="a6"/>
          <w:sz w:val="20"/>
          <w:szCs w:val="20"/>
        </w:rPr>
        <w:t xml:space="preserve">December 31, 2022, </w:t>
      </w:r>
      <w:r>
        <w:rPr>
          <w:sz w:val="20"/>
          <w:szCs w:val="20"/>
        </w:rPr>
        <w:t>were as follows (in millions):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1798"/>
        <w:gridCol w:w="62"/>
        <w:gridCol w:w="100"/>
        <w:gridCol w:w="614"/>
        <w:gridCol w:w="63"/>
        <w:gridCol w:w="63"/>
        <w:gridCol w:w="100"/>
        <w:gridCol w:w="615"/>
        <w:gridCol w:w="63"/>
        <w:gridCol w:w="63"/>
        <w:gridCol w:w="100"/>
        <w:gridCol w:w="615"/>
        <w:gridCol w:w="63"/>
        <w:gridCol w:w="63"/>
        <w:gridCol w:w="101"/>
        <w:gridCol w:w="615"/>
        <w:gridCol w:w="63"/>
        <w:gridCol w:w="63"/>
        <w:gridCol w:w="100"/>
        <w:gridCol w:w="615"/>
        <w:gridCol w:w="63"/>
        <w:gridCol w:w="63"/>
        <w:gridCol w:w="103"/>
        <w:gridCol w:w="819"/>
        <w:gridCol w:w="63"/>
        <w:gridCol w:w="63"/>
        <w:gridCol w:w="100"/>
        <w:gridCol w:w="615"/>
        <w:gridCol w:w="6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11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Principal payments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39.0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379.3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170348105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rStyle w:val="a6"/>
          <w:sz w:val="20"/>
          <w:szCs w:val="20"/>
        </w:rPr>
        <w:t>15.</w:t>
      </w:r>
      <w:r>
        <w:rPr>
          <w:sz w:val="20"/>
          <w:szCs w:val="20"/>
        </w:rPr>
        <w:t xml:space="preserve"> </w:t>
      </w:r>
      <w:r>
        <w:rPr>
          <w:sz w:val="20"/>
          <w:szCs w:val="20"/>
          <w:u w:val="single"/>
        </w:rPr>
        <w:t>Other Liabilities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Embedded Derivative Liability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evaluates its financial instruments, including equity-linked financial instruments, to determine if such instruments are derivatives or contain features that qualify as embedded derivatives in accordance with FAS</w:t>
      </w:r>
      <w:r>
        <w:rPr>
          <w:sz w:val="20"/>
          <w:szCs w:val="20"/>
        </w:rPr>
        <w:t xml:space="preserve">B ASC Topic </w:t>
      </w:r>
      <w:r>
        <w:rPr>
          <w:rStyle w:val="a6"/>
          <w:sz w:val="20"/>
          <w:szCs w:val="20"/>
        </w:rPr>
        <w:t>815,</w:t>
      </w:r>
      <w:r>
        <w:rPr>
          <w:sz w:val="20"/>
          <w:szCs w:val="20"/>
        </w:rPr>
        <w:t xml:space="preserve"> “Derivatives and Hedging” (“ASC </w:t>
      </w:r>
      <w:r>
        <w:rPr>
          <w:rStyle w:val="a6"/>
          <w:sz w:val="20"/>
          <w:szCs w:val="20"/>
        </w:rPr>
        <w:t>815”</w:t>
      </w:r>
      <w:r>
        <w:rPr>
          <w:sz w:val="20"/>
          <w:szCs w:val="20"/>
        </w:rPr>
        <w:t>). For derivative financial instruments that are classified as liabilities, the derivative instrument is initially recognized at fair value with subsequent changes in fair value recognized in each report</w:t>
      </w:r>
      <w:r>
        <w:rPr>
          <w:sz w:val="20"/>
          <w:szCs w:val="20"/>
        </w:rPr>
        <w:t>ing period as a component of “Other income/(loss), net” on our accompanying Consolidated Statements of Income. The classification of freestanding derivative instruments, including whether such instruments should be classified as liabilities or as equity, i</w:t>
      </w:r>
      <w:r>
        <w:rPr>
          <w:sz w:val="20"/>
          <w:szCs w:val="20"/>
        </w:rPr>
        <w:t>s evaluated at the end of each reporting period.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2022, </w:t>
      </w:r>
      <w:r>
        <w:rPr>
          <w:sz w:val="20"/>
          <w:szCs w:val="20"/>
        </w:rPr>
        <w:t>the Company entered into an agreement to purchase a portfolio of</w:t>
      </w:r>
      <w:r>
        <w:rPr>
          <w:sz w:val="20"/>
          <w:szCs w:val="20"/>
        </w:rPr>
        <w:t xml:space="preserve"> </w:t>
      </w:r>
      <w:r>
        <w:rPr>
          <w:sz w:val="20"/>
          <w:szCs w:val="20"/>
        </w:rPr>
        <w:t>eigh</w:t>
      </w:r>
      <w:r>
        <w:rPr>
          <w:sz w:val="20"/>
          <w:szCs w:val="20"/>
        </w:rPr>
        <w:t>t</w:t>
      </w:r>
      <w:r>
        <w:rPr>
          <w:sz w:val="20"/>
          <w:szCs w:val="20"/>
        </w:rPr>
        <w:t xml:space="preserve"> properties for a sales price of $376.5 million, which were encumbered by $88.8 million of mor</w:t>
      </w:r>
      <w:r>
        <w:rPr>
          <w:sz w:val="20"/>
          <w:szCs w:val="20"/>
        </w:rPr>
        <w:t>tgage debt.  The Company paid cash of $152.1 million and issued 6,104,831 preferred units (“Preferred Outside Partner Units”) and 678,306 common units (“Common Outside Partner Units”) with a value of $135.7 million to the sellers (collectively, the "Outsid</w:t>
      </w:r>
      <w:r>
        <w:rPr>
          <w:sz w:val="20"/>
          <w:szCs w:val="20"/>
        </w:rPr>
        <w:t>e Partner Units").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transaction includes a call option for the Company to purchase the Outside Partner’s Unit interests 10 years from the anniversary date of the agreement. The holders of the Outside Partner Units have a put option that would require</w:t>
      </w:r>
      <w:r>
        <w:rPr>
          <w:sz w:val="20"/>
          <w:szCs w:val="20"/>
        </w:rPr>
        <w:t xml:space="preserve"> the Company to purchase (i) 50% the holder’s ownership interest after the </w:t>
      </w:r>
      <w:r>
        <w:rPr>
          <w:rStyle w:val="a6"/>
          <w:sz w:val="20"/>
          <w:szCs w:val="20"/>
        </w:rPr>
        <w:t>first</w:t>
      </w:r>
      <w:r>
        <w:rPr>
          <w:sz w:val="20"/>
          <w:szCs w:val="20"/>
        </w:rPr>
        <w:t xml:space="preserve"> anniversary date, (ii) an additional 25% after the </w:t>
      </w:r>
      <w:r>
        <w:rPr>
          <w:rStyle w:val="a6"/>
          <w:sz w:val="20"/>
          <w:szCs w:val="20"/>
        </w:rPr>
        <w:t>second</w:t>
      </w:r>
      <w:r>
        <w:rPr>
          <w:sz w:val="20"/>
          <w:szCs w:val="20"/>
        </w:rPr>
        <w:t xml:space="preserve"> anniversary date and (iii) the balance of the units after the </w:t>
      </w:r>
      <w:r>
        <w:rPr>
          <w:rStyle w:val="a6"/>
          <w:sz w:val="20"/>
          <w:szCs w:val="20"/>
        </w:rPr>
        <w:t>third</w:t>
      </w:r>
      <w:r>
        <w:rPr>
          <w:sz w:val="20"/>
          <w:szCs w:val="20"/>
        </w:rPr>
        <w:t xml:space="preserve"> anniversary date.  The put and call options canno</w:t>
      </w:r>
      <w:r>
        <w:rPr>
          <w:sz w:val="20"/>
          <w:szCs w:val="20"/>
        </w:rPr>
        <w:t>t be separated from the noncontrolling interest. The noncontrolling interests associated with these units are classified in mezzanine equity as redeemable noncontrolling interests as a result of the put right available to the unit holders in the future, an</w:t>
      </w:r>
      <w:r>
        <w:rPr>
          <w:sz w:val="20"/>
          <w:szCs w:val="20"/>
        </w:rPr>
        <w:t xml:space="preserve"> event that is </w:t>
      </w:r>
      <w:r>
        <w:rPr>
          <w:rStyle w:val="a6"/>
          <w:sz w:val="20"/>
          <w:szCs w:val="20"/>
        </w:rPr>
        <w:t>not</w:t>
      </w:r>
      <w:r>
        <w:rPr>
          <w:sz w:val="20"/>
          <w:szCs w:val="20"/>
        </w:rPr>
        <w:t xml:space="preserve"> solely in the Company’s control.</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This arrangement included an embedded derivative which required separate accounting. The initial value of the embedded derivative was a liability of $56.0 million at the date of purchase. The Company es</w:t>
      </w:r>
      <w:r>
        <w:rPr>
          <w:sz w:val="20"/>
          <w:szCs w:val="20"/>
        </w:rPr>
        <w:t>timated the fair value of the derivative liability on issuance using a “with-and-without” method. The “with-and-without” methodology involves valuing the whole instrument on an as-is basis and then valuing the instrument without the individual embedded der</w:t>
      </w:r>
      <w:r>
        <w:rPr>
          <w:sz w:val="20"/>
          <w:szCs w:val="20"/>
        </w:rPr>
        <w:t>ivative. The difference between the entire instrument with the embedded derivative compared to the instrument without the embedded derivative was the fair value of the derivative liability on issuance. The analysis reflects the contractual terms of the red</w:t>
      </w:r>
      <w:r>
        <w:rPr>
          <w:sz w:val="20"/>
          <w:szCs w:val="20"/>
        </w:rPr>
        <w:t>eemable preferred and common units and the estimated probability and timing of underlying events triggering the put and call options are inputs used to determine the estimated fair value of the embedded derivative. The Company has determined the majority o</w:t>
      </w:r>
      <w:r>
        <w:rPr>
          <w:sz w:val="20"/>
          <w:szCs w:val="20"/>
        </w:rPr>
        <w:t xml:space="preserve">f the inputs used to value its embedded derivative fall within Level </w:t>
      </w:r>
      <w:r>
        <w:rPr>
          <w:rStyle w:val="a6"/>
          <w:sz w:val="20"/>
          <w:szCs w:val="20"/>
        </w:rPr>
        <w:t>3</w:t>
      </w:r>
      <w:r>
        <w:rPr>
          <w:sz w:val="20"/>
          <w:szCs w:val="20"/>
        </w:rPr>
        <w:t xml:space="preserve"> of the fair value hierarchy, and as a result, the fair value valuation of its embedded derivative held as of </w:t>
      </w:r>
      <w:r>
        <w:rPr>
          <w:rStyle w:val="a6"/>
          <w:sz w:val="20"/>
          <w:szCs w:val="20"/>
        </w:rPr>
        <w:t xml:space="preserve">December 31, 2022 </w:t>
      </w:r>
      <w:r>
        <w:rPr>
          <w:sz w:val="20"/>
          <w:szCs w:val="20"/>
        </w:rPr>
        <w:t xml:space="preserve">was classified as Level </w:t>
      </w:r>
      <w:r>
        <w:rPr>
          <w:rStyle w:val="a6"/>
          <w:sz w:val="20"/>
          <w:szCs w:val="20"/>
        </w:rPr>
        <w:t>3</w:t>
      </w:r>
      <w:r>
        <w:rPr>
          <w:sz w:val="20"/>
          <w:szCs w:val="20"/>
        </w:rPr>
        <w:t xml:space="preserve"> in the fair value hierarchy and </w:t>
      </w:r>
      <w:r>
        <w:rPr>
          <w:sz w:val="20"/>
          <w:szCs w:val="20"/>
        </w:rPr>
        <w:t xml:space="preserve">are required to be measured at fair value on a recurring basis, see Footnote </w:t>
      </w:r>
      <w:r>
        <w:rPr>
          <w:rStyle w:val="a6"/>
          <w:sz w:val="20"/>
          <w:szCs w:val="20"/>
        </w:rPr>
        <w:t>18</w:t>
      </w:r>
      <w:r>
        <w:rPr>
          <w:sz w:val="20"/>
          <w:szCs w:val="20"/>
        </w:rPr>
        <w:t xml:space="preserve"> of the Notes to the Consolidated Financial Statements included in this Form </w:t>
      </w:r>
      <w:r>
        <w:rPr>
          <w:rStyle w:val="a6"/>
          <w:sz w:val="20"/>
          <w:szCs w:val="20"/>
        </w:rPr>
        <w:t>10</w:t>
      </w:r>
      <w:r>
        <w:rPr>
          <w:sz w:val="20"/>
          <w:szCs w:val="20"/>
        </w:rPr>
        <w:t>-K.</w:t>
      </w:r>
    </w:p>
    <w:p w:rsidR="00000000" w:rsidRDefault="006954AA">
      <w:pPr>
        <w:pStyle w:val="a3"/>
        <w:spacing w:before="0" w:beforeAutospacing="0" w:after="0" w:afterAutospacing="0"/>
        <w:rPr>
          <w:sz w:val="20"/>
          <w:szCs w:val="20"/>
        </w:rPr>
      </w:pPr>
      <w:r>
        <w:rPr>
          <w:sz w:val="20"/>
          <w:szCs w:val="20"/>
        </w:rPr>
        <w:t> </w:t>
      </w:r>
    </w:p>
    <w:p w:rsidR="00000000" w:rsidRDefault="006954AA">
      <w:pPr>
        <w:divId w:val="988896490"/>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rStyle w:val="a6"/>
          <w:sz w:val="20"/>
          <w:szCs w:val="20"/>
        </w:rPr>
        <w:t>16.</w:t>
      </w:r>
      <w:r>
        <w:rPr>
          <w:sz w:val="20"/>
          <w:szCs w:val="20"/>
        </w:rPr>
        <w:t>  </w:t>
      </w:r>
      <w:r>
        <w:rPr>
          <w:sz w:val="20"/>
          <w:szCs w:val="20"/>
          <w:u w:val="single"/>
        </w:rPr>
        <w:t>Noncontrolling Interests and Redeemable Noncontrolling Interests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those entities it consolidates as a result of having a controlling interest or having determined t</w:t>
      </w:r>
      <w:r>
        <w:rPr>
          <w:sz w:val="20"/>
          <w:szCs w:val="20"/>
        </w:rPr>
        <w:t>hat the Company was the primary beneficiary of a VIE in accordance with the provisions of the FASB’s Consolidation guidance.  The Company accounts and reports for noncontrolling interests in accordance with the Consolidation guidance and the Distinguishing</w:t>
      </w:r>
      <w:r>
        <w:rPr>
          <w:sz w:val="20"/>
          <w:szCs w:val="20"/>
        </w:rPr>
        <w:t xml:space="preserve"> Liabilities from Equity guidance issued by the FASB. The Company identifies its noncontrolling interests separately within the equity section on the Company’s Consolidated Balance Sheets. The amounts of consolidated net income attributable to the Company </w:t>
      </w:r>
      <w:r>
        <w:rPr>
          <w:sz w:val="20"/>
          <w:szCs w:val="20"/>
        </w:rPr>
        <w:t>and to the noncontrolling interests are presented separately on the Company’s Consolidated Statements of Income.  </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433212542"/>
        <w:rPr>
          <w:rFonts w:eastAsia="Times New Roman"/>
          <w:sz w:val="20"/>
          <w:szCs w:val="20"/>
        </w:rPr>
      </w:pPr>
      <w:r>
        <w:rPr>
          <w:rStyle w:val="a6"/>
          <w:rFonts w:eastAsia="Times New Roman"/>
          <w:sz w:val="20"/>
          <w:szCs w:val="20"/>
        </w:rPr>
        <w:t>83</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8" style="width:415.3pt;height:1.5pt" o:hralign="center" o:hrstd="t" o:hrnoshade="t" o:hr="t" fillcolor="black" stroked="f"/>
        </w:pict>
      </w:r>
    </w:p>
    <w:p w:rsidR="00000000" w:rsidRDefault="006954AA">
      <w:pPr>
        <w:divId w:val="778379529"/>
        <w:rPr>
          <w:rFonts w:eastAsia="Times New Roman"/>
          <w:sz w:val="20"/>
          <w:szCs w:val="20"/>
        </w:rPr>
      </w:pPr>
      <w:r>
        <w:rPr>
          <w:rFonts w:eastAsia="Times New Roman"/>
          <w:sz w:val="20"/>
          <w:szCs w:val="20"/>
        </w:rPr>
        <w:t xml:space="preserve">  </w:t>
      </w:r>
    </w:p>
    <w:p w:rsidR="00000000" w:rsidRDefault="006954AA">
      <w:pPr>
        <w:jc w:val="center"/>
        <w:divId w:val="1501504530"/>
        <w:rPr>
          <w:rFonts w:eastAsia="Times New Roman"/>
          <w:sz w:val="20"/>
          <w:szCs w:val="20"/>
        </w:rPr>
      </w:pPr>
      <w:r>
        <w:rPr>
          <w:rFonts w:eastAsia="Times New Roman"/>
          <w:sz w:val="20"/>
          <w:szCs w:val="20"/>
        </w:rPr>
        <w:t xml:space="preserve">KIMCO REALTY CORPORATION AND SUBSIDIARIES </w:t>
      </w:r>
    </w:p>
    <w:p w:rsidR="00000000" w:rsidRDefault="006954AA">
      <w:pPr>
        <w:divId w:val="1626959704"/>
        <w:rPr>
          <w:rFonts w:eastAsia="Times New Roman"/>
          <w:sz w:val="20"/>
          <w:szCs w:val="20"/>
        </w:rPr>
      </w:pPr>
      <w:r>
        <w:rPr>
          <w:rFonts w:eastAsia="Times New Roman"/>
          <w:sz w:val="20"/>
          <w:szCs w:val="20"/>
        </w:rPr>
        <w:t xml:space="preserve">  </w:t>
      </w:r>
    </w:p>
    <w:p w:rsidR="00000000" w:rsidRDefault="006954AA">
      <w:pPr>
        <w:jc w:val="center"/>
        <w:divId w:val="711734517"/>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i/>
          <w:iCs/>
          <w:sz w:val="20"/>
          <w:szCs w:val="20"/>
        </w:rPr>
        <w:t>Noncontrolling interests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owns</w:t>
      </w:r>
      <w:r>
        <w:rPr>
          <w:sz w:val="20"/>
          <w:szCs w:val="20"/>
        </w:rPr>
        <w:t xml:space="preserve"> </w:t>
      </w:r>
      <w:r>
        <w:rPr>
          <w:sz w:val="20"/>
          <w:szCs w:val="20"/>
        </w:rPr>
        <w:t>seve</w:t>
      </w:r>
      <w:r>
        <w:rPr>
          <w:sz w:val="20"/>
          <w:szCs w:val="20"/>
        </w:rPr>
        <w:t>n</w:t>
      </w:r>
      <w:r>
        <w:rPr>
          <w:sz w:val="20"/>
          <w:szCs w:val="20"/>
        </w:rPr>
        <w:t xml:space="preserve"> </w:t>
      </w:r>
      <w:r>
        <w:rPr>
          <w:sz w:val="20"/>
          <w:szCs w:val="20"/>
        </w:rPr>
        <w:t xml:space="preserve">shopping center properties located throughout Puerto Rico. These properties were acquired in </w:t>
      </w:r>
      <w:r>
        <w:rPr>
          <w:rStyle w:val="a6"/>
          <w:sz w:val="20"/>
          <w:szCs w:val="20"/>
        </w:rPr>
        <w:t>2006</w:t>
      </w:r>
      <w:r>
        <w:rPr>
          <w:sz w:val="20"/>
          <w:szCs w:val="20"/>
        </w:rPr>
        <w:t xml:space="preserve"> partially through the issuance of $158.6 million of non-convertible units and $45.8 </w:t>
      </w:r>
      <w:r>
        <w:rPr>
          <w:sz w:val="20"/>
          <w:szCs w:val="20"/>
        </w:rPr>
        <w:t>million of convertible units. Noncontrolling interests related to these acquisitions totaled $233.0 million of units, including premiums of $13.5 million and a fair market value adjustment of $15.1 million (collectively, the "Units"). Since the acquisition</w:t>
      </w:r>
      <w:r>
        <w:rPr>
          <w:sz w:val="20"/>
          <w:szCs w:val="20"/>
        </w:rPr>
        <w:t xml:space="preserve"> date the Company has redeemed a substantial portion of these units.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noncontrolling interests relating to the remaining units was $4.7 million and $5.2 million, respectively. The Units related annual cash distribution rate</w:t>
      </w:r>
      <w:r>
        <w:rPr>
          <w:sz w:val="20"/>
          <w:szCs w:val="20"/>
        </w:rPr>
        <w:t xml:space="preserve">s and related conversion features consisted of the following as of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386"/>
        <w:gridCol w:w="72"/>
        <w:gridCol w:w="100"/>
        <w:gridCol w:w="1019"/>
        <w:gridCol w:w="72"/>
        <w:gridCol w:w="72"/>
        <w:gridCol w:w="72"/>
        <w:gridCol w:w="1020"/>
        <w:gridCol w:w="73"/>
        <w:gridCol w:w="73"/>
        <w:gridCol w:w="73"/>
        <w:gridCol w:w="1809"/>
        <w:gridCol w:w="50"/>
      </w:tblGrid>
      <w:tr w:rsidR="00000000">
        <w:trPr>
          <w:tblCellSpacing w:w="0" w:type="dxa"/>
        </w:trPr>
        <w:tc>
          <w:tcPr>
            <w:tcW w:w="21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Type</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Par Value </w:t>
            </w:r>
          </w:p>
          <w:p w:rsidR="00000000" w:rsidRDefault="006954AA">
            <w:pPr>
              <w:pStyle w:val="a3"/>
              <w:spacing w:before="0" w:beforeAutospacing="0" w:after="0" w:afterAutospacing="0"/>
              <w:jc w:val="center"/>
              <w:rPr>
                <w:sz w:val="20"/>
                <w:szCs w:val="20"/>
              </w:rPr>
            </w:pPr>
            <w:r>
              <w:rPr>
                <w:b/>
                <w:bCs/>
                <w:sz w:val="20"/>
                <w:szCs w:val="20"/>
              </w:rPr>
              <w:t>Per Unit</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Number of Units </w:t>
            </w:r>
          </w:p>
          <w:p w:rsidR="00000000" w:rsidRDefault="006954AA">
            <w:pPr>
              <w:pStyle w:val="a3"/>
              <w:spacing w:before="0" w:beforeAutospacing="0" w:after="0" w:afterAutospacing="0"/>
              <w:jc w:val="center"/>
              <w:rPr>
                <w:sz w:val="20"/>
                <w:szCs w:val="20"/>
              </w:rPr>
            </w:pPr>
            <w:r>
              <w:rPr>
                <w:b/>
                <w:bCs/>
                <w:sz w:val="20"/>
                <w:szCs w:val="20"/>
              </w:rPr>
              <w:t>Remaining</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Return Per Annum</w:t>
            </w:r>
          </w:p>
        </w:tc>
        <w:tc>
          <w:tcPr>
            <w:tcW w:w="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Class B-1 Preferred Units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7.0%</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Class B-2 Preferred Units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6954AA">
            <w:pPr>
              <w:jc w:val="center"/>
              <w:rPr>
                <w:rFonts w:eastAsia="Times New Roman"/>
                <w:sz w:val="20"/>
                <w:szCs w:val="20"/>
              </w:rPr>
            </w:pPr>
            <w:r>
              <w:rPr>
                <w:rFonts w:eastAsia="Times New Roman"/>
                <w:sz w:val="20"/>
                <w:szCs w:val="20"/>
              </w:rPr>
              <w:t>7.0%</w:t>
            </w:r>
          </w:p>
        </w:tc>
        <w:tc>
          <w:tcPr>
            <w:tcW w:w="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Class C DownREIT Units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52,797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Equal to the Company’s common stock dividend</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These units are redeemable for cash by the holder or at the Company’s option, shares of the Company’s common stock, based upon the conversion calculation as defined in the agreement. These units are included in Noncontrolling interests on the Company’s Con</w:t>
            </w:r>
            <w:r>
              <w:rPr>
                <w:sz w:val="20"/>
                <w:szCs w:val="20"/>
              </w:rPr>
              <w:t>solidated Balance Sheets.</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These units are redeemable for cash by the holder or callable by the Company and are included in Redeemable noncontrolling interests on the Company’s Consolidated Balance Sheets.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owns a shopping center located in Bay Shore, NY, which was acq</w:t>
      </w:r>
      <w:r>
        <w:rPr>
          <w:sz w:val="20"/>
          <w:szCs w:val="20"/>
        </w:rPr>
        <w:t xml:space="preserve">uired in </w:t>
      </w:r>
      <w:r>
        <w:rPr>
          <w:rStyle w:val="a6"/>
          <w:sz w:val="20"/>
          <w:szCs w:val="20"/>
        </w:rPr>
        <w:t>2006</w:t>
      </w:r>
      <w:r>
        <w:rPr>
          <w:sz w:val="20"/>
          <w:szCs w:val="20"/>
        </w:rPr>
        <w:t xml:space="preserve"> with the issuance of 647,758 redeemable Class B Units at a par value of $37.24 per unit. The units accrue a return equal to the Company’s common stock dividend and are redeemable for cash by the holder or at the Company’s option, shares of th</w:t>
      </w:r>
      <w:r>
        <w:rPr>
          <w:sz w:val="20"/>
          <w:szCs w:val="20"/>
        </w:rPr>
        <w:t>e Company’s common stock at a ratio of</w:t>
      </w:r>
      <w:r>
        <w:rPr>
          <w:sz w:val="20"/>
          <w:szCs w:val="20"/>
        </w:rPr>
        <w:t xml:space="preserve"> </w:t>
      </w:r>
      <w:r>
        <w:rPr>
          <w:sz w:val="20"/>
          <w:szCs w:val="20"/>
        </w:rPr>
        <w:t>1:1</w:t>
      </w:r>
      <w:r>
        <w:rPr>
          <w:sz w:val="20"/>
          <w:szCs w:val="20"/>
        </w:rPr>
        <w:t>.</w:t>
      </w:r>
      <w:r>
        <w:rPr>
          <w:sz w:val="20"/>
          <w:szCs w:val="20"/>
        </w:rPr>
        <w:t xml:space="preserve"> These units are callable by the Company any time after </w:t>
      </w:r>
      <w:r>
        <w:rPr>
          <w:rStyle w:val="a6"/>
          <w:sz w:val="20"/>
          <w:szCs w:val="20"/>
        </w:rPr>
        <w:t xml:space="preserve">April 3, 2026 </w:t>
      </w:r>
      <w:r>
        <w:rPr>
          <w:sz w:val="20"/>
          <w:szCs w:val="20"/>
        </w:rPr>
        <w:t xml:space="preserve">and are included in Noncontrolling interests on the Company’s Consolidated Balance Sheets. During </w:t>
      </w:r>
      <w:r>
        <w:rPr>
          <w:rStyle w:val="a6"/>
          <w:sz w:val="20"/>
          <w:szCs w:val="20"/>
        </w:rPr>
        <w:t>2007,</w:t>
      </w:r>
      <w:r>
        <w:rPr>
          <w:sz w:val="20"/>
          <w:szCs w:val="20"/>
        </w:rPr>
        <w:t xml:space="preserve"> 30,000 units, or $1.1 million par value</w:t>
      </w:r>
      <w:r>
        <w:rPr>
          <w:sz w:val="20"/>
          <w:szCs w:val="20"/>
        </w:rPr>
        <w:t xml:space="preserve">, of the Class B Units were redeemed and at the Company’s option settled in cash. In addition, during </w:t>
      </w:r>
      <w:r>
        <w:rPr>
          <w:rStyle w:val="a6"/>
          <w:sz w:val="20"/>
          <w:szCs w:val="20"/>
        </w:rPr>
        <w:t>2019</w:t>
      </w:r>
      <w:r>
        <w:rPr>
          <w:sz w:val="20"/>
          <w:szCs w:val="20"/>
        </w:rPr>
        <w:t xml:space="preserve"> and </w:t>
      </w:r>
      <w:r>
        <w:rPr>
          <w:rStyle w:val="a6"/>
          <w:sz w:val="20"/>
          <w:szCs w:val="20"/>
        </w:rPr>
        <w:t>2018,</w:t>
      </w:r>
      <w:r>
        <w:rPr>
          <w:sz w:val="20"/>
          <w:szCs w:val="20"/>
        </w:rPr>
        <w:t xml:space="preserve"> 188,951 and 25,970 units, or $8.0 million and $1.1 million book value, respectively, of the Class B Units were redeemed and at the Company’</w:t>
      </w:r>
      <w:r>
        <w:rPr>
          <w:sz w:val="20"/>
          <w:szCs w:val="20"/>
        </w:rPr>
        <w:t xml:space="preserve">s option settled in cash for $4.0 million and $0.5 million, respectively. The redemption value of these units is calculated using the </w:t>
      </w:r>
      <w:r>
        <w:rPr>
          <w:rStyle w:val="a6"/>
          <w:sz w:val="20"/>
          <w:szCs w:val="20"/>
        </w:rPr>
        <w:t>30</w:t>
      </w:r>
      <w:r>
        <w:rPr>
          <w:sz w:val="20"/>
          <w:szCs w:val="20"/>
        </w:rPr>
        <w:t xml:space="preserve">-day weighted average closing price of the Company’s common stock prior to redemption.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noncontrolling interest relating to the remaining Class B Units was $16.1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Noncontrolling interests also includes 138,015 convertible units issued during </w:t>
      </w:r>
      <w:r>
        <w:rPr>
          <w:rStyle w:val="a6"/>
          <w:sz w:val="20"/>
          <w:szCs w:val="20"/>
        </w:rPr>
        <w:t>2006</w:t>
      </w:r>
      <w:r>
        <w:rPr>
          <w:sz w:val="20"/>
          <w:szCs w:val="20"/>
        </w:rPr>
        <w:t xml:space="preserve"> by the Company, which were valued at $5.3 million, including a fair market value adjus</w:t>
      </w:r>
      <w:r>
        <w:rPr>
          <w:sz w:val="20"/>
          <w:szCs w:val="20"/>
        </w:rPr>
        <w:t xml:space="preserve">tment of $0.3 million, related to an interest acquired in an office building located in Albany, NY. These units are currently redeemable at the option of the holder for cash or at the option of the Company for the Company’s common stock at a ratio of </w:t>
      </w:r>
      <w:r>
        <w:rPr>
          <w:rStyle w:val="a6"/>
          <w:sz w:val="20"/>
          <w:szCs w:val="20"/>
        </w:rPr>
        <w:t>1:1.</w:t>
      </w:r>
      <w:r>
        <w:rPr>
          <w:sz w:val="20"/>
          <w:szCs w:val="20"/>
        </w:rPr>
        <w:t xml:space="preserve"> </w:t>
      </w:r>
      <w:r>
        <w:rPr>
          <w:sz w:val="20"/>
          <w:szCs w:val="20"/>
        </w:rPr>
        <w:t>The holder is entitled to a distribution equal to the dividend rate of the Company’s 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connection with the Merger, the Company acquired</w:t>
      </w:r>
      <w:r>
        <w:rPr>
          <w:sz w:val="20"/>
          <w:szCs w:val="20"/>
        </w:rPr>
        <w:t xml:space="preserve"> </w:t>
      </w:r>
      <w:r>
        <w:rPr>
          <w:sz w:val="20"/>
          <w:szCs w:val="20"/>
        </w:rPr>
        <w:t>tw</w:t>
      </w:r>
      <w:r>
        <w:rPr>
          <w:sz w:val="20"/>
          <w:szCs w:val="20"/>
        </w:rPr>
        <w:t>o</w:t>
      </w:r>
      <w:r>
        <w:rPr>
          <w:sz w:val="20"/>
          <w:szCs w:val="20"/>
        </w:rPr>
        <w:t xml:space="preserve"> consolidated joint ventures structured as DownREIT partnerships. As of the date of the Merger, the </w:t>
      </w:r>
      <w:r>
        <w:rPr>
          <w:sz w:val="20"/>
          <w:szCs w:val="20"/>
        </w:rPr>
        <w:t>Raleigh Limited Partnership had 1,813,615 units and the Madison Village Limited Partnership had 174,411 units, together which had an aggregate fair value of $41.7 million. These ventures allow the outside limited partners to redeem their interest in the pa</w:t>
      </w:r>
      <w:r>
        <w:rPr>
          <w:sz w:val="20"/>
          <w:szCs w:val="20"/>
        </w:rPr>
        <w:t>rtnership (at the Company’s option) in cash or for the Company’s common stock at a ratio of</w:t>
      </w:r>
      <w:r>
        <w:rPr>
          <w:sz w:val="20"/>
          <w:szCs w:val="20"/>
        </w:rPr>
        <w:t xml:space="preserve"> </w:t>
      </w:r>
      <w:r>
        <w:rPr>
          <w:sz w:val="20"/>
          <w:szCs w:val="20"/>
        </w:rPr>
        <w:t>1:1</w:t>
      </w:r>
      <w:r>
        <w:rPr>
          <w:sz w:val="20"/>
          <w:szCs w:val="20"/>
        </w:rPr>
        <w:t>.</w:t>
      </w:r>
      <w:r>
        <w:rPr>
          <w:sz w:val="20"/>
          <w:szCs w:val="20"/>
        </w:rPr>
        <w:t xml:space="preserve"> The unit holders are entitled to a distribution equal to the dividend rate of the Company’s common stock. During </w:t>
      </w:r>
      <w:r>
        <w:rPr>
          <w:rStyle w:val="a6"/>
          <w:sz w:val="20"/>
          <w:szCs w:val="20"/>
        </w:rPr>
        <w:t>2022,</w:t>
      </w:r>
      <w:r>
        <w:rPr>
          <w:sz w:val="20"/>
          <w:szCs w:val="20"/>
        </w:rPr>
        <w:t xml:space="preserve"> 73,286 units were redeemed for 73,286 co</w:t>
      </w:r>
      <w:r>
        <w:rPr>
          <w:sz w:val="20"/>
          <w:szCs w:val="20"/>
        </w:rPr>
        <w:t>mmon shares of the Company’s common stock with a redemption value of $1.7 million. This transaction resulted in a net decrease in Noncontrolling interests of $1.5 million and a corresponding decrease in Common stock and Paid-in capital totaling $1.5 millio</w:t>
      </w:r>
      <w:r>
        <w:rPr>
          <w:sz w:val="20"/>
          <w:szCs w:val="20"/>
        </w:rPr>
        <w:t xml:space="preserve">n, on the Company’s Consolidated Balance Sheets. During </w:t>
      </w:r>
      <w:r>
        <w:rPr>
          <w:rStyle w:val="a6"/>
          <w:sz w:val="20"/>
          <w:szCs w:val="20"/>
        </w:rPr>
        <w:t>2021,</w:t>
      </w:r>
      <w:r>
        <w:rPr>
          <w:sz w:val="20"/>
          <w:szCs w:val="20"/>
        </w:rPr>
        <w:t xml:space="preserve"> 73,466 units were redeemed for 73,466 common shares of the Company’s common stock with a redemption value of $1.7 million. This transaction resulted in a net decrease in Noncontrolling interests</w:t>
      </w:r>
      <w:r>
        <w:rPr>
          <w:sz w:val="20"/>
          <w:szCs w:val="20"/>
        </w:rPr>
        <w:t xml:space="preserve"> of $1.5 million and a corresponding decrease in Common stock and Paid-in capital totaling $1.5 million, on the Company’s Consolidated Balance Sheets.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aggregate redemption value of these noncontrolling interests was $3</w:t>
      </w:r>
      <w:r>
        <w:rPr>
          <w:sz w:val="20"/>
          <w:szCs w:val="20"/>
        </w:rPr>
        <w:t>8.6 million and $40.1 million,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addition, the Company acquired ownership interests in</w:t>
      </w:r>
      <w:r>
        <w:rPr>
          <w:sz w:val="20"/>
          <w:szCs w:val="20"/>
        </w:rPr>
        <w:t xml:space="preserve"> </w:t>
      </w:r>
      <w:r>
        <w:rPr>
          <w:sz w:val="20"/>
          <w:szCs w:val="20"/>
        </w:rPr>
        <w:t>eigh</w:t>
      </w:r>
      <w:r>
        <w:rPr>
          <w:sz w:val="20"/>
          <w:szCs w:val="20"/>
        </w:rPr>
        <w:t>t</w:t>
      </w:r>
      <w:r>
        <w:rPr>
          <w:sz w:val="20"/>
          <w:szCs w:val="20"/>
        </w:rPr>
        <w:t xml:space="preserve"> consolidated joint ventures in connection with the Merger, which had noncontrolling interests of $132.3 million as of the date of the Merger.</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Du</w:t>
      </w:r>
      <w:r>
        <w:rPr>
          <w:sz w:val="20"/>
          <w:szCs w:val="20"/>
        </w:rPr>
        <w:t xml:space="preserve">ring the year ended </w:t>
      </w:r>
      <w:r>
        <w:rPr>
          <w:rStyle w:val="a6"/>
          <w:sz w:val="20"/>
          <w:szCs w:val="20"/>
        </w:rPr>
        <w:t xml:space="preserve">December 31, 2022, </w:t>
      </w:r>
      <w:r>
        <w:rPr>
          <w:sz w:val="20"/>
          <w:szCs w:val="20"/>
        </w:rPr>
        <w:t xml:space="preserve">a consolidated joint venture (acquired with the Merger), in which the Company had a 15% controlling interest, disposed of five properties (encumbered by $42.8 million of mortgage debt, in aggregate) for a sales price </w:t>
      </w:r>
      <w:r>
        <w:rPr>
          <w:sz w:val="20"/>
          <w:szCs w:val="20"/>
        </w:rPr>
        <w:t>of $105.5 million, in aggregate. The Company recognized impairment charges of $19.0 million, before the partner’s $15.8 million noncontrolling interests share of the impairment.  As a result of this transaction, the noncontrolling partner received a distri</w:t>
      </w:r>
      <w:r>
        <w:rPr>
          <w:sz w:val="20"/>
          <w:szCs w:val="20"/>
        </w:rPr>
        <w:t>bution of $50.3 million.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Redeemable noncontrolling interests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Included within noncontrolling interests are units that were determined to be contingently redeemable that are classified as Redeemable noncontrolling interests and presented in the mezzanin</w:t>
      </w:r>
      <w:r>
        <w:rPr>
          <w:sz w:val="20"/>
          <w:szCs w:val="20"/>
        </w:rPr>
        <w:t>e section between Total liabilities and Stockholder’s equity on the Company’s Consolidated Balance Sheets.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27542845"/>
        <w:rPr>
          <w:rFonts w:eastAsia="Times New Roman"/>
          <w:sz w:val="20"/>
          <w:szCs w:val="20"/>
        </w:rPr>
      </w:pPr>
      <w:r>
        <w:rPr>
          <w:rStyle w:val="a6"/>
          <w:rFonts w:eastAsia="Times New Roman"/>
          <w:sz w:val="20"/>
          <w:szCs w:val="20"/>
        </w:rPr>
        <w:t>84</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19" style="width:415.3pt;height:1.5pt" o:hralign="center" o:hrstd="t" o:hrnoshade="t" o:hr="t" fillcolor="black" stroked="f"/>
        </w:pict>
      </w:r>
    </w:p>
    <w:p w:rsidR="00000000" w:rsidRDefault="006954AA">
      <w:pPr>
        <w:divId w:val="463885251"/>
        <w:rPr>
          <w:rFonts w:eastAsia="Times New Roman"/>
          <w:sz w:val="20"/>
          <w:szCs w:val="20"/>
        </w:rPr>
      </w:pPr>
      <w:r>
        <w:rPr>
          <w:rFonts w:eastAsia="Times New Roman"/>
          <w:sz w:val="20"/>
          <w:szCs w:val="20"/>
        </w:rPr>
        <w:t xml:space="preserve">  </w:t>
      </w:r>
    </w:p>
    <w:p w:rsidR="00000000" w:rsidRDefault="006954AA">
      <w:pPr>
        <w:jc w:val="center"/>
        <w:divId w:val="173111137"/>
        <w:rPr>
          <w:rFonts w:eastAsia="Times New Roman"/>
          <w:sz w:val="20"/>
          <w:szCs w:val="20"/>
        </w:rPr>
      </w:pPr>
      <w:r>
        <w:rPr>
          <w:rFonts w:eastAsia="Times New Roman"/>
          <w:sz w:val="20"/>
          <w:szCs w:val="20"/>
        </w:rPr>
        <w:t xml:space="preserve">KIMCO REALTY CORPORATION AND SUBSIDIARIES </w:t>
      </w:r>
    </w:p>
    <w:p w:rsidR="00000000" w:rsidRDefault="006954AA">
      <w:pPr>
        <w:divId w:val="2002080269"/>
        <w:rPr>
          <w:rFonts w:eastAsia="Times New Roman"/>
          <w:sz w:val="20"/>
          <w:szCs w:val="20"/>
        </w:rPr>
      </w:pPr>
      <w:r>
        <w:rPr>
          <w:rFonts w:eastAsia="Times New Roman"/>
          <w:sz w:val="20"/>
          <w:szCs w:val="20"/>
        </w:rPr>
        <w:t xml:space="preserve">  </w:t>
      </w:r>
    </w:p>
    <w:p w:rsidR="00000000" w:rsidRDefault="006954AA">
      <w:pPr>
        <w:jc w:val="center"/>
        <w:divId w:val="539589550"/>
        <w:rPr>
          <w:rFonts w:eastAsia="Times New Roman"/>
          <w:sz w:val="20"/>
          <w:szCs w:val="20"/>
        </w:rPr>
      </w:pPr>
      <w:r>
        <w:rPr>
          <w:rFonts w:eastAsia="Times New Roman"/>
          <w:sz w:val="20"/>
          <w:szCs w:val="20"/>
        </w:rPr>
        <w:t>NOTES TO CONSOLIDATED FINANCIAL</w:t>
      </w:r>
      <w:r>
        <w:rPr>
          <w:rFonts w:eastAsia="Times New Roman"/>
          <w:sz w:val="20"/>
          <w:szCs w:val="20"/>
        </w:rPr>
        <w:t xml:space="preserve">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Company owns</w:t>
      </w:r>
      <w:r>
        <w:rPr>
          <w:sz w:val="20"/>
          <w:szCs w:val="20"/>
        </w:rPr>
        <w:t xml:space="preserve"> </w:t>
      </w:r>
      <w:r>
        <w:rPr>
          <w:sz w:val="20"/>
          <w:szCs w:val="20"/>
        </w:rPr>
        <w:t>eigh</w:t>
      </w:r>
      <w:r>
        <w:rPr>
          <w:sz w:val="20"/>
          <w:szCs w:val="20"/>
        </w:rPr>
        <w:t>t</w:t>
      </w:r>
      <w:r>
        <w:rPr>
          <w:sz w:val="20"/>
          <w:szCs w:val="20"/>
        </w:rPr>
        <w:t xml:space="preserve"> shopping center properties located in Long Island, NY, which were acquired partially through the issuance of $122.1 million of Preferred Outside Partner Units and $13.6 million of Common Outside Partner Uni</w:t>
      </w:r>
      <w:r>
        <w:rPr>
          <w:sz w:val="20"/>
          <w:szCs w:val="20"/>
        </w:rPr>
        <w:t xml:space="preserve">ts during </w:t>
      </w:r>
      <w:r>
        <w:rPr>
          <w:rStyle w:val="a6"/>
          <w:sz w:val="20"/>
          <w:szCs w:val="20"/>
        </w:rPr>
        <w:t>2022,</w:t>
      </w:r>
      <w:r>
        <w:rPr>
          <w:sz w:val="20"/>
          <w:szCs w:val="20"/>
        </w:rPr>
        <w:t xml:space="preserve"> see Footnote </w:t>
      </w:r>
      <w:r>
        <w:rPr>
          <w:rStyle w:val="a6"/>
          <w:sz w:val="20"/>
          <w:szCs w:val="20"/>
        </w:rPr>
        <w:t>15</w:t>
      </w:r>
      <w:r>
        <w:rPr>
          <w:sz w:val="20"/>
          <w:szCs w:val="20"/>
        </w:rPr>
        <w:t xml:space="preserve"> of the Notes to the Consolidated Financial Statements included in this Form </w:t>
      </w:r>
      <w:r>
        <w:rPr>
          <w:rStyle w:val="a6"/>
          <w:sz w:val="20"/>
          <w:szCs w:val="20"/>
        </w:rPr>
        <w:t>10</w:t>
      </w:r>
      <w:r>
        <w:rPr>
          <w:sz w:val="20"/>
          <w:szCs w:val="20"/>
        </w:rPr>
        <w:t>-K. The Outside Partner Units related to these acquisitions totaled $135.7 million of units, including noncontrolling interests of $79.7 million a</w:t>
      </w:r>
      <w:r>
        <w:rPr>
          <w:sz w:val="20"/>
          <w:szCs w:val="20"/>
        </w:rPr>
        <w:t xml:space="preserve">nd an embedded derivative liability associated with put and call options of these unitholders of $56.0 million. The noncontrolling interest is classified as mezzanine equity and included in Redeemable noncontrolling interests on the Company’s Consolidated </w:t>
      </w:r>
      <w:r>
        <w:rPr>
          <w:sz w:val="20"/>
          <w:szCs w:val="20"/>
        </w:rPr>
        <w:t xml:space="preserve">Balance Sheets as a result of the put right available to the unit holders in the future, an event that is </w:t>
      </w:r>
      <w:r>
        <w:rPr>
          <w:rStyle w:val="a6"/>
          <w:sz w:val="20"/>
          <w:szCs w:val="20"/>
        </w:rPr>
        <w:t>not</w:t>
      </w:r>
      <w:r>
        <w:rPr>
          <w:sz w:val="20"/>
          <w:szCs w:val="20"/>
        </w:rPr>
        <w:t xml:space="preserve"> solely in the Company’s control. The Outside Partner Units related annual cash distribution rates and related conversion features consisted of the</w:t>
      </w:r>
      <w:r>
        <w:rPr>
          <w:sz w:val="20"/>
          <w:szCs w:val="20"/>
        </w:rPr>
        <w:t xml:space="preserve"> following as of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tbl>
      <w:tblPr>
        <w:tblW w:w="19885" w:type="dxa"/>
        <w:tblCellSpacing w:w="0" w:type="dxa"/>
        <w:tblInd w:w="540" w:type="dxa"/>
        <w:tblCellMar>
          <w:left w:w="0" w:type="dxa"/>
          <w:right w:w="0" w:type="dxa"/>
        </w:tblCellMar>
        <w:tblLook w:val="04A0" w:firstRow="1" w:lastRow="0" w:firstColumn="1" w:lastColumn="0" w:noHBand="0" w:noVBand="1"/>
      </w:tblPr>
      <w:tblGrid>
        <w:gridCol w:w="9097"/>
        <w:gridCol w:w="173"/>
        <w:gridCol w:w="173"/>
        <w:gridCol w:w="2158"/>
        <w:gridCol w:w="373"/>
        <w:gridCol w:w="174"/>
        <w:gridCol w:w="174"/>
        <w:gridCol w:w="2751"/>
        <w:gridCol w:w="174"/>
        <w:gridCol w:w="50"/>
        <w:gridCol w:w="50"/>
        <w:gridCol w:w="4338"/>
        <w:gridCol w:w="50"/>
        <w:gridCol w:w="50"/>
        <w:gridCol w:w="50"/>
        <w:gridCol w:w="25"/>
        <w:gridCol w:w="25"/>
      </w:tblGrid>
      <w:tr w:rsidR="00000000">
        <w:trPr>
          <w:tblCellSpacing w:w="0" w:type="dxa"/>
        </w:trPr>
        <w:tc>
          <w:tcPr>
            <w:tcW w:w="23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Type</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Par Value Per Unit</w:t>
            </w:r>
          </w:p>
        </w:tc>
        <w:tc>
          <w:tcPr>
            <w:tcW w:w="10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Number of Units Remaining</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pct"/>
            <w:vAlign w:val="bottom"/>
            <w:hideMark/>
          </w:tcPr>
          <w:p w:rsidR="00000000" w:rsidRDefault="006954AA">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Return Per Annum</w:t>
            </w:r>
          </w:p>
        </w:tc>
        <w:tc>
          <w:tcPr>
            <w:tcW w:w="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sz w:val="20"/>
                <w:szCs w:val="20"/>
              </w:rPr>
              <w:t> </w:t>
            </w:r>
          </w:p>
        </w:tc>
      </w:tr>
      <w:tr w:rsidR="00000000">
        <w:trPr>
          <w:tblCellSpacing w:w="0" w:type="dxa"/>
        </w:trPr>
        <w:tc>
          <w:tcPr>
            <w:tcW w:w="2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Preferred Outside Partner Units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20.00</w:t>
            </w:r>
          </w:p>
        </w:tc>
        <w:tc>
          <w:tcPr>
            <w:tcW w:w="10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6,104,831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3.75%</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pct"/>
            <w:shd w:val="clear" w:color="auto" w:fill="CCEEFF"/>
            <w:vAlign w:val="bottom"/>
            <w:hideMark/>
          </w:tcPr>
          <w:p w:rsidR="00000000" w:rsidRDefault="006954AA">
            <w:pPr>
              <w:jc w:val="center"/>
              <w:rPr>
                <w:rFonts w:eastAsia="Times New Roman"/>
                <w:sz w:val="20"/>
                <w:szCs w:val="20"/>
              </w:rPr>
            </w:pPr>
            <w:r>
              <w:rPr>
                <w:rFonts w:eastAsia="Times New Roman"/>
                <w:sz w:val="20"/>
                <w:szCs w:val="20"/>
              </w:rPr>
              <w:t> </w:t>
            </w:r>
          </w:p>
        </w:tc>
        <w:tc>
          <w:tcPr>
            <w:tcW w:w="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6954AA">
            <w:pPr>
              <w:rPr>
                <w:rFonts w:eastAsia="Times New Roman"/>
                <w:sz w:val="20"/>
                <w:szCs w:val="20"/>
              </w:rPr>
            </w:pPr>
          </w:p>
        </w:tc>
        <w:tc>
          <w:tcPr>
            <w:tcW w:w="0" w:type="auto"/>
            <w:shd w:val="clear" w:color="auto" w:fill="CCEEFF"/>
            <w:vAlign w:val="center"/>
            <w:hideMark/>
          </w:tcPr>
          <w:p w:rsidR="00000000" w:rsidRDefault="006954AA">
            <w:pPr>
              <w:rPr>
                <w:rFonts w:eastAsia="Times New Roman"/>
                <w:sz w:val="20"/>
                <w:szCs w:val="20"/>
              </w:rPr>
            </w:pPr>
          </w:p>
        </w:tc>
      </w:tr>
      <w:tr w:rsidR="00000000">
        <w:trPr>
          <w:tblCellSpacing w:w="0" w:type="dxa"/>
        </w:trPr>
        <w:tc>
          <w:tcPr>
            <w:tcW w:w="230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Common Outside Partner Units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20.00</w:t>
            </w:r>
          </w:p>
        </w:tc>
        <w:tc>
          <w:tcPr>
            <w:tcW w:w="10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678,306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pct"/>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Equal to the Company’s common stock dividend</w:t>
            </w:r>
          </w:p>
        </w:tc>
        <w:tc>
          <w:tcPr>
            <w:tcW w:w="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6954AA">
            <w:pPr>
              <w:rPr>
                <w:rFonts w:eastAsia="Times New Roman"/>
                <w:sz w:val="20"/>
                <w:szCs w:val="20"/>
              </w:rPr>
            </w:pPr>
          </w:p>
        </w:tc>
        <w:tc>
          <w:tcPr>
            <w:tcW w:w="0" w:type="auto"/>
            <w:shd w:val="clear" w:color="auto" w:fill="FFFFFF"/>
            <w:vAlign w:val="center"/>
            <w:hideMark/>
          </w:tcPr>
          <w:p w:rsidR="00000000" w:rsidRDefault="006954AA">
            <w:pPr>
              <w:rPr>
                <w:rFonts w:eastAsia="Times New Roman"/>
                <w:sz w:val="20"/>
                <w:szCs w:val="20"/>
              </w:rPr>
            </w:pP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table presents the change in the redemption value of the Redeemable noncontrolling interests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13,480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Fair value allocation to unitholders/partnership interest (1)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79,663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1,770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Distributions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(1,771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(2,819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Redemption/conversion of 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Adjustment to estimated redemption value (3)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(2,304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at December 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92,933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13,480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w:t>
            </w:r>
          </w:p>
        </w:tc>
        <w:tc>
          <w:tcPr>
            <w:tcW w:w="0" w:type="auto"/>
            <w:hideMark/>
          </w:tcPr>
          <w:p w:rsidR="00000000" w:rsidRDefault="006954AA">
            <w:pPr>
              <w:rPr>
                <w:rFonts w:eastAsia="Times New Roman"/>
                <w:sz w:val="20"/>
                <w:szCs w:val="20"/>
              </w:rPr>
            </w:pPr>
            <w:r>
              <w:rPr>
                <w:rFonts w:eastAsia="Times New Roman"/>
                <w:sz w:val="20"/>
                <w:szCs w:val="20"/>
              </w:rPr>
              <w:t xml:space="preserve">Relates to Outside Partner Units issued during </w:t>
            </w:r>
            <w:r>
              <w:rPr>
                <w:rStyle w:val="a6"/>
                <w:rFonts w:eastAsia="Times New Roman"/>
                <w:sz w:val="20"/>
                <w:szCs w:val="20"/>
              </w:rPr>
              <w:t>2022</w:t>
            </w:r>
            <w:r>
              <w:rPr>
                <w:rFonts w:eastAsia="Times New Roman"/>
                <w:sz w:val="20"/>
                <w:szCs w:val="20"/>
              </w:rPr>
              <w:t xml:space="preserve"> described above.</w:t>
            </w:r>
          </w:p>
        </w:tc>
      </w:tr>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 xml:space="preserve">January 2021, </w:t>
            </w:r>
            <w:r>
              <w:rPr>
                <w:sz w:val="20"/>
                <w:szCs w:val="20"/>
              </w:rPr>
              <w:t xml:space="preserve">KIM RDC, LLC (“KIM RDC”), a wholly owned subsidiary of the Company, and KP Lancewood LLC (“KPR Member”) entered into a joint venture agreement wherein KIM RDC </w:t>
            </w:r>
            <w:r>
              <w:rPr>
                <w:sz w:val="20"/>
                <w:szCs w:val="20"/>
              </w:rPr>
              <w:t xml:space="preserve">has a 100% controlling interest and KPR Member is entitled to a profit participation. The joint venture acquired </w:t>
            </w:r>
            <w:r>
              <w:rPr>
                <w:rStyle w:val="a6"/>
                <w:sz w:val="20"/>
                <w:szCs w:val="20"/>
              </w:rPr>
              <w:t>two</w:t>
            </w:r>
            <w:r>
              <w:rPr>
                <w:sz w:val="20"/>
                <w:szCs w:val="20"/>
              </w:rPr>
              <w:t xml:space="preserve"> operating properties for a gross fair value of $104.0 million (see Footnote </w:t>
            </w:r>
            <w:r>
              <w:rPr>
                <w:rStyle w:val="a6"/>
                <w:sz w:val="20"/>
                <w:szCs w:val="20"/>
              </w:rPr>
              <w:t>4</w:t>
            </w:r>
            <w:r>
              <w:rPr>
                <w:sz w:val="20"/>
                <w:szCs w:val="20"/>
              </w:rPr>
              <w:t xml:space="preserve"> of the Company’s Consolidated Financial Statements). During </w:t>
            </w:r>
            <w:r>
              <w:rPr>
                <w:rStyle w:val="a6"/>
                <w:sz w:val="20"/>
                <w:szCs w:val="20"/>
              </w:rPr>
              <w:t>J</w:t>
            </w:r>
            <w:r>
              <w:rPr>
                <w:rStyle w:val="a6"/>
                <w:sz w:val="20"/>
                <w:szCs w:val="20"/>
              </w:rPr>
              <w:t xml:space="preserve">une 2021, </w:t>
            </w:r>
            <w:r>
              <w:rPr>
                <w:sz w:val="20"/>
                <w:szCs w:val="20"/>
              </w:rPr>
              <w:t>the two joint venture properties were sold for a combined sales price of $108.0 million of which the KPR Member received a distribution of $2.1 million.</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2021,</w:t>
            </w:r>
            <w:r>
              <w:rPr>
                <w:sz w:val="20"/>
                <w:szCs w:val="20"/>
              </w:rPr>
              <w:t xml:space="preserve"> </w:t>
            </w:r>
            <w:r>
              <w:rPr>
                <w:sz w:val="20"/>
                <w:szCs w:val="20"/>
              </w:rPr>
              <w:t xml:space="preserve">the Company recorded an adjustment to the estimated redemption fair market value of a noncontrolling interest in accordance with the provisions of the respective joint venture agreement and ASC </w:t>
            </w:r>
            <w:r>
              <w:rPr>
                <w:rStyle w:val="a6"/>
                <w:sz w:val="20"/>
                <w:szCs w:val="20"/>
              </w:rPr>
              <w:t>480,</w:t>
            </w:r>
            <w:r>
              <w:rPr>
                <w:sz w:val="20"/>
                <w:szCs w:val="20"/>
              </w:rPr>
              <w:t xml:space="preserve"> </w:t>
            </w:r>
            <w:r>
              <w:rPr>
                <w:i/>
                <w:iCs/>
                <w:sz w:val="20"/>
                <w:szCs w:val="20"/>
              </w:rPr>
              <w:t>Accounting for Redeemable Equity Instruments</w:t>
            </w:r>
            <w:r>
              <w:rPr>
                <w:sz w:val="20"/>
                <w:szCs w:val="20"/>
              </w:rPr>
              <w:t>. The Company</w:t>
            </w:r>
            <w:r>
              <w:rPr>
                <w:sz w:val="20"/>
                <w:szCs w:val="20"/>
              </w:rPr>
              <w:t xml:space="preserve"> assesses the fair market value of this noncontrolling interest on a recurring basis and determined that its valuation was classified within Level </w:t>
            </w:r>
            <w:r>
              <w:rPr>
                <w:rStyle w:val="a6"/>
                <w:sz w:val="20"/>
                <w:szCs w:val="20"/>
              </w:rPr>
              <w:t>3</w:t>
            </w:r>
            <w:r>
              <w:rPr>
                <w:sz w:val="20"/>
                <w:szCs w:val="20"/>
              </w:rPr>
              <w:t xml:space="preserve"> of the fair value hierarchy. The estimated fair market value of this noncontrolling interest was based upon</w:t>
            </w:r>
            <w:r>
              <w:rPr>
                <w:sz w:val="20"/>
                <w:szCs w:val="20"/>
              </w:rPr>
              <w:t xml:space="preserve"> a discounted cash flow model, for which a capitalization rate of 5.50% and discount rate of 6.50% were utilized in the model based upon unobservable rates that the Company believes to be within a reasonable range of current market rates.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629282070"/>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17.</w:t>
      </w:r>
      <w:r>
        <w:rPr>
          <w:sz w:val="20"/>
          <w:szCs w:val="20"/>
        </w:rPr>
        <w:t xml:space="preserve"> </w:t>
      </w:r>
      <w:r>
        <w:rPr>
          <w:sz w:val="20"/>
          <w:szCs w:val="20"/>
          <w:u w:val="single"/>
        </w:rPr>
        <w:t>Variabl</w:t>
      </w:r>
      <w:r>
        <w:rPr>
          <w:sz w:val="20"/>
          <w:szCs w:val="20"/>
          <w:u w:val="single"/>
        </w:rPr>
        <w:t>e Interest Entities (“VIE”)</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Included within the Company’s operating properties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are 32 and 34 </w:t>
      </w:r>
      <w:r>
        <w:rPr>
          <w:sz w:val="20"/>
          <w:szCs w:val="20"/>
        </w:rPr>
        <w:t>consolidated entities, respectively, that are VIEs for which the Company is the primary beneficiary. These entities have been established to own and operate real estate property. The Company’s involvement with these entities is through its majority ownersh</w:t>
      </w:r>
      <w:r>
        <w:rPr>
          <w:sz w:val="20"/>
          <w:szCs w:val="20"/>
        </w:rPr>
        <w:t xml:space="preserve">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 of a simple majority or less, and they do </w:t>
      </w:r>
      <w:r>
        <w:rPr>
          <w:rStyle w:val="a6"/>
          <w:sz w:val="20"/>
          <w:szCs w:val="20"/>
        </w:rPr>
        <w:t>not</w:t>
      </w:r>
      <w:r>
        <w:rPr>
          <w:sz w:val="20"/>
          <w:szCs w:val="20"/>
        </w:rPr>
        <w:t xml:space="preserve"> have subs</w:t>
      </w:r>
      <w:r>
        <w:rPr>
          <w:sz w:val="20"/>
          <w:szCs w:val="20"/>
        </w:rPr>
        <w:t xml:space="preserve">tantive participating rights. The Company determined that it was the primary beneficiary of these VIEs as a result of its controlling financial interest. At </w:t>
      </w:r>
      <w:r>
        <w:rPr>
          <w:rStyle w:val="a6"/>
          <w:sz w:val="20"/>
          <w:szCs w:val="20"/>
        </w:rPr>
        <w:t xml:space="preserve">December 31, 2022, </w:t>
      </w:r>
      <w:r>
        <w:rPr>
          <w:sz w:val="20"/>
          <w:szCs w:val="20"/>
        </w:rPr>
        <w:t>total assets of these VIEs were $1.8 billion and total liabilities were $199.1 m</w:t>
      </w:r>
      <w:r>
        <w:rPr>
          <w:sz w:val="20"/>
          <w:szCs w:val="20"/>
        </w:rPr>
        <w:t xml:space="preserve">illion. At </w:t>
      </w:r>
      <w:r>
        <w:rPr>
          <w:rStyle w:val="a6"/>
          <w:sz w:val="20"/>
          <w:szCs w:val="20"/>
        </w:rPr>
        <w:t xml:space="preserve">December 31, 2021, </w:t>
      </w:r>
      <w:r>
        <w:rPr>
          <w:sz w:val="20"/>
          <w:szCs w:val="20"/>
        </w:rPr>
        <w:t>total assets of these VIEs were $1.6 billion and total liabilities were $153.9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fina</w:t>
      </w:r>
      <w:r>
        <w:rPr>
          <w:sz w:val="20"/>
          <w:szCs w:val="20"/>
        </w:rPr>
        <w:t xml:space="preserve">ncial support to any of these VIEs that it was </w:t>
      </w:r>
      <w:r>
        <w:rPr>
          <w:rStyle w:val="a6"/>
          <w:sz w:val="20"/>
          <w:szCs w:val="20"/>
        </w:rPr>
        <w:t>not</w:t>
      </w:r>
      <w:r>
        <w:rPr>
          <w:sz w:val="20"/>
          <w:szCs w:val="20"/>
        </w:rPr>
        <w:t xml:space="preserve"> previously contractually required to provide, which consists primarily of funding any capital expenditures, including tenant improvements, which are deemed necessary to continue to operate the entity and a</w:t>
      </w:r>
      <w:r>
        <w:rPr>
          <w:sz w:val="20"/>
          <w:szCs w:val="20"/>
        </w:rPr>
        <w:t xml:space="preserve">ny operating cash shortfalls that the entity </w:t>
      </w:r>
      <w:r>
        <w:rPr>
          <w:rStyle w:val="a6"/>
          <w:sz w:val="20"/>
          <w:szCs w:val="20"/>
        </w:rPr>
        <w:t xml:space="preserve">may </w:t>
      </w:r>
      <w:r>
        <w:rPr>
          <w:sz w:val="20"/>
          <w:szCs w:val="20"/>
        </w:rPr>
        <w:t>experience.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All liabilities of these consolidated VIEs are non-recourse to the Company (“VIE Liabilities”). The assets of the unencumbered VIEs are </w:t>
      </w:r>
      <w:r>
        <w:rPr>
          <w:rStyle w:val="a6"/>
          <w:sz w:val="20"/>
          <w:szCs w:val="20"/>
        </w:rPr>
        <w:t>not</w:t>
      </w:r>
      <w:r>
        <w:rPr>
          <w:sz w:val="20"/>
          <w:szCs w:val="20"/>
        </w:rPr>
        <w:t xml:space="preserve"> restricted for use to settle only the obligations of </w:t>
      </w:r>
      <w:r>
        <w:rPr>
          <w:sz w:val="20"/>
          <w:szCs w:val="20"/>
        </w:rPr>
        <w:t xml:space="preserve">these VIEs. The remaining VIE assets are encumbered by </w:t>
      </w:r>
      <w:r>
        <w:rPr>
          <w:rStyle w:val="a6"/>
          <w:sz w:val="20"/>
          <w:szCs w:val="20"/>
        </w:rPr>
        <w:t>third</w:t>
      </w:r>
      <w:r>
        <w:rPr>
          <w:sz w:val="20"/>
          <w:szCs w:val="20"/>
        </w:rPr>
        <w:t>-party non-recourse mortgage debt. The assets associated with these encumbered VIEs (“Restricted Assets”) are collateral under the respective mortgages and are therefore restricted and can only be</w:t>
      </w:r>
      <w:r>
        <w:rPr>
          <w:sz w:val="20"/>
          <w:szCs w:val="20"/>
        </w:rPr>
        <w:t xml:space="preserve"> used to settle the corresponding liabilities of the VIE. The table below summarizes the consolidated VIEs and the classification of the Restricted Assets and VIE Liabilities on the Company’s Consolidated Balance Sheets are as follows (dollars in millions)</w:t>
      </w:r>
      <w:r>
        <w:rPr>
          <w:sz w:val="20"/>
          <w:szCs w:val="20"/>
        </w:rPr>
        <w:t>:</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926"/>
        <w:gridCol w:w="67"/>
        <w:gridCol w:w="101"/>
        <w:gridCol w:w="1039"/>
        <w:gridCol w:w="67"/>
        <w:gridCol w:w="67"/>
        <w:gridCol w:w="101"/>
        <w:gridCol w:w="1039"/>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Number of encumbered VIEs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Restricted 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Real estate,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425.5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222.9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Cash and cash equivalents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436.6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227.9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VIE Liabilities: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Mortgages payable,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109.7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Accounts payable and accrued expenses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73.3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56.5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199.1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153.9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793354838"/>
        <w:rPr>
          <w:rFonts w:eastAsia="Times New Roman"/>
          <w:sz w:val="20"/>
          <w:szCs w:val="20"/>
        </w:rPr>
      </w:pPr>
      <w:r>
        <w:rPr>
          <w:rStyle w:val="a6"/>
          <w:rFonts w:eastAsia="Times New Roman"/>
          <w:sz w:val="20"/>
          <w:szCs w:val="20"/>
        </w:rPr>
        <w:t>85</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0" style="width:415.3pt;height:1.5pt" o:hralign="center" o:hrstd="t" o:hrnoshade="t" o:hr="t" fillcolor="black" stroked="f"/>
        </w:pict>
      </w:r>
    </w:p>
    <w:p w:rsidR="00000000" w:rsidRDefault="006954AA">
      <w:pPr>
        <w:divId w:val="1304506625"/>
        <w:rPr>
          <w:rFonts w:eastAsia="Times New Roman"/>
          <w:sz w:val="20"/>
          <w:szCs w:val="20"/>
        </w:rPr>
      </w:pPr>
      <w:r>
        <w:rPr>
          <w:rFonts w:eastAsia="Times New Roman"/>
          <w:sz w:val="20"/>
          <w:szCs w:val="20"/>
        </w:rPr>
        <w:t xml:space="preserve">  </w:t>
      </w:r>
    </w:p>
    <w:p w:rsidR="00000000" w:rsidRDefault="006954AA">
      <w:pPr>
        <w:jc w:val="center"/>
        <w:divId w:val="407306839"/>
        <w:rPr>
          <w:rFonts w:eastAsia="Times New Roman"/>
          <w:sz w:val="20"/>
          <w:szCs w:val="20"/>
        </w:rPr>
      </w:pPr>
      <w:r>
        <w:rPr>
          <w:rFonts w:eastAsia="Times New Roman"/>
          <w:sz w:val="20"/>
          <w:szCs w:val="20"/>
        </w:rPr>
        <w:t xml:space="preserve">KIMCO REALTY CORPORATION AND SUBSIDIARIES </w:t>
      </w:r>
    </w:p>
    <w:p w:rsidR="00000000" w:rsidRDefault="006954AA">
      <w:pPr>
        <w:divId w:val="1480226280"/>
        <w:rPr>
          <w:rFonts w:eastAsia="Times New Roman"/>
          <w:sz w:val="20"/>
          <w:szCs w:val="20"/>
        </w:rPr>
      </w:pPr>
      <w:r>
        <w:rPr>
          <w:rFonts w:eastAsia="Times New Roman"/>
          <w:sz w:val="20"/>
          <w:szCs w:val="20"/>
        </w:rPr>
        <w:t xml:space="preserve">  </w:t>
      </w:r>
    </w:p>
    <w:p w:rsidR="00000000" w:rsidRDefault="006954AA">
      <w:pPr>
        <w:jc w:val="center"/>
        <w:divId w:val="1944072018"/>
        <w:rPr>
          <w:rFonts w:eastAsia="Times New Roman"/>
          <w:sz w:val="20"/>
          <w:szCs w:val="20"/>
        </w:rPr>
      </w:pPr>
      <w:r>
        <w:rPr>
          <w:rFonts w:eastAsia="Times New Roman"/>
          <w:sz w:val="20"/>
          <w:szCs w:val="20"/>
        </w:rPr>
        <w:t xml:space="preserve">NOTES TO CONSOLIDATED FINANCIAL STATEMENTS, continued </w:t>
      </w:r>
    </w:p>
    <w:p w:rsidR="00000000" w:rsidRDefault="006954AA">
      <w:pPr>
        <w:divId w:val="1264801962"/>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18.</w:t>
      </w:r>
      <w:r>
        <w:rPr>
          <w:sz w:val="20"/>
          <w:szCs w:val="20"/>
        </w:rPr>
        <w:t xml:space="preserve"> </w:t>
      </w:r>
      <w:r>
        <w:rPr>
          <w:sz w:val="20"/>
          <w:szCs w:val="20"/>
          <w:u w:val="single"/>
        </w:rPr>
        <w:t>Fair Value Disclosure of Financial Instruments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All financial instruments of the Company are reflected in the accompanying Consolidated Balance Sheets at amounts which, in management’s estimation, based upon an interpretation of available market information and valuation methodologies, reasonably approx</w:t>
      </w:r>
      <w:r>
        <w:rPr>
          <w:sz w:val="20"/>
          <w:szCs w:val="20"/>
        </w:rPr>
        <w:t>imate their fair values except those listed below, for which fair values are disclosed. The valuation method used to estimate fair value for fixed-rate and variable-rate debt is based on discounted cash flow analyses, with assumptions that include credit s</w:t>
      </w:r>
      <w:r>
        <w:rPr>
          <w:sz w:val="20"/>
          <w:szCs w:val="20"/>
        </w:rPr>
        <w:t>preads, market yield curves, trading activity, loan amounts and debt maturities. The fair values for marketable securities are based on published values, securities dealers’ estimated market values or comparable market sales. The fair value for embedded de</w:t>
      </w:r>
      <w:r>
        <w:rPr>
          <w:sz w:val="20"/>
          <w:szCs w:val="20"/>
        </w:rPr>
        <w:t xml:space="preserve">rivative liability is based on using the "with-and-without" method. Such fair value estimates are </w:t>
      </w:r>
      <w:r>
        <w:rPr>
          <w:rStyle w:val="a6"/>
          <w:sz w:val="20"/>
          <w:szCs w:val="20"/>
        </w:rPr>
        <w:t>not</w:t>
      </w:r>
      <w:r>
        <w:rPr>
          <w:sz w:val="20"/>
          <w:szCs w:val="20"/>
        </w:rPr>
        <w:t xml:space="preserve"> necessarily indicative of the amounts that would be realized upon disposition.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As a basis for considering market participant assumptions in fair value m</w:t>
      </w:r>
      <w:r>
        <w:rPr>
          <w:sz w:val="20"/>
          <w:szCs w:val="20"/>
        </w:rPr>
        <w:t>easurements, the FASB’s Fair Value Measurements and Disclosures guidance establishes a fair value hierarchy that distinguishes between market participant assumptions based on market data obtained from sources independent of the reporting entity (observable</w:t>
      </w:r>
      <w:r>
        <w:rPr>
          <w:sz w:val="20"/>
          <w:szCs w:val="20"/>
        </w:rPr>
        <w:t xml:space="preserv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are financial instruments </w:t>
      </w:r>
      <w:r>
        <w:rPr>
          <w:sz w:val="20"/>
          <w:szCs w:val="20"/>
        </w:rPr>
        <w:t>for which the Company’s estimate of fair value differs from the carrying amounts (in thousands):</w:t>
      </w:r>
    </w:p>
    <w:p w:rsidR="00000000" w:rsidRDefault="006954AA">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73"/>
        <w:gridCol w:w="64"/>
        <w:gridCol w:w="100"/>
        <w:gridCol w:w="800"/>
        <w:gridCol w:w="64"/>
        <w:gridCol w:w="65"/>
        <w:gridCol w:w="100"/>
        <w:gridCol w:w="800"/>
        <w:gridCol w:w="65"/>
        <w:gridCol w:w="65"/>
        <w:gridCol w:w="100"/>
        <w:gridCol w:w="800"/>
        <w:gridCol w:w="65"/>
        <w:gridCol w:w="65"/>
        <w:gridCol w:w="100"/>
        <w:gridCol w:w="800"/>
        <w:gridCol w:w="65"/>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Carrying</w:t>
            </w:r>
          </w:p>
          <w:p w:rsidR="00000000" w:rsidRDefault="006954AA">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Estimated</w:t>
            </w:r>
          </w:p>
          <w:p w:rsidR="00000000" w:rsidRDefault="006954AA">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Carrying</w:t>
            </w:r>
          </w:p>
          <w:p w:rsidR="00000000" w:rsidRDefault="006954AA">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Estimated</w:t>
            </w:r>
          </w:p>
          <w:p w:rsidR="00000000" w:rsidRDefault="006954AA">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6,780,969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5,837,401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7,027,050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7,330,723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376,917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311,659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448,652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449,758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The estimated fair value amounts classified as Level </w:t>
            </w:r>
            <w:r>
              <w:rPr>
                <w:rStyle w:val="a6"/>
                <w:sz w:val="20"/>
                <w:szCs w:val="20"/>
              </w:rPr>
              <w:t>2</w:t>
            </w:r>
            <w:r>
              <w:rPr>
                <w:sz w:val="20"/>
                <w:szCs w:val="20"/>
              </w:rPr>
              <w:t xml:space="preserve">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were $5.8 billion and $7.3 billion,</w:t>
            </w:r>
            <w:r>
              <w:rPr>
                <w:sz w:val="20"/>
                <w:szCs w:val="20"/>
              </w:rPr>
              <w:t xml:space="preserve"> respectively.</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The Company determined that its valuation of these mortgages payable was classified within Level </w:t>
            </w:r>
            <w:r>
              <w:rPr>
                <w:rStyle w:val="a6"/>
                <w:sz w:val="20"/>
                <w:szCs w:val="20"/>
              </w:rPr>
              <w:t>3</w:t>
            </w:r>
            <w:r>
              <w:rPr>
                <w:sz w:val="20"/>
                <w:szCs w:val="20"/>
              </w:rPr>
              <w:t xml:space="preserve"> of the fair value hierarchy.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certain financial instruments that must be measured under the FASB’s Fair Value Measurements and Disclosures guidance, including available for sale securities and embedded derivative liabilities. The Company currently does </w:t>
      </w:r>
      <w:r>
        <w:rPr>
          <w:rStyle w:val="a6"/>
          <w:sz w:val="20"/>
          <w:szCs w:val="20"/>
        </w:rPr>
        <w:t>not</w:t>
      </w:r>
      <w:r>
        <w:rPr>
          <w:sz w:val="20"/>
          <w:szCs w:val="20"/>
        </w:rPr>
        <w:t xml:space="preserve"> have non-fina</w:t>
      </w:r>
      <w:r>
        <w:rPr>
          <w:sz w:val="20"/>
          <w:szCs w:val="20"/>
        </w:rPr>
        <w:t>ncial assets and non-financial liabilities that are required to be measured at fair value on a recurring basis.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instances where the determination of the fair value measurement is based on inputs from different levels of the fair value hierarchy, the l</w:t>
      </w:r>
      <w:r>
        <w:rPr>
          <w:sz w:val="20"/>
          <w:szCs w:val="20"/>
        </w:rPr>
        <w:t>evel of the fair value hierarchy within which the entire fair value measurement falls is based on the lowest level input that is significant to the fair value measurement in its entirety. The Company’s assessment of the significance of a particular input t</w:t>
      </w:r>
      <w:r>
        <w:rPr>
          <w:sz w:val="20"/>
          <w:szCs w:val="20"/>
        </w:rPr>
        <w:t>o the fair value measurement in its entirety requires judgment and considers factors specific to the asset or liability.</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805271889"/>
        <w:rPr>
          <w:rFonts w:eastAsia="Times New Roman"/>
          <w:sz w:val="20"/>
          <w:szCs w:val="20"/>
        </w:rPr>
      </w:pPr>
      <w:r>
        <w:rPr>
          <w:rStyle w:val="a6"/>
          <w:rFonts w:eastAsia="Times New Roman"/>
          <w:sz w:val="20"/>
          <w:szCs w:val="20"/>
        </w:rPr>
        <w:t>86</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1" style="width:415.3pt;height:1.5pt" o:hralign="center" o:hrstd="t" o:hrnoshade="t" o:hr="t" fillcolor="black" stroked="f"/>
        </w:pict>
      </w:r>
    </w:p>
    <w:p w:rsidR="00000000" w:rsidRDefault="006954AA">
      <w:pPr>
        <w:divId w:val="475025745"/>
        <w:rPr>
          <w:rFonts w:eastAsia="Times New Roman"/>
          <w:sz w:val="20"/>
          <w:szCs w:val="20"/>
        </w:rPr>
      </w:pPr>
      <w:r>
        <w:rPr>
          <w:rFonts w:eastAsia="Times New Roman"/>
          <w:sz w:val="20"/>
          <w:szCs w:val="20"/>
        </w:rPr>
        <w:t xml:space="preserve">  </w:t>
      </w:r>
    </w:p>
    <w:p w:rsidR="00000000" w:rsidRDefault="006954AA">
      <w:pPr>
        <w:jc w:val="center"/>
        <w:divId w:val="1068504617"/>
        <w:rPr>
          <w:rFonts w:eastAsia="Times New Roman"/>
          <w:sz w:val="20"/>
          <w:szCs w:val="20"/>
        </w:rPr>
      </w:pPr>
      <w:r>
        <w:rPr>
          <w:rFonts w:eastAsia="Times New Roman"/>
          <w:sz w:val="20"/>
          <w:szCs w:val="20"/>
        </w:rPr>
        <w:t xml:space="preserve">KIMCO REALTY CORPORATION AND SUBSIDIARIES </w:t>
      </w:r>
    </w:p>
    <w:p w:rsidR="00000000" w:rsidRDefault="006954AA">
      <w:pPr>
        <w:divId w:val="740565396"/>
        <w:rPr>
          <w:rFonts w:eastAsia="Times New Roman"/>
          <w:sz w:val="20"/>
          <w:szCs w:val="20"/>
        </w:rPr>
      </w:pPr>
      <w:r>
        <w:rPr>
          <w:rFonts w:eastAsia="Times New Roman"/>
          <w:sz w:val="20"/>
          <w:szCs w:val="20"/>
        </w:rPr>
        <w:t xml:space="preserve">  </w:t>
      </w:r>
    </w:p>
    <w:p w:rsidR="00000000" w:rsidRDefault="006954AA">
      <w:pPr>
        <w:jc w:val="center"/>
        <w:divId w:val="1045131616"/>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tables below present the Company’s fi</w:t>
      </w:r>
      <w:r>
        <w:rPr>
          <w:sz w:val="20"/>
          <w:szCs w:val="20"/>
        </w:rPr>
        <w:t xml:space="preserve">nancial assets and liabilities measured at fair value on a recurring basis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aggregated by the level of the fair value hierarchy within which those measurements fall (in thousands):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1"/>
        <w:gridCol w:w="814"/>
        <w:gridCol w:w="67"/>
        <w:gridCol w:w="67"/>
        <w:gridCol w:w="100"/>
        <w:gridCol w:w="814"/>
        <w:gridCol w:w="67"/>
        <w:gridCol w:w="67"/>
        <w:gridCol w:w="101"/>
        <w:gridCol w:w="814"/>
        <w:gridCol w:w="67"/>
        <w:gridCol w:w="67"/>
        <w:gridCol w:w="100"/>
        <w:gridCol w:w="814"/>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Balance at</w:t>
            </w:r>
          </w:p>
          <w:p w:rsidR="00000000" w:rsidRDefault="006954AA">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6954AA">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Marketable equity securities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597,732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597,732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b/>
                <w:bCs/>
                <w:sz w:val="20"/>
                <w:szCs w:val="20"/>
              </w:rPr>
              <w:t>Liabilities: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Embedded derivative liability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1"/>
        <w:gridCol w:w="814"/>
        <w:gridCol w:w="67"/>
        <w:gridCol w:w="67"/>
        <w:gridCol w:w="101"/>
        <w:gridCol w:w="814"/>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Balance at</w:t>
            </w:r>
          </w:p>
          <w:p w:rsidR="00000000" w:rsidRDefault="006954AA">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6954AA">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Marketable equity securities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1,211,739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1,211,739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ind w:left="36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rPr>
        <w:t xml:space="preserve">The significant unobservable input (Level </w:t>
      </w:r>
      <w:r>
        <w:rPr>
          <w:rStyle w:val="a6"/>
          <w:sz w:val="20"/>
          <w:szCs w:val="20"/>
        </w:rPr>
        <w:t>3</w:t>
      </w:r>
      <w:r>
        <w:rPr>
          <w:sz w:val="20"/>
          <w:szCs w:val="20"/>
        </w:rPr>
        <w:t xml:space="preserve"> </w:t>
      </w:r>
      <w:r>
        <w:rPr>
          <w:sz w:val="20"/>
          <w:szCs w:val="20"/>
        </w:rPr>
        <w:t xml:space="preserve">inputs) used in measuring the Company's embedded derivative liability, which is categorized with Level </w:t>
      </w:r>
      <w:r>
        <w:rPr>
          <w:rStyle w:val="a6"/>
          <w:sz w:val="20"/>
          <w:szCs w:val="20"/>
        </w:rPr>
        <w:t>3</w:t>
      </w:r>
      <w:r>
        <w:rPr>
          <w:sz w:val="20"/>
          <w:szCs w:val="20"/>
        </w:rPr>
        <w:t xml:space="preserve"> of the fair value hierarchy as of </w:t>
      </w:r>
      <w:r>
        <w:rPr>
          <w:rStyle w:val="a6"/>
          <w:sz w:val="20"/>
          <w:szCs w:val="20"/>
        </w:rPr>
        <w:t xml:space="preserve">December 31, 2022, </w:t>
      </w:r>
      <w:r>
        <w:rPr>
          <w:sz w:val="20"/>
          <w:szCs w:val="20"/>
        </w:rPr>
        <w:t xml:space="preserve">is the discount rate of </w:t>
      </w:r>
      <w:r>
        <w:rPr>
          <w:rStyle w:val="a6"/>
          <w:sz w:val="20"/>
          <w:szCs w:val="20"/>
        </w:rPr>
        <w:t>8.00%.</w:t>
      </w:r>
    </w:p>
    <w:p w:rsidR="00000000" w:rsidRDefault="006954AA">
      <w:pPr>
        <w:pStyle w:val="a3"/>
        <w:spacing w:before="0" w:beforeAutospacing="0" w:after="0" w:afterAutospacing="0"/>
        <w:ind w:left="36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rPr>
        <w:t xml:space="preserve">Assets measured at fair value on a non-recurring basis at </w:t>
      </w:r>
      <w:r>
        <w:rPr>
          <w:rStyle w:val="a6"/>
          <w:sz w:val="20"/>
          <w:szCs w:val="20"/>
        </w:rPr>
        <w:t>Decembe</w:t>
      </w:r>
      <w:r>
        <w:rPr>
          <w:rStyle w:val="a6"/>
          <w:sz w:val="20"/>
          <w:szCs w:val="20"/>
        </w:rPr>
        <w:t xml:space="preserve">r 31, 2021 </w:t>
      </w:r>
      <w:r>
        <w:rPr>
          <w:sz w:val="20"/>
          <w:szCs w:val="20"/>
        </w:rPr>
        <w:t>are as follows (in thousands):</w:t>
      </w:r>
    </w:p>
    <w:p w:rsidR="00000000" w:rsidRDefault="006954AA">
      <w:pPr>
        <w:pStyle w:val="a3"/>
        <w:spacing w:before="0" w:beforeAutospacing="0" w:after="0" w:afterAutospacing="0"/>
        <w:ind w:left="36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0"/>
        <w:gridCol w:w="67"/>
        <w:gridCol w:w="101"/>
        <w:gridCol w:w="814"/>
        <w:gridCol w:w="67"/>
        <w:gridCol w:w="67"/>
        <w:gridCol w:w="101"/>
        <w:gridCol w:w="814"/>
        <w:gridCol w:w="67"/>
        <w:gridCol w:w="67"/>
        <w:gridCol w:w="101"/>
        <w:gridCol w:w="814"/>
        <w:gridCol w:w="67"/>
        <w:gridCol w:w="67"/>
        <w:gridCol w:w="100"/>
        <w:gridCol w:w="814"/>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Balance at</w:t>
            </w:r>
          </w:p>
          <w:p w:rsidR="00000000" w:rsidRDefault="006954AA">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Other investments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771391099"/>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rStyle w:val="a6"/>
          <w:sz w:val="20"/>
          <w:szCs w:val="20"/>
        </w:rPr>
        <w:t>19.</w:t>
      </w:r>
      <w:r>
        <w:rPr>
          <w:sz w:val="20"/>
          <w:szCs w:val="20"/>
        </w:rPr>
        <w:t>  </w:t>
      </w:r>
      <w:r>
        <w:rPr>
          <w:sz w:val="20"/>
          <w:szCs w:val="20"/>
          <w:u w:val="single"/>
        </w:rPr>
        <w:t>Preferred Stock, Common Stock and Convertible Unit Transactions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Preferred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Company’s Board of Directors had authorized the repurchase of up to 900,000 depositary shares of Class L preferred stock and 1,058,000 depositary shares of Class M pre</w:t>
      </w:r>
      <w:r>
        <w:rPr>
          <w:sz w:val="20"/>
          <w:szCs w:val="20"/>
        </w:rPr>
        <w:t xml:space="preserve">ferred stock through </w:t>
      </w:r>
      <w:r>
        <w:rPr>
          <w:rStyle w:val="a6"/>
          <w:sz w:val="20"/>
          <w:szCs w:val="20"/>
        </w:rPr>
        <w:t xml:space="preserve">December 31, 2022, </w:t>
      </w:r>
      <w:r>
        <w:rPr>
          <w:sz w:val="20"/>
          <w:szCs w:val="20"/>
        </w:rPr>
        <w:t xml:space="preserve">which represented up to 1,958 shares of the Company’s preferred stock, par value $1.00 per share. During the year ended </w:t>
      </w:r>
      <w:r>
        <w:rPr>
          <w:rStyle w:val="a6"/>
          <w:sz w:val="20"/>
          <w:szCs w:val="20"/>
        </w:rPr>
        <w:t xml:space="preserve">December 31, 2022, </w:t>
      </w:r>
      <w:r>
        <w:rPr>
          <w:sz w:val="20"/>
          <w:szCs w:val="20"/>
        </w:rPr>
        <w:t>the Company repurchased the following preferred stock:</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584"/>
        <w:gridCol w:w="62"/>
        <w:gridCol w:w="62"/>
        <w:gridCol w:w="1325"/>
        <w:gridCol w:w="62"/>
        <w:gridCol w:w="62"/>
        <w:gridCol w:w="101"/>
        <w:gridCol w:w="1325"/>
        <w:gridCol w:w="62"/>
      </w:tblGrid>
      <w:tr w:rsidR="00000000">
        <w:trPr>
          <w:tblCellSpacing w:w="0" w:type="dxa"/>
        </w:trPr>
        <w:tc>
          <w:tcPr>
            <w:tcW w:w="27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Class of Preferred Stock</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Depositary Shares Repurchased</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Purchase Price (in millions)</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54,508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90,760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w:t>
      </w:r>
      <w:r>
        <w:rPr>
          <w:sz w:val="20"/>
          <w:szCs w:val="20"/>
        </w:rPr>
        <w:t>s outstanding Preferred Stock is detailed below (in thousands, except share data and par values):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108"/>
        <w:gridCol w:w="859"/>
        <w:gridCol w:w="50"/>
        <w:gridCol w:w="50"/>
        <w:gridCol w:w="119"/>
        <w:gridCol w:w="949"/>
        <w:gridCol w:w="50"/>
        <w:gridCol w:w="50"/>
        <w:gridCol w:w="460"/>
        <w:gridCol w:w="1010"/>
        <w:gridCol w:w="50"/>
        <w:gridCol w:w="50"/>
        <w:gridCol w:w="87"/>
        <w:gridCol w:w="692"/>
        <w:gridCol w:w="167"/>
        <w:gridCol w:w="50"/>
        <w:gridCol w:w="104"/>
        <w:gridCol w:w="830"/>
        <w:gridCol w:w="50"/>
        <w:gridCol w:w="50"/>
        <w:gridCol w:w="121"/>
        <w:gridCol w:w="444"/>
        <w:gridCol w:w="50"/>
        <w:gridCol w:w="50"/>
        <w:gridCol w:w="117"/>
        <w:gridCol w:w="928"/>
        <w:gridCol w:w="50"/>
      </w:tblGrid>
      <w:tr w:rsidR="00000000">
        <w:trPr>
          <w:tblCellSpacing w:w="0" w:type="dxa"/>
        </w:trPr>
        <w:tc>
          <w:tcPr>
            <w:tcW w:w="0" w:type="auto"/>
            <w:gridSpan w:val="28"/>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1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Class of Preferred Stock</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Shares </w:t>
            </w:r>
          </w:p>
          <w:p w:rsidR="00000000" w:rsidRDefault="006954AA">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Shares</w:t>
            </w:r>
          </w:p>
          <w:p w:rsidR="00000000" w:rsidRDefault="006954AA">
            <w:pPr>
              <w:pStyle w:val="a3"/>
              <w:spacing w:before="0" w:beforeAutospacing="0" w:after="0" w:afterAutospacing="0"/>
              <w:jc w:val="center"/>
              <w:rPr>
                <w:sz w:val="20"/>
                <w:szCs w:val="20"/>
              </w:rPr>
            </w:pPr>
            <w:r>
              <w:rPr>
                <w:b/>
                <w:bCs/>
                <w:sz w:val="20"/>
                <w:szCs w:val="20"/>
              </w:rPr>
              <w:t xml:space="preserve">Issued and </w:t>
            </w:r>
          </w:p>
          <w:p w:rsidR="00000000" w:rsidRDefault="006954AA">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Liquidation</w:t>
            </w:r>
          </w:p>
          <w:p w:rsidR="00000000" w:rsidRDefault="006954AA">
            <w:pPr>
              <w:pStyle w:val="a3"/>
              <w:spacing w:before="0" w:beforeAutospacing="0" w:after="0" w:afterAutospacing="0"/>
              <w:jc w:val="center"/>
              <w:rPr>
                <w:sz w:val="20"/>
                <w:szCs w:val="20"/>
              </w:rPr>
            </w:pPr>
            <w:r>
              <w:rPr>
                <w:b/>
                <w:bCs/>
                <w:sz w:val="20"/>
                <w:szCs w:val="20"/>
              </w:rPr>
              <w:t>Preference</w:t>
            </w:r>
          </w:p>
          <w:p w:rsidR="00000000" w:rsidRDefault="006954AA">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Dividend </w:t>
            </w:r>
          </w:p>
          <w:p w:rsidR="00000000" w:rsidRDefault="006954AA">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Annual </w:t>
            </w:r>
          </w:p>
          <w:p w:rsidR="00000000" w:rsidRDefault="006954AA">
            <w:pPr>
              <w:pStyle w:val="a3"/>
              <w:spacing w:before="0" w:beforeAutospacing="0" w:after="0" w:afterAutospacing="0"/>
              <w:jc w:val="center"/>
              <w:rPr>
                <w:sz w:val="20"/>
                <w:szCs w:val="20"/>
              </w:rPr>
            </w:pPr>
            <w:r>
              <w:rPr>
                <w:b/>
                <w:bCs/>
                <w:sz w:val="20"/>
                <w:szCs w:val="20"/>
              </w:rPr>
              <w:t xml:space="preserve">Dividend per </w:t>
            </w:r>
          </w:p>
          <w:p w:rsidR="00000000" w:rsidRDefault="006954AA">
            <w:pPr>
              <w:pStyle w:val="a3"/>
              <w:spacing w:before="0" w:beforeAutospacing="0" w:after="0" w:afterAutospacing="0"/>
              <w:jc w:val="center"/>
              <w:rPr>
                <w:sz w:val="20"/>
                <w:szCs w:val="20"/>
              </w:rPr>
            </w:pPr>
            <w:r>
              <w:rPr>
                <w:b/>
                <w:bCs/>
                <w:sz w:val="20"/>
                <w:szCs w:val="20"/>
              </w:rPr>
              <w:t>Depositary</w:t>
            </w:r>
          </w:p>
          <w:p w:rsidR="00000000" w:rsidRDefault="006954AA">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Par </w:t>
            </w:r>
          </w:p>
          <w:p w:rsidR="00000000" w:rsidRDefault="006954AA">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Optional</w:t>
            </w:r>
          </w:p>
          <w:p w:rsidR="00000000" w:rsidRDefault="006954AA">
            <w:pPr>
              <w:pStyle w:val="a3"/>
              <w:spacing w:before="0" w:beforeAutospacing="0" w:after="0" w:afterAutospacing="0"/>
              <w:jc w:val="center"/>
              <w:rPr>
                <w:sz w:val="20"/>
                <w:szCs w:val="20"/>
              </w:rPr>
            </w:pPr>
            <w:r>
              <w:rPr>
                <w:b/>
                <w:bCs/>
                <w:sz w:val="20"/>
                <w:szCs w:val="20"/>
              </w:rPr>
              <w:t>Redemption</w:t>
            </w:r>
          </w:p>
          <w:p w:rsidR="00000000" w:rsidRDefault="006954AA">
            <w:pPr>
              <w:pStyle w:val="a3"/>
              <w:spacing w:before="0" w:beforeAutospacing="0" w:after="0" w:afterAutospacing="0"/>
              <w:jc w:val="center"/>
              <w:rPr>
                <w:sz w:val="20"/>
                <w:szCs w:val="20"/>
              </w:rPr>
            </w:pPr>
            <w:r>
              <w:rPr>
                <w:b/>
                <w:bCs/>
                <w:sz w:val="20"/>
                <w:szCs w:val="20"/>
              </w:rPr>
              <w:t>Date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8,946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223,637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20"/>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left="40"/>
              <w:jc w:val="center"/>
              <w:rPr>
                <w:sz w:val="20"/>
                <w:szCs w:val="20"/>
              </w:rPr>
            </w:pPr>
            <w:r>
              <w:rPr>
                <w:rStyle w:val="a6"/>
                <w:sz w:val="20"/>
                <w:szCs w:val="20"/>
              </w:rPr>
              <w:t>8/16/2022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10,489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262,231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ind w:left="20"/>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6954AA">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ind w:left="40"/>
              <w:jc w:val="center"/>
              <w:rPr>
                <w:sz w:val="20"/>
                <w:szCs w:val="20"/>
              </w:rPr>
            </w:pPr>
            <w:r>
              <w:rPr>
                <w:rStyle w:val="a6"/>
                <w:sz w:val="20"/>
                <w:szCs w:val="20"/>
              </w:rPr>
              <w:t>12/20/2022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19,435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ind w:left="360"/>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485,868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108"/>
        <w:gridCol w:w="859"/>
        <w:gridCol w:w="50"/>
        <w:gridCol w:w="50"/>
        <w:gridCol w:w="119"/>
        <w:gridCol w:w="949"/>
        <w:gridCol w:w="50"/>
        <w:gridCol w:w="50"/>
        <w:gridCol w:w="460"/>
        <w:gridCol w:w="1010"/>
        <w:gridCol w:w="50"/>
        <w:gridCol w:w="50"/>
        <w:gridCol w:w="87"/>
        <w:gridCol w:w="692"/>
        <w:gridCol w:w="167"/>
        <w:gridCol w:w="50"/>
        <w:gridCol w:w="104"/>
        <w:gridCol w:w="830"/>
        <w:gridCol w:w="50"/>
        <w:gridCol w:w="50"/>
        <w:gridCol w:w="121"/>
        <w:gridCol w:w="444"/>
        <w:gridCol w:w="50"/>
        <w:gridCol w:w="50"/>
        <w:gridCol w:w="117"/>
        <w:gridCol w:w="928"/>
        <w:gridCol w:w="50"/>
      </w:tblGrid>
      <w:tr w:rsidR="00000000">
        <w:trPr>
          <w:tblCellSpacing w:w="0" w:type="dxa"/>
        </w:trPr>
        <w:tc>
          <w:tcPr>
            <w:tcW w:w="0" w:type="auto"/>
            <w:gridSpan w:val="28"/>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2021</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15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Class of Preferred Stock</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Shares </w:t>
            </w:r>
          </w:p>
          <w:p w:rsidR="00000000" w:rsidRDefault="006954AA">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Shares </w:t>
            </w:r>
          </w:p>
          <w:p w:rsidR="00000000" w:rsidRDefault="006954AA">
            <w:pPr>
              <w:pStyle w:val="a3"/>
              <w:spacing w:before="0" w:beforeAutospacing="0" w:after="0" w:afterAutospacing="0"/>
              <w:jc w:val="center"/>
              <w:rPr>
                <w:sz w:val="20"/>
                <w:szCs w:val="20"/>
              </w:rPr>
            </w:pPr>
            <w:r>
              <w:rPr>
                <w:b/>
                <w:bCs/>
                <w:sz w:val="20"/>
                <w:szCs w:val="20"/>
              </w:rPr>
              <w:t xml:space="preserve">Issued and </w:t>
            </w:r>
          </w:p>
          <w:p w:rsidR="00000000" w:rsidRDefault="006954AA">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Liquidation Preference</w:t>
            </w:r>
          </w:p>
          <w:p w:rsidR="00000000" w:rsidRDefault="006954AA">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Dividend </w:t>
            </w:r>
          </w:p>
          <w:p w:rsidR="00000000" w:rsidRDefault="006954AA">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Annual </w:t>
            </w:r>
          </w:p>
          <w:p w:rsidR="00000000" w:rsidRDefault="006954AA">
            <w:pPr>
              <w:pStyle w:val="a3"/>
              <w:spacing w:before="0" w:beforeAutospacing="0" w:after="0" w:afterAutospacing="0"/>
              <w:jc w:val="center"/>
              <w:rPr>
                <w:sz w:val="20"/>
                <w:szCs w:val="20"/>
              </w:rPr>
            </w:pPr>
            <w:r>
              <w:rPr>
                <w:b/>
                <w:bCs/>
                <w:sz w:val="20"/>
                <w:szCs w:val="20"/>
              </w:rPr>
              <w:t xml:space="preserve">Dividend per </w:t>
            </w:r>
          </w:p>
          <w:p w:rsidR="00000000" w:rsidRDefault="006954AA">
            <w:pPr>
              <w:pStyle w:val="a3"/>
              <w:spacing w:before="0" w:beforeAutospacing="0" w:after="0" w:afterAutospacing="0"/>
              <w:jc w:val="center"/>
              <w:rPr>
                <w:sz w:val="20"/>
                <w:szCs w:val="20"/>
              </w:rPr>
            </w:pPr>
            <w:r>
              <w:rPr>
                <w:b/>
                <w:bCs/>
                <w:sz w:val="20"/>
                <w:szCs w:val="20"/>
              </w:rPr>
              <w:t xml:space="preserve">Depositary </w:t>
            </w:r>
          </w:p>
          <w:p w:rsidR="00000000" w:rsidRDefault="006954AA">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Par</w:t>
            </w:r>
          </w:p>
          <w:p w:rsidR="00000000" w:rsidRDefault="006954AA">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Optional </w:t>
            </w:r>
          </w:p>
          <w:p w:rsidR="00000000" w:rsidRDefault="006954AA">
            <w:pPr>
              <w:pStyle w:val="a3"/>
              <w:spacing w:before="0" w:beforeAutospacing="0" w:after="0" w:afterAutospacing="0"/>
              <w:jc w:val="center"/>
              <w:rPr>
                <w:sz w:val="20"/>
                <w:szCs w:val="20"/>
              </w:rPr>
            </w:pPr>
            <w:r>
              <w:rPr>
                <w:b/>
                <w:bCs/>
                <w:sz w:val="20"/>
                <w:szCs w:val="20"/>
              </w:rPr>
              <w:t xml:space="preserve">Redemption </w:t>
            </w:r>
          </w:p>
          <w:p w:rsidR="00000000" w:rsidRDefault="006954AA">
            <w:pPr>
              <w:pStyle w:val="a3"/>
              <w:spacing w:before="0" w:beforeAutospacing="0" w:after="0" w:afterAutospacing="0"/>
              <w:jc w:val="center"/>
              <w:rPr>
                <w:sz w:val="20"/>
                <w:szCs w:val="20"/>
              </w:rPr>
            </w:pPr>
            <w:r>
              <w:rPr>
                <w:b/>
                <w:bCs/>
                <w:sz w:val="20"/>
                <w:szCs w:val="20"/>
              </w:rPr>
              <w:t>Date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20"/>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6954AA">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ind w:left="40"/>
              <w:jc w:val="center"/>
              <w:rPr>
                <w:sz w:val="20"/>
                <w:szCs w:val="20"/>
              </w:rPr>
            </w:pPr>
            <w:r>
              <w:rPr>
                <w:rStyle w:val="a6"/>
                <w:sz w:val="20"/>
                <w:szCs w:val="20"/>
              </w:rPr>
              <w:t>8/16/2022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264,500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ind w:left="20"/>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6954AA">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ind w:left="40"/>
              <w:jc w:val="center"/>
              <w:rPr>
                <w:sz w:val="20"/>
                <w:szCs w:val="20"/>
              </w:rPr>
            </w:pPr>
            <w:r>
              <w:rPr>
                <w:rStyle w:val="a6"/>
                <w:sz w:val="20"/>
                <w:szCs w:val="20"/>
              </w:rPr>
              <w:t>12/20/2022</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ind w:left="360"/>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52376181"/>
        <w:rPr>
          <w:rFonts w:eastAsia="Times New Roman"/>
          <w:sz w:val="20"/>
          <w:szCs w:val="20"/>
        </w:rPr>
      </w:pPr>
      <w:r>
        <w:rPr>
          <w:rStyle w:val="a6"/>
          <w:rFonts w:eastAsia="Times New Roman"/>
          <w:sz w:val="20"/>
          <w:szCs w:val="20"/>
        </w:rPr>
        <w:t>87</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2" style="width:415.3pt;height:1.5pt" o:hralign="center" o:hrstd="t" o:hrnoshade="t" o:hr="t" fillcolor="black" stroked="f"/>
        </w:pict>
      </w:r>
    </w:p>
    <w:p w:rsidR="00000000" w:rsidRDefault="006954AA">
      <w:pPr>
        <w:divId w:val="1402412328"/>
        <w:rPr>
          <w:rFonts w:eastAsia="Times New Roman"/>
          <w:sz w:val="20"/>
          <w:szCs w:val="20"/>
        </w:rPr>
      </w:pPr>
      <w:r>
        <w:rPr>
          <w:rFonts w:eastAsia="Times New Roman"/>
          <w:sz w:val="20"/>
          <w:szCs w:val="20"/>
        </w:rPr>
        <w:t xml:space="preserve">  </w:t>
      </w:r>
    </w:p>
    <w:p w:rsidR="00000000" w:rsidRDefault="006954AA">
      <w:pPr>
        <w:jc w:val="center"/>
        <w:divId w:val="624309510"/>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1022438169"/>
        <w:rPr>
          <w:rFonts w:eastAsia="Times New Roman"/>
          <w:sz w:val="20"/>
          <w:szCs w:val="20"/>
        </w:rPr>
      </w:pPr>
      <w:r>
        <w:rPr>
          <w:rFonts w:eastAsia="Times New Roman"/>
          <w:sz w:val="20"/>
          <w:szCs w:val="20"/>
        </w:rPr>
        <w:t xml:space="preserve">  </w:t>
      </w:r>
    </w:p>
    <w:p w:rsidR="00000000" w:rsidRDefault="006954AA">
      <w:pPr>
        <w:jc w:val="center"/>
        <w:divId w:val="1911235751"/>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xml:space="preserve">The Company’s Preferred Stock Depositary Shares for all classes are </w:t>
      </w:r>
      <w:r>
        <w:rPr>
          <w:rStyle w:val="a6"/>
          <w:sz w:val="20"/>
          <w:szCs w:val="20"/>
        </w:rPr>
        <w:t>not</w:t>
      </w:r>
      <w:r>
        <w:rPr>
          <w:sz w:val="20"/>
          <w:szCs w:val="20"/>
        </w:rPr>
        <w:t xml:space="preserve"> convertible or exchangeable for any other property or securities of the Company.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Voting Rights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Class L and M Pre</w:t>
      </w:r>
      <w:r>
        <w:rPr>
          <w:sz w:val="20"/>
          <w:szCs w:val="20"/>
        </w:rPr>
        <w:t>ferred Stock rank pari passu as to voting rights, priority for receiving dividends and liquidation preference as set forth below.</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to any matter on which the Class L or M Preferred Stock </w:t>
      </w:r>
      <w:r>
        <w:rPr>
          <w:rStyle w:val="a6"/>
          <w:sz w:val="20"/>
          <w:szCs w:val="20"/>
        </w:rPr>
        <w:t xml:space="preserve">may </w:t>
      </w:r>
      <w:r>
        <w:rPr>
          <w:sz w:val="20"/>
          <w:szCs w:val="20"/>
        </w:rPr>
        <w:t>vote, including any actions by written consent, each share of</w:t>
      </w:r>
      <w:r>
        <w:rPr>
          <w:sz w:val="20"/>
          <w:szCs w:val="20"/>
        </w:rPr>
        <w:t xml:space="preserve"> the Class L or M Preferred Stock shall be entitled to 1,000 votes, each of which 1,000 votes </w:t>
      </w:r>
      <w:r>
        <w:rPr>
          <w:rStyle w:val="a6"/>
          <w:sz w:val="20"/>
          <w:szCs w:val="20"/>
        </w:rPr>
        <w:t xml:space="preserve">may </w:t>
      </w:r>
      <w:r>
        <w:rPr>
          <w:sz w:val="20"/>
          <w:szCs w:val="20"/>
        </w:rPr>
        <w:t xml:space="preserve">be directed separately by the holder thereof. With respect to each share of Class L or M Preferred Stock, the holder thereof </w:t>
      </w:r>
      <w:r>
        <w:rPr>
          <w:rStyle w:val="a6"/>
          <w:sz w:val="20"/>
          <w:szCs w:val="20"/>
        </w:rPr>
        <w:t xml:space="preserve">may </w:t>
      </w:r>
      <w:r>
        <w:rPr>
          <w:sz w:val="20"/>
          <w:szCs w:val="20"/>
        </w:rPr>
        <w:t xml:space="preserve">designate up to </w:t>
      </w:r>
      <w:r>
        <w:rPr>
          <w:rStyle w:val="a6"/>
          <w:sz w:val="20"/>
          <w:szCs w:val="20"/>
        </w:rPr>
        <w:t>1,000</w:t>
      </w:r>
      <w:r>
        <w:rPr>
          <w:sz w:val="20"/>
          <w:szCs w:val="20"/>
        </w:rPr>
        <w:t xml:space="preserve"> </w:t>
      </w:r>
      <w:r>
        <w:rPr>
          <w:sz w:val="20"/>
          <w:szCs w:val="20"/>
        </w:rPr>
        <w:t xml:space="preserve">proxies, with each such proxy having the right to vote a whole number of votes (totaling </w:t>
      </w:r>
      <w:r>
        <w:rPr>
          <w:rStyle w:val="a6"/>
          <w:sz w:val="20"/>
          <w:szCs w:val="20"/>
        </w:rPr>
        <w:t>1,000</w:t>
      </w:r>
      <w:r>
        <w:rPr>
          <w:sz w:val="20"/>
          <w:szCs w:val="20"/>
        </w:rPr>
        <w:t xml:space="preserve"> votes per share of Class L or M Preferred Stock). As a result, each Class L or M Depositary Share is entitled to one vote.</w:t>
      </w:r>
    </w:p>
    <w:p w:rsidR="00000000" w:rsidRDefault="006954AA">
      <w:pPr>
        <w:pStyle w:val="a3"/>
        <w:spacing w:before="0" w:beforeAutospacing="0" w:after="0" w:afterAutospacing="0"/>
        <w:ind w:firstLine="18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Liquidation Rights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the event of</w:t>
      </w:r>
      <w:r>
        <w:rPr>
          <w:sz w:val="20"/>
          <w:szCs w:val="20"/>
        </w:rPr>
        <w:t xml:space="preserve"> any liquidation, dissolution or winding up of the affairs of the Company, preferred stock holders are entitled to be paid, out of the assets of the Company legally available for distribution to its stockholders, a liquidation preference of $25,000 per sha</w:t>
      </w:r>
      <w:r>
        <w:rPr>
          <w:sz w:val="20"/>
          <w:szCs w:val="20"/>
        </w:rPr>
        <w:t>re of Class L Preferred Stock and $25,000 per share of Class M Preferred Stock ($25.00 per each Class L and Class M Depositary Share), plus an amount equal to any accrued and unpaid dividends to the date of payment, before any distribution of assets is mad</w:t>
      </w:r>
      <w:r>
        <w:rPr>
          <w:sz w:val="20"/>
          <w:szCs w:val="20"/>
        </w:rPr>
        <w:t>e to holders of the Company’s common stock or any other capital stock that ranks junior to the preferred stock as to liquidation rights.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Common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a share repurchase program, which is scheduled to expire </w:t>
      </w:r>
      <w:r>
        <w:rPr>
          <w:rStyle w:val="a6"/>
          <w:sz w:val="20"/>
          <w:szCs w:val="20"/>
        </w:rPr>
        <w:t>February 29,</w:t>
      </w:r>
      <w:r>
        <w:rPr>
          <w:sz w:val="20"/>
          <w:szCs w:val="20"/>
        </w:rPr>
        <w:t xml:space="preserve"> </w:t>
      </w:r>
      <w:r>
        <w:rPr>
          <w:rStyle w:val="a6"/>
          <w:sz w:val="20"/>
          <w:szCs w:val="20"/>
        </w:rPr>
        <w:t>2024.</w:t>
      </w:r>
      <w:r>
        <w:rPr>
          <w:sz w:val="20"/>
          <w:szCs w:val="20"/>
        </w:rPr>
        <w:t xml:space="preserve"> Under this</w:t>
      </w:r>
      <w:r>
        <w:rPr>
          <w:sz w:val="20"/>
          <w:szCs w:val="20"/>
        </w:rPr>
        <w:t xml:space="preserve"> program, the Company </w:t>
      </w:r>
      <w:r>
        <w:rPr>
          <w:rStyle w:val="a6"/>
          <w:sz w:val="20"/>
          <w:szCs w:val="20"/>
        </w:rPr>
        <w:t xml:space="preserve">may </w:t>
      </w:r>
      <w:r>
        <w:rPr>
          <w:sz w:val="20"/>
          <w:szCs w:val="20"/>
        </w:rPr>
        <w:t>repurchase shares of its common stock, par value $0.01 per share, with an aggregate gross purchase price of up to $300.0 million.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w:t>
      </w:r>
      <w:r>
        <w:rPr>
          <w:rStyle w:val="a6"/>
          <w:sz w:val="20"/>
          <w:szCs w:val="20"/>
        </w:rPr>
        <w:t>2022</w:t>
      </w:r>
      <w:r>
        <w:rPr>
          <w:sz w:val="20"/>
          <w:szCs w:val="20"/>
        </w:rPr>
        <w:t xml:space="preserve"> and </w:t>
      </w:r>
      <w:r>
        <w:rPr>
          <w:rStyle w:val="a6"/>
          <w:sz w:val="20"/>
          <w:szCs w:val="20"/>
        </w:rPr>
        <w:t>2021.</w:t>
      </w:r>
      <w:r>
        <w:rPr>
          <w:sz w:val="20"/>
          <w:szCs w:val="20"/>
        </w:rPr>
        <w:t xml:space="preserve"> A</w:t>
      </w:r>
      <w:r>
        <w:rPr>
          <w:sz w:val="20"/>
          <w:szCs w:val="20"/>
        </w:rPr>
        <w:t xml:space="preserve">s of </w:t>
      </w:r>
      <w:r>
        <w:rPr>
          <w:rStyle w:val="a6"/>
          <w:sz w:val="20"/>
          <w:szCs w:val="20"/>
        </w:rPr>
        <w:t xml:space="preserve">December 31, 2022, </w:t>
      </w:r>
      <w:r>
        <w:rPr>
          <w:sz w:val="20"/>
          <w:szCs w:val="20"/>
        </w:rPr>
        <w:t>the Company had $224.9 million available under this share repurchase program.</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August 2021, </w:t>
      </w:r>
      <w:r>
        <w:rPr>
          <w:sz w:val="20"/>
          <w:szCs w:val="20"/>
        </w:rPr>
        <w:t xml:space="preserve">the Company established an at-the-market continuous offering program (the “ATM program”) pursuant to which the Company </w:t>
      </w:r>
      <w:r>
        <w:rPr>
          <w:rStyle w:val="a6"/>
          <w:sz w:val="20"/>
          <w:szCs w:val="20"/>
        </w:rPr>
        <w:t xml:space="preserve">may </w:t>
      </w:r>
      <w:r>
        <w:rPr>
          <w:sz w:val="20"/>
          <w:szCs w:val="20"/>
        </w:rPr>
        <w:t>offer and</w:t>
      </w:r>
      <w:r>
        <w:rPr>
          <w:sz w:val="20"/>
          <w:szCs w:val="20"/>
        </w:rPr>
        <w:t xml:space="preserve"> sell from time-to-time shares of its common stock, par value $0.01 per share, with an aggregate gross sales price of up to $500.0 million through a consortium of banks acting as sales agents. Sales of the shares of common stock </w:t>
      </w:r>
      <w:r>
        <w:rPr>
          <w:rStyle w:val="a6"/>
          <w:sz w:val="20"/>
          <w:szCs w:val="20"/>
        </w:rPr>
        <w:t xml:space="preserve">may </w:t>
      </w:r>
      <w:r>
        <w:rPr>
          <w:sz w:val="20"/>
          <w:szCs w:val="20"/>
        </w:rPr>
        <w:t>be made, as needed, fro</w:t>
      </w:r>
      <w:r>
        <w:rPr>
          <w:sz w:val="20"/>
          <w:szCs w:val="20"/>
        </w:rPr>
        <w:t xml:space="preserve">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means of ordinary brokers’ transactions on the New York Stock Exchange or otherwise (i) at market prices prevailing at the time of sale, (ii) at </w:t>
      </w:r>
      <w:r>
        <w:rPr>
          <w:sz w:val="20"/>
          <w:szCs w:val="20"/>
        </w:rPr>
        <w:t xml:space="preserve">prices related to prevailing market prices or (iii) as otherwise agreed to with the applicable sales agent. In addition, the Company </w:t>
      </w:r>
      <w:r>
        <w:rPr>
          <w:rStyle w:val="a6"/>
          <w:sz w:val="20"/>
          <w:szCs w:val="20"/>
        </w:rPr>
        <w:t xml:space="preserve">may </w:t>
      </w:r>
      <w:r>
        <w:rPr>
          <w:sz w:val="20"/>
          <w:szCs w:val="20"/>
        </w:rPr>
        <w:t xml:space="preserve">from time to time enter into separate forward sale agreements with </w:t>
      </w:r>
      <w:r>
        <w:rPr>
          <w:rStyle w:val="a6"/>
          <w:sz w:val="20"/>
          <w:szCs w:val="20"/>
        </w:rPr>
        <w:t>one</w:t>
      </w:r>
      <w:r>
        <w:rPr>
          <w:sz w:val="20"/>
          <w:szCs w:val="20"/>
        </w:rPr>
        <w:t xml:space="preserve"> or more banks. During </w:t>
      </w:r>
      <w:r>
        <w:rPr>
          <w:rStyle w:val="a6"/>
          <w:sz w:val="20"/>
          <w:szCs w:val="20"/>
        </w:rPr>
        <w:t>2022,</w:t>
      </w:r>
      <w:r>
        <w:rPr>
          <w:sz w:val="20"/>
          <w:szCs w:val="20"/>
        </w:rPr>
        <w:t xml:space="preserve"> the Company issued 4</w:t>
      </w:r>
      <w:r>
        <w:rPr>
          <w:sz w:val="20"/>
          <w:szCs w:val="20"/>
        </w:rPr>
        <w:t xml:space="preserve">50,000 shares and received net proceeds after commissions of $11.3 million. During </w:t>
      </w:r>
      <w:r>
        <w:rPr>
          <w:rStyle w:val="a6"/>
          <w:sz w:val="20"/>
          <w:szCs w:val="20"/>
        </w:rPr>
        <w:t>2021,</w:t>
      </w:r>
      <w:r>
        <w:rPr>
          <w:sz w:val="20"/>
          <w:szCs w:val="20"/>
        </w:rPr>
        <w:t xml:space="preserve"> the Company issued 3.5 million shares and received net proceeds after commissions of $76.9 million. As of </w:t>
      </w:r>
      <w:r>
        <w:rPr>
          <w:rStyle w:val="a6"/>
          <w:sz w:val="20"/>
          <w:szCs w:val="20"/>
        </w:rPr>
        <w:t xml:space="preserve">December 31, 2022, </w:t>
      </w:r>
      <w:r>
        <w:rPr>
          <w:sz w:val="20"/>
          <w:szCs w:val="20"/>
        </w:rPr>
        <w:t>the Company had $411.0 million available u</w:t>
      </w:r>
      <w:r>
        <w:rPr>
          <w:sz w:val="20"/>
          <w:szCs w:val="20"/>
        </w:rPr>
        <w:t>nder this ATM program.</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connection with the Merger, each Weingarten common share, issued and outstanding immediately prior to the effective time of the Merger, was converted into 1.408 shares of newly issued shares of Kimco common stock, resulting in approximately 179.9 millio</w:t>
      </w:r>
      <w:r>
        <w:rPr>
          <w:sz w:val="20"/>
          <w:szCs w:val="20"/>
        </w:rPr>
        <w:t>n common shares being issued in connection with the Merger.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from time to time, repurchases shares of its common stock in amounts that offset new issuances of common stock relating to the exercise of stock options or the issuance of restricte</w:t>
      </w:r>
      <w:r>
        <w:rPr>
          <w:sz w:val="20"/>
          <w:szCs w:val="20"/>
        </w:rPr>
        <w:t xml:space="preserve">d stock awards. These repurchases </w:t>
      </w:r>
      <w:r>
        <w:rPr>
          <w:rStyle w:val="a6"/>
          <w:sz w:val="20"/>
          <w:szCs w:val="20"/>
        </w:rPr>
        <w:t xml:space="preserve">may </w:t>
      </w:r>
      <w:r>
        <w:rPr>
          <w:sz w:val="20"/>
          <w:szCs w:val="20"/>
        </w:rPr>
        <w:t xml:space="preserve">occur in open market purchases, privately negotiated transactions or otherwise subject to prevailing market conditions, the Company’s liquidity requirements, contractual restrictions and other factors. During </w:t>
      </w:r>
      <w:r>
        <w:rPr>
          <w:rStyle w:val="a6"/>
          <w:sz w:val="20"/>
          <w:szCs w:val="20"/>
        </w:rPr>
        <w:t>2022,</w:t>
      </w:r>
      <w:r>
        <w:rPr>
          <w:sz w:val="20"/>
          <w:szCs w:val="20"/>
        </w:rPr>
        <w:t xml:space="preserve"> </w:t>
      </w:r>
      <w:r>
        <w:rPr>
          <w:rStyle w:val="a6"/>
          <w:sz w:val="20"/>
          <w:szCs w:val="20"/>
        </w:rPr>
        <w:t>202</w:t>
      </w:r>
      <w:r>
        <w:rPr>
          <w:rStyle w:val="a6"/>
          <w:sz w:val="20"/>
          <w:szCs w:val="20"/>
        </w:rPr>
        <w:t>1</w:t>
      </w:r>
      <w:r>
        <w:rPr>
          <w:sz w:val="20"/>
          <w:szCs w:val="20"/>
        </w:rPr>
        <w:t xml:space="preserve"> and </w:t>
      </w:r>
      <w:r>
        <w:rPr>
          <w:rStyle w:val="a6"/>
          <w:sz w:val="20"/>
          <w:szCs w:val="20"/>
        </w:rPr>
        <w:t>2020,</w:t>
      </w:r>
      <w:r>
        <w:rPr>
          <w:sz w:val="20"/>
          <w:szCs w:val="20"/>
        </w:rPr>
        <w:t xml:space="preserve"> the Company repurchased 567,450, 1,084,953 and 294,346 shares, respectively, relating to shares of common stock surrendered to the Company to satisfy statutory minimum tax withholding obligations relating to the vesting of restricted stock awar</w:t>
      </w:r>
      <w:r>
        <w:rPr>
          <w:sz w:val="20"/>
          <w:szCs w:val="20"/>
        </w:rPr>
        <w:t>ds under the Company’s equity-based compensation plans.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Convertible Units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various types of convertible units that were issued in connection with the purchase of operating properties (see Footnote </w:t>
      </w:r>
      <w:r>
        <w:rPr>
          <w:rStyle w:val="a6"/>
          <w:sz w:val="20"/>
          <w:szCs w:val="20"/>
        </w:rPr>
        <w:t>16</w:t>
      </w:r>
      <w:r>
        <w:rPr>
          <w:sz w:val="20"/>
          <w:szCs w:val="20"/>
        </w:rPr>
        <w:t xml:space="preserve"> of the Notes to Consolidated Financia</w:t>
      </w:r>
      <w:r>
        <w:rPr>
          <w:sz w:val="20"/>
          <w:szCs w:val="20"/>
        </w:rPr>
        <w:t xml:space="preserve">l Statements). The amount of consideration that would be paid to unaffiliated holders of units issued from the Company’s consolidated subsidiaries which are </w:t>
      </w:r>
      <w:r>
        <w:rPr>
          <w:rStyle w:val="a6"/>
          <w:sz w:val="20"/>
          <w:szCs w:val="20"/>
        </w:rPr>
        <w:t>not</w:t>
      </w:r>
      <w:r>
        <w:rPr>
          <w:sz w:val="20"/>
          <w:szCs w:val="20"/>
        </w:rPr>
        <w:t xml:space="preserve"> mandatorily redeemable, as if the termination of these consolidated subsidiaries occurred on </w:t>
      </w:r>
      <w:r>
        <w:rPr>
          <w:rStyle w:val="a6"/>
          <w:sz w:val="20"/>
          <w:szCs w:val="20"/>
        </w:rPr>
        <w:t>De</w:t>
      </w:r>
      <w:r>
        <w:rPr>
          <w:rStyle w:val="a6"/>
          <w:sz w:val="20"/>
          <w:szCs w:val="20"/>
        </w:rPr>
        <w:t xml:space="preserve">cember 31, 2022, </w:t>
      </w:r>
      <w:r>
        <w:rPr>
          <w:sz w:val="20"/>
          <w:szCs w:val="20"/>
        </w:rPr>
        <w:t>is $54.5 million. The Company has the option to settle such redemption in cash or shares of the Company’s common stock. If the Company exercised its right to settle in common stock, the unit holders would receive 2.6 million shares of comm</w:t>
      </w:r>
      <w:r>
        <w:rPr>
          <w:sz w:val="20"/>
          <w:szCs w:val="20"/>
        </w:rPr>
        <w:t>on stock.</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647933030"/>
        <w:rPr>
          <w:rFonts w:eastAsia="Times New Roman"/>
          <w:sz w:val="20"/>
          <w:szCs w:val="20"/>
        </w:rPr>
      </w:pPr>
      <w:r>
        <w:rPr>
          <w:rStyle w:val="a6"/>
          <w:rFonts w:eastAsia="Times New Roman"/>
          <w:sz w:val="20"/>
          <w:szCs w:val="20"/>
        </w:rPr>
        <w:t>88</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3" style="width:415.3pt;height:1.5pt" o:hralign="center" o:hrstd="t" o:hrnoshade="t" o:hr="t" fillcolor="black" stroked="f"/>
        </w:pict>
      </w:r>
    </w:p>
    <w:p w:rsidR="00000000" w:rsidRDefault="006954AA">
      <w:pPr>
        <w:divId w:val="1491407823"/>
        <w:rPr>
          <w:rFonts w:eastAsia="Times New Roman"/>
          <w:sz w:val="20"/>
          <w:szCs w:val="20"/>
        </w:rPr>
      </w:pPr>
      <w:r>
        <w:rPr>
          <w:rFonts w:eastAsia="Times New Roman"/>
          <w:sz w:val="20"/>
          <w:szCs w:val="20"/>
        </w:rPr>
        <w:t xml:space="preserve">  </w:t>
      </w:r>
    </w:p>
    <w:p w:rsidR="00000000" w:rsidRDefault="006954AA">
      <w:pPr>
        <w:jc w:val="center"/>
        <w:divId w:val="132216402"/>
        <w:rPr>
          <w:rFonts w:eastAsia="Times New Roman"/>
          <w:sz w:val="20"/>
          <w:szCs w:val="20"/>
        </w:rPr>
      </w:pPr>
      <w:r>
        <w:rPr>
          <w:rFonts w:eastAsia="Times New Roman"/>
          <w:sz w:val="20"/>
          <w:szCs w:val="20"/>
        </w:rPr>
        <w:t>KIMCO REALTY CORPORATION AND SUBSIDIA</w:t>
      </w:r>
      <w:r>
        <w:rPr>
          <w:rFonts w:eastAsia="Times New Roman"/>
          <w:sz w:val="20"/>
          <w:szCs w:val="20"/>
        </w:rPr>
        <w:t xml:space="preserve">RIES </w:t>
      </w:r>
    </w:p>
    <w:p w:rsidR="00000000" w:rsidRDefault="006954AA">
      <w:pPr>
        <w:divId w:val="1603298559"/>
        <w:rPr>
          <w:rFonts w:eastAsia="Times New Roman"/>
          <w:sz w:val="20"/>
          <w:szCs w:val="20"/>
        </w:rPr>
      </w:pPr>
      <w:r>
        <w:rPr>
          <w:rFonts w:eastAsia="Times New Roman"/>
          <w:sz w:val="20"/>
          <w:szCs w:val="20"/>
        </w:rPr>
        <w:t xml:space="preserve">  </w:t>
      </w:r>
    </w:p>
    <w:p w:rsidR="00000000" w:rsidRDefault="006954AA">
      <w:pPr>
        <w:jc w:val="center"/>
        <w:divId w:val="224996639"/>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firstLine="360"/>
        <w:jc w:val="both"/>
        <w:rPr>
          <w:sz w:val="20"/>
          <w:szCs w:val="20"/>
        </w:rPr>
      </w:pPr>
      <w:r>
        <w:rPr>
          <w:i/>
          <w:iCs/>
          <w:sz w:val="20"/>
          <w:szCs w:val="20"/>
        </w:rPr>
        <w:t>Dividends Declared</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7"/>
        <w:gridCol w:w="56"/>
        <w:gridCol w:w="100"/>
        <w:gridCol w:w="1053"/>
        <w:gridCol w:w="56"/>
        <w:gridCol w:w="56"/>
        <w:gridCol w:w="100"/>
        <w:gridCol w:w="1053"/>
        <w:gridCol w:w="56"/>
        <w:gridCol w:w="57"/>
        <w:gridCol w:w="100"/>
        <w:gridCol w:w="1054"/>
        <w:gridCol w:w="5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 Year Ended December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Common Stock</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0.84000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0.68000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0.54000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1640645213"/>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20.</w:t>
      </w:r>
      <w:r>
        <w:rPr>
          <w:sz w:val="20"/>
          <w:szCs w:val="20"/>
        </w:rPr>
        <w:t>  </w:t>
      </w:r>
      <w:r>
        <w:rPr>
          <w:sz w:val="20"/>
          <w:szCs w:val="20"/>
          <w:u w:val="single"/>
        </w:rPr>
        <w:t>Supplemental Schedule of Non-Cash Investing/Financing Activities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schedule summarizes the non-cash investing and financing activities of the Company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(in thousands):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Acquisition of real estate interests: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Mortgages debt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79,362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Other liabilities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59,000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Redeemable 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79,663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29,079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34,651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37,411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Surrender of common stock</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13,790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20,909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5,395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5,326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Decrease in redeemable noncontrolling interests’ carrying amount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(2,304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Lease liabilities arising from obtaining operating right-of-use assets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Allocation of fair value to 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15,620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Decrease in noncontrolling interests from redemption of units for common stock</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1,540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Weingarten Merger:</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Real estate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5,627,469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585,382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Notes payable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(1,497,632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Mortgages payable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(317,671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Below-market leases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(119,373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(177,039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Other assets and liabilities,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(154,775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Lease liabilities arising from obtaining operating right-of-use assets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32,569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Lease liabilities arising from obtaining financing right-of-use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23,026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Common stock issued in exchange for Weingarten common shares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(3,738,735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Consolidation of Joint Ventures: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Increase in real estate and other assets,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506,266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Increase in mortgages payable, other liabilities and noncontrolling interests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234,091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Deconsolidation of Joint Venture:</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Decrease in real estate and other assets,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300,099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Decrease in mortgages payable and other liabilities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170,000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following table provides a reconciliation of cash, cash equivalents and restricted cash recorded on the Company’s Consolidated Balance Sheets to the Company’s Consolidated Statements of Cash Flows (in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2"/>
        <w:gridCol w:w="101"/>
        <w:gridCol w:w="1019"/>
        <w:gridCol w:w="73"/>
        <w:gridCol w:w="73"/>
        <w:gridCol w:w="101"/>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of December 31, 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 o</w:t>
            </w:r>
            <w:r>
              <w:rPr>
                <w:b/>
                <w:bCs/>
                <w:sz w:val="20"/>
                <w:szCs w:val="20"/>
              </w:rPr>
              <w:t>f December 31, 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Cash and cash equivalents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146,970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325,631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Restricted cash</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2,859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9,032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cash, cash equivalents and restricted cash</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149,829</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23484341"/>
        <w:rPr>
          <w:rFonts w:eastAsia="Times New Roman"/>
          <w:sz w:val="20"/>
          <w:szCs w:val="20"/>
        </w:rPr>
      </w:pPr>
      <w:r>
        <w:rPr>
          <w:rStyle w:val="a6"/>
          <w:rFonts w:eastAsia="Times New Roman"/>
          <w:sz w:val="20"/>
          <w:szCs w:val="20"/>
        </w:rPr>
        <w:t>89</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4" style="width:415.3pt;height:1.5pt" o:hralign="center" o:hrstd="t" o:hrnoshade="t" o:hr="t" fillcolor="black" stroked="f"/>
        </w:pict>
      </w:r>
    </w:p>
    <w:p w:rsidR="00000000" w:rsidRDefault="006954AA">
      <w:pPr>
        <w:divId w:val="1533179529"/>
        <w:rPr>
          <w:rFonts w:eastAsia="Times New Roman"/>
          <w:sz w:val="20"/>
          <w:szCs w:val="20"/>
        </w:rPr>
      </w:pPr>
      <w:r>
        <w:rPr>
          <w:rFonts w:eastAsia="Times New Roman"/>
          <w:sz w:val="20"/>
          <w:szCs w:val="20"/>
        </w:rPr>
        <w:t xml:space="preserve">  </w:t>
      </w:r>
    </w:p>
    <w:p w:rsidR="00000000" w:rsidRDefault="006954AA">
      <w:pPr>
        <w:jc w:val="center"/>
        <w:divId w:val="182286624"/>
        <w:rPr>
          <w:rFonts w:eastAsia="Times New Roman"/>
          <w:sz w:val="20"/>
          <w:szCs w:val="20"/>
        </w:rPr>
      </w:pPr>
      <w:r>
        <w:rPr>
          <w:rFonts w:eastAsia="Times New Roman"/>
          <w:sz w:val="20"/>
          <w:szCs w:val="20"/>
        </w:rPr>
        <w:t xml:space="preserve">KIMCO REALTY CORPORATION AND SUBSIDIARIES </w:t>
      </w:r>
    </w:p>
    <w:p w:rsidR="00000000" w:rsidRDefault="006954AA">
      <w:pPr>
        <w:divId w:val="1852646199"/>
        <w:rPr>
          <w:rFonts w:eastAsia="Times New Roman"/>
          <w:sz w:val="20"/>
          <w:szCs w:val="20"/>
        </w:rPr>
      </w:pPr>
      <w:r>
        <w:rPr>
          <w:rFonts w:eastAsia="Times New Roman"/>
          <w:sz w:val="20"/>
          <w:szCs w:val="20"/>
        </w:rPr>
        <w:t xml:space="preserve">  </w:t>
      </w:r>
    </w:p>
    <w:p w:rsidR="00000000" w:rsidRDefault="006954AA">
      <w:pPr>
        <w:jc w:val="center"/>
        <w:divId w:val="1921786806"/>
        <w:rPr>
          <w:rFonts w:eastAsia="Times New Roman"/>
          <w:sz w:val="20"/>
          <w:szCs w:val="20"/>
        </w:rPr>
      </w:pPr>
      <w:r>
        <w:rPr>
          <w:rFonts w:eastAsia="Times New Roman"/>
          <w:sz w:val="20"/>
          <w:szCs w:val="20"/>
        </w:rPr>
        <w:t xml:space="preserve">NOTES TO CONSOLIDATED FINANCIAL STATEMENTS, continued </w:t>
      </w:r>
    </w:p>
    <w:p w:rsidR="00000000" w:rsidRDefault="006954AA">
      <w:pPr>
        <w:divId w:val="1201742061"/>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21.</w:t>
      </w:r>
      <w:r>
        <w:rPr>
          <w:sz w:val="20"/>
          <w:szCs w:val="20"/>
        </w:rPr>
        <w:t>  </w:t>
      </w:r>
      <w:r>
        <w:rPr>
          <w:sz w:val="20"/>
          <w:szCs w:val="20"/>
          <w:u w:val="single"/>
        </w:rPr>
        <w:t>Transactions with Related Parties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Joint Ventures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provides m</w:t>
      </w:r>
      <w:r>
        <w:rPr>
          <w:sz w:val="20"/>
          <w:szCs w:val="20"/>
        </w:rPr>
        <w:t>anagement services for shopping centers owned principally by affiliated entities and various real estate joint ventures in which certain stockholders of the Company have economic interests. Such services are performed pursuant to management agreements whic</w:t>
      </w:r>
      <w:r>
        <w:rPr>
          <w:sz w:val="20"/>
          <w:szCs w:val="20"/>
        </w:rPr>
        <w:t>h provide for fees based upon a percentage of gross revenues from the properties and other direct costs incurred in connection with management of the centers. Substantially all of the Management and other fee income on the Company’s Consolidated Statements</w:t>
      </w:r>
      <w:r>
        <w:rPr>
          <w:sz w:val="20"/>
          <w:szCs w:val="20"/>
        </w:rPr>
        <w:t xml:space="preserve"> of Income constitute fees earned from affiliated entities. Reference is made to Footnote </w:t>
      </w:r>
      <w:r>
        <w:rPr>
          <w:rStyle w:val="a6"/>
          <w:sz w:val="20"/>
          <w:szCs w:val="20"/>
        </w:rPr>
        <w:t>7</w:t>
      </w:r>
      <w:r>
        <w:rPr>
          <w:sz w:val="20"/>
          <w:szCs w:val="20"/>
        </w:rPr>
        <w:t xml:space="preserve"> of the Notes to Consolidated Financial Statements for additional information regarding transactions with related parties.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2022,</w:t>
      </w:r>
      <w:r>
        <w:rPr>
          <w:sz w:val="20"/>
          <w:szCs w:val="20"/>
        </w:rPr>
        <w:t xml:space="preserve"> the Company purchased the G</w:t>
      </w:r>
      <w:r>
        <w:rPr>
          <w:sz w:val="20"/>
          <w:szCs w:val="20"/>
        </w:rPr>
        <w:t xml:space="preserve">eneral Partner’s ownership interest in the KIR joint venture from Milton Cooper, Executive Chairman of the Board of Directors of the Company, for $0.1 million. There was </w:t>
      </w:r>
      <w:r>
        <w:rPr>
          <w:rStyle w:val="a6"/>
          <w:sz w:val="20"/>
          <w:szCs w:val="20"/>
        </w:rPr>
        <w:t>no</w:t>
      </w:r>
      <w:r>
        <w:rPr>
          <w:sz w:val="20"/>
          <w:szCs w:val="20"/>
        </w:rPr>
        <w:t xml:space="preserve"> change in control as a result of this transaction.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Ripco</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Ripco Real Estate Corp</w:t>
      </w:r>
      <w:r>
        <w:rPr>
          <w:sz w:val="20"/>
          <w:szCs w:val="20"/>
        </w:rPr>
        <w:t>. (“Ripco”) business activities include serving as a leasing agent and representative for national and regional retailers including Target, Best Buy, Kohl’s and many others, providing real estate brokerage services and principal real estate investing. Todd</w:t>
      </w:r>
      <w:r>
        <w:rPr>
          <w:sz w:val="20"/>
          <w:szCs w:val="20"/>
        </w:rPr>
        <w:t xml:space="preserve"> Cooper, an officer and 50% shareholder of Ripco, is a son of Milton Cooper, Executive Chairman of the Board of Directors of the Company. During </w:t>
      </w:r>
      <w:r>
        <w:rPr>
          <w:rStyle w:val="a6"/>
          <w:sz w:val="20"/>
          <w:szCs w:val="20"/>
        </w:rPr>
        <w:t>2022,</w:t>
      </w:r>
      <w:r>
        <w:rPr>
          <w:sz w:val="20"/>
          <w:szCs w:val="20"/>
        </w:rPr>
        <w:t xml:space="preserve"> </w:t>
      </w:r>
      <w:r>
        <w:rPr>
          <w:rStyle w:val="a6"/>
          <w:sz w:val="20"/>
          <w:szCs w:val="20"/>
        </w:rPr>
        <w:t>2021</w:t>
      </w:r>
      <w:r>
        <w:rPr>
          <w:sz w:val="20"/>
          <w:szCs w:val="20"/>
        </w:rPr>
        <w:t xml:space="preserve"> and </w:t>
      </w:r>
      <w:r>
        <w:rPr>
          <w:rStyle w:val="a6"/>
          <w:sz w:val="20"/>
          <w:szCs w:val="20"/>
        </w:rPr>
        <w:t>2020,</w:t>
      </w:r>
      <w:r>
        <w:rPr>
          <w:sz w:val="20"/>
          <w:szCs w:val="20"/>
        </w:rPr>
        <w:t xml:space="preserve"> the Company paid brokerage commissions of $0.3 million, $0.4 million and $0.5 million, res</w:t>
      </w:r>
      <w:r>
        <w:rPr>
          <w:sz w:val="20"/>
          <w:szCs w:val="20"/>
        </w:rPr>
        <w:t>pectively, to Ripco for services rendered primarily as leasing agent for various national tenants in shopping center properties owned by the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Fifth Wall</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October 2021, </w:t>
      </w:r>
      <w:r>
        <w:rPr>
          <w:sz w:val="20"/>
          <w:szCs w:val="20"/>
        </w:rPr>
        <w:t>Mary Hogan Preusse, a member of the Company’s Board of Directors, join</w:t>
      </w:r>
      <w:r>
        <w:rPr>
          <w:sz w:val="20"/>
          <w:szCs w:val="20"/>
        </w:rPr>
        <w:t xml:space="preserve">ed Fifth Wall as a Senior Advisor. The Company holds an investment in the Fifth Wall’s Climate Technology Fund with a commitment of up to $25.0 million, of which $14.5 million has been funded as of </w:t>
      </w:r>
      <w:r>
        <w:rPr>
          <w:rStyle w:val="a6"/>
          <w:sz w:val="20"/>
          <w:szCs w:val="20"/>
        </w:rPr>
        <w:t xml:space="preserve">December 31, 2022 </w:t>
      </w:r>
      <w:r>
        <w:rPr>
          <w:sz w:val="20"/>
          <w:szCs w:val="20"/>
        </w:rPr>
        <w:t>and a cost method investment of $1.5 mil</w:t>
      </w:r>
      <w:r>
        <w:rPr>
          <w:sz w:val="20"/>
          <w:szCs w:val="20"/>
        </w:rPr>
        <w:t xml:space="preserve">lion within Fifth Wall's Ventures SPV Fund as of </w:t>
      </w:r>
      <w:r>
        <w:rPr>
          <w:rStyle w:val="a6"/>
          <w:sz w:val="20"/>
          <w:szCs w:val="20"/>
        </w:rPr>
        <w:t>December 31, 2022.</w:t>
      </w:r>
    </w:p>
    <w:p w:rsidR="00000000" w:rsidRDefault="006954AA">
      <w:pPr>
        <w:divId w:val="853348625"/>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22.</w:t>
      </w:r>
      <w:r>
        <w:rPr>
          <w:sz w:val="20"/>
          <w:szCs w:val="20"/>
        </w:rPr>
        <w:t>  </w:t>
      </w:r>
      <w:r>
        <w:rPr>
          <w:sz w:val="20"/>
          <w:szCs w:val="20"/>
          <w:u w:val="single"/>
        </w:rPr>
        <w:t>Commitments and Contingencies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Letters of Credit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issued letters of credit in connection with the completion and repayment guarantees primarily on certain of the Company’s redevelopment projects and guaranty of payment related to the Company’s insurance program. At </w:t>
      </w:r>
      <w:r>
        <w:rPr>
          <w:rStyle w:val="a6"/>
          <w:sz w:val="20"/>
          <w:szCs w:val="20"/>
        </w:rPr>
        <w:t xml:space="preserve">December 31, 2022, </w:t>
      </w:r>
      <w:r>
        <w:rPr>
          <w:sz w:val="20"/>
          <w:szCs w:val="20"/>
        </w:rPr>
        <w:t>these</w:t>
      </w:r>
      <w:r>
        <w:rPr>
          <w:sz w:val="20"/>
          <w:szCs w:val="20"/>
        </w:rPr>
        <w:t xml:space="preserve"> letters of credit aggregated $43.3 million.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Funding Commitments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has investments, including Fifth Wall discussed above, with funding commitments of $30.4 million, of which $16.5 million has been funded as of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Other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sz w:val="20"/>
          <w:szCs w:val="20"/>
        </w:rPr>
        <w:t>connection with the construction of its development and redevelopment projects and related infrastructure, certain public agencies require posting of performance and surety bonds to guarantee that the Company’s obligations are satisfied. These bonds expire</w:t>
      </w:r>
      <w:r>
        <w:rPr>
          <w:sz w:val="20"/>
          <w:szCs w:val="20"/>
        </w:rPr>
        <w:t xml:space="preserve"> upon the completion of the improvements and infrastructure. As of </w:t>
      </w:r>
      <w:r>
        <w:rPr>
          <w:rStyle w:val="a6"/>
          <w:sz w:val="20"/>
          <w:szCs w:val="20"/>
        </w:rPr>
        <w:t xml:space="preserve">December 31, 2022, </w:t>
      </w:r>
      <w:r>
        <w:rPr>
          <w:sz w:val="20"/>
          <w:szCs w:val="20"/>
        </w:rPr>
        <w:t>there were $18.4 million in performance and surety bonds outstanding.</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In connection with the Merger, the Company now provides a guaranty for the payment of any debt ser</w:t>
      </w:r>
      <w:r>
        <w:rPr>
          <w:sz w:val="20"/>
          <w:szCs w:val="20"/>
        </w:rPr>
        <w:t>vice shortfalls on the Sheridan Redevelopment Agency issued Series A bonds which are tax increment revenue bonds issued in connection with a development project in Sheridan, Colorado. These tax increment revenue bonds have a balance of $45.5 million outsta</w:t>
      </w:r>
      <w:r>
        <w:rPr>
          <w:sz w:val="20"/>
          <w:szCs w:val="20"/>
        </w:rPr>
        <w:t xml:space="preserve">nding at </w:t>
      </w:r>
      <w:r>
        <w:rPr>
          <w:rStyle w:val="a6"/>
          <w:sz w:val="20"/>
          <w:szCs w:val="20"/>
        </w:rPr>
        <w:t xml:space="preserve">December 31, 2022. </w:t>
      </w:r>
      <w:r>
        <w:rPr>
          <w:sz w:val="20"/>
          <w:szCs w:val="20"/>
        </w:rPr>
        <w:t xml:space="preserve">The bonds are to be repaid with incremental sales and property taxes and a public improvement fee ("PIF") to be assessed on current and future retail sales and, to the extent necessary, any amounts we </w:t>
      </w:r>
      <w:r>
        <w:rPr>
          <w:rStyle w:val="a6"/>
          <w:sz w:val="20"/>
          <w:szCs w:val="20"/>
        </w:rPr>
        <w:t xml:space="preserve">may </w:t>
      </w:r>
      <w:r>
        <w:rPr>
          <w:sz w:val="20"/>
          <w:szCs w:val="20"/>
        </w:rPr>
        <w:t>have to provide under a</w:t>
      </w:r>
      <w:r>
        <w:rPr>
          <w:sz w:val="20"/>
          <w:szCs w:val="20"/>
        </w:rPr>
        <w:t xml:space="preserve"> guaranty. The revenue generated from incremental sales, property taxes and PIF have satisfied the debt service requirements to date. The incremental taxes and PIF are to remain intact until the earlier of the payment of the bond liability in full or </w:t>
      </w:r>
      <w:r>
        <w:rPr>
          <w:rStyle w:val="a6"/>
          <w:sz w:val="20"/>
          <w:szCs w:val="20"/>
        </w:rPr>
        <w:t>2040.</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452091039"/>
        <w:rPr>
          <w:rFonts w:eastAsia="Times New Roman"/>
          <w:sz w:val="20"/>
          <w:szCs w:val="20"/>
        </w:rPr>
      </w:pPr>
      <w:r>
        <w:rPr>
          <w:rStyle w:val="a6"/>
          <w:rFonts w:eastAsia="Times New Roman"/>
          <w:sz w:val="20"/>
          <w:szCs w:val="20"/>
        </w:rPr>
        <w:t>90</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5" style="width:415.3pt;height:1.5pt" o:hralign="center" o:hrstd="t" o:hrnoshade="t" o:hr="t" fillcolor="black" stroked="f"/>
        </w:pict>
      </w:r>
    </w:p>
    <w:p w:rsidR="00000000" w:rsidRDefault="006954AA">
      <w:pPr>
        <w:divId w:val="795292957"/>
        <w:rPr>
          <w:rFonts w:eastAsia="Times New Roman"/>
          <w:sz w:val="20"/>
          <w:szCs w:val="20"/>
        </w:rPr>
      </w:pPr>
      <w:r>
        <w:rPr>
          <w:rFonts w:eastAsia="Times New Roman"/>
          <w:sz w:val="20"/>
          <w:szCs w:val="20"/>
        </w:rPr>
        <w:t xml:space="preserve">  </w:t>
      </w:r>
    </w:p>
    <w:p w:rsidR="00000000" w:rsidRDefault="006954AA">
      <w:pPr>
        <w:jc w:val="center"/>
        <w:divId w:val="651182343"/>
        <w:rPr>
          <w:rFonts w:eastAsia="Times New Roman"/>
          <w:sz w:val="20"/>
          <w:szCs w:val="20"/>
        </w:rPr>
      </w:pPr>
      <w:r>
        <w:rPr>
          <w:rFonts w:eastAsia="Times New Roman"/>
          <w:sz w:val="20"/>
          <w:szCs w:val="20"/>
        </w:rPr>
        <w:t xml:space="preserve">KIMCO REALTY CORPORATION AND SUBSIDIARIES </w:t>
      </w:r>
    </w:p>
    <w:p w:rsidR="00000000" w:rsidRDefault="006954AA">
      <w:pPr>
        <w:divId w:val="1134104134"/>
        <w:rPr>
          <w:rFonts w:eastAsia="Times New Roman"/>
          <w:sz w:val="20"/>
          <w:szCs w:val="20"/>
        </w:rPr>
      </w:pPr>
      <w:r>
        <w:rPr>
          <w:rFonts w:eastAsia="Times New Roman"/>
          <w:sz w:val="20"/>
          <w:szCs w:val="20"/>
        </w:rPr>
        <w:t xml:space="preserve">  </w:t>
      </w:r>
    </w:p>
    <w:p w:rsidR="00000000" w:rsidRDefault="006954AA">
      <w:pPr>
        <w:jc w:val="center"/>
        <w:divId w:val="88738400"/>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Company is subject to various other legal proceedings and claims that arise in the ordinary course of busines</w:t>
      </w:r>
      <w:r>
        <w:rPr>
          <w:sz w:val="20"/>
          <w:szCs w:val="20"/>
        </w:rPr>
        <w:t xml:space="preserve">s. Management believes that the final outcome of such matters will </w:t>
      </w:r>
      <w:r>
        <w:rPr>
          <w:rStyle w:val="a6"/>
          <w:sz w:val="20"/>
          <w:szCs w:val="20"/>
        </w:rPr>
        <w:t>not</w:t>
      </w:r>
      <w:r>
        <w:rPr>
          <w:sz w:val="20"/>
          <w:szCs w:val="20"/>
        </w:rPr>
        <w:t xml:space="preserve"> have a material adverse effect on the financial position, results of operations or liquidity of the Company taken as a whole as of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divId w:val="669792461"/>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23.</w:t>
      </w:r>
      <w:r>
        <w:rPr>
          <w:sz w:val="20"/>
          <w:szCs w:val="20"/>
        </w:rPr>
        <w:t>  </w:t>
      </w:r>
      <w:r>
        <w:rPr>
          <w:sz w:val="20"/>
          <w:szCs w:val="20"/>
          <w:u w:val="single"/>
        </w:rPr>
        <w:t>Incentive Plans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(the </w:t>
      </w:r>
      <w:r>
        <w:rPr>
          <w:rStyle w:val="a6"/>
          <w:sz w:val="20"/>
          <w:szCs w:val="20"/>
        </w:rPr>
        <w:t>“2010</w:t>
      </w:r>
      <w:r>
        <w:rPr>
          <w:sz w:val="20"/>
          <w:szCs w:val="20"/>
        </w:rPr>
        <w:t xml:space="preserve"> Plan” and together with the </w:t>
      </w:r>
      <w:r>
        <w:rPr>
          <w:rStyle w:val="a6"/>
          <w:sz w:val="20"/>
          <w:szCs w:val="20"/>
        </w:rPr>
        <w:t>20</w:t>
      </w:r>
      <w:r>
        <w:rPr>
          <w:rStyle w:val="a6"/>
          <w:sz w:val="20"/>
          <w:szCs w:val="20"/>
        </w:rPr>
        <w:t>20</w:t>
      </w:r>
      <w:r>
        <w:rPr>
          <w:sz w:val="20"/>
          <w:szCs w:val="20"/>
        </w:rPr>
        <w:t xml:space="preserve"> Plan, the “Plan”)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 million shares of the Company’s common stock to be reserved for the issuance of stock options, stock appreciation rights, restricted stock, restricted stock unit</w:t>
      </w:r>
      <w:r>
        <w:rPr>
          <w:sz w:val="20"/>
          <w:szCs w:val="20"/>
        </w:rPr>
        <w:t xml:space="preserve">s, performance awards, dividend equivalents, stock payments and deferred stock awards.  At </w:t>
      </w:r>
      <w:r>
        <w:rPr>
          <w:rStyle w:val="a6"/>
          <w:sz w:val="20"/>
          <w:szCs w:val="20"/>
        </w:rPr>
        <w:t xml:space="preserve">December 31, 2022, </w:t>
      </w:r>
      <w:r>
        <w:rPr>
          <w:sz w:val="20"/>
          <w:szCs w:val="20"/>
        </w:rPr>
        <w:t xml:space="preserve">the Company had 6.9 million shares of common stock available for issuance under the </w:t>
      </w:r>
      <w:r>
        <w:rPr>
          <w:rStyle w:val="a6"/>
          <w:sz w:val="20"/>
          <w:szCs w:val="20"/>
        </w:rPr>
        <w:t>2020</w:t>
      </w:r>
      <w:r>
        <w:rPr>
          <w:sz w:val="20"/>
          <w:szCs w:val="20"/>
        </w:rPr>
        <w:t xml:space="preserve"> Plan.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accounts for equity awards in accorda</w:t>
      </w:r>
      <w:r>
        <w:rPr>
          <w:sz w:val="20"/>
          <w:szCs w:val="20"/>
        </w:rPr>
        <w:t>nce with FASB’s Compensation – Stock Compensation guidance which requires that all share-based payments to employees, including grants of employee stock options, restricted stock and performance shares, be recognized in the Consolidated Statements of Incom</w:t>
      </w:r>
      <w:r>
        <w:rPr>
          <w:sz w:val="20"/>
          <w:szCs w:val="20"/>
        </w:rPr>
        <w:t>e over the service period based on their fair values. Fair value of performance awards is determined using the Monte Carlo method, which is intended to estimate the fair value of the awards at the grant date. Fair value of restricted shares is based on the</w:t>
      </w:r>
      <w:r>
        <w:rPr>
          <w:sz w:val="20"/>
          <w:szCs w:val="20"/>
        </w:rPr>
        <w:t xml:space="preserve"> price on the date of grant.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recognized expense associated with its equity awards of $26.6 million, $23.2 million and $23.7 million,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respectively.  As of </w:t>
      </w:r>
      <w:r>
        <w:rPr>
          <w:rStyle w:val="a6"/>
          <w:sz w:val="20"/>
          <w:szCs w:val="20"/>
        </w:rPr>
        <w:t xml:space="preserve">December 31, 2022, </w:t>
      </w:r>
      <w:r>
        <w:rPr>
          <w:sz w:val="20"/>
          <w:szCs w:val="20"/>
        </w:rPr>
        <w:t>the Company had</w:t>
      </w:r>
      <w:r>
        <w:rPr>
          <w:sz w:val="20"/>
          <w:szCs w:val="20"/>
        </w:rPr>
        <w:t xml:space="preserve"> $43.1 million of total unrecognized compensation cost related to unvested stock compensation granted under the Plan.  That cost is expected to be recognized over a weighted-average period of 2.8 years.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Stock Options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During </w:t>
      </w:r>
      <w:r>
        <w:rPr>
          <w:rStyle w:val="a6"/>
          <w:sz w:val="20"/>
          <w:szCs w:val="20"/>
        </w:rPr>
        <w:t>2022,</w:t>
      </w:r>
      <w:r>
        <w:rPr>
          <w:sz w:val="20"/>
          <w:szCs w:val="20"/>
        </w:rPr>
        <w:t xml:space="preserve"> </w:t>
      </w:r>
      <w:r>
        <w:rPr>
          <w:rStyle w:val="a6"/>
          <w:sz w:val="20"/>
          <w:szCs w:val="20"/>
        </w:rPr>
        <w:t>2021</w:t>
      </w:r>
      <w:r>
        <w:rPr>
          <w:sz w:val="20"/>
          <w:szCs w:val="20"/>
        </w:rPr>
        <w:t xml:space="preserve"> and </w:t>
      </w:r>
      <w:r>
        <w:rPr>
          <w:rStyle w:val="a6"/>
          <w:sz w:val="20"/>
          <w:szCs w:val="20"/>
        </w:rPr>
        <w:t>2020,</w:t>
      </w:r>
      <w:r>
        <w:rPr>
          <w:sz w:val="20"/>
          <w:szCs w:val="20"/>
        </w:rPr>
        <w:t xml:space="preserve"> the Com</w:t>
      </w:r>
      <w:r>
        <w:rPr>
          <w:sz w:val="20"/>
          <w:szCs w:val="20"/>
        </w:rPr>
        <w:t>pany did</w:t>
      </w:r>
      <w:r>
        <w:rPr>
          <w:sz w:val="20"/>
          <w:szCs w:val="20"/>
        </w:rPr>
        <w:t xml:space="preserve"> </w:t>
      </w:r>
      <w:r>
        <w:rPr>
          <w:sz w:val="20"/>
          <w:szCs w:val="20"/>
        </w:rPr>
        <w:t>no</w:t>
      </w:r>
      <w:r>
        <w:rPr>
          <w:sz w:val="20"/>
          <w:szCs w:val="20"/>
        </w:rPr>
        <w:t>t</w:t>
      </w:r>
      <w:r>
        <w:rPr>
          <w:sz w:val="20"/>
          <w:szCs w:val="20"/>
        </w:rPr>
        <w:t xml:space="preserve"> grant any stock options. Information with respect to stock options outstanding under the </w:t>
      </w:r>
      <w:r>
        <w:rPr>
          <w:rStyle w:val="a6"/>
          <w:sz w:val="20"/>
          <w:szCs w:val="20"/>
        </w:rPr>
        <w:t>2010</w:t>
      </w:r>
      <w:r>
        <w:rPr>
          <w:sz w:val="20"/>
          <w:szCs w:val="20"/>
        </w:rPr>
        <w:t xml:space="preserve"> Plan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are as follows:</w:t>
      </w:r>
    </w:p>
    <w:p w:rsidR="00000000" w:rsidRDefault="006954AA">
      <w:pPr>
        <w:pStyle w:val="a3"/>
        <w:spacing w:before="0" w:beforeAutospacing="0" w:after="0" w:afterAutospacing="0"/>
        <w:ind w:left="36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57"/>
        <w:gridCol w:w="70"/>
        <w:gridCol w:w="70"/>
        <w:gridCol w:w="1042"/>
        <w:gridCol w:w="70"/>
        <w:gridCol w:w="70"/>
        <w:gridCol w:w="101"/>
        <w:gridCol w:w="1042"/>
        <w:gridCol w:w="70"/>
        <w:gridCol w:w="70"/>
        <w:gridCol w:w="101"/>
        <w:gridCol w:w="1042"/>
        <w:gridCol w:w="70"/>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Weighted-Average</w:t>
            </w:r>
          </w:p>
          <w:p w:rsidR="00000000" w:rsidRDefault="006954AA">
            <w:pPr>
              <w:pStyle w:val="a3"/>
              <w:spacing w:before="0" w:beforeAutospacing="0" w:after="0" w:afterAutospacing="0"/>
              <w:jc w:val="center"/>
              <w:rPr>
                <w:sz w:val="20"/>
                <w:szCs w:val="20"/>
              </w:rPr>
            </w:pPr>
            <w:r>
              <w:rPr>
                <w:b/>
                <w:bCs/>
                <w:sz w:val="20"/>
                <w:szCs w:val="20"/>
              </w:rPr>
              <w:t>Exercise Price</w:t>
            </w:r>
          </w:p>
          <w:p w:rsidR="00000000" w:rsidRDefault="006954AA">
            <w:pPr>
              <w:pStyle w:val="a3"/>
              <w:spacing w:before="0" w:beforeAutospacing="0" w:after="0" w:afterAutospacing="0"/>
              <w:jc w:val="center"/>
              <w:rPr>
                <w:sz w:val="20"/>
                <w:szCs w:val="20"/>
              </w:rPr>
            </w:pPr>
            <w:r>
              <w:rPr>
                <w:b/>
                <w:bCs/>
                <w:sz w:val="20"/>
                <w:szCs w:val="20"/>
              </w:rPr>
              <w:t>Per Share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Aggregate Intrinsic Value</w:t>
            </w:r>
          </w:p>
          <w:p w:rsidR="00000000" w:rsidRDefault="006954AA">
            <w:pPr>
              <w:pStyle w:val="a3"/>
              <w:spacing w:before="0" w:beforeAutospacing="0" w:after="0" w:afterAutospacing="0"/>
              <w:jc w:val="center"/>
              <w:rPr>
                <w:sz w:val="20"/>
                <w:szCs w:val="20"/>
              </w:rPr>
            </w:pPr>
            <w:r>
              <w:rPr>
                <w:b/>
                <w:bCs/>
                <w:sz w:val="20"/>
                <w:szCs w:val="20"/>
              </w:rPr>
              <w:t>(in millions)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Options outstanding, January 1, 2020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1,297,936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19.60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Exercised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(63,365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15.48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Forfeited</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(72,250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Options outstanding, December 31, 2020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1,162,321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20.03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Exercised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(315,750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19.19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Forfeited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(357,816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19.01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Options outstanding, December 31, 2021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488,755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21.48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Exercised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(205,871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20.56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0.8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Forfeited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(750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19.70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Options outstanding, December 31, 2022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282,134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Options exercisable (fully vested)</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900"/>
              <w:rPr>
                <w:sz w:val="20"/>
                <w:szCs w:val="20"/>
              </w:rPr>
            </w:pPr>
            <w:r>
              <w:rPr>
                <w:sz w:val="20"/>
                <w:szCs w:val="20"/>
              </w:rPr>
              <w:t>December 31, 2020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1,162,321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20.03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900"/>
              <w:rPr>
                <w:sz w:val="20"/>
                <w:szCs w:val="20"/>
              </w:rPr>
            </w:pPr>
            <w:r>
              <w:rPr>
                <w:sz w:val="20"/>
                <w:szCs w:val="20"/>
              </w:rPr>
              <w:t>December 31, 2021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488,755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21.48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900"/>
              <w:rPr>
                <w:sz w:val="20"/>
                <w:szCs w:val="20"/>
              </w:rPr>
            </w:pPr>
            <w:r>
              <w:rPr>
                <w:sz w:val="20"/>
                <w:szCs w:val="20"/>
              </w:rPr>
              <w:t>December 31, 2022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282,134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exercise price per share for options outstanding as of </w:t>
      </w:r>
      <w:r>
        <w:rPr>
          <w:rStyle w:val="a6"/>
          <w:sz w:val="20"/>
          <w:szCs w:val="20"/>
        </w:rPr>
        <w:t xml:space="preserve">December 31, 2022 </w:t>
      </w:r>
      <w:r>
        <w:rPr>
          <w:sz w:val="20"/>
          <w:szCs w:val="20"/>
        </w:rPr>
        <w:t xml:space="preserve">ranges from $20.41 to $24.12. As of </w:t>
      </w:r>
      <w:r>
        <w:rPr>
          <w:rStyle w:val="a6"/>
          <w:sz w:val="20"/>
          <w:szCs w:val="20"/>
        </w:rPr>
        <w:t xml:space="preserve">December 31, 2022, </w:t>
      </w:r>
      <w:r>
        <w:rPr>
          <w:sz w:val="20"/>
          <w:szCs w:val="20"/>
        </w:rPr>
        <w:t>all of the Company’s outstanding options were vested. The weighted-average remaining contractual life for options outstandin</w:t>
      </w:r>
      <w:r>
        <w:rPr>
          <w:sz w:val="20"/>
          <w:szCs w:val="20"/>
        </w:rPr>
        <w:t xml:space="preserve">g and exercisable as of </w:t>
      </w:r>
      <w:r>
        <w:rPr>
          <w:rStyle w:val="a6"/>
          <w:sz w:val="20"/>
          <w:szCs w:val="20"/>
        </w:rPr>
        <w:t xml:space="preserve">December 31, 2022 </w:t>
      </w:r>
      <w:r>
        <w:rPr>
          <w:sz w:val="20"/>
          <w:szCs w:val="20"/>
        </w:rPr>
        <w:t xml:space="preserve">was 0.2 years. Cash received from options exercised under the </w:t>
      </w:r>
      <w:r>
        <w:rPr>
          <w:rStyle w:val="a6"/>
          <w:sz w:val="20"/>
          <w:szCs w:val="20"/>
        </w:rPr>
        <w:t>2010</w:t>
      </w:r>
      <w:r>
        <w:rPr>
          <w:sz w:val="20"/>
          <w:szCs w:val="20"/>
        </w:rPr>
        <w:t xml:space="preserve"> Plan was $4.2 million, $6.1 million and $1.0 million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3188480"/>
        <w:rPr>
          <w:rFonts w:eastAsia="Times New Roman"/>
          <w:sz w:val="20"/>
          <w:szCs w:val="20"/>
        </w:rPr>
      </w:pPr>
      <w:r>
        <w:rPr>
          <w:rStyle w:val="a6"/>
          <w:rFonts w:eastAsia="Times New Roman"/>
          <w:sz w:val="20"/>
          <w:szCs w:val="20"/>
        </w:rPr>
        <w:t>91</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6" style="width:415.3pt;height:1.5pt" o:hralign="center" o:hrstd="t" o:hrnoshade="t" o:hr="t" fillcolor="black" stroked="f"/>
        </w:pict>
      </w:r>
    </w:p>
    <w:p w:rsidR="00000000" w:rsidRDefault="006954AA">
      <w:pPr>
        <w:divId w:val="1277978202"/>
        <w:rPr>
          <w:rFonts w:eastAsia="Times New Roman"/>
          <w:sz w:val="20"/>
          <w:szCs w:val="20"/>
        </w:rPr>
      </w:pPr>
      <w:r>
        <w:rPr>
          <w:rFonts w:eastAsia="Times New Roman"/>
          <w:sz w:val="20"/>
          <w:szCs w:val="20"/>
        </w:rPr>
        <w:t xml:space="preserve">  </w:t>
      </w:r>
    </w:p>
    <w:p w:rsidR="00000000" w:rsidRDefault="006954AA">
      <w:pPr>
        <w:jc w:val="center"/>
        <w:divId w:val="525172114"/>
        <w:rPr>
          <w:rFonts w:eastAsia="Times New Roman"/>
          <w:sz w:val="20"/>
          <w:szCs w:val="20"/>
        </w:rPr>
      </w:pPr>
      <w:r>
        <w:rPr>
          <w:rFonts w:eastAsia="Times New Roman"/>
          <w:sz w:val="20"/>
          <w:szCs w:val="20"/>
        </w:rPr>
        <w:t xml:space="preserve">KIMCO REALTY CORPORATION AND SUBSIDIARIES </w:t>
      </w:r>
    </w:p>
    <w:p w:rsidR="00000000" w:rsidRDefault="006954AA">
      <w:pPr>
        <w:divId w:val="54163431"/>
        <w:rPr>
          <w:rFonts w:eastAsia="Times New Roman"/>
          <w:sz w:val="20"/>
          <w:szCs w:val="20"/>
        </w:rPr>
      </w:pPr>
      <w:r>
        <w:rPr>
          <w:rFonts w:eastAsia="Times New Roman"/>
          <w:sz w:val="20"/>
          <w:szCs w:val="20"/>
        </w:rPr>
        <w:t xml:space="preserve">  </w:t>
      </w:r>
    </w:p>
    <w:p w:rsidR="00000000" w:rsidRDefault="006954AA">
      <w:pPr>
        <w:jc w:val="center"/>
        <w:divId w:val="478956982"/>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i/>
          <w:iCs/>
          <w:sz w:val="20"/>
          <w:szCs w:val="20"/>
        </w:rPr>
        <w:t>Restricted Stock</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Information with respect to restricted stock under the Plan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are as follows:</w:t>
      </w:r>
    </w:p>
    <w:p w:rsidR="00000000" w:rsidRDefault="006954AA">
      <w:pPr>
        <w:pStyle w:val="a3"/>
        <w:spacing w:before="0" w:beforeAutospacing="0" w:after="0" w:afterAutospacing="0"/>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3247"/>
        <w:gridCol w:w="70"/>
        <w:gridCol w:w="70"/>
        <w:gridCol w:w="1058"/>
        <w:gridCol w:w="71"/>
        <w:gridCol w:w="71"/>
        <w:gridCol w:w="71"/>
        <w:gridCol w:w="1059"/>
        <w:gridCol w:w="71"/>
        <w:gridCol w:w="71"/>
        <w:gridCol w:w="71"/>
        <w:gridCol w:w="1059"/>
        <w:gridCol w:w="71"/>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ind w:left="4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Restricted stock outstanding as of January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2,347,608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2,394,825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2,367,843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Granted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819,090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754,560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820,150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Vested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(511,772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(759,665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(784,120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Forfeited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(48,956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(42,112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(9,048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Restricted stock outstanding as of December 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2,605,970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2,347,608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2,394,825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72"/>
        <w:gridCol w:w="6134"/>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 xml:space="preserve">The weighted-average grant date fair value for restricted stock issued during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were $24.27, $17.81 and $18.67, respectively.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Restricted shares have the same voting rights as the Company’s common stock and </w:t>
      </w:r>
      <w:r>
        <w:rPr>
          <w:sz w:val="20"/>
          <w:szCs w:val="20"/>
        </w:rPr>
        <w:t xml:space="preserve">are entitled to a cash dividend per share equal to the Company’s common dividend which is taxable as ordinary income to the holder.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the dividends paid on unvested restricted shares were $2.5 million, $1</w:t>
      </w:r>
      <w:r>
        <w:rPr>
          <w:sz w:val="20"/>
          <w:szCs w:val="20"/>
        </w:rPr>
        <w:t>.8 million and $2.2 million,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Performance Shares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Information with respect to performance share awards under the Plan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are as follows:</w:t>
      </w:r>
    </w:p>
    <w:p w:rsidR="00000000" w:rsidRDefault="006954AA">
      <w:pPr>
        <w:pStyle w:val="a3"/>
        <w:spacing w:before="0" w:beforeAutospacing="0" w:after="0" w:afterAutospacing="0"/>
        <w:ind w:left="360"/>
        <w:jc w:val="both"/>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3662"/>
        <w:gridCol w:w="74"/>
        <w:gridCol w:w="74"/>
        <w:gridCol w:w="1046"/>
        <w:gridCol w:w="75"/>
        <w:gridCol w:w="75"/>
        <w:gridCol w:w="75"/>
        <w:gridCol w:w="1047"/>
        <w:gridCol w:w="75"/>
        <w:gridCol w:w="75"/>
        <w:gridCol w:w="75"/>
        <w:gridCol w:w="1047"/>
        <w:gridCol w:w="75"/>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ind w:left="4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Performance share awards outstanding as of January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1,052,100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913,800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704,530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Granted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458,660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545,380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506,720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Vested (2)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(506,720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(407,080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(297,450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Performance share awards outstanding as of December 31,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1,004,040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1,052,100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913,800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72"/>
        <w:gridCol w:w="6134"/>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 xml:space="preserve">The weighted-average grant date fair value for performance shares issued during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were $31.19, $22.96 and $18.02, respectively.</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 xml:space="preserve">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the corresponding com</w:t>
            </w:r>
            <w:r>
              <w:rPr>
                <w:sz w:val="20"/>
                <w:szCs w:val="20"/>
              </w:rPr>
              <w:t>mon stock equivalent of these vested awards were 998,238, 814,160 and 594,900 shares, respectively.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more significant assumptions underlying the determination of fair values for these performance awards granted during </w:t>
      </w:r>
      <w:r>
        <w:rPr>
          <w:rStyle w:val="a6"/>
          <w:sz w:val="20"/>
          <w:szCs w:val="20"/>
        </w:rPr>
        <w:t>2022,</w:t>
      </w:r>
      <w:r>
        <w:rPr>
          <w:sz w:val="20"/>
          <w:szCs w:val="20"/>
        </w:rPr>
        <w:t xml:space="preserve"> </w:t>
      </w:r>
      <w:r>
        <w:rPr>
          <w:rStyle w:val="a6"/>
          <w:sz w:val="20"/>
          <w:szCs w:val="20"/>
        </w:rPr>
        <w:t>2021</w:t>
      </w:r>
      <w:r>
        <w:rPr>
          <w:sz w:val="20"/>
          <w:szCs w:val="20"/>
        </w:rPr>
        <w:t xml:space="preserve"> and </w:t>
      </w:r>
      <w:r>
        <w:rPr>
          <w:rStyle w:val="a6"/>
          <w:sz w:val="20"/>
          <w:szCs w:val="20"/>
        </w:rPr>
        <w:t>2020</w:t>
      </w:r>
      <w:r>
        <w:rPr>
          <w:sz w:val="20"/>
          <w:szCs w:val="20"/>
        </w:rPr>
        <w:t xml:space="preserve"> were as follows: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3014"/>
        <w:gridCol w:w="50"/>
        <w:gridCol w:w="460"/>
        <w:gridCol w:w="810"/>
        <w:gridCol w:w="167"/>
        <w:gridCol w:w="50"/>
        <w:gridCol w:w="460"/>
        <w:gridCol w:w="810"/>
        <w:gridCol w:w="167"/>
        <w:gridCol w:w="50"/>
        <w:gridCol w:w="460"/>
        <w:gridCol w:w="810"/>
        <w:gridCol w:w="1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ind w:left="8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Stock price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36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24.27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36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17.87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ind w:left="36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18.93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Dividend yield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Risk-free rate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1.72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1.42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Volatility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49.07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48.41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24.67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Term of the award (years)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21"/>
        <w:gridCol w:w="6185"/>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Total Shareholder Returns, as used in the performance share awards computation, are measured based on cumulative dividend stock prices, as such a</w:t>
            </w:r>
            <w:r>
              <w:rPr>
                <w:sz w:val="20"/>
                <w:szCs w:val="20"/>
              </w:rPr>
              <w:t xml:space="preserve"> </w:t>
            </w:r>
            <w:r>
              <w:rPr>
                <w:sz w:val="20"/>
                <w:szCs w:val="20"/>
              </w:rPr>
              <w:t>zer</w:t>
            </w:r>
            <w:r>
              <w:rPr>
                <w:sz w:val="20"/>
                <w:szCs w:val="20"/>
              </w:rPr>
              <w:t>o</w:t>
            </w:r>
            <w:r>
              <w:rPr>
                <w:sz w:val="20"/>
                <w:szCs w:val="20"/>
              </w:rPr>
              <w:t xml:space="preserve"> percent dividend yield is utilized.</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32"/>
        <w:gridCol w:w="5974"/>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Volatility is based on the annualized standard deviation of the</w:t>
            </w:r>
            <w:r>
              <w:rPr>
                <w:sz w:val="20"/>
                <w:szCs w:val="20"/>
              </w:rPr>
              <w:t xml:space="preserve"> daily logarithmic returns on dividend-adjusted closing prices over the look-back period based on the term of the award.</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Other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maintains a </w:t>
      </w:r>
      <w:r>
        <w:rPr>
          <w:rStyle w:val="a6"/>
          <w:sz w:val="20"/>
          <w:szCs w:val="20"/>
        </w:rPr>
        <w:t>401</w:t>
      </w:r>
      <w:r>
        <w:rPr>
          <w:sz w:val="20"/>
          <w:szCs w:val="20"/>
        </w:rPr>
        <w:t>(k)-retirement plan covering substantially all officers and employees, which permits participants to defer up to the maximum allowable amount determined by the Internal Revenue Service of their eligible compensation. This deferred compensation, together wi</w:t>
      </w:r>
      <w:r>
        <w:rPr>
          <w:sz w:val="20"/>
          <w:szCs w:val="20"/>
        </w:rPr>
        <w:t xml:space="preserve">th Company matching contributions, which generally equal employee deferrals up to a maximum of 5% of their eligible compensation, is fully vested and funded as of </w:t>
      </w:r>
      <w:r>
        <w:rPr>
          <w:rStyle w:val="a6"/>
          <w:sz w:val="20"/>
          <w:szCs w:val="20"/>
        </w:rPr>
        <w:t xml:space="preserve">December 31, 2022. </w:t>
      </w:r>
      <w:r>
        <w:rPr>
          <w:sz w:val="20"/>
          <w:szCs w:val="20"/>
        </w:rPr>
        <w:t>The Company’s contributions to the plan were $2.6 million, $2.4 million an</w:t>
      </w:r>
      <w:r>
        <w:rPr>
          <w:sz w:val="20"/>
          <w:szCs w:val="20"/>
        </w:rPr>
        <w:t xml:space="preserve">d $2.3 million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recognized severance costs associated with employee retirements and terminations during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of $1.5 million, $14.</w:t>
      </w:r>
      <w:r>
        <w:rPr>
          <w:sz w:val="20"/>
          <w:szCs w:val="20"/>
        </w:rPr>
        <w:t>4 million (including $13.7 million of severance costs included in Merger charges on the Company’s Consolidated Statements of Income) and $8.7 million, respectively.</w:t>
      </w:r>
    </w:p>
    <w:p w:rsidR="00000000" w:rsidRDefault="006954AA">
      <w:pPr>
        <w:pStyle w:val="a3"/>
        <w:spacing w:before="0" w:beforeAutospacing="0" w:after="0" w:afterAutospacing="0"/>
        <w:rPr>
          <w:sz w:val="20"/>
          <w:szCs w:val="20"/>
        </w:rPr>
      </w:pPr>
      <w:r>
        <w:rPr>
          <w:sz w:val="20"/>
          <w:szCs w:val="20"/>
        </w:rPr>
        <w:t> </w:t>
      </w:r>
    </w:p>
    <w:p w:rsidR="00000000" w:rsidRDefault="006954AA">
      <w:pPr>
        <w:divId w:val="680278402"/>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1000" w:hanging="1000"/>
        <w:rPr>
          <w:sz w:val="20"/>
          <w:szCs w:val="20"/>
        </w:rPr>
      </w:pPr>
      <w:r>
        <w:rPr>
          <w:rStyle w:val="a6"/>
          <w:sz w:val="20"/>
          <w:szCs w:val="20"/>
        </w:rPr>
        <w:t>24.</w:t>
      </w:r>
      <w:r>
        <w:rPr>
          <w:sz w:val="20"/>
          <w:szCs w:val="20"/>
        </w:rPr>
        <w:t>  </w:t>
      </w:r>
      <w:r>
        <w:rPr>
          <w:sz w:val="20"/>
          <w:szCs w:val="20"/>
          <w:u w:val="single"/>
        </w:rPr>
        <w:t>Defined Benefit Plan:</w:t>
      </w:r>
      <w:r>
        <w:rPr>
          <w:i/>
          <w:iCs/>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part of the Merger, the Company assumed sponsorship of Weingarten’s noncontributory qualified cash balance retirement plan (“the Benefit Plan”). At the date of the Merger, the Benefit Plan was frozen and as a result </w:t>
      </w:r>
      <w:r>
        <w:rPr>
          <w:rStyle w:val="a6"/>
          <w:sz w:val="20"/>
          <w:szCs w:val="20"/>
        </w:rPr>
        <w:t>no</w:t>
      </w:r>
      <w:r>
        <w:rPr>
          <w:sz w:val="20"/>
          <w:szCs w:val="20"/>
        </w:rPr>
        <w:t xml:space="preserve"> new benefits will be offered to em</w:t>
      </w:r>
      <w:r>
        <w:rPr>
          <w:sz w:val="20"/>
          <w:szCs w:val="20"/>
        </w:rPr>
        <w:t xml:space="preserve">ployees who were </w:t>
      </w:r>
      <w:r>
        <w:rPr>
          <w:rStyle w:val="a6"/>
          <w:sz w:val="20"/>
          <w:szCs w:val="20"/>
        </w:rPr>
        <w:t>not</w:t>
      </w:r>
      <w:r>
        <w:rPr>
          <w:sz w:val="20"/>
          <w:szCs w:val="20"/>
        </w:rPr>
        <w:t xml:space="preserve"> already part of the Benefit Plan on the Merger date. The Benefit Plan was terminated as of </w:t>
      </w:r>
      <w:r>
        <w:rPr>
          <w:rStyle w:val="a6"/>
          <w:sz w:val="20"/>
          <w:szCs w:val="20"/>
        </w:rPr>
        <w:t xml:space="preserve">December 31, 2021. </w:t>
      </w:r>
      <w:r>
        <w:rPr>
          <w:sz w:val="20"/>
          <w:szCs w:val="20"/>
        </w:rPr>
        <w:t>In connection with the termination, the Benefit Plan maintains a separate account for each participant. Annual additions to e</w:t>
      </w:r>
      <w:r>
        <w:rPr>
          <w:sz w:val="20"/>
          <w:szCs w:val="20"/>
        </w:rPr>
        <w:t xml:space="preserve">ach participant’s account includes an interest credit of 4.5% as the service credit was suspended upon the freeze. The participant data used in determining the liabilities and costs for the Benefit Plan was determined as of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76324264"/>
        <w:rPr>
          <w:rFonts w:eastAsia="Times New Roman"/>
          <w:sz w:val="20"/>
          <w:szCs w:val="20"/>
        </w:rPr>
      </w:pPr>
      <w:r>
        <w:rPr>
          <w:rStyle w:val="a6"/>
          <w:rFonts w:eastAsia="Times New Roman"/>
          <w:sz w:val="20"/>
          <w:szCs w:val="20"/>
        </w:rPr>
        <w:t>92</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7" style="width:415.3pt;height:1.5pt" o:hralign="center" o:hrstd="t" o:hrnoshade="t" o:hr="t" fillcolor="black" stroked="f"/>
        </w:pict>
      </w:r>
    </w:p>
    <w:p w:rsidR="00000000" w:rsidRDefault="006954AA">
      <w:pPr>
        <w:divId w:val="903299334"/>
        <w:rPr>
          <w:rFonts w:eastAsia="Times New Roman"/>
          <w:sz w:val="20"/>
          <w:szCs w:val="20"/>
        </w:rPr>
      </w:pPr>
      <w:r>
        <w:rPr>
          <w:rFonts w:eastAsia="Times New Roman"/>
          <w:sz w:val="20"/>
          <w:szCs w:val="20"/>
        </w:rPr>
        <w:t xml:space="preserve">  </w:t>
      </w:r>
    </w:p>
    <w:p w:rsidR="00000000" w:rsidRDefault="006954AA">
      <w:pPr>
        <w:jc w:val="center"/>
        <w:divId w:val="209728529"/>
        <w:rPr>
          <w:rFonts w:eastAsia="Times New Roman"/>
          <w:sz w:val="20"/>
          <w:szCs w:val="20"/>
        </w:rPr>
      </w:pPr>
      <w:r>
        <w:rPr>
          <w:rFonts w:eastAsia="Times New Roman"/>
          <w:sz w:val="20"/>
          <w:szCs w:val="20"/>
        </w:rPr>
        <w:t xml:space="preserve">KIMCO REALTY CORPORATION AND SUBSIDIARIES </w:t>
      </w:r>
    </w:p>
    <w:p w:rsidR="00000000" w:rsidRDefault="006954AA">
      <w:pPr>
        <w:divId w:val="2096055028"/>
        <w:rPr>
          <w:rFonts w:eastAsia="Times New Roman"/>
          <w:sz w:val="20"/>
          <w:szCs w:val="20"/>
        </w:rPr>
      </w:pPr>
      <w:r>
        <w:rPr>
          <w:rFonts w:eastAsia="Times New Roman"/>
          <w:sz w:val="20"/>
          <w:szCs w:val="20"/>
        </w:rPr>
        <w:t xml:space="preserve">  </w:t>
      </w:r>
    </w:p>
    <w:p w:rsidR="00000000" w:rsidRDefault="006954AA">
      <w:pPr>
        <w:jc w:val="center"/>
        <w:divId w:val="471364867"/>
        <w:rPr>
          <w:rFonts w:eastAsia="Times New Roman"/>
          <w:sz w:val="20"/>
          <w:szCs w:val="20"/>
        </w:rPr>
      </w:pPr>
      <w:r>
        <w:rPr>
          <w:rFonts w:eastAsia="Times New Roman"/>
          <w:sz w:val="20"/>
          <w:szCs w:val="20"/>
        </w:rPr>
        <w:t>N</w:t>
      </w:r>
      <w:r>
        <w:rPr>
          <w:rFonts w:eastAsia="Times New Roman"/>
          <w:sz w:val="20"/>
          <w:szCs w:val="20"/>
        </w:rPr>
        <w:t xml:space="preserve">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following table summarizes the measurement changes in the Benefit Plan’s projected benefit obligation, plan assets and funded status, as well as the components of net periodic benefit costs, incl</w:t>
      </w:r>
      <w:r>
        <w:rPr>
          <w:sz w:val="20"/>
          <w:szCs w:val="20"/>
        </w:rPr>
        <w:t xml:space="preserve">uding key assumptions, from </w:t>
      </w:r>
      <w:r>
        <w:rPr>
          <w:rStyle w:val="a6"/>
          <w:sz w:val="20"/>
          <w:szCs w:val="20"/>
        </w:rPr>
        <w:t xml:space="preserve">January 1, 2022 </w:t>
      </w:r>
      <w:r>
        <w:rPr>
          <w:sz w:val="20"/>
          <w:szCs w:val="20"/>
        </w:rPr>
        <w:t xml:space="preserve">through </w:t>
      </w:r>
      <w:r>
        <w:rPr>
          <w:rStyle w:val="a6"/>
          <w:sz w:val="20"/>
          <w:szCs w:val="20"/>
        </w:rPr>
        <w:t>December 31, 2022 (</w:t>
      </w:r>
      <w:r>
        <w:rPr>
          <w:sz w:val="20"/>
          <w:szCs w:val="20"/>
        </w:rPr>
        <w:t>in thousands):</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2022</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b/>
                <w:bCs/>
                <w:sz w:val="20"/>
                <w:szCs w:val="20"/>
              </w:rPr>
              <w:t> </w:t>
            </w:r>
          </w:p>
        </w:tc>
        <w:tc>
          <w:tcPr>
            <w:tcW w:w="650" w:type="pct"/>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2021*</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Change in Projected Benefit Obligation:</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Benefit obligation at beginning of period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36,995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73,081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Interest cost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762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Settlement payments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(29,107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Actuarial gain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(9,781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(6,831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Benefit payments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(2,101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(910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Benefit obligation at end of period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26,165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36,995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Change in Plan Assets:</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Fair value of plan assets at beginning of period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43,653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74,025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Actual return on plan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(966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642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Settlement payments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(30,104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Benefit payments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(2,101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(910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Fair value of plan assets at end of period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40,586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43,653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Funded status at end of period (included in Accounts and notes receivable)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14,421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6,658</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Accumulated benefit obligation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26,165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36,995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gain recognized in Accumulated other comprehensive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10,581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both"/>
        <w:rPr>
          <w:sz w:val="20"/>
          <w:szCs w:val="20"/>
        </w:rPr>
      </w:pPr>
      <w:r>
        <w:rPr>
          <w:sz w:val="20"/>
          <w:szCs w:val="20"/>
        </w:rPr>
        <w:t xml:space="preserve">* For the year ended </w:t>
      </w:r>
      <w:r>
        <w:rPr>
          <w:rStyle w:val="a6"/>
          <w:sz w:val="20"/>
          <w:szCs w:val="20"/>
        </w:rPr>
        <w:t xml:space="preserve">December 31, 2021, </w:t>
      </w:r>
      <w:r>
        <w:rPr>
          <w:sz w:val="20"/>
          <w:szCs w:val="20"/>
        </w:rPr>
        <w:t>the measurement changes are from the date of Merger.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components of net periodic benefit income/(cost), included in Other income, net in the Company’s Consolidated Statements of Income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are as follows (in thousands):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Interest cost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(1,052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Expected return on plan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413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Amortization of net gain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Settlement gain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Total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(602</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3,591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weighted-average assumptions used to determine the benefit obligation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are as follows: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4907"/>
        <w:gridCol w:w="50"/>
        <w:gridCol w:w="50"/>
        <w:gridCol w:w="1016"/>
        <w:gridCol w:w="167"/>
        <w:gridCol w:w="50"/>
        <w:gridCol w:w="50"/>
        <w:gridCol w:w="1018"/>
        <w:gridCol w:w="1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Discount rate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Salary scale increases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Interest credit rate for cash balance plan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selection of the discount rate is made after comparison to yields based on cash investments. The long-term rate of return is a composite rate for the Benefit Plan. It is derived as the sum of the percentages invested in each principal asset class inclu</w:t>
      </w:r>
      <w:r>
        <w:rPr>
          <w:sz w:val="20"/>
          <w:szCs w:val="20"/>
        </w:rPr>
        <w:t xml:space="preserve">ded in the portfolio multiplied by their respective expected rates of return. The Company considered the historical returns and the future expectations for returns for each asset class, as well as the target asset allocation of the Benefit Plan portfolio. </w:t>
      </w:r>
      <w:r>
        <w:rPr>
          <w:sz w:val="20"/>
          <w:szCs w:val="20"/>
        </w:rPr>
        <w:t xml:space="preserve">This analysis resulted in the selection of 1.00% as the long-term rate of return assumption for the year ended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No contributions are anticipated to be made to the Benefit Plan during </w:t>
      </w:r>
      <w:r>
        <w:rPr>
          <w:rStyle w:val="a6"/>
          <w:sz w:val="20"/>
          <w:szCs w:val="20"/>
        </w:rPr>
        <w:t>2023.</w:t>
      </w:r>
      <w:r>
        <w:rPr>
          <w:sz w:val="20"/>
          <w:szCs w:val="20"/>
        </w:rPr>
        <w:t xml:space="preserve"> The expected benefit payments for the next </w:t>
      </w:r>
      <w:r>
        <w:rPr>
          <w:rStyle w:val="a6"/>
          <w:sz w:val="20"/>
          <w:szCs w:val="20"/>
        </w:rPr>
        <w:t>10</w:t>
      </w:r>
      <w:r>
        <w:rPr>
          <w:sz w:val="20"/>
          <w:szCs w:val="20"/>
        </w:rPr>
        <w:t xml:space="preserve"> y</w:t>
      </w:r>
      <w:r>
        <w:rPr>
          <w:sz w:val="20"/>
          <w:szCs w:val="20"/>
        </w:rPr>
        <w:t>ears for the Benefit Plan is as follows (in millions):</w:t>
      </w:r>
    </w:p>
    <w:p w:rsidR="00000000" w:rsidRDefault="006954AA">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1187"/>
        <w:gridCol w:w="66"/>
        <w:gridCol w:w="101"/>
        <w:gridCol w:w="813"/>
        <w:gridCol w:w="66"/>
        <w:gridCol w:w="66"/>
        <w:gridCol w:w="101"/>
        <w:gridCol w:w="813"/>
        <w:gridCol w:w="66"/>
        <w:gridCol w:w="67"/>
        <w:gridCol w:w="101"/>
        <w:gridCol w:w="814"/>
        <w:gridCol w:w="67"/>
        <w:gridCol w:w="67"/>
        <w:gridCol w:w="101"/>
        <w:gridCol w:w="814"/>
        <w:gridCol w:w="67"/>
        <w:gridCol w:w="67"/>
        <w:gridCol w:w="101"/>
        <w:gridCol w:w="814"/>
        <w:gridCol w:w="67"/>
        <w:gridCol w:w="67"/>
        <w:gridCol w:w="101"/>
        <w:gridCol w:w="814"/>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2027</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6954AA">
            <w:pPr>
              <w:jc w:val="center"/>
              <w:rPr>
                <w:rFonts w:eastAsia="Times New Roman"/>
                <w:sz w:val="20"/>
                <w:szCs w:val="20"/>
              </w:rPr>
            </w:pPr>
            <w:r>
              <w:rPr>
                <w:rFonts w:eastAsia="Times New Roman"/>
                <w:b/>
                <w:bCs/>
                <w:sz w:val="20"/>
                <w:szCs w:val="20"/>
              </w:rPr>
              <w:t> 2028 - 2032</w:t>
            </w:r>
          </w:p>
        </w:tc>
        <w:tc>
          <w:tcPr>
            <w:tcW w:w="50" w:type="pct"/>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Benefit payments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072122357"/>
        <w:rPr>
          <w:rFonts w:eastAsia="Times New Roman"/>
          <w:sz w:val="20"/>
          <w:szCs w:val="20"/>
        </w:rPr>
      </w:pPr>
      <w:r>
        <w:rPr>
          <w:rStyle w:val="a6"/>
          <w:rFonts w:eastAsia="Times New Roman"/>
          <w:sz w:val="20"/>
          <w:szCs w:val="20"/>
        </w:rPr>
        <w:t>93</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8" style="width:415.3pt;height:1.5pt" o:hralign="center" o:hrstd="t" o:hrnoshade="t" o:hr="t" fillcolor="black" stroked="f"/>
        </w:pict>
      </w:r>
    </w:p>
    <w:p w:rsidR="00000000" w:rsidRDefault="006954AA">
      <w:pPr>
        <w:divId w:val="1598293851"/>
        <w:rPr>
          <w:rFonts w:eastAsia="Times New Roman"/>
          <w:sz w:val="20"/>
          <w:szCs w:val="20"/>
        </w:rPr>
      </w:pPr>
      <w:r>
        <w:rPr>
          <w:rFonts w:eastAsia="Times New Roman"/>
          <w:sz w:val="20"/>
          <w:szCs w:val="20"/>
        </w:rPr>
        <w:t xml:space="preserve">  </w:t>
      </w:r>
    </w:p>
    <w:p w:rsidR="00000000" w:rsidRDefault="006954AA">
      <w:pPr>
        <w:jc w:val="center"/>
        <w:divId w:val="920333474"/>
        <w:rPr>
          <w:rFonts w:eastAsia="Times New Roman"/>
          <w:sz w:val="20"/>
          <w:szCs w:val="20"/>
        </w:rPr>
      </w:pPr>
      <w:r>
        <w:rPr>
          <w:rFonts w:eastAsia="Times New Roman"/>
          <w:sz w:val="20"/>
          <w:szCs w:val="20"/>
        </w:rPr>
        <w:t xml:space="preserve">KIMCO REALTY CORPORATION AND SUBSIDIARIES </w:t>
      </w:r>
    </w:p>
    <w:p w:rsidR="00000000" w:rsidRDefault="006954AA">
      <w:pPr>
        <w:divId w:val="1516307805"/>
        <w:rPr>
          <w:rFonts w:eastAsia="Times New Roman"/>
          <w:sz w:val="20"/>
          <w:szCs w:val="20"/>
        </w:rPr>
      </w:pPr>
      <w:r>
        <w:rPr>
          <w:rFonts w:eastAsia="Times New Roman"/>
          <w:sz w:val="20"/>
          <w:szCs w:val="20"/>
        </w:rPr>
        <w:t xml:space="preserve">  </w:t>
      </w:r>
    </w:p>
    <w:p w:rsidR="00000000" w:rsidRDefault="006954AA">
      <w:pPr>
        <w:jc w:val="center"/>
        <w:divId w:val="934940901"/>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Since termination of the Benefit Plan as of </w:t>
      </w:r>
      <w:r>
        <w:rPr>
          <w:rStyle w:val="a6"/>
          <w:sz w:val="20"/>
          <w:szCs w:val="20"/>
        </w:rPr>
        <w:t xml:space="preserve">December 31, 2021, </w:t>
      </w:r>
      <w:r>
        <w:rPr>
          <w:sz w:val="20"/>
          <w:szCs w:val="20"/>
        </w:rPr>
        <w:t xml:space="preserve">the Benefit Plan’s investment policy has changed to address the short-term capital needs for liquidation of the plan assets, as well as consider the market volatility risks by investing in and </w:t>
      </w:r>
      <w:r>
        <w:rPr>
          <w:sz w:val="20"/>
          <w:szCs w:val="20"/>
        </w:rPr>
        <w:t>holding liquid assets, such as cash and short-term investments on hand, in order to satisfy the projected benefit obligation. The fair value of plan assets was determined based on publicly quoted market prices for identical assets, which are all classified</w:t>
      </w:r>
      <w:r>
        <w:rPr>
          <w:sz w:val="20"/>
          <w:szCs w:val="20"/>
        </w:rPr>
        <w:t xml:space="preserve"> as Level </w:t>
      </w:r>
      <w:r>
        <w:rPr>
          <w:rStyle w:val="a6"/>
          <w:sz w:val="20"/>
          <w:szCs w:val="20"/>
        </w:rPr>
        <w:t>1</w:t>
      </w:r>
      <w:r>
        <w:rPr>
          <w:sz w:val="20"/>
          <w:szCs w:val="20"/>
        </w:rPr>
        <w:t xml:space="preserve"> observable inputs. The fair value and allocation of the plan assets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were as follows (in thousands):</w:t>
      </w:r>
    </w:p>
    <w:p w:rsidR="00000000" w:rsidRDefault="006954AA">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61"/>
        <w:gridCol w:w="52"/>
        <w:gridCol w:w="100"/>
        <w:gridCol w:w="762"/>
        <w:gridCol w:w="52"/>
        <w:gridCol w:w="52"/>
        <w:gridCol w:w="80"/>
        <w:gridCol w:w="798"/>
        <w:gridCol w:w="167"/>
        <w:gridCol w:w="53"/>
        <w:gridCol w:w="100"/>
        <w:gridCol w:w="763"/>
        <w:gridCol w:w="53"/>
        <w:gridCol w:w="53"/>
        <w:gridCol w:w="80"/>
        <w:gridCol w:w="798"/>
        <w:gridCol w:w="1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Asset Allocation</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Asset Allocation</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Cash and short-term investments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40,586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26,246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60.1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Large company funds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7,130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Mid company funds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662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Small company funds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1,958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International funds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Fixed income funds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4,260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Growth funds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1,425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Total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40,586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43,653</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808089143"/>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25.</w:t>
      </w:r>
      <w:r>
        <w:rPr>
          <w:sz w:val="20"/>
          <w:szCs w:val="20"/>
        </w:rPr>
        <w:t>  </w:t>
      </w:r>
      <w:r>
        <w:rPr>
          <w:sz w:val="20"/>
          <w:szCs w:val="20"/>
          <w:u w:val="single"/>
        </w:rPr>
        <w:t>Income Taxes</w:t>
      </w:r>
      <w:r>
        <w:rPr>
          <w:sz w:val="20"/>
          <w:szCs w:val="20"/>
        </w:rPr>
        <w:t>:</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 elected to qualify as a REIT in accordance with the Code commencing with its taxable year which began </w:t>
      </w:r>
      <w:r>
        <w:rPr>
          <w:rStyle w:val="a6"/>
          <w:sz w:val="20"/>
          <w:szCs w:val="20"/>
        </w:rPr>
        <w:t xml:space="preserve">January 1, 1992. </w:t>
      </w:r>
      <w:r>
        <w:rPr>
          <w:sz w:val="20"/>
          <w:szCs w:val="20"/>
        </w:rPr>
        <w:t xml:space="preserve">To qualify as a REIT, the Company must meet several organizational and operational requirements, and is </w:t>
      </w:r>
      <w:r>
        <w:rPr>
          <w:sz w:val="20"/>
          <w:szCs w:val="20"/>
        </w:rPr>
        <w:t xml:space="preserve">required to annually distribute at least 90% of its net taxable income, determined without regard to the dividends paid deduction and excluding any net capital gain. In addition, the Company will be subject to federal income tax at regular corporate rates </w:t>
      </w:r>
      <w:r>
        <w:rPr>
          <w:sz w:val="20"/>
          <w:szCs w:val="20"/>
        </w:rPr>
        <w:t xml:space="preserve">to the extent that it distributes less than </w:t>
      </w:r>
      <w:r>
        <w:rPr>
          <w:rStyle w:val="a6"/>
          <w:sz w:val="20"/>
          <w:szCs w:val="20"/>
        </w:rPr>
        <w:t>100%</w:t>
      </w:r>
      <w:r>
        <w:rPr>
          <w:sz w:val="20"/>
          <w:szCs w:val="20"/>
        </w:rPr>
        <w:t xml:space="preserve"> of its net taxable income, including any net capital gains. Management intends to adhere to these requirements and maintain the Company’s REIT status. As a REIT, the Company generally will </w:t>
      </w:r>
      <w:r>
        <w:rPr>
          <w:rStyle w:val="a6"/>
          <w:sz w:val="20"/>
          <w:szCs w:val="20"/>
        </w:rPr>
        <w:t>not</w:t>
      </w:r>
      <w:r>
        <w:rPr>
          <w:sz w:val="20"/>
          <w:szCs w:val="20"/>
        </w:rPr>
        <w:t xml:space="preserve"> be subject to </w:t>
      </w:r>
      <w:r>
        <w:rPr>
          <w:sz w:val="20"/>
          <w:szCs w:val="20"/>
        </w:rPr>
        <w:t>corporate federal income tax, provided that dividends to its stockholders equal at least the amount of its REIT taxable income. If the Company were to fail to qualify as a REIT in any taxable year, it would be subject to federal income taxes at regular cor</w:t>
      </w:r>
      <w:r>
        <w:rPr>
          <w:sz w:val="20"/>
          <w:szCs w:val="20"/>
        </w:rPr>
        <w:t xml:space="preserve">porate rates (including any applicable alternative minimum tax) and would </w:t>
      </w:r>
      <w:r>
        <w:rPr>
          <w:rStyle w:val="a6"/>
          <w:sz w:val="20"/>
          <w:szCs w:val="20"/>
        </w:rPr>
        <w:t>not</w:t>
      </w:r>
      <w:r>
        <w:rPr>
          <w:sz w:val="20"/>
          <w:szCs w:val="20"/>
        </w:rPr>
        <w:t xml:space="preserve"> be permitted to elect REIT status for </w:t>
      </w:r>
      <w:r>
        <w:rPr>
          <w:rStyle w:val="a6"/>
          <w:sz w:val="20"/>
          <w:szCs w:val="20"/>
        </w:rPr>
        <w:t>four</w:t>
      </w:r>
      <w:r>
        <w:rPr>
          <w:sz w:val="20"/>
          <w:szCs w:val="20"/>
        </w:rPr>
        <w:t xml:space="preserve"> subsequent taxable years. Even if the Company qualifies for taxation as a REIT, the Company is subject to certain state and local taxes</w:t>
      </w:r>
      <w:r>
        <w:rPr>
          <w:sz w:val="20"/>
          <w:szCs w:val="20"/>
        </w:rPr>
        <w:t xml:space="preserve"> on its income and property, and federal income and excise taxes on its undistributed taxable income. In addition, taxable income from non-REIT activities managed through TRSs is subject to federal, state and local income taxes. The Company is also subject</w:t>
      </w:r>
      <w:r>
        <w:rPr>
          <w:sz w:val="20"/>
          <w:szCs w:val="20"/>
        </w:rPr>
        <w:t xml:space="preserve"> to local taxes on certain non-U.S. investments.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306617067"/>
        <w:rPr>
          <w:rFonts w:eastAsia="Times New Roman"/>
          <w:sz w:val="20"/>
          <w:szCs w:val="20"/>
        </w:rPr>
      </w:pPr>
      <w:r>
        <w:rPr>
          <w:rStyle w:val="a6"/>
          <w:rFonts w:eastAsia="Times New Roman"/>
          <w:sz w:val="20"/>
          <w:szCs w:val="20"/>
        </w:rPr>
        <w:t>94</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29" style="width:415.3pt;height:1.5pt" o:hralign="center" o:hrstd="t" o:hrnoshade="t" o:hr="t" fillcolor="black" stroked="f"/>
        </w:pict>
      </w:r>
    </w:p>
    <w:p w:rsidR="00000000" w:rsidRDefault="006954AA">
      <w:pPr>
        <w:divId w:val="1134450660"/>
        <w:rPr>
          <w:rFonts w:eastAsia="Times New Roman"/>
          <w:sz w:val="20"/>
          <w:szCs w:val="20"/>
        </w:rPr>
      </w:pPr>
      <w:r>
        <w:rPr>
          <w:rFonts w:eastAsia="Times New Roman"/>
          <w:sz w:val="20"/>
          <w:szCs w:val="20"/>
        </w:rPr>
        <w:t xml:space="preserve">  </w:t>
      </w:r>
    </w:p>
    <w:p w:rsidR="00000000" w:rsidRDefault="006954AA">
      <w:pPr>
        <w:jc w:val="center"/>
        <w:divId w:val="1695770818"/>
        <w:rPr>
          <w:rFonts w:eastAsia="Times New Roman"/>
          <w:sz w:val="20"/>
          <w:szCs w:val="20"/>
        </w:rPr>
      </w:pPr>
      <w:r>
        <w:rPr>
          <w:rFonts w:eastAsia="Times New Roman"/>
          <w:sz w:val="20"/>
          <w:szCs w:val="20"/>
        </w:rPr>
        <w:t xml:space="preserve">KIMCO REALTY CORPORATION AND SUBSIDIARIES </w:t>
      </w:r>
    </w:p>
    <w:p w:rsidR="00000000" w:rsidRDefault="006954AA">
      <w:pPr>
        <w:divId w:val="286547017"/>
        <w:rPr>
          <w:rFonts w:eastAsia="Times New Roman"/>
          <w:sz w:val="20"/>
          <w:szCs w:val="20"/>
        </w:rPr>
      </w:pPr>
      <w:r>
        <w:rPr>
          <w:rFonts w:eastAsia="Times New Roman"/>
          <w:sz w:val="20"/>
          <w:szCs w:val="20"/>
        </w:rPr>
        <w:t xml:space="preserve">  </w:t>
      </w:r>
    </w:p>
    <w:p w:rsidR="00000000" w:rsidRDefault="006954AA">
      <w:pPr>
        <w:jc w:val="center"/>
        <w:divId w:val="1380789714"/>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rPr>
          <w:sz w:val="20"/>
          <w:szCs w:val="20"/>
        </w:rPr>
      </w:pPr>
      <w:r>
        <w:rPr>
          <w:i/>
          <w:iCs/>
          <w:sz w:val="20"/>
          <w:szCs w:val="20"/>
        </w:rPr>
        <w:t>Reconciliation between GAAP Net Income and Federal Taxable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following table reconciles GAAP net income to taxable income for the years ended</w:t>
      </w:r>
      <w:r>
        <w:rPr>
          <w:sz w:val="20"/>
          <w:szCs w:val="20"/>
        </w:rPr>
        <w:t xml:space="preserve"> </w:t>
      </w:r>
      <w:r>
        <w:rPr>
          <w:rStyle w:val="a6"/>
          <w:sz w:val="20"/>
          <w:szCs w:val="20"/>
        </w:rPr>
        <w:t>December 31, 2022, 2021</w:t>
      </w:r>
      <w:r>
        <w:rPr>
          <w:sz w:val="20"/>
          <w:szCs w:val="20"/>
        </w:rPr>
        <w:t xml:space="preserve"> and </w:t>
      </w:r>
      <w:r>
        <w:rPr>
          <w:rStyle w:val="a6"/>
          <w:sz w:val="20"/>
          <w:szCs w:val="20"/>
        </w:rPr>
        <w:t>2020</w:t>
      </w:r>
      <w:r>
        <w:rPr>
          <w:sz w:val="20"/>
          <w:szCs w:val="20"/>
        </w:rPr>
        <w:t xml:space="preserve"> (in thousands):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(Estimated)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GAAP net income attributable to the Company</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125,976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844,059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1,000,833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GAAP net (income)/loss attributable to TRSs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(6,251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(23,365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(956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GAAP net income from REIT operations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119,725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820,694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999,877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Federal income taxes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47,302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Net book depreciation in excess of tax depreciation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130,678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77,951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(55,072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Deferred/prepaid/above-market and below-market rents,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(38,810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(31,666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(16,632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Fair market value debt amortization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(38,303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(17,961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Book/tax differences from executive compensation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23,248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19,882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10,388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Book/tax differences from equity awards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(3,714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5,640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Book/tax differences from defined benefit plan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(2,948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Book/tax differences from investments in and advances to real estate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18,020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16,030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40,176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Book/tax differences from sale of properties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217,797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(50,955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(10,547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Book/tax differences from accounts receivable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(8,566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(17,707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44,193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Book adjustment to property carrying values and marketable equity securities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335,233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(503,847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(589,698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Taxable currency exchange gain/(loss), net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1,945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Tangible property regulation deduction</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(61,492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(48,194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GAAP change in ownership of joint venture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45,767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(5,607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Dividends from TRSs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23,314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Severance accrual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r>
              <w:rPr>
                <w:rFonts w:eastAsia="Times New Roman"/>
                <w:sz w:val="20"/>
                <w:szCs w:val="20"/>
              </w:rPr>
              <w:t>5,608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5,874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Other book/tax differences, net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(2,650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(20,299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(5069</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Adjusted REIT taxable income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778,513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299,504</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377,062</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Certain amounts in the prior periods have been reclassified to conform to the current year presentation in the table above.</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4"/>
        <w:gridCol w:w="6362"/>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All adjustments to "GAAP net income from REIT operations" are net of amounts attributable to noncontrolling interests and TRSs</w:t>
            </w:r>
            <w:r>
              <w:rPr>
                <w:sz w:val="20"/>
                <w:szCs w:val="20"/>
              </w:rPr>
              <w: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0"/>
        <w:gridCol w:w="5776"/>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 xml:space="preserve">Includes Merger related costs of $20.7 million for the year ended </w:t>
            </w:r>
            <w:r>
              <w:rPr>
                <w:rStyle w:val="a6"/>
                <w:sz w:val="20"/>
                <w:szCs w:val="20"/>
              </w:rPr>
              <w:t>December 31, 2021.</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Characterization of Distributions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following characterizes distributions paid for tax purposes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(amounts in thousands):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9"/>
        <w:gridCol w:w="67"/>
        <w:gridCol w:w="100"/>
        <w:gridCol w:w="732"/>
        <w:gridCol w:w="67"/>
        <w:gridCol w:w="67"/>
        <w:gridCol w:w="67"/>
        <w:gridCol w:w="732"/>
        <w:gridCol w:w="167"/>
        <w:gridCol w:w="67"/>
        <w:gridCol w:w="100"/>
        <w:gridCol w:w="732"/>
        <w:gridCol w:w="67"/>
        <w:gridCol w:w="67"/>
        <w:gridCol w:w="67"/>
        <w:gridCol w:w="732"/>
        <w:gridCol w:w="167"/>
        <w:gridCol w:w="67"/>
        <w:gridCol w:w="100"/>
        <w:gridCol w:w="732"/>
        <w:gridCol w:w="67"/>
        <w:gridCol w:w="67"/>
        <w:gridCol w:w="67"/>
        <w:gridCol w:w="732"/>
        <w:gridCol w:w="1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u w:val="single"/>
              </w:rPr>
              <w:t>Preferred L Dividends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9,657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11,185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4,382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1,839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346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7,149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11,496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u w:val="single"/>
              </w:rPr>
              <w:t xml:space="preserve">Preferred M Dividends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11,615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13,469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5,277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2,212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417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8,609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13,827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u w:val="single"/>
              </w:rPr>
              <w:t>Common Dividends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418,725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273,272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133,849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82,711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10,647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214,863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15,508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70,980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3,522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516,944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354,899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352,234</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dividends distributed for tax purposes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542,267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380,316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b/>
                <w:bCs/>
                <w:sz w:val="20"/>
                <w:szCs w:val="20"/>
              </w:rPr>
              <w:t>377,651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954AA">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b/>
                <w:bCs/>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40"/>
        <w:jc w:val="both"/>
        <w:rPr>
          <w:sz w:val="20"/>
          <w:szCs w:val="20"/>
        </w:rPr>
      </w:pPr>
      <w:r>
        <w:rPr>
          <w:sz w:val="20"/>
          <w:szCs w:val="20"/>
        </w:rPr>
        <w:t xml:space="preserve">For the year ended </w:t>
      </w:r>
      <w:r>
        <w:rPr>
          <w:rStyle w:val="a6"/>
          <w:sz w:val="20"/>
          <w:szCs w:val="20"/>
        </w:rPr>
        <w:t xml:space="preserve">December 31, 2022, </w:t>
      </w:r>
      <w:r>
        <w:rPr>
          <w:sz w:val="20"/>
          <w:szCs w:val="20"/>
        </w:rPr>
        <w:t>the Company elected to retain the proceeds from the sale of ACI stock for general corporate purposes in lieu of distributing to its shareholders.  This undistributed long-term capital gain is allocated to, and reportable by, each shareholder, and each shar</w:t>
      </w:r>
      <w:r>
        <w:rPr>
          <w:sz w:val="20"/>
          <w:szCs w:val="20"/>
        </w:rPr>
        <w:t xml:space="preserve">eholder is also entitled to claim a federal income tax credit for its allocable share of the federal income tax paid by the Company for </w:t>
      </w:r>
      <w:r>
        <w:rPr>
          <w:rStyle w:val="a6"/>
          <w:sz w:val="20"/>
          <w:szCs w:val="20"/>
        </w:rPr>
        <w:t>2022.</w:t>
      </w:r>
      <w:r>
        <w:rPr>
          <w:sz w:val="20"/>
          <w:szCs w:val="20"/>
        </w:rPr>
        <w:t>  The allocable share of the long-term capital gain and the federal tax credit will be reported to direct holders o</w:t>
      </w:r>
      <w:r>
        <w:rPr>
          <w:sz w:val="20"/>
          <w:szCs w:val="20"/>
        </w:rPr>
        <w:t xml:space="preserve">f Kimco common shares, on Form </w:t>
      </w:r>
      <w:r>
        <w:rPr>
          <w:rStyle w:val="a6"/>
          <w:sz w:val="20"/>
          <w:szCs w:val="20"/>
        </w:rPr>
        <w:t>2439,</w:t>
      </w:r>
      <w:r>
        <w:rPr>
          <w:sz w:val="20"/>
          <w:szCs w:val="20"/>
        </w:rPr>
        <w:t xml:space="preserve"> and to others in year-end reporting documents issued by brokerage firms if Kimco shares are held in a brokerage account.  For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cash dividends paid for tax purposes were equivale</w:t>
      </w:r>
      <w:r>
        <w:rPr>
          <w:sz w:val="20"/>
          <w:szCs w:val="20"/>
        </w:rPr>
        <w:t>nt to, or in excess of, taxable income.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Taxable REIT Subsidiaries and Taxable Entities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is subject to federal, state and local income taxes on income reported through its TRS activities, which include wholly owned subsidiaries of the Company</w:t>
      </w:r>
      <w:r>
        <w:rPr>
          <w:sz w:val="20"/>
          <w:szCs w:val="20"/>
        </w:rPr>
        <w:t>. The Company’s TRSs include Kimco Realty Services II, Inc. (“KRS”), FNC Realty Corporation, Kimco Insurance Company (collectively “KRS Consolidated”) and the consolidated entity, Blue Ridge Real Estate Company/Big Boulder Corporation. In connection with t</w:t>
      </w:r>
      <w:r>
        <w:rPr>
          <w:sz w:val="20"/>
          <w:szCs w:val="20"/>
        </w:rPr>
        <w:t>he Merger, the Company acquired Weingarten/Investments Inc. (“WII”), a TRS of Weingarten.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is subject to local non-U.S. taxes on certain investments located outside the U.S.  In general, under local country law applicable to the entity ownersh</w:t>
      </w:r>
      <w:r>
        <w:rPr>
          <w:sz w:val="20"/>
          <w:szCs w:val="20"/>
        </w:rPr>
        <w:t xml:space="preserve">ip structures the Company has in place and applicable tax treaties, the repatriation of cash to the Company from its subsidiaries and joint ventures in Canada are generally subject to withholding tax, but entities in Puerto Rico and Mexico generally are </w:t>
      </w:r>
      <w:r>
        <w:rPr>
          <w:rStyle w:val="a6"/>
          <w:sz w:val="20"/>
          <w:szCs w:val="20"/>
        </w:rPr>
        <w:t>no</w:t>
      </w:r>
      <w:r>
        <w:rPr>
          <w:rStyle w:val="a6"/>
          <w:sz w:val="20"/>
          <w:szCs w:val="20"/>
        </w:rPr>
        <w:t>t</w:t>
      </w:r>
      <w:r>
        <w:rPr>
          <w:sz w:val="20"/>
          <w:szCs w:val="20"/>
        </w:rPr>
        <w:t xml:space="preserve"> subject to withholding tax. The Company is subject to and includes in its tax provision non-U.S. income taxes on certain investments located in jurisdictions outside the U.S. These investments are primarily held by the Company at the REIT level and </w:t>
      </w:r>
      <w:r>
        <w:rPr>
          <w:rStyle w:val="a6"/>
          <w:sz w:val="20"/>
          <w:szCs w:val="20"/>
        </w:rPr>
        <w:t>not</w:t>
      </w:r>
      <w:r>
        <w:rPr>
          <w:sz w:val="20"/>
          <w:szCs w:val="20"/>
        </w:rPr>
        <w:t xml:space="preserve"> i</w:t>
      </w:r>
      <w:r>
        <w:rPr>
          <w:sz w:val="20"/>
          <w:szCs w:val="20"/>
        </w:rPr>
        <w:t xml:space="preserve">n the Company’s TRSs.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2142112951"/>
        <w:rPr>
          <w:rFonts w:eastAsia="Times New Roman"/>
          <w:sz w:val="20"/>
          <w:szCs w:val="20"/>
        </w:rPr>
      </w:pPr>
      <w:r>
        <w:rPr>
          <w:rStyle w:val="a6"/>
          <w:rFonts w:eastAsia="Times New Roman"/>
          <w:sz w:val="20"/>
          <w:szCs w:val="20"/>
        </w:rPr>
        <w:t>95</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30" style="width:415.3pt;height:1.5pt" o:hralign="center" o:hrstd="t" o:hrnoshade="t" o:hr="t" fillcolor="black" stroked="f"/>
        </w:pict>
      </w:r>
    </w:p>
    <w:p w:rsidR="00000000" w:rsidRDefault="006954AA">
      <w:pPr>
        <w:divId w:val="1561362131"/>
        <w:rPr>
          <w:rFonts w:eastAsia="Times New Roman"/>
          <w:sz w:val="20"/>
          <w:szCs w:val="20"/>
        </w:rPr>
      </w:pPr>
      <w:r>
        <w:rPr>
          <w:rFonts w:eastAsia="Times New Roman"/>
          <w:sz w:val="20"/>
          <w:szCs w:val="20"/>
        </w:rPr>
        <w:t xml:space="preserve">  </w:t>
      </w:r>
    </w:p>
    <w:p w:rsidR="00000000" w:rsidRDefault="006954AA">
      <w:pPr>
        <w:jc w:val="center"/>
        <w:divId w:val="302851555"/>
        <w:rPr>
          <w:rFonts w:eastAsia="Times New Roman"/>
          <w:sz w:val="20"/>
          <w:szCs w:val="20"/>
        </w:rPr>
      </w:pPr>
      <w:r>
        <w:rPr>
          <w:rFonts w:eastAsia="Times New Roman"/>
          <w:sz w:val="20"/>
          <w:szCs w:val="20"/>
        </w:rPr>
        <w:t xml:space="preserve">KIMCO REALTY CORPORATION AND SUBSIDIARIES </w:t>
      </w:r>
    </w:p>
    <w:p w:rsidR="00000000" w:rsidRDefault="006954AA">
      <w:pPr>
        <w:divId w:val="102188885"/>
        <w:rPr>
          <w:rFonts w:eastAsia="Times New Roman"/>
          <w:sz w:val="20"/>
          <w:szCs w:val="20"/>
        </w:rPr>
      </w:pPr>
      <w:r>
        <w:rPr>
          <w:rFonts w:eastAsia="Times New Roman"/>
          <w:sz w:val="20"/>
          <w:szCs w:val="20"/>
        </w:rPr>
        <w:t xml:space="preserve">  </w:t>
      </w:r>
    </w:p>
    <w:p w:rsidR="00000000" w:rsidRDefault="006954AA">
      <w:pPr>
        <w:jc w:val="center"/>
        <w:divId w:val="1150754401"/>
        <w:rPr>
          <w:rFonts w:eastAsia="Times New Roman"/>
          <w:sz w:val="20"/>
          <w:szCs w:val="20"/>
        </w:rPr>
      </w:pPr>
      <w:r>
        <w:rPr>
          <w:rFonts w:eastAsia="Times New Roman"/>
          <w:sz w:val="20"/>
          <w:szCs w:val="20"/>
        </w:rPr>
        <w:t>NOTES TO CONSOLIDATED FINAN</w:t>
      </w:r>
      <w:r>
        <w:rPr>
          <w:rFonts w:eastAsia="Times New Roman"/>
          <w:sz w:val="20"/>
          <w:szCs w:val="20"/>
        </w:rPr>
        <w:t xml:space="preserve">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Income taxes are accounted for under the asset and liability method. Deferred income taxes are recognized for the temporary differences between the financial reporting basis and the tax basis of taxable assets and liabilities</w:t>
      </w:r>
      <w:r>
        <w:rPr>
          <w:sz w:val="20"/>
          <w:szCs w:val="20"/>
        </w:rPr>
        <w:t xml:space="preserve">.  The Company’s (provision)/benefit for income taxes relating to the Company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are summarized as follows (in thousands):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2"/>
        <w:gridCol w:w="51"/>
        <w:gridCol w:w="100"/>
        <w:gridCol w:w="1049"/>
        <w:gridCol w:w="67"/>
        <w:gridCol w:w="52"/>
        <w:gridCol w:w="100"/>
        <w:gridCol w:w="1049"/>
        <w:gridCol w:w="67"/>
        <w:gridCol w:w="52"/>
        <w:gridCol w:w="100"/>
        <w:gridCol w:w="1049"/>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TRSs and taxable entities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533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(3,380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REIT (1)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(57,187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(1,500</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Total tax provision</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(56,654</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(3,380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(978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jc w:val="both"/>
              <w:rPr>
                <w:sz w:val="20"/>
                <w:szCs w:val="20"/>
              </w:rPr>
            </w:pPr>
            <w:r>
              <w:rPr>
                <w:sz w:val="20"/>
                <w:szCs w:val="20"/>
              </w:rPr>
              <w:t xml:space="preserve">During </w:t>
            </w:r>
            <w:r>
              <w:rPr>
                <w:rStyle w:val="a6"/>
                <w:sz w:val="20"/>
                <w:szCs w:val="20"/>
              </w:rPr>
              <w:t>2022,</w:t>
            </w:r>
            <w:r>
              <w:rPr>
                <w:sz w:val="20"/>
                <w:szCs w:val="20"/>
              </w:rPr>
              <w:t> </w:t>
            </w:r>
            <w:r>
              <w:rPr>
                <w:sz w:val="20"/>
                <w:szCs w:val="20"/>
              </w:rPr>
              <w:t>the Company sold shares of ACI and recognized a long-term capital gain for tax purposes of $251.5 million. The Company elected to retain the proceeds from this stock sale for general corporate purposes and pay corporate income tax on the taxable gain.  The</w:t>
            </w:r>
            <w:r>
              <w:rPr>
                <w:sz w:val="20"/>
                <w:szCs w:val="20"/>
              </w:rPr>
              <w:t xml:space="preserve"> Company accrued and paid federal taxes of $47.3 million and estimated state and local taxes of $9.9 million on this undistributed long term capital gain.  This undistributed long-term capital gain is allocated to, and reportable by, each shareholder, and </w:t>
            </w:r>
            <w:r>
              <w:rPr>
                <w:sz w:val="20"/>
                <w:szCs w:val="20"/>
              </w:rPr>
              <w:t xml:space="preserve">each shareholder is also entitled to claim a federal income tax credit for its allocable share of the federal income tax paid by the Company for </w:t>
            </w:r>
            <w:r>
              <w:rPr>
                <w:rStyle w:val="a6"/>
                <w:sz w:val="20"/>
                <w:szCs w:val="20"/>
              </w:rPr>
              <w:t>2022.</w:t>
            </w:r>
            <w:r>
              <w:rPr>
                <w:sz w:val="20"/>
                <w:szCs w:val="20"/>
              </w:rPr>
              <w:t xml:space="preserve">  The allocable share of the long-term capital gain and the federal tax credit will be reported to direct </w:t>
            </w:r>
            <w:r>
              <w:rPr>
                <w:sz w:val="20"/>
                <w:szCs w:val="20"/>
              </w:rPr>
              <w:t xml:space="preserve">holders of Kimco common stock, on Form </w:t>
            </w:r>
            <w:r>
              <w:rPr>
                <w:rStyle w:val="a6"/>
                <w:sz w:val="20"/>
                <w:szCs w:val="20"/>
              </w:rPr>
              <w:t>2439,</w:t>
            </w:r>
            <w:r>
              <w:rPr>
                <w:sz w:val="20"/>
                <w:szCs w:val="20"/>
              </w:rPr>
              <w:t xml:space="preserve"> and to others in year-end reporting documents issued by brokerage firms if the Company’s common stock is held in a brokerage account.</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i/>
          <w:iCs/>
          <w:sz w:val="20"/>
          <w:szCs w:val="20"/>
        </w:rPr>
        <w:t>Deferred Tax Assets, Liabilities and Valuation Allowances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The Company’s deferred tax assets and liabilities at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were as follows (in thousands):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Deferred tax assets: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Tax/GAAP basis differences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4,165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3,286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Net operating losses (1)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1,836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4,580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Tax credit carryforwards (2)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2,340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Valuation allowance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(4,067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Total deferred tax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6,001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6,139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Deferred tax liabilities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(6,551</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(8,058</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deferred tax liabilities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(550</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(1,919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Net operating losses do </w:t>
            </w:r>
            <w:r>
              <w:rPr>
                <w:rStyle w:val="a6"/>
                <w:sz w:val="20"/>
                <w:szCs w:val="20"/>
              </w:rPr>
              <w:t>not</w:t>
            </w:r>
            <w:r>
              <w:rPr>
                <w:sz w:val="20"/>
                <w:szCs w:val="20"/>
              </w:rPr>
              <w:t xml:space="preserve"> expire.</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 xml:space="preserve">Expiration dates ranging from </w:t>
            </w:r>
            <w:r>
              <w:rPr>
                <w:rStyle w:val="a6"/>
                <w:sz w:val="20"/>
                <w:szCs w:val="20"/>
              </w:rPr>
              <w:t>2027</w:t>
            </w:r>
            <w:r>
              <w:rPr>
                <w:sz w:val="20"/>
                <w:szCs w:val="20"/>
              </w:rPr>
              <w:t xml:space="preserve"> to </w:t>
            </w:r>
            <w:r>
              <w:rPr>
                <w:rStyle w:val="a6"/>
                <w:sz w:val="20"/>
                <w:szCs w:val="20"/>
              </w:rPr>
              <w:t>2035.</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227448943"/>
        <w:rPr>
          <w:rFonts w:eastAsia="Times New Roman"/>
          <w:sz w:val="20"/>
          <w:szCs w:val="20"/>
        </w:rPr>
      </w:pPr>
      <w:r>
        <w:rPr>
          <w:rStyle w:val="a6"/>
          <w:rFonts w:eastAsia="Times New Roman"/>
          <w:sz w:val="20"/>
          <w:szCs w:val="20"/>
        </w:rPr>
        <w:t>96</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31" style="width:415.3pt;height:1.5pt" o:hralign="center" o:hrstd="t" o:hrnoshade="t" o:hr="t" fillcolor="black" stroked="f"/>
        </w:pict>
      </w:r>
    </w:p>
    <w:p w:rsidR="00000000" w:rsidRDefault="006954AA">
      <w:pPr>
        <w:divId w:val="1586916219"/>
        <w:rPr>
          <w:rFonts w:eastAsia="Times New Roman"/>
          <w:sz w:val="20"/>
          <w:szCs w:val="20"/>
        </w:rPr>
      </w:pPr>
      <w:r>
        <w:rPr>
          <w:rFonts w:eastAsia="Times New Roman"/>
          <w:sz w:val="20"/>
          <w:szCs w:val="20"/>
        </w:rPr>
        <w:t xml:space="preserve">  </w:t>
      </w:r>
    </w:p>
    <w:p w:rsidR="00000000" w:rsidRDefault="006954AA">
      <w:pPr>
        <w:jc w:val="center"/>
        <w:divId w:val="2010449226"/>
        <w:rPr>
          <w:rFonts w:eastAsia="Times New Roman"/>
          <w:sz w:val="20"/>
          <w:szCs w:val="20"/>
        </w:rPr>
      </w:pPr>
      <w:r>
        <w:rPr>
          <w:rFonts w:eastAsia="Times New Roman"/>
          <w:sz w:val="20"/>
          <w:szCs w:val="20"/>
        </w:rPr>
        <w:t xml:space="preserve">KIMCO REALTY CORPORATION AND SUBSIDIARIES </w:t>
      </w:r>
    </w:p>
    <w:p w:rsidR="00000000" w:rsidRDefault="006954AA">
      <w:pPr>
        <w:divId w:val="1851024129"/>
        <w:rPr>
          <w:rFonts w:eastAsia="Times New Roman"/>
          <w:sz w:val="20"/>
          <w:szCs w:val="20"/>
        </w:rPr>
      </w:pPr>
      <w:r>
        <w:rPr>
          <w:rFonts w:eastAsia="Times New Roman"/>
          <w:sz w:val="20"/>
          <w:szCs w:val="20"/>
        </w:rPr>
        <w:t xml:space="preserve">  </w:t>
      </w:r>
    </w:p>
    <w:p w:rsidR="00000000" w:rsidRDefault="006954AA">
      <w:pPr>
        <w:jc w:val="center"/>
        <w:divId w:val="1550923332"/>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The major differences between the GAAP basis of accounting and the basis of a</w:t>
      </w:r>
      <w:r>
        <w:rPr>
          <w:sz w:val="20"/>
          <w:szCs w:val="20"/>
        </w:rPr>
        <w:t xml:space="preserve">ccounting used for federal and state income tax reporting consist of impairment charges recorded for GAAP purposes, but </w:t>
      </w:r>
      <w:r>
        <w:rPr>
          <w:rStyle w:val="a6"/>
          <w:sz w:val="20"/>
          <w:szCs w:val="20"/>
        </w:rPr>
        <w:t>not</w:t>
      </w:r>
      <w:r>
        <w:rPr>
          <w:sz w:val="20"/>
          <w:szCs w:val="20"/>
        </w:rPr>
        <w:t xml:space="preserve"> recognized for tax purposes, depreciation and amortization, rental revenue recognized on the straight-line method for GAAP, reserves</w:t>
      </w:r>
      <w:r>
        <w:rPr>
          <w:sz w:val="20"/>
          <w:szCs w:val="20"/>
        </w:rPr>
        <w:t xml:space="preserve"> for doubtful accounts, above-market and below-market lease amortization, differences in GAAP and tax basis of assets sold, and the period in which certain gains were recognized for tax purposes, but </w:t>
      </w:r>
      <w:r>
        <w:rPr>
          <w:rStyle w:val="a6"/>
          <w:sz w:val="20"/>
          <w:szCs w:val="20"/>
        </w:rPr>
        <w:t>not</w:t>
      </w:r>
      <w:r>
        <w:rPr>
          <w:sz w:val="20"/>
          <w:szCs w:val="20"/>
        </w:rPr>
        <w:t xml:space="preserve"> yet recognized under GAAP.</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Deferred tax assets and</w:t>
      </w:r>
      <w:r>
        <w:rPr>
          <w:sz w:val="20"/>
          <w:szCs w:val="20"/>
        </w:rPr>
        <w:t xml:space="preserve"> deferred tax liabilities are included in the captions Other assets and Other liabilities on the Company’s Consolidated Balance Sheets at </w:t>
      </w:r>
      <w:r>
        <w:rPr>
          <w:rStyle w:val="a6"/>
          <w:sz w:val="20"/>
          <w:szCs w:val="20"/>
        </w:rPr>
        <w:t xml:space="preserve">December 31, 2022 </w:t>
      </w:r>
      <w:r>
        <w:rPr>
          <w:sz w:val="20"/>
          <w:szCs w:val="20"/>
        </w:rPr>
        <w:t xml:space="preserve">and </w:t>
      </w:r>
      <w:r>
        <w:rPr>
          <w:rStyle w:val="a6"/>
          <w:sz w:val="20"/>
          <w:szCs w:val="20"/>
        </w:rPr>
        <w:t>2021.</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Under GAAP a reduction of the carrying amounts of deferred tax assets by a valuation all</w:t>
      </w:r>
      <w:r>
        <w:rPr>
          <w:sz w:val="20"/>
          <w:szCs w:val="20"/>
        </w:rPr>
        <w:t xml:space="preserve">owance is required, if, based on the evidence available, it is more likely than </w:t>
      </w:r>
      <w:r>
        <w:rPr>
          <w:rStyle w:val="a6"/>
          <w:sz w:val="20"/>
          <w:szCs w:val="20"/>
        </w:rPr>
        <w:t>not</w:t>
      </w:r>
      <w:r>
        <w:rPr>
          <w:sz w:val="20"/>
          <w:szCs w:val="20"/>
        </w:rPr>
        <w:t xml:space="preserve"> (a likelihood of more than </w:t>
      </w:r>
      <w:r>
        <w:rPr>
          <w:rStyle w:val="a6"/>
          <w:sz w:val="20"/>
          <w:szCs w:val="20"/>
        </w:rPr>
        <w:t>50%</w:t>
      </w:r>
      <w:r>
        <w:rPr>
          <w:sz w:val="20"/>
          <w:szCs w:val="20"/>
        </w:rPr>
        <w:t xml:space="preserve">) that some portion or all of the deferred tax assets will </w:t>
      </w:r>
      <w:r>
        <w:rPr>
          <w:rStyle w:val="a6"/>
          <w:sz w:val="20"/>
          <w:szCs w:val="20"/>
        </w:rPr>
        <w:t>not</w:t>
      </w:r>
      <w:r>
        <w:rPr>
          <w:sz w:val="20"/>
          <w:szCs w:val="20"/>
        </w:rPr>
        <w:t xml:space="preserve"> be realized.  The valuation allowance should be sufficient to reduce the deferr</w:t>
      </w:r>
      <w:r>
        <w:rPr>
          <w:sz w:val="20"/>
          <w:szCs w:val="20"/>
        </w:rPr>
        <w:t xml:space="preserve">ed tax asset to the amount that is more likely than </w:t>
      </w:r>
      <w:r>
        <w:rPr>
          <w:rStyle w:val="a6"/>
          <w:sz w:val="20"/>
          <w:szCs w:val="20"/>
        </w:rPr>
        <w:t>not</w:t>
      </w:r>
      <w:r>
        <w:rPr>
          <w:sz w:val="20"/>
          <w:szCs w:val="20"/>
        </w:rPr>
        <w:t xml:space="preserve"> to be realized. Effective </w:t>
      </w:r>
      <w:r>
        <w:rPr>
          <w:rStyle w:val="a6"/>
          <w:sz w:val="20"/>
          <w:szCs w:val="20"/>
        </w:rPr>
        <w:t xml:space="preserve">August 1, 2016, </w:t>
      </w:r>
      <w:r>
        <w:rPr>
          <w:sz w:val="20"/>
          <w:szCs w:val="20"/>
        </w:rPr>
        <w:t>the Company merged Kimco Realty Services, Inc. (“KRSI”), a TRS holding REIT qualifying real estate, into a wholly owned LLC (the “TRS Merger”) and KRSI was di</w:t>
      </w:r>
      <w:r>
        <w:rPr>
          <w:sz w:val="20"/>
          <w:szCs w:val="20"/>
        </w:rPr>
        <w:t xml:space="preserve">ssolved. As a result of the TRS Merger, the Company determined that the realization of its then net deferred tax assets was </w:t>
      </w:r>
      <w:r>
        <w:rPr>
          <w:rStyle w:val="a6"/>
          <w:sz w:val="20"/>
          <w:szCs w:val="20"/>
        </w:rPr>
        <w:t>not</w:t>
      </w:r>
      <w:r>
        <w:rPr>
          <w:sz w:val="20"/>
          <w:szCs w:val="20"/>
        </w:rPr>
        <w:t xml:space="preserve"> deemed more likely than </w:t>
      </w:r>
      <w:r>
        <w:rPr>
          <w:rStyle w:val="a6"/>
          <w:sz w:val="20"/>
          <w:szCs w:val="20"/>
        </w:rPr>
        <w:t>not</w:t>
      </w:r>
      <w:r>
        <w:rPr>
          <w:sz w:val="20"/>
          <w:szCs w:val="20"/>
        </w:rPr>
        <w:t xml:space="preserve"> and as such, the Company recorded a full valuation allowance against these net deferred tax assets t</w:t>
      </w:r>
      <w:r>
        <w:rPr>
          <w:sz w:val="20"/>
          <w:szCs w:val="20"/>
        </w:rPr>
        <w:t xml:space="preserve">hat existed at the time of the Merger. During the year ended </w:t>
      </w:r>
      <w:r>
        <w:rPr>
          <w:rStyle w:val="a6"/>
          <w:sz w:val="20"/>
          <w:szCs w:val="20"/>
        </w:rPr>
        <w:t xml:space="preserve">December 31, 2022, </w:t>
      </w:r>
      <w:r>
        <w:rPr>
          <w:sz w:val="20"/>
          <w:szCs w:val="20"/>
        </w:rPr>
        <w:t>the Company was able to utilize the deferred tax assets to reduce the tax liability on the undistributed long term capital gain.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i/>
          <w:iCs/>
          <w:sz w:val="20"/>
          <w:szCs w:val="20"/>
        </w:rPr>
        <w:t>Uncertain Tax Positions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Company is subj</w:t>
      </w:r>
      <w:r>
        <w:rPr>
          <w:sz w:val="20"/>
          <w:szCs w:val="20"/>
        </w:rPr>
        <w:t xml:space="preserve">ect to income tax in certain jurisdictions outside the U.S., principally Canada and Mexico. The statute of limitations on assessment of tax varies from </w:t>
      </w:r>
      <w:r>
        <w:rPr>
          <w:rStyle w:val="a6"/>
          <w:sz w:val="20"/>
          <w:szCs w:val="20"/>
        </w:rPr>
        <w:t>three</w:t>
      </w:r>
      <w:r>
        <w:rPr>
          <w:sz w:val="20"/>
          <w:szCs w:val="20"/>
        </w:rPr>
        <w:t xml:space="preserve"> to </w:t>
      </w:r>
      <w:r>
        <w:rPr>
          <w:rStyle w:val="a6"/>
          <w:sz w:val="20"/>
          <w:szCs w:val="20"/>
        </w:rPr>
        <w:t>seven</w:t>
      </w:r>
      <w:r>
        <w:rPr>
          <w:sz w:val="20"/>
          <w:szCs w:val="20"/>
        </w:rPr>
        <w:t xml:space="preserve"> years depending on the jurisdiction and tax issue. Tax returns filed in each jurisdiction</w:t>
      </w:r>
      <w:r>
        <w:rPr>
          <w:sz w:val="20"/>
          <w:szCs w:val="20"/>
        </w:rPr>
        <w:t xml:space="preserve"> are subject to examination by local tax authorities. The Company concluded audits by the Canadian Revenue Agency, which resulted in </w:t>
      </w:r>
      <w:r>
        <w:rPr>
          <w:rStyle w:val="a6"/>
          <w:sz w:val="20"/>
          <w:szCs w:val="20"/>
        </w:rPr>
        <w:t>no</w:t>
      </w:r>
      <w:r>
        <w:rPr>
          <w:sz w:val="20"/>
          <w:szCs w:val="20"/>
        </w:rPr>
        <w:t xml:space="preserve"> adjustments or assessments. The Company had accrued $1.4 million of non-current uncertain tax positions and related inte</w:t>
      </w:r>
      <w:r>
        <w:rPr>
          <w:sz w:val="20"/>
          <w:szCs w:val="20"/>
        </w:rPr>
        <w:t xml:space="preserve">rest under the provisions of the authoritative guidance that addresses accounting for income taxes at </w:t>
      </w:r>
      <w:r>
        <w:rPr>
          <w:rStyle w:val="a6"/>
          <w:sz w:val="20"/>
          <w:szCs w:val="20"/>
        </w:rPr>
        <w:t xml:space="preserve">December 31, 2021, </w:t>
      </w:r>
      <w:r>
        <w:rPr>
          <w:sz w:val="20"/>
          <w:szCs w:val="20"/>
        </w:rPr>
        <w:t>which was included in Other liabilities on the Company’s Consolidated Balance Sheets. Due to the expiration of the statute of limitatio</w:t>
      </w:r>
      <w:r>
        <w:rPr>
          <w:sz w:val="20"/>
          <w:szCs w:val="20"/>
        </w:rPr>
        <w:t xml:space="preserve">ns with respect to these uncertain tax positions, the $1.4 million accrual was reversed in the year ended </w:t>
      </w:r>
      <w:r>
        <w:rPr>
          <w:rStyle w:val="a6"/>
          <w:sz w:val="20"/>
          <w:szCs w:val="20"/>
        </w:rPr>
        <w:t xml:space="preserve">December 31, 2022. </w:t>
      </w:r>
      <w:r>
        <w:rPr>
          <w:sz w:val="20"/>
          <w:szCs w:val="20"/>
        </w:rPr>
        <w:t xml:space="preserve">The Company does </w:t>
      </w:r>
      <w:r>
        <w:rPr>
          <w:rStyle w:val="a6"/>
          <w:sz w:val="20"/>
          <w:szCs w:val="20"/>
        </w:rPr>
        <w:t>not</w:t>
      </w:r>
      <w:r>
        <w:rPr>
          <w:sz w:val="20"/>
          <w:szCs w:val="20"/>
        </w:rPr>
        <w:t xml:space="preserve"> believe that the total amount of unrecognized tax benefits as of </w:t>
      </w:r>
      <w:r>
        <w:rPr>
          <w:rStyle w:val="a6"/>
          <w:sz w:val="20"/>
          <w:szCs w:val="20"/>
        </w:rPr>
        <w:t xml:space="preserve">December 31, 2022, </w:t>
      </w:r>
      <w:r>
        <w:rPr>
          <w:sz w:val="20"/>
          <w:szCs w:val="20"/>
        </w:rPr>
        <w:t>will significantly increas</w:t>
      </w:r>
      <w:r>
        <w:rPr>
          <w:sz w:val="20"/>
          <w:szCs w:val="20"/>
        </w:rPr>
        <w:t xml:space="preserve">e or decrease within the next </w:t>
      </w:r>
      <w:r>
        <w:rPr>
          <w:rStyle w:val="a6"/>
          <w:sz w:val="20"/>
          <w:szCs w:val="20"/>
        </w:rPr>
        <w:t>12</w:t>
      </w:r>
      <w:r>
        <w:rPr>
          <w:sz w:val="20"/>
          <w:szCs w:val="20"/>
        </w:rPr>
        <w:t xml:space="preserve"> months.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97356791"/>
        <w:rPr>
          <w:rFonts w:eastAsia="Times New Roman"/>
          <w:sz w:val="20"/>
          <w:szCs w:val="20"/>
        </w:rPr>
      </w:pPr>
      <w:r>
        <w:rPr>
          <w:rFonts w:eastAsia="Times New Roman"/>
          <w:sz w:val="20"/>
          <w:szCs w:val="20"/>
        </w:rPr>
        <w:t xml:space="preserve">97 </w:t>
      </w:r>
    </w:p>
    <w:p w:rsidR="00000000" w:rsidRDefault="006954AA">
      <w:pPr>
        <w:divId w:val="391274384"/>
        <w:rPr>
          <w:rFonts w:eastAsia="Times New Roman"/>
          <w:sz w:val="20"/>
          <w:szCs w:val="20"/>
        </w:rPr>
      </w:pPr>
      <w:r>
        <w:rPr>
          <w:rFonts w:eastAsia="Times New Roman"/>
          <w:sz w:val="20"/>
          <w:szCs w:val="20"/>
        </w:rPr>
        <w:pict>
          <v:rect id="_x0000_i1132" style="width:415.3pt;height:1.5pt" o:hralign="center" o:hrstd="t" o:hrnoshade="t" o:hr="t" fillcolor="black" stroked="f"/>
        </w:pict>
      </w:r>
    </w:p>
    <w:p w:rsidR="00000000" w:rsidRDefault="006954AA">
      <w:pPr>
        <w:divId w:val="1820881853"/>
        <w:rPr>
          <w:rFonts w:eastAsia="Times New Roman"/>
          <w:sz w:val="20"/>
          <w:szCs w:val="20"/>
        </w:rPr>
      </w:pPr>
      <w:r>
        <w:rPr>
          <w:rFonts w:eastAsia="Times New Roman"/>
          <w:sz w:val="20"/>
          <w:szCs w:val="20"/>
        </w:rPr>
        <w:t xml:space="preserve">  </w:t>
      </w:r>
    </w:p>
    <w:p w:rsidR="00000000" w:rsidRDefault="006954AA">
      <w:pPr>
        <w:jc w:val="center"/>
        <w:divId w:val="1140458636"/>
        <w:rPr>
          <w:rFonts w:eastAsia="Times New Roman"/>
          <w:sz w:val="20"/>
          <w:szCs w:val="20"/>
        </w:rPr>
      </w:pPr>
      <w:r>
        <w:rPr>
          <w:rFonts w:eastAsia="Times New Roman"/>
          <w:sz w:val="20"/>
          <w:szCs w:val="20"/>
        </w:rPr>
        <w:t>K</w:t>
      </w:r>
      <w:r>
        <w:rPr>
          <w:rFonts w:eastAsia="Times New Roman"/>
          <w:sz w:val="20"/>
          <w:szCs w:val="20"/>
        </w:rPr>
        <w:t xml:space="preserve">IMCO REALTY CORPORATION AND SUBSIDIARIES </w:t>
      </w:r>
    </w:p>
    <w:p w:rsidR="00000000" w:rsidRDefault="006954AA">
      <w:pPr>
        <w:divId w:val="1784953380"/>
        <w:rPr>
          <w:rFonts w:eastAsia="Times New Roman"/>
          <w:sz w:val="20"/>
          <w:szCs w:val="20"/>
        </w:rPr>
      </w:pPr>
      <w:r>
        <w:rPr>
          <w:rFonts w:eastAsia="Times New Roman"/>
          <w:sz w:val="20"/>
          <w:szCs w:val="20"/>
        </w:rPr>
        <w:t xml:space="preserve">  </w:t>
      </w:r>
    </w:p>
    <w:p w:rsidR="00000000" w:rsidRDefault="006954AA">
      <w:pPr>
        <w:jc w:val="center"/>
        <w:divId w:val="744765849"/>
        <w:rPr>
          <w:rFonts w:eastAsia="Times New Roman"/>
          <w:sz w:val="20"/>
          <w:szCs w:val="20"/>
        </w:rPr>
      </w:pPr>
      <w:r>
        <w:rPr>
          <w:rFonts w:eastAsia="Times New Roman"/>
          <w:sz w:val="20"/>
          <w:szCs w:val="20"/>
        </w:rPr>
        <w:t xml:space="preserve">NOTES TO CONSOLIDATED FINANCIAL STATEMENTS, continued </w:t>
      </w:r>
    </w:p>
    <w:p w:rsidR="00000000" w:rsidRDefault="006954AA">
      <w:pPr>
        <w:pStyle w:val="a3"/>
        <w:spacing w:before="0" w:beforeAutospacing="0" w:after="0" w:afterAutospacing="0"/>
        <w:rPr>
          <w:sz w:val="20"/>
          <w:szCs w:val="20"/>
        </w:rPr>
      </w:pPr>
      <w:r>
        <w:rPr>
          <w:sz w:val="20"/>
          <w:szCs w:val="20"/>
        </w:rPr>
        <w:t> </w:t>
      </w:r>
    </w:p>
    <w:p w:rsidR="00000000" w:rsidRDefault="006954AA">
      <w:pPr>
        <w:divId w:val="934823966"/>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26.</w:t>
      </w:r>
      <w:r>
        <w:rPr>
          <w:sz w:val="20"/>
          <w:szCs w:val="20"/>
        </w:rPr>
        <w:t xml:space="preserve"> </w:t>
      </w:r>
      <w:r>
        <w:rPr>
          <w:sz w:val="20"/>
          <w:szCs w:val="20"/>
          <w:u w:val="single"/>
        </w:rPr>
        <w:t>Captive Insurance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October 2007, </w:t>
      </w:r>
      <w:r>
        <w:rPr>
          <w:sz w:val="20"/>
          <w:szCs w:val="20"/>
        </w:rPr>
        <w:t xml:space="preserve">the Company formed a wholly owned captive insurance company, KIC, which provides general liability insurance coverage for all losses below the deductible under the Company’s </w:t>
      </w:r>
      <w:r>
        <w:rPr>
          <w:rStyle w:val="a6"/>
          <w:sz w:val="20"/>
          <w:szCs w:val="20"/>
        </w:rPr>
        <w:t>third</w:t>
      </w:r>
      <w:r>
        <w:rPr>
          <w:sz w:val="20"/>
          <w:szCs w:val="20"/>
        </w:rPr>
        <w:t xml:space="preserve"> party liability insurance policy. The Company created KIC as part of its ove</w:t>
      </w:r>
      <w:r>
        <w:rPr>
          <w:sz w:val="20"/>
          <w:szCs w:val="20"/>
        </w:rPr>
        <w:t>rall risk management program and to stabilize its insurance costs, manage exposure and recoup expenses through the functions of the captive program. The Company capitalized KIC in accordance with the applicable regulatory requirements. KIC established annu</w:t>
      </w:r>
      <w:r>
        <w:rPr>
          <w:sz w:val="20"/>
          <w:szCs w:val="20"/>
        </w:rPr>
        <w:t xml:space="preserve">al premiums based on projections derived from the past loss experience of the Company’s properties. KIC has engaged an independent </w:t>
      </w:r>
      <w:r>
        <w:rPr>
          <w:rStyle w:val="a6"/>
          <w:sz w:val="20"/>
          <w:szCs w:val="20"/>
        </w:rPr>
        <w:t>third</w:t>
      </w:r>
      <w:r>
        <w:rPr>
          <w:sz w:val="20"/>
          <w:szCs w:val="20"/>
        </w:rPr>
        <w:t xml:space="preserve"> party to perform an actuarial estimate of future projected claims, related deductibles and projected expenses necessary</w:t>
      </w:r>
      <w:r>
        <w:rPr>
          <w:sz w:val="20"/>
          <w:szCs w:val="20"/>
        </w:rPr>
        <w:t xml:space="preserve"> to fund associated risk management programs. Premiums paid to KIC </w:t>
      </w:r>
      <w:r>
        <w:rPr>
          <w:rStyle w:val="a6"/>
          <w:sz w:val="20"/>
          <w:szCs w:val="20"/>
        </w:rPr>
        <w:t xml:space="preserve">may </w:t>
      </w:r>
      <w:r>
        <w:rPr>
          <w:sz w:val="20"/>
          <w:szCs w:val="20"/>
        </w:rPr>
        <w:t xml:space="preserve">be adjusted based on this estimate. Like premiums paid to </w:t>
      </w:r>
      <w:r>
        <w:rPr>
          <w:rStyle w:val="a6"/>
          <w:sz w:val="20"/>
          <w:szCs w:val="20"/>
        </w:rPr>
        <w:t>third</w:t>
      </w:r>
      <w:r>
        <w:rPr>
          <w:sz w:val="20"/>
          <w:szCs w:val="20"/>
        </w:rPr>
        <w:t xml:space="preserve">-party insurance companies, premiums paid to KIC </w:t>
      </w:r>
      <w:r>
        <w:rPr>
          <w:rStyle w:val="a6"/>
          <w:sz w:val="20"/>
          <w:szCs w:val="20"/>
        </w:rPr>
        <w:t xml:space="preserve">may </w:t>
      </w:r>
      <w:r>
        <w:rPr>
          <w:sz w:val="20"/>
          <w:szCs w:val="20"/>
        </w:rPr>
        <w:t>be reimbursed by tenants pursuant to specific lease terms. KIC assume</w:t>
      </w:r>
      <w:r>
        <w:rPr>
          <w:sz w:val="20"/>
          <w:szCs w:val="20"/>
        </w:rPr>
        <w:t>s occurrence basis general liability coverage (</w:t>
      </w:r>
      <w:r>
        <w:rPr>
          <w:rStyle w:val="a6"/>
          <w:sz w:val="20"/>
          <w:szCs w:val="20"/>
        </w:rPr>
        <w:t>not</w:t>
      </w:r>
      <w:r>
        <w:rPr>
          <w:sz w:val="20"/>
          <w:szCs w:val="20"/>
        </w:rPr>
        <w:t xml:space="preserve"> including casualty loss or business interruption) for the Company and its affiliates under the terms of a reinsurance agreement entered into by KIC and the reinsurance provider.</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From </w:t>
      </w:r>
      <w:r>
        <w:rPr>
          <w:rStyle w:val="a6"/>
          <w:sz w:val="20"/>
          <w:szCs w:val="20"/>
        </w:rPr>
        <w:t xml:space="preserve">October 1, 2007 </w:t>
      </w:r>
      <w:r>
        <w:rPr>
          <w:sz w:val="20"/>
          <w:szCs w:val="20"/>
        </w:rPr>
        <w:t>thro</w:t>
      </w:r>
      <w:r>
        <w:rPr>
          <w:sz w:val="20"/>
          <w:szCs w:val="20"/>
        </w:rPr>
        <w:t xml:space="preserve">ugh </w:t>
      </w:r>
      <w:r>
        <w:rPr>
          <w:rStyle w:val="a6"/>
          <w:sz w:val="20"/>
          <w:szCs w:val="20"/>
        </w:rPr>
        <w:t xml:space="preserve">December 31, 2022, </w:t>
      </w:r>
      <w:r>
        <w:rPr>
          <w:sz w:val="20"/>
          <w:szCs w:val="20"/>
        </w:rPr>
        <w:t xml:space="preserve">KIC assumes 100% of the </w:t>
      </w:r>
      <w:r>
        <w:rPr>
          <w:rStyle w:val="a6"/>
          <w:sz w:val="20"/>
          <w:szCs w:val="20"/>
        </w:rPr>
        <w:t>first</w:t>
      </w:r>
      <w:r>
        <w:rPr>
          <w:sz w:val="20"/>
          <w:szCs w:val="20"/>
        </w:rPr>
        <w:t xml:space="preserve"> $250,000 per occurrence risk layer. This coverage is subject to annual aggregates ranging between $7.8 million and $11.5 million per policy year. The annual aggregate is adjustable based on the amount of</w:t>
      </w:r>
      <w:r>
        <w:rPr>
          <w:sz w:val="20"/>
          <w:szCs w:val="20"/>
        </w:rPr>
        <w:t xml:space="preserve"> audited square footage of the insureds’ locations and can be adjusted for subsequent program years. Defense costs erode the stated policy limits. KIC is required to pay the reinsurance provider for unallocated loss adjustment expenses an amount ranging be</w:t>
      </w:r>
      <w:r>
        <w:rPr>
          <w:sz w:val="20"/>
          <w:szCs w:val="20"/>
        </w:rPr>
        <w:t xml:space="preserve">tween 8.0% and 12.2% of incurred losses for the policy periods ending </w:t>
      </w:r>
      <w:r>
        <w:rPr>
          <w:rStyle w:val="a6"/>
          <w:sz w:val="20"/>
          <w:szCs w:val="20"/>
        </w:rPr>
        <w:t xml:space="preserve">September 30, 2008 </w:t>
      </w:r>
      <w:r>
        <w:rPr>
          <w:sz w:val="20"/>
          <w:szCs w:val="20"/>
        </w:rPr>
        <w:t xml:space="preserve">through </w:t>
      </w:r>
      <w:r>
        <w:rPr>
          <w:rStyle w:val="a6"/>
          <w:sz w:val="20"/>
          <w:szCs w:val="20"/>
        </w:rPr>
        <w:t xml:space="preserve">February 1, 2021. </w:t>
      </w:r>
      <w:r>
        <w:rPr>
          <w:sz w:val="20"/>
          <w:szCs w:val="20"/>
        </w:rPr>
        <w:t xml:space="preserve">Beginning </w:t>
      </w:r>
      <w:r>
        <w:rPr>
          <w:rStyle w:val="a6"/>
          <w:sz w:val="20"/>
          <w:szCs w:val="20"/>
        </w:rPr>
        <w:t xml:space="preserve">February 1, 2021 </w:t>
      </w:r>
      <w:r>
        <w:rPr>
          <w:sz w:val="20"/>
          <w:szCs w:val="20"/>
        </w:rPr>
        <w:t xml:space="preserve">through </w:t>
      </w:r>
      <w:r>
        <w:rPr>
          <w:rStyle w:val="a6"/>
          <w:sz w:val="20"/>
          <w:szCs w:val="20"/>
        </w:rPr>
        <w:t xml:space="preserve">February 1, 2023, </w:t>
      </w:r>
      <w:r>
        <w:rPr>
          <w:sz w:val="20"/>
          <w:szCs w:val="20"/>
        </w:rPr>
        <w:t>ULAE is billed on a fee per claim basis ranging between $53 and $1,523 based on the clai</w:t>
      </w:r>
      <w:r>
        <w:rPr>
          <w:sz w:val="20"/>
          <w:szCs w:val="20"/>
        </w:rPr>
        <w:t xml:space="preserve">m type. These amounts do </w:t>
      </w:r>
      <w:r>
        <w:rPr>
          <w:rStyle w:val="a6"/>
          <w:sz w:val="20"/>
          <w:szCs w:val="20"/>
        </w:rPr>
        <w:t>not</w:t>
      </w:r>
      <w:r>
        <w:rPr>
          <w:sz w:val="20"/>
          <w:szCs w:val="20"/>
        </w:rPr>
        <w:t xml:space="preserve"> erode the Company’s per occurrence or aggregate limits.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In connection with the Merger, the Company acquired U.S. Fire &amp; Indemnity Company (“US Fire”), a captive insurance company which was wholly owned by Weingarten. US Fire </w:t>
      </w:r>
      <w:r>
        <w:rPr>
          <w:sz w:val="20"/>
          <w:szCs w:val="20"/>
        </w:rPr>
        <w:t>began providing direct coverage to Weingarten with limits of $100,000 per occurrence for all other perils except for flood, named windstorm and earthquake, which had a $5,000,000 annual aggregate. The coverage was cancelled upon the effective date of the M</w:t>
      </w:r>
      <w:r>
        <w:rPr>
          <w:sz w:val="20"/>
          <w:szCs w:val="20"/>
        </w:rPr>
        <w:t xml:space="preserve">erger. In addition, US Fire assumed general liability coverage from a </w:t>
      </w:r>
      <w:r>
        <w:rPr>
          <w:rStyle w:val="a6"/>
          <w:sz w:val="20"/>
          <w:szCs w:val="20"/>
        </w:rPr>
        <w:t>third</w:t>
      </w:r>
      <w:r>
        <w:rPr>
          <w:sz w:val="20"/>
          <w:szCs w:val="20"/>
        </w:rPr>
        <w:t>-party reinsurer, with limits of $250,000 per occurrence with a $2,000,000 annual aggregate. The reinsurance arrangement was terminated effective as of the Merger date and all risks</w:t>
      </w:r>
      <w:r>
        <w:rPr>
          <w:sz w:val="20"/>
          <w:szCs w:val="20"/>
        </w:rPr>
        <w:t xml:space="preserve"> were assumed by KIC’s reinsurance provider. Effective </w:t>
      </w:r>
      <w:r>
        <w:rPr>
          <w:rStyle w:val="a6"/>
          <w:sz w:val="20"/>
          <w:szCs w:val="20"/>
        </w:rPr>
        <w:t xml:space="preserve">December 15, 2021, </w:t>
      </w:r>
      <w:r>
        <w:rPr>
          <w:sz w:val="20"/>
          <w:szCs w:val="20"/>
        </w:rPr>
        <w:t>US Fire merged into KIC, with KIC continuing as the surviving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2022, </w:t>
      </w:r>
      <w:r>
        <w:rPr>
          <w:sz w:val="20"/>
          <w:szCs w:val="20"/>
        </w:rPr>
        <w:t>the Company maintained letters of credit in the amount of $27.1 million issued in fa</w:t>
      </w:r>
      <w:r>
        <w:rPr>
          <w:sz w:val="20"/>
          <w:szCs w:val="20"/>
        </w:rPr>
        <w:t>vor of the reinsurance provider to provide security for the Company’s obligations under its agreements with the reinsurance providers.</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941380171"/>
        <w:rPr>
          <w:rFonts w:eastAsia="Times New Roman"/>
          <w:sz w:val="20"/>
          <w:szCs w:val="20"/>
        </w:rPr>
      </w:pPr>
      <w:r>
        <w:rPr>
          <w:rStyle w:val="a6"/>
          <w:rFonts w:eastAsia="Times New Roman"/>
          <w:sz w:val="20"/>
          <w:szCs w:val="20"/>
        </w:rPr>
        <w:t>98</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33" style="width:415.3pt;height:1.5pt" o:hralign="center" o:hrstd="t" o:hrnoshade="t" o:hr="t" fillcolor="black" stroked="f"/>
        </w:pict>
      </w:r>
    </w:p>
    <w:p w:rsidR="00000000" w:rsidRDefault="006954AA">
      <w:pPr>
        <w:divId w:val="570430812"/>
        <w:rPr>
          <w:rFonts w:eastAsia="Times New Roman"/>
          <w:sz w:val="20"/>
          <w:szCs w:val="20"/>
        </w:rPr>
      </w:pPr>
      <w:r>
        <w:rPr>
          <w:rFonts w:eastAsia="Times New Roman"/>
          <w:sz w:val="20"/>
          <w:szCs w:val="20"/>
        </w:rPr>
        <w:t xml:space="preserve">  </w:t>
      </w:r>
    </w:p>
    <w:p w:rsidR="00000000" w:rsidRDefault="006954AA">
      <w:pPr>
        <w:jc w:val="center"/>
        <w:divId w:val="2052538313"/>
        <w:rPr>
          <w:rFonts w:eastAsia="Times New Roman"/>
          <w:sz w:val="20"/>
          <w:szCs w:val="20"/>
        </w:rPr>
      </w:pPr>
      <w:r>
        <w:rPr>
          <w:rFonts w:eastAsia="Times New Roman"/>
          <w:sz w:val="20"/>
          <w:szCs w:val="20"/>
        </w:rPr>
        <w:t>KIMCO REALTY CORPORATION AND SUBSIDIARIES</w:t>
      </w:r>
      <w:r>
        <w:rPr>
          <w:rFonts w:eastAsia="Times New Roman"/>
          <w:sz w:val="20"/>
          <w:szCs w:val="20"/>
        </w:rPr>
        <w:t xml:space="preserve"> </w:t>
      </w:r>
    </w:p>
    <w:p w:rsidR="00000000" w:rsidRDefault="006954AA">
      <w:pPr>
        <w:divId w:val="188104063"/>
        <w:rPr>
          <w:rFonts w:eastAsia="Times New Roman"/>
          <w:sz w:val="20"/>
          <w:szCs w:val="20"/>
        </w:rPr>
      </w:pPr>
      <w:r>
        <w:rPr>
          <w:rFonts w:eastAsia="Times New Roman"/>
          <w:sz w:val="20"/>
          <w:szCs w:val="20"/>
        </w:rPr>
        <w:t xml:space="preserve">  </w:t>
      </w:r>
    </w:p>
    <w:p w:rsidR="00000000" w:rsidRDefault="006954AA">
      <w:pPr>
        <w:jc w:val="center"/>
        <w:divId w:val="1031421835"/>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xml:space="preserve">Activity in the liability for unpaid losses and loss adjustment expenses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is summarized as follows (in thousands):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at the beginning of the year</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19,655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13,742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Incurred related to:</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5,694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5,375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Prior years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ind w:left="360"/>
              <w:jc w:val="right"/>
              <w:rPr>
                <w:rFonts w:eastAsia="Times New Roman"/>
                <w:sz w:val="20"/>
                <w:szCs w:val="20"/>
              </w:rPr>
            </w:pPr>
            <w:r>
              <w:rPr>
                <w:rFonts w:eastAsia="Times New Roman"/>
                <w:sz w:val="20"/>
                <w:szCs w:val="20"/>
              </w:rPr>
              <w:t>125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5,281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incurred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5,819</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ind w:left="360"/>
              <w:jc w:val="right"/>
              <w:rPr>
                <w:rFonts w:eastAsia="Times New Roman"/>
                <w:sz w:val="20"/>
                <w:szCs w:val="20"/>
              </w:rPr>
            </w:pPr>
            <w:r>
              <w:rPr>
                <w:rFonts w:eastAsia="Times New Roman"/>
                <w:sz w:val="20"/>
                <w:szCs w:val="20"/>
              </w:rPr>
              <w:t>10,656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Paid related to:</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(645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(759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Prior years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(4,627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(3,984</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Total paid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(5,272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(4,743</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Balance at the end of the year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20,202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19,655</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15"/>
        <w:gridCol w:w="5891"/>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 xml:space="preserve">Relates to changes in estimates in insured events in the prior years, incurred losses and loss adjustment expenses. For the year ended </w:t>
            </w:r>
            <w:r>
              <w:rPr>
                <w:rStyle w:val="a6"/>
                <w:sz w:val="20"/>
                <w:szCs w:val="20"/>
              </w:rPr>
              <w:t xml:space="preserve">December 31, 2021, </w:t>
            </w:r>
            <w:r>
              <w:rPr>
                <w:sz w:val="20"/>
                <w:szCs w:val="20"/>
              </w:rPr>
              <w:t>includes $5.3 million of liability incurred as a result of the Merger.</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272713737"/>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rStyle w:val="a6"/>
          <w:sz w:val="20"/>
          <w:szCs w:val="20"/>
        </w:rPr>
        <w:t>27.</w:t>
      </w:r>
      <w:r>
        <w:rPr>
          <w:sz w:val="20"/>
          <w:szCs w:val="20"/>
        </w:rPr>
        <w:t xml:space="preserve"> </w:t>
      </w:r>
      <w:r>
        <w:rPr>
          <w:sz w:val="20"/>
          <w:szCs w:val="20"/>
          <w:u w:val="single"/>
        </w:rPr>
        <w:t>Accumulated Other Com</w:t>
      </w:r>
      <w:r>
        <w:rPr>
          <w:sz w:val="20"/>
          <w:szCs w:val="20"/>
          <w:u w:val="single"/>
        </w:rPr>
        <w:t xml:space="preserve">prehensive Income (“AOCI”):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rPr>
          <w:sz w:val="20"/>
          <w:szCs w:val="20"/>
        </w:rPr>
      </w:pPr>
      <w:r>
        <w:rPr>
          <w:sz w:val="20"/>
          <w:szCs w:val="20"/>
        </w:rPr>
        <w:t xml:space="preserve">The following table displays the change in the components of AOCI for the years ended </w:t>
      </w:r>
      <w:r>
        <w:rPr>
          <w:rStyle w:val="a6"/>
          <w:sz w:val="20"/>
          <w:szCs w:val="20"/>
        </w:rPr>
        <w:t xml:space="preserve">December 31, 2021 </w:t>
      </w:r>
      <w:r>
        <w:rPr>
          <w:sz w:val="20"/>
          <w:szCs w:val="20"/>
        </w:rPr>
        <w:t xml:space="preserve">and </w:t>
      </w:r>
      <w:r>
        <w:rPr>
          <w:rStyle w:val="a6"/>
          <w:sz w:val="20"/>
          <w:szCs w:val="20"/>
        </w:rPr>
        <w:t>2022:</w:t>
      </w:r>
    </w:p>
    <w:p w:rsidR="00000000" w:rsidRDefault="006954AA">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5781"/>
        <w:gridCol w:w="63"/>
        <w:gridCol w:w="101"/>
        <w:gridCol w:w="1051"/>
        <w:gridCol w:w="64"/>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Unrealized Gains </w:t>
            </w:r>
          </w:p>
          <w:p w:rsidR="00000000" w:rsidRDefault="006954AA">
            <w:pPr>
              <w:pStyle w:val="a3"/>
              <w:spacing w:before="0" w:beforeAutospacing="0" w:after="0" w:afterAutospacing="0"/>
              <w:jc w:val="center"/>
              <w:rPr>
                <w:sz w:val="20"/>
                <w:szCs w:val="20"/>
              </w:rPr>
            </w:pPr>
            <w:r>
              <w:rPr>
                <w:b/>
                <w:bCs/>
                <w:sz w:val="20"/>
                <w:szCs w:val="20"/>
              </w:rPr>
              <w:t xml:space="preserve">Related to Defined </w:t>
            </w:r>
          </w:p>
          <w:p w:rsidR="00000000" w:rsidRDefault="006954AA">
            <w:pPr>
              <w:pStyle w:val="a3"/>
              <w:spacing w:before="0" w:beforeAutospacing="0" w:after="0" w:afterAutospacing="0"/>
              <w:jc w:val="center"/>
              <w:rPr>
                <w:sz w:val="20"/>
                <w:szCs w:val="20"/>
              </w:rPr>
            </w:pPr>
            <w:r>
              <w:rPr>
                <w:b/>
                <w:bCs/>
                <w:sz w:val="20"/>
                <w:szCs w:val="20"/>
              </w:rPr>
              <w:t>Benefit Plan</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1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as of January 1, 2021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Other comprehensive income before reclassifications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Amounts reclassified from AOCI</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current-period other comprehensive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as of December 31, 2021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sz w:val="20"/>
                <w:szCs w:val="20"/>
              </w:rPr>
              <w:t>Other comprehensive income before reclassifications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8,365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sz w:val="20"/>
                <w:szCs w:val="20"/>
              </w:rPr>
              <w:t>Amounts reclassified from AOCI</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current-period other comprehensive income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8,365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as of December 31, 2022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10,581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divId w:val="1688174107"/>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rStyle w:val="a6"/>
          <w:sz w:val="20"/>
          <w:szCs w:val="20"/>
        </w:rPr>
        <w:t>28.</w:t>
      </w:r>
      <w:r>
        <w:rPr>
          <w:sz w:val="20"/>
          <w:szCs w:val="20"/>
        </w:rPr>
        <w:t xml:space="preserve"> </w:t>
      </w:r>
      <w:r>
        <w:rPr>
          <w:sz w:val="20"/>
          <w:szCs w:val="20"/>
          <w:u w:val="single"/>
        </w:rPr>
        <w:t>Earnings Per Share:</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360"/>
        <w:jc w:val="both"/>
        <w:rPr>
          <w:sz w:val="20"/>
          <w:szCs w:val="20"/>
        </w:rPr>
      </w:pPr>
      <w:r>
        <w:rPr>
          <w:sz w:val="20"/>
          <w:szCs w:val="20"/>
        </w:rPr>
        <w:t>The following table sets forth the reconciliation of earnings and the weighted-average number of shares used in the calculation of basic and diluted earnings per share (amounts presented in thousands, except per share data):</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For the Year Ended Decemb</w:t>
            </w:r>
            <w:r>
              <w:rPr>
                <w:b/>
                <w:bCs/>
                <w:sz w:val="20"/>
                <w:szCs w:val="20"/>
              </w:rPr>
              <w:t>er 31,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6954AA">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100,758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818,643</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975,417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Change in estimated redemption value of redeemable noncontrolling interests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2,304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2,160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Earnings attributable to participating securities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(2,182</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(5,346</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(6,347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98,576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815,601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971,230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Distributions on convertible units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3,087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161</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income available to the Company’s common shareholders for diluted earnings per share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98,576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818,688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971,391</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615,528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506,248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429,950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Effect of dilutive securities (1):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Equity awards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2,283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2,422</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1,475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47</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2,715</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208</w:t>
            </w:r>
          </w:p>
        </w:tc>
        <w:tc>
          <w:tcPr>
            <w:tcW w:w="50" w:type="pct"/>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617,858</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511,385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431,633</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0.16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1.61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2.26</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0.16</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1.60</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2.25</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33"/>
        <w:gridCol w:w="6273"/>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0.3 million, 0 million and 1.2 million stock options that were </w:t>
            </w:r>
            <w:r>
              <w:rPr>
                <w:rStyle w:val="a6"/>
                <w:sz w:val="20"/>
                <w:szCs w:val="20"/>
              </w:rPr>
              <w:t>not</w:t>
            </w:r>
            <w:r>
              <w:rPr>
                <w:sz w:val="20"/>
                <w:szCs w:val="20"/>
              </w:rPr>
              <w:t xml:space="preserve"> dilutive as of </w:t>
            </w:r>
            <w:r>
              <w:rPr>
                <w:rStyle w:val="a6"/>
                <w:sz w:val="20"/>
                <w:szCs w:val="20"/>
              </w:rPr>
              <w:t>December 31, 2022, 2021</w:t>
            </w:r>
            <w:r>
              <w:rPr>
                <w:sz w:val="20"/>
                <w:szCs w:val="20"/>
              </w:rPr>
              <w:t xml:space="preserve"> and </w:t>
            </w:r>
            <w:r>
              <w:rPr>
                <w:rStyle w:val="a6"/>
                <w:sz w:val="20"/>
                <w:szCs w:val="20"/>
              </w:rPr>
              <w:t>2020,</w:t>
            </w:r>
            <w:r>
              <w:rPr>
                <w:sz w:val="20"/>
                <w:szCs w:val="20"/>
              </w:rPr>
              <w:t xml:space="preserve"> respectively.</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560437313"/>
        <w:rPr>
          <w:rFonts w:eastAsia="Times New Roman"/>
          <w:sz w:val="20"/>
          <w:szCs w:val="20"/>
        </w:rPr>
      </w:pPr>
      <w:r>
        <w:rPr>
          <w:rStyle w:val="a6"/>
          <w:rFonts w:eastAsia="Times New Roman"/>
          <w:sz w:val="20"/>
          <w:szCs w:val="20"/>
        </w:rPr>
        <w:t>99</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34" style="width:415.3pt;height:1.5pt" o:hralign="center" o:hrstd="t" o:hrnoshade="t" o:hr="t" fillcolor="black" stroked="f"/>
        </w:pict>
      </w:r>
    </w:p>
    <w:p w:rsidR="00000000" w:rsidRDefault="006954AA">
      <w:pPr>
        <w:divId w:val="2086757336"/>
        <w:rPr>
          <w:rFonts w:eastAsia="Times New Roman"/>
          <w:sz w:val="20"/>
          <w:szCs w:val="20"/>
        </w:rPr>
      </w:pPr>
      <w:r>
        <w:rPr>
          <w:rFonts w:eastAsia="Times New Roman"/>
          <w:sz w:val="20"/>
          <w:szCs w:val="20"/>
        </w:rPr>
        <w:t xml:space="preserve">  </w:t>
      </w:r>
    </w:p>
    <w:p w:rsidR="00000000" w:rsidRDefault="006954AA">
      <w:pPr>
        <w:jc w:val="center"/>
        <w:divId w:val="57556815"/>
        <w:rPr>
          <w:rFonts w:eastAsia="Times New Roman"/>
          <w:sz w:val="20"/>
          <w:szCs w:val="20"/>
        </w:rPr>
      </w:pPr>
      <w:r>
        <w:rPr>
          <w:rFonts w:eastAsia="Times New Roman"/>
          <w:sz w:val="20"/>
          <w:szCs w:val="20"/>
        </w:rPr>
        <w:t>K</w:t>
      </w:r>
      <w:r>
        <w:rPr>
          <w:rFonts w:eastAsia="Times New Roman"/>
          <w:sz w:val="20"/>
          <w:szCs w:val="20"/>
        </w:rPr>
        <w:t xml:space="preserve">IMCO REALTY CORPORATION AND SUBSIDIARIES </w:t>
      </w:r>
    </w:p>
    <w:p w:rsidR="00000000" w:rsidRDefault="006954AA">
      <w:pPr>
        <w:divId w:val="1287546220"/>
        <w:rPr>
          <w:rFonts w:eastAsia="Times New Roman"/>
          <w:sz w:val="20"/>
          <w:szCs w:val="20"/>
        </w:rPr>
      </w:pPr>
      <w:r>
        <w:rPr>
          <w:rFonts w:eastAsia="Times New Roman"/>
          <w:sz w:val="20"/>
          <w:szCs w:val="20"/>
        </w:rPr>
        <w:t xml:space="preserve">  </w:t>
      </w:r>
    </w:p>
    <w:p w:rsidR="00000000" w:rsidRDefault="006954AA">
      <w:pPr>
        <w:jc w:val="center"/>
        <w:divId w:val="1960839305"/>
        <w:rPr>
          <w:rFonts w:eastAsia="Times New Roman"/>
          <w:sz w:val="20"/>
          <w:szCs w:val="20"/>
        </w:rPr>
      </w:pPr>
      <w:r>
        <w:rPr>
          <w:rFonts w:eastAsia="Times New Roman"/>
          <w:sz w:val="20"/>
          <w:szCs w:val="20"/>
        </w:rPr>
        <w:t xml:space="preserve">NOTES TO CONSOLIDATED FINANCIAL STATEMENTS, continued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xml:space="preserve">The Company's unvested restricted share awards contain non-forfeitable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rsidR="00000000" w:rsidRDefault="006954AA">
      <w:pPr>
        <w:pStyle w:val="a3"/>
        <w:spacing w:before="0" w:beforeAutospacing="0" w:after="0" w:afterAutospacing="0"/>
        <w:rPr>
          <w:sz w:val="20"/>
          <w:szCs w:val="20"/>
        </w:rPr>
      </w:pPr>
      <w:r>
        <w:rPr>
          <w:sz w:val="20"/>
          <w:szCs w:val="20"/>
        </w:rPr>
        <w:t> </w:t>
      </w:r>
    </w:p>
    <w:p w:rsidR="00000000" w:rsidRDefault="006954AA">
      <w:pPr>
        <w:divId w:val="1427775498"/>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jc w:val="both"/>
        <w:rPr>
          <w:sz w:val="20"/>
          <w:szCs w:val="20"/>
        </w:rPr>
      </w:pPr>
      <w:r>
        <w:rPr>
          <w:rStyle w:val="a6"/>
          <w:sz w:val="20"/>
          <w:szCs w:val="20"/>
        </w:rPr>
        <w:t>29.</w:t>
      </w:r>
      <w:r>
        <w:rPr>
          <w:sz w:val="20"/>
          <w:szCs w:val="20"/>
        </w:rPr>
        <w:t xml:space="preserve"> </w:t>
      </w:r>
      <w:r>
        <w:rPr>
          <w:sz w:val="20"/>
          <w:szCs w:val="20"/>
          <w:u w:val="single"/>
        </w:rPr>
        <w:t>Subsequent Events:</w:t>
      </w:r>
    </w:p>
    <w:p w:rsidR="00000000" w:rsidRDefault="006954AA">
      <w:pPr>
        <w:pStyle w:val="a3"/>
        <w:spacing w:before="0" w:beforeAutospacing="0" w:after="0" w:afterAutospacing="0"/>
        <w:jc w:val="both"/>
        <w:rPr>
          <w:sz w:val="20"/>
          <w:szCs w:val="20"/>
        </w:rPr>
      </w:pPr>
      <w:r>
        <w:rPr>
          <w:sz w:val="20"/>
          <w:szCs w:val="20"/>
        </w:rPr>
        <w:t> </w:t>
      </w:r>
    </w:p>
    <w:p w:rsidR="00000000" w:rsidRDefault="006954AA">
      <w:pPr>
        <w:pStyle w:val="a3"/>
        <w:spacing w:before="0" w:beforeAutospacing="0" w:after="0" w:afterAutospacing="0"/>
        <w:ind w:left="520"/>
        <w:jc w:val="both"/>
        <w:rPr>
          <w:sz w:val="20"/>
          <w:szCs w:val="20"/>
        </w:rPr>
      </w:pPr>
      <w:r>
        <w:rPr>
          <w:sz w:val="20"/>
          <w:szCs w:val="20"/>
        </w:rPr>
        <w:t xml:space="preserve">Prior to </w:t>
      </w:r>
      <w:r>
        <w:rPr>
          <w:rStyle w:val="a6"/>
          <w:sz w:val="20"/>
          <w:szCs w:val="20"/>
        </w:rPr>
        <w:t xml:space="preserve">January 1, 2023, </w:t>
      </w:r>
      <w:r>
        <w:rPr>
          <w:sz w:val="20"/>
          <w:szCs w:val="20"/>
        </w:rPr>
        <w:t xml:space="preserve">the business of Kimco Realty </w:t>
      </w:r>
      <w:r>
        <w:rPr>
          <w:sz w:val="20"/>
          <w:szCs w:val="20"/>
        </w:rPr>
        <w:t xml:space="preserve">Corporation (the “Company”) was conducted through a predecessor entity also known as Kimco Realty Corporation (the “Predecessor”). On </w:t>
      </w:r>
      <w:r>
        <w:rPr>
          <w:rStyle w:val="a6"/>
          <w:sz w:val="20"/>
          <w:szCs w:val="20"/>
        </w:rPr>
        <w:t xml:space="preserve">December 14, 2022, </w:t>
      </w:r>
      <w:r>
        <w:rPr>
          <w:sz w:val="20"/>
          <w:szCs w:val="20"/>
        </w:rPr>
        <w:t>the Predecessor’s Board of Directors approved the reorganization (the “Reorganization”) of the Predeces</w:t>
      </w:r>
      <w:r>
        <w:rPr>
          <w:sz w:val="20"/>
          <w:szCs w:val="20"/>
        </w:rPr>
        <w:t xml:space="preserve">sor’s business into an umbrella partnership real estate investment trust, or “UPREIT”. On </w:t>
      </w:r>
      <w:r>
        <w:rPr>
          <w:rStyle w:val="a6"/>
          <w:sz w:val="20"/>
          <w:szCs w:val="20"/>
        </w:rPr>
        <w:t xml:space="preserve">January 1, 2023, </w:t>
      </w:r>
      <w:r>
        <w:rPr>
          <w:sz w:val="20"/>
          <w:szCs w:val="20"/>
        </w:rPr>
        <w:t>to effect the Reorganization, the Company completed a merger (the “UPREIT Merger”) with KRC Merger Sub Corp. (“Merger Sub”), which was a Maryland cor</w:t>
      </w:r>
      <w:r>
        <w:rPr>
          <w:sz w:val="20"/>
          <w:szCs w:val="20"/>
        </w:rPr>
        <w:t>poration and wholly-owned subsidiary of the Company (formerly known as New KRC Corp.) (the “Parent Company”), which was a Maryland corporation and wholly-owned subsidiary of the Predecessor.  Pursuant to the UPREIT Merger, Merger Sub merged with and into t</w:t>
      </w:r>
      <w:r>
        <w:rPr>
          <w:sz w:val="20"/>
          <w:szCs w:val="20"/>
        </w:rPr>
        <w:t xml:space="preserve">he Predecessor, with the Predecessor continuing as the surviving entity and a wholly-owned subsidiary of the Parent Company, and each outstanding share of capital stock of the Predecessor was converted into </w:t>
      </w:r>
      <w:r>
        <w:rPr>
          <w:rStyle w:val="a6"/>
          <w:sz w:val="20"/>
          <w:szCs w:val="20"/>
        </w:rPr>
        <w:t>one</w:t>
      </w:r>
      <w:r>
        <w:rPr>
          <w:sz w:val="20"/>
          <w:szCs w:val="20"/>
        </w:rPr>
        <w:t xml:space="preserve"> equivalent share of capital stock of the Pare</w:t>
      </w:r>
      <w:r>
        <w:rPr>
          <w:sz w:val="20"/>
          <w:szCs w:val="20"/>
        </w:rPr>
        <w:t xml:space="preserve">nt Company (each of which has continued to trade under their respective existing ticker symbol with the same rights, powers and limitations that existed immediately prior to the Reorganization). Effective as of </w:t>
      </w:r>
      <w:r>
        <w:rPr>
          <w:rStyle w:val="a6"/>
          <w:sz w:val="20"/>
          <w:szCs w:val="20"/>
        </w:rPr>
        <w:t xml:space="preserve">January 3, 2023, </w:t>
      </w:r>
      <w:r>
        <w:rPr>
          <w:sz w:val="20"/>
          <w:szCs w:val="20"/>
        </w:rPr>
        <w:t>the Predecessor converted in</w:t>
      </w:r>
      <w:r>
        <w:rPr>
          <w:sz w:val="20"/>
          <w:szCs w:val="20"/>
        </w:rPr>
        <w:t xml:space="preserve">to a limited liability company, organized in the State of Delaware, known as Kimco Realty OP, LLC (“Kimco OP”). In connection with the Reorganization, the Parent Company changed its name to Kimco Realty Corporation, and replaced the Predecessor as the New </w:t>
      </w:r>
      <w:r>
        <w:rPr>
          <w:sz w:val="20"/>
          <w:szCs w:val="20"/>
        </w:rPr>
        <w:t>York Stock Exchange-listed public company.</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520"/>
        <w:jc w:val="both"/>
        <w:rPr>
          <w:sz w:val="20"/>
          <w:szCs w:val="20"/>
        </w:rPr>
      </w:pPr>
      <w:r>
        <w:rPr>
          <w:sz w:val="20"/>
          <w:szCs w:val="20"/>
        </w:rPr>
        <w:t>Following the Reorganization, substantially all of the Company’s assets are held by, and substantially all of the Company’s operations are conducted through, Kimco OP (either directly or through its subsidiaries</w:t>
      </w:r>
      <w:r>
        <w:rPr>
          <w:sz w:val="20"/>
          <w:szCs w:val="20"/>
        </w:rPr>
        <w:t>), as the Company’s operating company, and the Company is the managing member of Kimco OP. The officers and directors of the Company are the same as the officers and directors of the Predecessor as immediately prior to the Reorganization.</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ind w:left="520"/>
        <w:rPr>
          <w:sz w:val="20"/>
          <w:szCs w:val="20"/>
        </w:rPr>
      </w:pPr>
      <w:r>
        <w:rPr>
          <w:sz w:val="20"/>
          <w:szCs w:val="20"/>
        </w:rPr>
        <w:t xml:space="preserve">See Footnote </w:t>
      </w:r>
      <w:r>
        <w:rPr>
          <w:rStyle w:val="a6"/>
          <w:sz w:val="20"/>
          <w:szCs w:val="20"/>
        </w:rPr>
        <w:t>9</w:t>
      </w:r>
      <w:r>
        <w:rPr>
          <w:sz w:val="20"/>
          <w:szCs w:val="20"/>
        </w:rPr>
        <w:t xml:space="preserve"> </w:t>
      </w:r>
      <w:r>
        <w:rPr>
          <w:sz w:val="20"/>
          <w:szCs w:val="20"/>
        </w:rPr>
        <w:t>of the Company’s Consolidated Financial Statements for discussion of the ACI special dividend.</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divId w:val="626858493"/>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ind w:left="360"/>
        <w:jc w:val="both"/>
        <w:rPr>
          <w:sz w:val="20"/>
          <w:szCs w:val="20"/>
        </w:rPr>
      </w:pPr>
      <w:r>
        <w:rPr>
          <w:sz w:val="20"/>
          <w:szCs w:val="20"/>
        </w:rPr>
        <w:t> </w:t>
      </w:r>
    </w:p>
    <w:p w:rsidR="00000000" w:rsidRDefault="006954AA">
      <w:pPr>
        <w:jc w:val="center"/>
        <w:divId w:val="428277805"/>
        <w:rPr>
          <w:rFonts w:eastAsia="Times New Roman"/>
          <w:sz w:val="20"/>
          <w:szCs w:val="20"/>
        </w:rPr>
      </w:pPr>
      <w:r>
        <w:rPr>
          <w:rFonts w:eastAsia="Times New Roman"/>
          <w:sz w:val="20"/>
          <w:szCs w:val="20"/>
        </w:rPr>
        <w:t xml:space="preserve">100 </w:t>
      </w:r>
    </w:p>
    <w:p w:rsidR="00000000" w:rsidRDefault="006954AA">
      <w:pPr>
        <w:divId w:val="428277805"/>
        <w:rPr>
          <w:rFonts w:eastAsia="Times New Roman"/>
          <w:sz w:val="20"/>
          <w:szCs w:val="20"/>
        </w:rPr>
      </w:pPr>
      <w:r>
        <w:rPr>
          <w:rFonts w:eastAsia="Times New Roman"/>
          <w:sz w:val="20"/>
          <w:szCs w:val="20"/>
        </w:rPr>
        <w:pict>
          <v:rect id="_x0000_i1135" style="width:415.3pt;height:1.5pt" o:hralign="center" o:hrstd="t" o:hrnoshade="t" o:hr="t" fillcolor="black" stroked="f"/>
        </w:pict>
      </w:r>
    </w:p>
    <w:p w:rsidR="00000000" w:rsidRDefault="006954AA">
      <w:pPr>
        <w:divId w:val="428277805"/>
        <w:rPr>
          <w:rFonts w:eastAsia="Times New Roman"/>
          <w:sz w:val="20"/>
          <w:szCs w:val="20"/>
        </w:rPr>
      </w:pPr>
      <w:r>
        <w:rPr>
          <w:rFonts w:eastAsia="Times New Roman"/>
          <w:sz w:val="20"/>
          <w:szCs w:val="20"/>
        </w:rPr>
        <w:t xml:space="preserve">  </w:t>
      </w:r>
    </w:p>
    <w:p w:rsidR="00000000" w:rsidRDefault="006954AA">
      <w:pPr>
        <w:divId w:val="1017081357"/>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jc w:val="center"/>
        <w:rPr>
          <w:sz w:val="20"/>
          <w:szCs w:val="20"/>
        </w:rPr>
      </w:pPr>
      <w:r>
        <w:rPr>
          <w:sz w:val="20"/>
          <w:szCs w:val="20"/>
        </w:rPr>
        <w:t>KIMCO REALTY CORPORATION AND SUBSIDIARIES</w:t>
      </w:r>
    </w:p>
    <w:p w:rsidR="00000000" w:rsidRDefault="006954AA">
      <w:pPr>
        <w:pStyle w:val="a3"/>
        <w:spacing w:before="0" w:beforeAutospacing="0" w:after="0" w:afterAutospacing="0"/>
        <w:jc w:val="center"/>
        <w:rPr>
          <w:sz w:val="20"/>
          <w:szCs w:val="20"/>
        </w:rPr>
      </w:pPr>
      <w:r>
        <w:rPr>
          <w:sz w:val="20"/>
          <w:szCs w:val="20"/>
        </w:rPr>
        <w:br/>
        <w:t>SCHEDULE II – VALUATION AND QUALIFYING ACCOUNTS</w:t>
      </w:r>
    </w:p>
    <w:p w:rsidR="00000000" w:rsidRDefault="006954AA">
      <w:pPr>
        <w:pStyle w:val="a3"/>
        <w:spacing w:before="0" w:beforeAutospacing="0" w:after="0" w:afterAutospacing="0"/>
        <w:jc w:val="center"/>
        <w:rPr>
          <w:sz w:val="20"/>
          <w:szCs w:val="20"/>
        </w:rPr>
      </w:pPr>
      <w:r>
        <w:rPr>
          <w:sz w:val="20"/>
          <w:szCs w:val="20"/>
        </w:rPr>
        <w:br/>
        <w:t xml:space="preserve">For the Years Ended </w:t>
      </w:r>
      <w:r>
        <w:rPr>
          <w:rStyle w:val="a6"/>
          <w:sz w:val="20"/>
          <w:szCs w:val="20"/>
        </w:rPr>
        <w:t>December 31, 2022, 2021</w:t>
      </w:r>
      <w:r>
        <w:rPr>
          <w:sz w:val="20"/>
          <w:szCs w:val="20"/>
        </w:rPr>
        <w:t xml:space="preserve"> and </w:t>
      </w:r>
      <w:r>
        <w:rPr>
          <w:rStyle w:val="a6"/>
          <w:sz w:val="20"/>
          <w:szCs w:val="20"/>
        </w:rPr>
        <w:t>2020</w:t>
      </w:r>
      <w:r>
        <w:rPr>
          <w:sz w:val="20"/>
          <w:szCs w:val="20"/>
        </w:rPr>
        <w:br/>
        <w:t>(in thousands)</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734"/>
        <w:gridCol w:w="51"/>
        <w:gridCol w:w="101"/>
        <w:gridCol w:w="768"/>
        <w:gridCol w:w="50"/>
        <w:gridCol w:w="50"/>
        <w:gridCol w:w="101"/>
        <w:gridCol w:w="756"/>
        <w:gridCol w:w="51"/>
        <w:gridCol w:w="51"/>
        <w:gridCol w:w="100"/>
        <w:gridCol w:w="990"/>
        <w:gridCol w:w="67"/>
        <w:gridCol w:w="50"/>
        <w:gridCol w:w="101"/>
        <w:gridCol w:w="869"/>
        <w:gridCol w:w="67"/>
        <w:gridCol w:w="50"/>
        <w:gridCol w:w="101"/>
        <w:gridCol w:w="731"/>
        <w:gridCol w:w="52"/>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Balance at</w:t>
            </w:r>
          </w:p>
          <w:p w:rsidR="00000000" w:rsidRDefault="006954AA">
            <w:pPr>
              <w:pStyle w:val="a3"/>
              <w:spacing w:before="0" w:beforeAutospacing="0" w:after="0" w:afterAutospacing="0"/>
              <w:jc w:val="center"/>
              <w:rPr>
                <w:sz w:val="20"/>
                <w:szCs w:val="20"/>
              </w:rPr>
            </w:pPr>
            <w:r>
              <w:rPr>
                <w:b/>
                <w:bCs/>
                <w:sz w:val="20"/>
                <w:szCs w:val="20"/>
              </w:rPr>
              <w:t xml:space="preserve">beginning of </w:t>
            </w:r>
          </w:p>
          <w:p w:rsidR="00000000" w:rsidRDefault="006954AA">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Charged to </w:t>
            </w:r>
          </w:p>
          <w:p w:rsidR="00000000" w:rsidRDefault="006954AA">
            <w:pPr>
              <w:pStyle w:val="a3"/>
              <w:spacing w:before="0" w:beforeAutospacing="0" w:after="0" w:afterAutospacing="0"/>
              <w:jc w:val="center"/>
              <w:rPr>
                <w:sz w:val="20"/>
                <w:szCs w:val="20"/>
              </w:rPr>
            </w:pPr>
            <w:r>
              <w:rPr>
                <w:b/>
                <w:bCs/>
                <w:sz w:val="20"/>
                <w:szCs w:val="20"/>
              </w:rPr>
              <w:t>expenses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Adjustments to </w:t>
            </w:r>
          </w:p>
          <w:p w:rsidR="00000000" w:rsidRDefault="006954AA">
            <w:pPr>
              <w:pStyle w:val="a3"/>
              <w:spacing w:before="0" w:beforeAutospacing="0" w:after="0" w:afterAutospacing="0"/>
              <w:jc w:val="center"/>
              <w:rPr>
                <w:sz w:val="20"/>
                <w:szCs w:val="20"/>
              </w:rPr>
            </w:pPr>
            <w:r>
              <w:rPr>
                <w:b/>
                <w:bCs/>
                <w:sz w:val="20"/>
                <w:szCs w:val="20"/>
              </w:rPr>
              <w:t>valuation</w:t>
            </w:r>
          </w:p>
          <w:p w:rsidR="00000000" w:rsidRDefault="006954AA">
            <w:pPr>
              <w:pStyle w:val="a3"/>
              <w:spacing w:before="0" w:beforeAutospacing="0" w:after="0" w:afterAutospacing="0"/>
              <w:jc w:val="center"/>
              <w:rPr>
                <w:sz w:val="20"/>
                <w:szCs w:val="20"/>
              </w:rPr>
            </w:pPr>
            <w:r>
              <w:rPr>
                <w:b/>
                <w:bCs/>
                <w:sz w:val="20"/>
                <w:szCs w:val="20"/>
              </w:rPr>
              <w:t>accounts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Deductions</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Balance at </w:t>
            </w:r>
          </w:p>
          <w:p w:rsidR="00000000" w:rsidRDefault="006954AA">
            <w:pPr>
              <w:pStyle w:val="a3"/>
              <w:spacing w:before="0" w:beforeAutospacing="0" w:after="0" w:afterAutospacing="0"/>
              <w:jc w:val="center"/>
              <w:rPr>
                <w:sz w:val="20"/>
                <w:szCs w:val="20"/>
              </w:rPr>
            </w:pPr>
            <w:r>
              <w:rPr>
                <w:b/>
                <w:bCs/>
                <w:sz w:val="20"/>
                <w:szCs w:val="20"/>
              </w:rPr>
              <w:t>end of</w:t>
            </w:r>
          </w:p>
          <w:p w:rsidR="00000000" w:rsidRDefault="006954AA">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Year Ended December 31, 2022</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Allowance for uncollectable accounts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8,339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(1,357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6,982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Allowance for deferred tax asset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4,067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(4,067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Year Ended December 31, 2021</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Allowance for uncollectable accounts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(14,038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8,339</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Allowance for deferred tax asset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36,957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(32,890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4,067</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Year Ended December 31, 2020</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Allowance for uncollectable accounts (1)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sz w:val="20"/>
                <w:szCs w:val="20"/>
              </w:rPr>
              <w:t>Allowance for deferred tax asset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42,703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(5,746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36,957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6954AA">
            <w:pPr>
              <w:rPr>
                <w:rFonts w:eastAsia="Times New Roman"/>
                <w:sz w:val="20"/>
                <w:szCs w:val="20"/>
              </w:rPr>
            </w:pPr>
            <w:r>
              <w:rPr>
                <w:rFonts w:eastAsia="Times New Roman"/>
                <w:sz w:val="20"/>
                <w:szCs w:val="20"/>
              </w:rPr>
              <w:t> </w:t>
            </w:r>
          </w:p>
        </w:tc>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6954AA">
            <w:pPr>
              <w:pStyle w:val="a3"/>
              <w:spacing w:before="0" w:beforeAutospacing="0" w:after="0" w:afterAutospacing="0"/>
              <w:rPr>
                <w:sz w:val="20"/>
                <w:szCs w:val="20"/>
              </w:rPr>
            </w:pPr>
            <w:r>
              <w:rPr>
                <w:sz w:val="20"/>
                <w:szCs w:val="20"/>
              </w:rPr>
              <w:t>Includes allowances on accounts receivable and straight-line rents.</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840341198"/>
        <w:rPr>
          <w:rFonts w:eastAsia="Times New Roman"/>
          <w:sz w:val="20"/>
          <w:szCs w:val="20"/>
        </w:rPr>
      </w:pPr>
      <w:r>
        <w:rPr>
          <w:rStyle w:val="a6"/>
          <w:rFonts w:eastAsia="Times New Roman"/>
          <w:sz w:val="20"/>
          <w:szCs w:val="20"/>
        </w:rPr>
        <w:t>101</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36" style="width:415.3pt;height:1.5pt" o:hralign="center" o:hrstd="t" o:hrnoshade="t" o:hr="t" fillcolor="black" stroked="f"/>
        </w:pict>
      </w:r>
    </w:p>
    <w:p w:rsidR="00000000" w:rsidRDefault="006954AA">
      <w:pPr>
        <w:divId w:val="1549220127"/>
        <w:rPr>
          <w:rFonts w:eastAsia="Times New Roman"/>
          <w:sz w:val="20"/>
          <w:szCs w:val="20"/>
        </w:rPr>
      </w:pP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t xml:space="preserve">  </w:t>
      </w:r>
    </w:p>
    <w:p w:rsidR="00000000" w:rsidRDefault="006954AA">
      <w:pPr>
        <w:divId w:val="225185385"/>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218"/>
        <w:gridCol w:w="88"/>
      </w:tblGrid>
      <w:tr w:rsidR="00000000">
        <w:trPr>
          <w:tblCellSpacing w:w="0" w:type="dxa"/>
        </w:trPr>
        <w:tc>
          <w:tcPr>
            <w:tcW w:w="4700" w:type="pct"/>
            <w:vAlign w:val="bottom"/>
            <w:hideMark/>
          </w:tcPr>
          <w:p w:rsidR="00000000" w:rsidRDefault="006954AA">
            <w:pPr>
              <w:pStyle w:val="a3"/>
              <w:spacing w:before="0" w:beforeAutospacing="0" w:after="0" w:afterAutospacing="0"/>
              <w:jc w:val="center"/>
              <w:rPr>
                <w:sz w:val="20"/>
                <w:szCs w:val="20"/>
              </w:rPr>
            </w:pPr>
            <w:r>
              <w:rPr>
                <w:b/>
                <w:bCs/>
                <w:sz w:val="20"/>
                <w:szCs w:val="20"/>
              </w:rPr>
              <w:t>KIMCO REALTY CORPORATION AND SUBSIDIARIES</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00" w:type="pct"/>
            <w:vAlign w:val="bottom"/>
            <w:hideMark/>
          </w:tcPr>
          <w:p w:rsidR="00000000" w:rsidRDefault="006954AA">
            <w:pPr>
              <w:pStyle w:val="a3"/>
              <w:spacing w:before="0" w:beforeAutospacing="0" w:after="0" w:afterAutospacing="0"/>
              <w:jc w:val="center"/>
              <w:rPr>
                <w:sz w:val="20"/>
                <w:szCs w:val="20"/>
              </w:rPr>
            </w:pPr>
            <w:r>
              <w:rPr>
                <w:b/>
                <w:bCs/>
                <w:sz w:val="20"/>
                <w:szCs w:val="20"/>
              </w:rPr>
              <w:t>SCHEDULE III - REAL ESTATE AND ACCUMULATED DEPRECIATION</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00" w:type="pct"/>
            <w:vAlign w:val="bottom"/>
            <w:hideMark/>
          </w:tcPr>
          <w:p w:rsidR="00000000" w:rsidRDefault="006954AA">
            <w:pPr>
              <w:pStyle w:val="a3"/>
              <w:spacing w:before="0" w:beforeAutospacing="0" w:after="0" w:afterAutospacing="0"/>
              <w:jc w:val="center"/>
              <w:rPr>
                <w:sz w:val="20"/>
                <w:szCs w:val="20"/>
              </w:rPr>
            </w:pPr>
            <w:r>
              <w:rPr>
                <w:rStyle w:val="a6"/>
                <w:b/>
                <w:bCs/>
                <w:sz w:val="20"/>
                <w:szCs w:val="20"/>
              </w:rPr>
              <w:t>December 31, 2022</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4700" w:type="pct"/>
            <w:vAlign w:val="bottom"/>
            <w:hideMark/>
          </w:tcPr>
          <w:p w:rsidR="00000000" w:rsidRDefault="006954AA">
            <w:pPr>
              <w:pStyle w:val="a3"/>
              <w:spacing w:before="0" w:beforeAutospacing="0" w:after="0" w:afterAutospacing="0"/>
              <w:jc w:val="center"/>
              <w:rPr>
                <w:sz w:val="20"/>
                <w:szCs w:val="20"/>
              </w:rPr>
            </w:pPr>
            <w:r>
              <w:rPr>
                <w:b/>
                <w:bCs/>
                <w:sz w:val="20"/>
                <w:szCs w:val="20"/>
              </w:rPr>
              <w:t>(in thousands)</w:t>
            </w:r>
          </w:p>
        </w:tc>
        <w:tc>
          <w:tcPr>
            <w:tcW w:w="50" w:type="pct"/>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34"/>
        <w:gridCol w:w="304"/>
        <w:gridCol w:w="35"/>
        <w:gridCol w:w="70"/>
        <w:gridCol w:w="385"/>
        <w:gridCol w:w="35"/>
        <w:gridCol w:w="35"/>
        <w:gridCol w:w="168"/>
        <w:gridCol w:w="1007"/>
        <w:gridCol w:w="35"/>
        <w:gridCol w:w="35"/>
        <w:gridCol w:w="139"/>
        <w:gridCol w:w="834"/>
        <w:gridCol w:w="47"/>
        <w:gridCol w:w="35"/>
        <w:gridCol w:w="70"/>
        <w:gridCol w:w="385"/>
        <w:gridCol w:w="35"/>
        <w:gridCol w:w="35"/>
        <w:gridCol w:w="168"/>
        <w:gridCol w:w="1007"/>
        <w:gridCol w:w="35"/>
        <w:gridCol w:w="35"/>
        <w:gridCol w:w="70"/>
        <w:gridCol w:w="455"/>
        <w:gridCol w:w="35"/>
        <w:gridCol w:w="35"/>
        <w:gridCol w:w="160"/>
        <w:gridCol w:w="960"/>
        <w:gridCol w:w="35"/>
        <w:gridCol w:w="35"/>
        <w:gridCol w:w="160"/>
        <w:gridCol w:w="960"/>
        <w:gridCol w:w="35"/>
        <w:gridCol w:w="35"/>
        <w:gridCol w:w="172"/>
        <w:gridCol w:w="1026"/>
        <w:gridCol w:w="35"/>
        <w:gridCol w:w="1338"/>
      </w:tblGrid>
      <w:tr w:rsidR="00000000">
        <w:trPr>
          <w:tblCellSpacing w:w="0" w:type="dxa"/>
        </w:trPr>
        <w:tc>
          <w:tcPr>
            <w:tcW w:w="650" w:type="pct"/>
            <w:vAlign w:val="bottom"/>
            <w:hideMark/>
          </w:tcPr>
          <w:p w:rsidR="00000000" w:rsidRDefault="006954AA">
            <w:pPr>
              <w:rPr>
                <w:rFonts w:eastAsia="Times New Roman"/>
                <w:sz w:val="14"/>
                <w:szCs w:val="14"/>
              </w:rPr>
            </w:pPr>
            <w:r>
              <w:rPr>
                <w:rFonts w:eastAsia="Times New Roman"/>
                <w:sz w:val="14"/>
                <w:szCs w:val="14"/>
              </w:rPr>
              <w:t> </w:t>
            </w:r>
          </w:p>
        </w:tc>
        <w:tc>
          <w:tcPr>
            <w:tcW w:w="1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450" w:type="pct"/>
            <w:gridSpan w:val="6"/>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INITIAL COST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 xml:space="preserve">COST CAPITALIZED </w:t>
            </w:r>
          </w:p>
          <w:p w:rsidR="00000000" w:rsidRDefault="006954AA">
            <w:pPr>
              <w:jc w:val="center"/>
              <w:rPr>
                <w:rFonts w:eastAsia="Times New Roman"/>
                <w:sz w:val="14"/>
                <w:szCs w:val="14"/>
              </w:rPr>
            </w:pPr>
            <w:r>
              <w:rPr>
                <w:rFonts w:eastAsia="Times New Roman"/>
                <w:b/>
                <w:bCs/>
                <w:sz w:val="14"/>
                <w:szCs w:val="14"/>
              </w:rPr>
              <w:t>SUBSEQUENT TO</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25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jc w:val="center"/>
              <w:rPr>
                <w:rFonts w:eastAsia="Times New Roman"/>
                <w:sz w:val="14"/>
                <w:szCs w:val="14"/>
              </w:rPr>
            </w:pPr>
            <w:r>
              <w:rPr>
                <w:rFonts w:eastAsia="Times New Roman"/>
                <w:b/>
                <w:bCs/>
                <w:sz w:val="14"/>
                <w:szCs w:val="14"/>
              </w:rPr>
              <w:t>BUILDING</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25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30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 xml:space="preserve">TOTAL COST, </w:t>
            </w:r>
          </w:p>
          <w:p w:rsidR="00000000" w:rsidRDefault="006954AA">
            <w:pPr>
              <w:jc w:val="center"/>
              <w:rPr>
                <w:rFonts w:eastAsia="Times New Roman"/>
                <w:sz w:val="14"/>
                <w:szCs w:val="14"/>
              </w:rPr>
            </w:pPr>
            <w:r>
              <w:rPr>
                <w:rFonts w:eastAsia="Times New Roman"/>
                <w:b/>
                <w:bCs/>
                <w:sz w:val="14"/>
                <w:szCs w:val="14"/>
              </w:rPr>
              <w:t>NET OF</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30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300" w:type="pct"/>
            <w:vAlign w:val="bottom"/>
            <w:hideMark/>
          </w:tcPr>
          <w:p w:rsidR="00000000" w:rsidRDefault="006954AA">
            <w:pPr>
              <w:pStyle w:val="a3"/>
              <w:spacing w:before="0" w:beforeAutospacing="0" w:after="0" w:afterAutospacing="0"/>
              <w:jc w:val="center"/>
              <w:rPr>
                <w:sz w:val="14"/>
                <w:szCs w:val="14"/>
              </w:rPr>
            </w:pPr>
            <w:r>
              <w:rPr>
                <w:b/>
                <w:bCs/>
                <w:sz w:val="14"/>
                <w:szCs w:val="14"/>
              </w:rPr>
              <w:t xml:space="preserve">DATE OF </w:t>
            </w:r>
          </w:p>
        </w:tc>
      </w:tr>
      <w:tr w:rsidR="00000000">
        <w:trPr>
          <w:tblCellSpacing w:w="0" w:type="dxa"/>
        </w:trPr>
        <w:tc>
          <w:tcPr>
            <w:tcW w:w="650" w:type="pct"/>
            <w:vAlign w:val="bottom"/>
            <w:hideMark/>
          </w:tcPr>
          <w:p w:rsidR="00000000" w:rsidRDefault="006954AA">
            <w:pPr>
              <w:rPr>
                <w:rFonts w:eastAsia="Times New Roman"/>
                <w:sz w:val="14"/>
                <w:szCs w:val="14"/>
              </w:rPr>
            </w:pPr>
            <w:r>
              <w:rPr>
                <w:rFonts w:eastAsia="Times New Roman"/>
                <w:sz w:val="14"/>
                <w:szCs w:val="14"/>
              </w:rPr>
              <w:t> </w:t>
            </w:r>
          </w:p>
        </w:tc>
        <w:tc>
          <w:tcPr>
            <w:tcW w:w="1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25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 xml:space="preserve">BUILDING AND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ACQUISITION</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25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 xml:space="preserve">AND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250" w:type="pct"/>
            <w:vAlign w:val="bottom"/>
            <w:hideMark/>
          </w:tcPr>
          <w:p w:rsidR="00000000" w:rsidRDefault="006954AA">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b/>
                <w:b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 xml:space="preserve">ACCUMULATED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pStyle w:val="a3"/>
              <w:spacing w:before="0" w:beforeAutospacing="0" w:after="0" w:afterAutospacing="0"/>
              <w:jc w:val="center"/>
              <w:rPr>
                <w:sz w:val="14"/>
                <w:szCs w:val="14"/>
              </w:rPr>
            </w:pPr>
            <w:r>
              <w:rPr>
                <w:b/>
                <w:bCs/>
                <w:sz w:val="14"/>
                <w:szCs w:val="14"/>
              </w:rPr>
              <w:t xml:space="preserve">ACCUMULATED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vAlign w:val="bottom"/>
            <w:hideMark/>
          </w:tcPr>
          <w:p w:rsidR="00000000" w:rsidRDefault="006954AA">
            <w:pPr>
              <w:jc w:val="center"/>
              <w:rPr>
                <w:rFonts w:eastAsia="Times New Roman"/>
                <w:sz w:val="14"/>
                <w:szCs w:val="14"/>
              </w:rPr>
            </w:pPr>
            <w:r>
              <w:rPr>
                <w:rFonts w:eastAsia="Times New Roman"/>
                <w:b/>
                <w:bCs/>
                <w:sz w:val="14"/>
                <w:szCs w:val="14"/>
              </w:rPr>
              <w:t>ENCUMBRANCES</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pStyle w:val="a3"/>
              <w:spacing w:before="0" w:beforeAutospacing="0" w:after="0" w:afterAutospacing="0"/>
              <w:jc w:val="center"/>
              <w:rPr>
                <w:sz w:val="14"/>
                <w:szCs w:val="14"/>
              </w:rPr>
            </w:pPr>
            <w:r>
              <w:rPr>
                <w:b/>
                <w:bCs/>
                <w:sz w:val="14"/>
                <w:szCs w:val="14"/>
              </w:rPr>
              <w:t xml:space="preserve">ACQUISITION(A) </w:t>
            </w:r>
          </w:p>
        </w:tc>
      </w:tr>
      <w:tr w:rsidR="00000000">
        <w:trPr>
          <w:tblCellSpacing w:w="0" w:type="dxa"/>
        </w:trPr>
        <w:tc>
          <w:tcPr>
            <w:tcW w:w="650" w:type="pct"/>
            <w:tcBorders>
              <w:bottom w:val="single" w:sz="6" w:space="0" w:color="000000"/>
            </w:tcBorders>
            <w:vAlign w:val="bottom"/>
            <w:hideMark/>
          </w:tcPr>
          <w:p w:rsidR="00000000" w:rsidRDefault="006954AA">
            <w:pPr>
              <w:pStyle w:val="a3"/>
              <w:spacing w:before="0" w:beforeAutospacing="0" w:after="0" w:afterAutospacing="0"/>
              <w:rPr>
                <w:sz w:val="14"/>
                <w:szCs w:val="14"/>
              </w:rPr>
            </w:pPr>
            <w:r>
              <w:rPr>
                <w:b/>
                <w:bCs/>
                <w:sz w:val="14"/>
                <w:szCs w:val="14"/>
              </w:rPr>
              <w:t>DESCRIPTION</w:t>
            </w:r>
          </w:p>
        </w:tc>
        <w:tc>
          <w:tcPr>
            <w:tcW w:w="150" w:type="pct"/>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State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LAND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IMPROVEMENTS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jc w:val="center"/>
              <w:rPr>
                <w:rFonts w:eastAsia="Times New Roman"/>
                <w:sz w:val="14"/>
                <w:szCs w:val="14"/>
              </w:rPr>
            </w:pPr>
            <w:r>
              <w:rPr>
                <w:rFonts w:eastAsia="Times New Roman"/>
                <w:b/>
                <w:bCs/>
                <w:sz w:val="14"/>
                <w:szCs w:val="14"/>
              </w:rPr>
              <w:t>(1)</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LAND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IMPROVEMENTS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TOTAL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DEPRECIATION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DEPRECIATION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6954AA">
            <w:pPr>
              <w:jc w:val="center"/>
              <w:rPr>
                <w:rFonts w:eastAsia="Times New Roman"/>
                <w:sz w:val="14"/>
                <w:szCs w:val="14"/>
              </w:rPr>
            </w:pPr>
            <w:r>
              <w:rPr>
                <w:rFonts w:eastAsia="Times New Roman"/>
                <w:b/>
                <w:bCs/>
                <w:sz w:val="14"/>
                <w:szCs w:val="14"/>
              </w:rPr>
              <w:t>(2)</w:t>
            </w:r>
          </w:p>
        </w:tc>
        <w:tc>
          <w:tcPr>
            <w:tcW w:w="50" w:type="pct"/>
            <w:tcBorders>
              <w:bottom w:val="single" w:sz="6" w:space="0" w:color="000000"/>
            </w:tcBorders>
            <w:vAlign w:val="bottom"/>
            <w:hideMark/>
          </w:tcPr>
          <w:p w:rsidR="00000000" w:rsidRDefault="006954AA">
            <w:pPr>
              <w:rPr>
                <w:rFonts w:eastAsia="Times New Roman"/>
                <w:sz w:val="14"/>
                <w:szCs w:val="14"/>
              </w:rPr>
            </w:pPr>
            <w:r>
              <w:rPr>
                <w:rFonts w:eastAsia="Times New Roman"/>
                <w:sz w:val="14"/>
                <w:szCs w:val="14"/>
              </w:rPr>
              <w:t> </w:t>
            </w:r>
          </w:p>
        </w:tc>
        <w:tc>
          <w:tcPr>
            <w:tcW w:w="300" w:type="pct"/>
            <w:tcBorders>
              <w:bottom w:val="single" w:sz="6" w:space="0" w:color="000000"/>
            </w:tcBorders>
            <w:vAlign w:val="bottom"/>
            <w:hideMark/>
          </w:tcPr>
          <w:p w:rsidR="00000000" w:rsidRDefault="006954AA">
            <w:pPr>
              <w:pStyle w:val="a3"/>
              <w:spacing w:before="0" w:beforeAutospacing="0" w:after="0" w:afterAutospacing="0"/>
              <w:jc w:val="center"/>
              <w:rPr>
                <w:sz w:val="14"/>
                <w:szCs w:val="14"/>
              </w:rPr>
            </w:pPr>
            <w:r>
              <w:rPr>
                <w:b/>
                <w:bCs/>
                <w:sz w:val="14"/>
                <w:szCs w:val="14"/>
              </w:rPr>
              <w:t xml:space="preserve">CONSTRUCTION(C) </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rPr>
                <w:sz w:val="14"/>
                <w:szCs w:val="14"/>
              </w:rPr>
            </w:pPr>
            <w:r>
              <w:rPr>
                <w:i/>
                <w:iCs/>
                <w:sz w:val="14"/>
                <w:szCs w:val="14"/>
              </w:rPr>
              <w:t>SHOPPING CENTERS</w:t>
            </w:r>
          </w:p>
        </w:tc>
        <w:tc>
          <w:tcPr>
            <w:tcW w:w="1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2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2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2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ARCADIA BILTMORE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tcMar>
              <w:top w:w="0" w:type="dxa"/>
              <w:left w:w="180" w:type="dxa"/>
              <w:bottom w:w="0" w:type="dxa"/>
              <w:right w:w="0" w:type="dxa"/>
            </w:tcMar>
            <w:vAlign w:val="bottom"/>
            <w:hideMark/>
          </w:tcPr>
          <w:p w:rsidR="00000000" w:rsidRDefault="006954AA">
            <w:pPr>
              <w:pStyle w:val="a3"/>
              <w:spacing w:before="0" w:beforeAutospacing="0" w:after="0" w:afterAutospacing="0"/>
              <w:rPr>
                <w:sz w:val="14"/>
                <w:szCs w:val="14"/>
              </w:rPr>
            </w:pPr>
            <w:r>
              <w:rPr>
                <w:sz w:val="14"/>
                <w:szCs w:val="14"/>
              </w:rPr>
              <w:t>BELL CAMINO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BELL CAMINO-SAFEWAY 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BROADWAY MARKETPLACE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14,331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CAMELBACK MILLER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29,230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30,027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33,522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CAMELBACK VILLAGE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13,038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CHRISTOWN SPECTRUM</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33,831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91,004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16,234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76,639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64,430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141,069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19,295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121,774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COLLEGE PARK SHOPPING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12,287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DESERT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22,025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26,690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ENTRADA DE ORO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16,749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FOUNTAIN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20,373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20,425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25,219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24,028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MADERA VILLAGE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MADISON VILLAGE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18,343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18,547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MESA RIVERVIEW</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142,787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157,479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157,787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74,754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83,033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2005(C)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METRO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19,045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23,146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MONTE VISTA VILLAGE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12,410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VALLEY</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18,201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15,053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35,320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31,839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PLAZA AT MOUNTAINSIDE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12,254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14,704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PLAZA DEL SOL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21,270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23,808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28,386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PUEBLO ANOZIRA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32,808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12,218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RAINTREE RANCH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30,743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30,723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38,443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36,420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RED MOUNTAIN GATEWAY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14,076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SCOTTSDALE HORIZON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36,728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37,808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45,999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43,559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SCOTTSDALE WATERFRONT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30,112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29,913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45,785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43,553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SHOPPES AT BEARS PATH</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SQUAW PEAK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17,021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19,624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18,132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VILLAGE CROSSROADS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24,981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26,394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32,057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8,382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23,675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18"/>
        <w:gridCol w:w="238"/>
        <w:gridCol w:w="72"/>
        <w:gridCol w:w="72"/>
        <w:gridCol w:w="405"/>
        <w:gridCol w:w="73"/>
        <w:gridCol w:w="73"/>
        <w:gridCol w:w="73"/>
        <w:gridCol w:w="488"/>
        <w:gridCol w:w="73"/>
        <w:gridCol w:w="73"/>
        <w:gridCol w:w="73"/>
        <w:gridCol w:w="488"/>
        <w:gridCol w:w="73"/>
        <w:gridCol w:w="73"/>
        <w:gridCol w:w="73"/>
        <w:gridCol w:w="405"/>
        <w:gridCol w:w="73"/>
        <w:gridCol w:w="73"/>
        <w:gridCol w:w="73"/>
        <w:gridCol w:w="488"/>
        <w:gridCol w:w="73"/>
        <w:gridCol w:w="73"/>
        <w:gridCol w:w="73"/>
        <w:gridCol w:w="455"/>
        <w:gridCol w:w="73"/>
        <w:gridCol w:w="73"/>
        <w:gridCol w:w="73"/>
        <w:gridCol w:w="488"/>
        <w:gridCol w:w="73"/>
        <w:gridCol w:w="73"/>
        <w:gridCol w:w="73"/>
        <w:gridCol w:w="488"/>
        <w:gridCol w:w="73"/>
        <w:gridCol w:w="73"/>
        <w:gridCol w:w="73"/>
        <w:gridCol w:w="488"/>
        <w:gridCol w:w="73"/>
        <w:gridCol w:w="488"/>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280 METRO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38,735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94,903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38,735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95,636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134,371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20,295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114,076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580 MARKET 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48,768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48,800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61,569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58,882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8000 SUNSET STRIP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43,012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85,115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43,012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85,836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128,848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121,884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AAA BUILDING AT STEVENS CREEK</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ANAHEIM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34,228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73,765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34,228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78,936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113,164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BLACK MOUNTAIN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14,067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BROOKHURST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31,358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22,300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23,756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46,056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39,639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BROOKVALE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14,050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19,771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14,050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20,997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35,047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33,427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CAMBRIAN PARK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41,258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41,258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44,763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43,595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CENTERWOOD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21,768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CHICO CROSSROADS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30,535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r>
              <w:rPr>
                <w:rFonts w:eastAsia="Times New Roman"/>
                <w:sz w:val="14"/>
                <w:szCs w:val="14"/>
              </w:rPr>
              <w:t>5,393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27,213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23,032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CHINO HILLS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72,529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72,676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90,378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85,213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CITY HEIGHTS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28,325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38,570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32,144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CORONA HILLS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13,361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53,373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13,361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66,169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79,530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41,900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37,630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COSTCO PLAZA - 541</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19,983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25,580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12,405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CREEKSIDE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CROCKER RANCH</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24,990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32,516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26,596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CUPERTINO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19,886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46,535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27,695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19,886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74,230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94,116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26,513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67,603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EL CAMINO PROMENADE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37,592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41,836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49,208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FREEDOM CENTRE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18,622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27,636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25,964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FULTON MARKET 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16,707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26,594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GATEWAY AT DONNER PASS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8,319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24,082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GATEWAY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65,851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65,924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84,296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79,707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GREENHOUSE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27,721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27,653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38,629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35,980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GREENHOUSE MARKETPLACE 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11,968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HOME DEPOT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18,345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18,347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22,939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KENNETH HAHN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2010(A)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 MIRADA THEATRE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8,817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35,260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36,897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43,786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22,863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20,923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LA VERNE TOWN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23,856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16,362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28,674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45,036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36,947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LABAND VILLAGE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13,289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17,884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LAKEWOOD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LAKEWOOD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21,068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32,751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26,378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LINCOLN HILLS TOWN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26,127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26,570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34,799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27,422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LINDA MAR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37,521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59,138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47,185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MADISON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23,476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28,419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34,293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18,571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COUNTY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10,205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20,895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39,640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34,246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NOVATO FAIR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15,600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17,730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26,990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19,009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ON THE CORNER AT STEVENS CREEK</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PLAZA DI NORTHRIDGE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40,575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41,866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54,766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17,878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36,888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POWAY CITY CENTRE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21,607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28,855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RANCHO PENASQUITOS TOWNE CTR 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35,986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30,840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RANCHO PENASQUITOS TWN CTR 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20,324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34,074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29,069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RANCHO PENASQUITOS-VONS PROP.</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RANCHO SAN MARCOS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29,357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9,483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34,673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44,156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42,435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REDWOOD CITY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14,668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SAN DIEGO CARMEL MOUNTAIN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8,874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SAN MARCOS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14,624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16,507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SANTEE TROLLEY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40,209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62,964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40,209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63,483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103,692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21,856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81,836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SILVER CREEK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33,541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53,176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33,541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53,272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86,813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83,157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SOUTH NAPA MARKET 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22,159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21,689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23,119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21,829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44,948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SOUTHAMPTON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64,096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r>
              <w:rPr>
                <w:rFonts w:eastAsia="Times New Roman"/>
                <w:sz w:val="14"/>
                <w:szCs w:val="14"/>
              </w:rPr>
              <w:t>163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63,933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74,222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70,142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STANFORD RANCH</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30,007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33,677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43,660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35,826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STEVENS CREEK CENTRAL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41,818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45,886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41,818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45,923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87,741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84,188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STONY POINT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10,361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38,054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10,361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37,833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48,194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45,804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TRUCKEE CROSSROADS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28,325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WESTLAKE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64,819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110,511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175,330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191,504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73,429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118,075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WESTMINSTER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60,428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64,973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60,428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65,211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125,639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117,749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49,285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WHITTWOOD TOWN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57,136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105,815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57,139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109,987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167,126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24,625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142,501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95"/>
        <w:gridCol w:w="240"/>
        <w:gridCol w:w="74"/>
        <w:gridCol w:w="74"/>
        <w:gridCol w:w="406"/>
        <w:gridCol w:w="74"/>
        <w:gridCol w:w="74"/>
        <w:gridCol w:w="75"/>
        <w:gridCol w:w="490"/>
        <w:gridCol w:w="75"/>
        <w:gridCol w:w="75"/>
        <w:gridCol w:w="75"/>
        <w:gridCol w:w="490"/>
        <w:gridCol w:w="75"/>
        <w:gridCol w:w="75"/>
        <w:gridCol w:w="75"/>
        <w:gridCol w:w="407"/>
        <w:gridCol w:w="75"/>
        <w:gridCol w:w="75"/>
        <w:gridCol w:w="75"/>
        <w:gridCol w:w="490"/>
        <w:gridCol w:w="75"/>
        <w:gridCol w:w="75"/>
        <w:gridCol w:w="75"/>
        <w:gridCol w:w="407"/>
        <w:gridCol w:w="75"/>
        <w:gridCol w:w="75"/>
        <w:gridCol w:w="75"/>
        <w:gridCol w:w="490"/>
        <w:gridCol w:w="75"/>
        <w:gridCol w:w="75"/>
        <w:gridCol w:w="75"/>
        <w:gridCol w:w="490"/>
        <w:gridCol w:w="75"/>
        <w:gridCol w:w="75"/>
        <w:gridCol w:w="75"/>
        <w:gridCol w:w="490"/>
        <w:gridCol w:w="75"/>
        <w:gridCol w:w="490"/>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CROSSING AT STONEGATE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11,909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33,111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11,909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33,242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45,151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DENVER WEST 38TH STREET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EAST BANK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14,118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EDGEWATER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32,706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33,163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40,970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39,061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ENGLEWOOD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GREELEY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20,070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24,154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27,467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HERITAGE WEST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8,907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HIGHLANDS RANCH 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HIGHLANDS RANCH VILLAGE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21,580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25,380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30,717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LOWRY TOWN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32,685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32,975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36,246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MARKET AT SOUTHPARK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26,484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36,267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28,641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NORTHRIDGE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15,428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QUINCY PLACE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RIVER POINT AT SHERIDAN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13,223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30,444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12,331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31,579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43,910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39,754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RIVER POINT AT SHERIDAN 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VILLAGE CENTER - HIGHLAND RANCH</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VILLAGE CENTER WEST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VILLAGE ON THE PARK</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8,886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20,340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31,420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BRIGHT HORIZONS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HAMDEN MART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13,668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40,890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46,746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60,972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48,717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18,317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HOME DEPOT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30,798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34,769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42,474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21,677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NEWTOWN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15,635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16,057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16,057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12,533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 FARM SHOPPING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23,348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20,007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49,161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WILTON CAMPUS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31,893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33,682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43,851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9,818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34,033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WILTON RIVER PARK SHOPPING CTR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CT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27,509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28,373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27,620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BRANDYWINE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DE</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36,057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26,375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CAMDEN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DE</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PROMENADE AT CHRISTIANA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DE</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8,340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19,834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2014(C)</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47"/>
        <w:gridCol w:w="222"/>
        <w:gridCol w:w="56"/>
        <w:gridCol w:w="56"/>
        <w:gridCol w:w="455"/>
        <w:gridCol w:w="56"/>
        <w:gridCol w:w="56"/>
        <w:gridCol w:w="56"/>
        <w:gridCol w:w="472"/>
        <w:gridCol w:w="57"/>
        <w:gridCol w:w="57"/>
        <w:gridCol w:w="57"/>
        <w:gridCol w:w="472"/>
        <w:gridCol w:w="57"/>
        <w:gridCol w:w="57"/>
        <w:gridCol w:w="57"/>
        <w:gridCol w:w="389"/>
        <w:gridCol w:w="57"/>
        <w:gridCol w:w="57"/>
        <w:gridCol w:w="57"/>
        <w:gridCol w:w="472"/>
        <w:gridCol w:w="57"/>
        <w:gridCol w:w="57"/>
        <w:gridCol w:w="57"/>
        <w:gridCol w:w="455"/>
        <w:gridCol w:w="57"/>
        <w:gridCol w:w="57"/>
        <w:gridCol w:w="57"/>
        <w:gridCol w:w="472"/>
        <w:gridCol w:w="57"/>
        <w:gridCol w:w="57"/>
        <w:gridCol w:w="57"/>
        <w:gridCol w:w="472"/>
        <w:gridCol w:w="57"/>
        <w:gridCol w:w="57"/>
        <w:gridCol w:w="57"/>
        <w:gridCol w:w="472"/>
        <w:gridCol w:w="57"/>
        <w:gridCol w:w="472"/>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ARGYLE VILLAGE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36,814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37,050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42,278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39,113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BELMART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BOCA LYONS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37,751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37,777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51,057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48,769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CAMINO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CARROLLWOOD COMMONS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21,215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26,435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CENTER AT MISSOURI AVENUE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8,471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1968(C)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CHEVRON OUTPARCEL</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2010(A)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COLONIAL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54,604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60,252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85,768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80,067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CORAL POINTE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21,431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23,843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18,979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CORAL SQUARE PROMENADE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CORSICA SQUARE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18,286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15,443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COUNTRYSIDE CENTRE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41,581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42,581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53,697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50,090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CURLEW CROSSING SHOPPING CTR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15,533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DANIA POINTE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105,113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34,980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26,094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113,999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140,093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130,096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DANIA POINTE - PHASE II (3)</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263,235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26,550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236,685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263,235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249,891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EMBASSY LAKES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18,977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FLAGLER PARK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26,163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80,737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26,725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87,240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113,965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32,380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81,585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FT LAUDERDALE #1, FL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18,676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20,450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1974(C)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FT. LAUDERDALE/CYPRESS CREEK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14,259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28,042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14,259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32,046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46,305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32,820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GRAND OAKS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19,654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21,630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27,476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GROVE GATE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1968(C)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IVES DAIRY CROSSING</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15,603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1985(A)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KENDALE LAKES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18,491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28,496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15,362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46,471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35,336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LARGO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23,571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63,604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23,571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63,674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87,245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81,883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MAPLEWOOD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MARATHON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10,273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MERCHANTS WALK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11,592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MILLENIA PLAZA PHASE 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7,698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25,999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33,697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MILLER ROAD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1986(A)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MILLER WEST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17,604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MISSION BELL SHOPPING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20,650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25,717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NASA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1968(C)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OAK TREE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1968(C)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OAKWOOD BUSINESS CTR-BLDG 1</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18,663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22,268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29,061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OAKWOOD PLAZA NORTH</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35,301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141,731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35,301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143,964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179,265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26,976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152,289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OAKWOOD PLAZA SOUTH</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40,592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40,568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51,695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8,458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43,237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PALMS AT TOWN &amp; COUNTRY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30,137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94,674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30,137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94,161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124,298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117,744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PALMS AT TOWN &amp; COUNTRY LIFESTYLE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26,597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92,088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26,597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92,437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119,034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112,643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PARK HILL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19,264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31,486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25,389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PHILLIPS CROSSING</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53,536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53,884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53,884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50,131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PLANTATION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13,572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POMPANO POINTE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RENAISSANCE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36,541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14,700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51,222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60,345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25,671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34,674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RIVERPLACE SHOPPING CTR.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31,011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33,912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41,112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2010(A)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RIVERSIDE LANDINGS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18,655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SEA RANCH CENTRE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21,259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24,630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23,166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SHOPPES AT DEERFIELD</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19,069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69,485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19,069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69,418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88,487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SHOPPES AT DEERFIELD 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SHOPS AT SANTA BARBARA PHASE 1</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SHOPS AT SANTA BARBARA PHASE 2</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SHOPS AT SANTA BARBARA PHASE 3</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SODO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68,139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74,100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74,242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25,980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48,262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SOUTH MIAMI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10,141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SUNSET 19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55,354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55,624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68,084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63,762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TJ MAXX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38,660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38,768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46,400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TRI-CITY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11,329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24,275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35,604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38,436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29,379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TUTTLEBEE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UNIVERSITY TOWN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13,595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19,110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VILLAGE COMMONS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VILLAGE COMMONS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14,585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VILLAGE GREEN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13,597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25,002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23,724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17,310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VIZCAYA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20,965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26,909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25,357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WELLINGTON GREEN COMMONS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32,521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32,525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52,053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49,686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15,345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WELLINGTON GREEN PAD SITES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WINN DIXIE-MIAMI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WINTER PARK CORNERS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42,530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42,307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47,498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45,245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42"/>
        <w:gridCol w:w="236"/>
        <w:gridCol w:w="71"/>
        <w:gridCol w:w="71"/>
        <w:gridCol w:w="403"/>
        <w:gridCol w:w="71"/>
        <w:gridCol w:w="71"/>
        <w:gridCol w:w="71"/>
        <w:gridCol w:w="486"/>
        <w:gridCol w:w="71"/>
        <w:gridCol w:w="71"/>
        <w:gridCol w:w="71"/>
        <w:gridCol w:w="486"/>
        <w:gridCol w:w="71"/>
        <w:gridCol w:w="71"/>
        <w:gridCol w:w="71"/>
        <w:gridCol w:w="403"/>
        <w:gridCol w:w="71"/>
        <w:gridCol w:w="71"/>
        <w:gridCol w:w="71"/>
        <w:gridCol w:w="486"/>
        <w:gridCol w:w="71"/>
        <w:gridCol w:w="71"/>
        <w:gridCol w:w="71"/>
        <w:gridCol w:w="403"/>
        <w:gridCol w:w="71"/>
        <w:gridCol w:w="71"/>
        <w:gridCol w:w="71"/>
        <w:gridCol w:w="486"/>
        <w:gridCol w:w="71"/>
        <w:gridCol w:w="71"/>
        <w:gridCol w:w="71"/>
        <w:gridCol w:w="486"/>
        <w:gridCol w:w="71"/>
        <w:gridCol w:w="71"/>
        <w:gridCol w:w="71"/>
        <w:gridCol w:w="486"/>
        <w:gridCol w:w="71"/>
        <w:gridCol w:w="486"/>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BRAELINN VILLAGE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24,613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28,344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22,223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BROWNSVILLE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CAMP CREEK MARKETPLACE 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38,596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38,649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43,090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40,361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EMBRY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55,576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24,952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30,624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GRAYSON COMMONS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13,295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14,622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LAKESIDE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28,579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31,235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29,386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LAWRENCEVILLE MARKET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29,691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40,194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30,382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MARKET AT HAYNES BRIDGE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21,549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23,538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tcMar>
              <w:top w:w="0" w:type="dxa"/>
              <w:left w:w="180" w:type="dxa"/>
              <w:bottom w:w="0" w:type="dxa"/>
              <w:right w:w="0" w:type="dxa"/>
            </w:tcMar>
            <w:vAlign w:val="bottom"/>
            <w:hideMark/>
          </w:tcPr>
          <w:p w:rsidR="00000000" w:rsidRDefault="006954AA">
            <w:pPr>
              <w:pStyle w:val="a3"/>
              <w:spacing w:before="0" w:beforeAutospacing="0" w:after="0" w:afterAutospacing="0"/>
              <w:rPr>
                <w:sz w:val="14"/>
                <w:szCs w:val="14"/>
              </w:rPr>
            </w:pPr>
            <w:r>
              <w:rPr>
                <w:sz w:val="14"/>
                <w:szCs w:val="14"/>
              </w:rPr>
              <w:t>PERIMETER EXPO PROPERTY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14,770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44,295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16,142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45,408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61,550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51,505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PERIMETER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67,522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67,390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72,808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68,251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RIVERWALK MARKETPLACE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19,014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22,402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18,454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ROSWELL CORNERS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47,054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46,939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51,475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48,752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ROSWELL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45,338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45,357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51,627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48,551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THOMPSON BRIDGE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GA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CLIVE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IA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HAWTHORN HILLS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IL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33,034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36,331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43,115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PLAZA DEL PRADO</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IL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28,410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10,172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30,124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40,296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33,684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SKOKIE POINTE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IL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9,794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9,442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12,070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GREENWOOD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IN</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21,992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18,090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1970(C)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FESTIVAL ON JEFFERSON COURT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KY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26,790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27,028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32,655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30,076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ADAMS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BROADWAY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FALMOUTH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13,066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17,212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13,758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FELLSWAY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14,581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FESTIVAL OF HYANNIS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40,683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43,271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58,309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46,448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GLENDALE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LINDEN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MAIN ST.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MEMORIAL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16,411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27,554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16,411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28,887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45,298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38,977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MILL ST.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9,740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MORRISSEY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AVE.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NORTH QUINCY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17,954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19,802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PARADISE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13,459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17,642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VINNIN SQUARE IN-LINE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VINNIN SQUARE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22,251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17,055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WASHINGTON ST.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10,175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13,877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26,835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22,333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WASHINGTON ST.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13,147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20,528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17,493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WAVERLY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52"/>
        <w:gridCol w:w="232"/>
        <w:gridCol w:w="66"/>
        <w:gridCol w:w="66"/>
        <w:gridCol w:w="398"/>
        <w:gridCol w:w="66"/>
        <w:gridCol w:w="66"/>
        <w:gridCol w:w="66"/>
        <w:gridCol w:w="481"/>
        <w:gridCol w:w="66"/>
        <w:gridCol w:w="66"/>
        <w:gridCol w:w="66"/>
        <w:gridCol w:w="481"/>
        <w:gridCol w:w="66"/>
        <w:gridCol w:w="66"/>
        <w:gridCol w:w="66"/>
        <w:gridCol w:w="399"/>
        <w:gridCol w:w="67"/>
        <w:gridCol w:w="67"/>
        <w:gridCol w:w="67"/>
        <w:gridCol w:w="482"/>
        <w:gridCol w:w="67"/>
        <w:gridCol w:w="67"/>
        <w:gridCol w:w="67"/>
        <w:gridCol w:w="455"/>
        <w:gridCol w:w="67"/>
        <w:gridCol w:w="67"/>
        <w:gridCol w:w="67"/>
        <w:gridCol w:w="482"/>
        <w:gridCol w:w="67"/>
        <w:gridCol w:w="67"/>
        <w:gridCol w:w="67"/>
        <w:gridCol w:w="482"/>
        <w:gridCol w:w="67"/>
        <w:gridCol w:w="67"/>
        <w:gridCol w:w="67"/>
        <w:gridCol w:w="482"/>
        <w:gridCol w:w="67"/>
        <w:gridCol w:w="482"/>
      </w:tblGrid>
      <w:tr w:rsidR="00000000">
        <w:trPr>
          <w:tblCellSpacing w:w="0" w:type="dxa"/>
        </w:trPr>
        <w:tc>
          <w:tcPr>
            <w:tcW w:w="650" w:type="pct"/>
            <w:vAlign w:val="bottom"/>
            <w:hideMark/>
          </w:tcPr>
          <w:p w:rsidR="00000000" w:rsidRDefault="006954AA">
            <w:pPr>
              <w:pStyle w:val="a3"/>
              <w:spacing w:before="0" w:beforeAutospacing="0" w:after="0" w:afterAutospacing="0"/>
              <w:ind w:left="360"/>
              <w:rPr>
                <w:sz w:val="14"/>
                <w:szCs w:val="14"/>
              </w:rPr>
            </w:pPr>
            <w:r>
              <w:rPr>
                <w:sz w:val="14"/>
                <w:szCs w:val="14"/>
              </w:rPr>
              <w:t>CENTRE COURT-GIANT</w:t>
            </w:r>
          </w:p>
        </w:tc>
        <w:tc>
          <w:tcPr>
            <w:tcW w:w="150" w:type="pct"/>
            <w:vAlign w:val="bottom"/>
            <w:hideMark/>
          </w:tcPr>
          <w:p w:rsidR="00000000" w:rsidRDefault="006954AA">
            <w:pPr>
              <w:pStyle w:val="a3"/>
              <w:spacing w:before="0" w:beforeAutospacing="0" w:after="0" w:afterAutospacing="0"/>
              <w:rPr>
                <w:sz w:val="14"/>
                <w:szCs w:val="14"/>
              </w:rPr>
            </w:pPr>
            <w:r>
              <w:rPr>
                <w:sz w:val="14"/>
                <w:szCs w:val="14"/>
              </w:rPr>
              <w:t>MD</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3,854</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12,770</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127</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3,854</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12,897</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16,751</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4,204</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12,547</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3,500</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pStyle w:val="a3"/>
              <w:spacing w:before="0" w:beforeAutospacing="0" w:after="0" w:afterAutospacing="0"/>
              <w:jc w:val="center"/>
              <w:rPr>
                <w:sz w:val="14"/>
                <w:szCs w:val="14"/>
              </w:rPr>
            </w:pPr>
            <w:r>
              <w:rPr>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CENTRE COURT-OLD COURT/COURTYD</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CENTRE COURT-RETAIL/BANK</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8,313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COLUMBIA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34,345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36,878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40,491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32,809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COLUMBIA CROSSING II SHOP.CTR.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19,868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24,482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27,620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COLUMBIA CROSSING OUTPARCELS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49,620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38,916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53,770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47,777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DORSEY'S SEARCH VILLAGE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27,996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35,234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29,301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ENCHANTED FOREST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34,345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35,971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56,095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47,394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FULLERTON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31,758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28,083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GAITHERSBURG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GREENBRIER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8,891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30,305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8,891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31,453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40,344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32,955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HARPER'S CHOICE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28,755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24,093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HICKORY RIDGE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26,948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28,120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35,304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29,721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HICKORY RIDGE (SUNOCO)</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INGLESIDE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10,417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17,889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10,417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18,679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29,096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24,173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KENTLANDS MARKET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84,615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19,621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104,236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124,403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16,761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107,642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KINGS CONTRIVANCE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31,760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33,297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42,605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33,845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LAUREL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LAUREL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1972(C)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MILL STATION DEVELOPMENT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65,635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16,076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70,880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82,681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MILL STATION THEATER/RSTRNTS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23,379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14,738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20,826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18,975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PIKE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61,389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21,743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21,849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61,283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83,132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80,153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PUTTY HILL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12,325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RADCLIFFE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21,188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21,121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33,164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27,421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RIVERHILL VILLAGE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24,468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41,293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34,576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SHAWAN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20,222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13,763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SHOPS AT DISTRICT HEIGHTS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21,426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28,724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24,666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SNOWDEN SQUARE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11,642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TIMONIUM CROSSING</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14,863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15,254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TIMONIUM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14,197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37,169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44,480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19,940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24,540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TOWSON 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43,887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101,765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43,271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109,184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152,455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31,249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121,206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VILLAGES AT URBANA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23,710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WILDE LAKE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26,763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31,524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34,101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12,882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21,219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WILKENS BELTWAY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24,082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34,030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28,631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YORK ROAD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MD</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37,206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37,796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42,073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33,854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34"/>
        <w:gridCol w:w="238"/>
        <w:gridCol w:w="72"/>
        <w:gridCol w:w="72"/>
        <w:gridCol w:w="404"/>
        <w:gridCol w:w="72"/>
        <w:gridCol w:w="72"/>
        <w:gridCol w:w="72"/>
        <w:gridCol w:w="487"/>
        <w:gridCol w:w="72"/>
        <w:gridCol w:w="72"/>
        <w:gridCol w:w="72"/>
        <w:gridCol w:w="487"/>
        <w:gridCol w:w="72"/>
        <w:gridCol w:w="72"/>
        <w:gridCol w:w="72"/>
        <w:gridCol w:w="404"/>
        <w:gridCol w:w="72"/>
        <w:gridCol w:w="72"/>
        <w:gridCol w:w="72"/>
        <w:gridCol w:w="488"/>
        <w:gridCol w:w="73"/>
        <w:gridCol w:w="73"/>
        <w:gridCol w:w="73"/>
        <w:gridCol w:w="455"/>
        <w:gridCol w:w="73"/>
        <w:gridCol w:w="73"/>
        <w:gridCol w:w="73"/>
        <w:gridCol w:w="488"/>
        <w:gridCol w:w="73"/>
        <w:gridCol w:w="73"/>
        <w:gridCol w:w="73"/>
        <w:gridCol w:w="488"/>
        <w:gridCol w:w="73"/>
        <w:gridCol w:w="73"/>
        <w:gridCol w:w="73"/>
        <w:gridCol w:w="488"/>
        <w:gridCol w:w="73"/>
        <w:gridCol w:w="488"/>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FOUNTAINS AT ARBOR LAKES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MN</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28,585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66,699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29,485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80,653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110,138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37,158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72,980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CENTER POINT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MO</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BRENNAN STATION</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22,243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28,565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20,894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BRENNAN STATION OUTPARCEL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CAPITAL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CLOVERDALE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1969(C)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CROSSROADS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2000(A)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CROSSROADS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13,406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86,456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13,406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88,421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101,827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22,025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79,802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DAVIDSON COMMONS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12,860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13,515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16,494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12,491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FALLS POINTE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27,415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27,457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31,506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29,864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HIGH HOUSE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14,645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13,615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HOPE VALLEY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20,618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JETTON VILLAGE SHOPPES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LEESVILLE TOWNE CENTRE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37,053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37,083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42,776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40,449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MOORESVILLE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30,604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31,531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42,978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28,505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NORTHWOODS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12,094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11,307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PARK PLACE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16,163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21,079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26,549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16,548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PLEASANT VALLEY PROMENADE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20,886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23,741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44,627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49,836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25,613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24,223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QUAIL CORNERS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26,676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28,964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36,282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29,563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SIX FORKS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78,366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78,571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78,571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73,053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STONEHENGE MARKET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37,900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37,727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39,585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TYVOLA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1986(A)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WOODLAWN MARKETPLACE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WOODLAWN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ROCKINGHAM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NH</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34,439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37,588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17,634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19,954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WEBSTER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NH</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41,708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49,297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60,980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11,449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49,531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WEBSTER SQUARE - DSW</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NH</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WEBSTER SQUARE NORTH</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NH</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CENTRAL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CLARK SHOPRITE 70 CENTRAL AVE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13,960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COMMERCE CENTER EAST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COMMERCE CENTER WEST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COMMONS AT HOLMDEL</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16,538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38,760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16,538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47,789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64,327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21,089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43,238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EAST WINDSOR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23,778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9,335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24,772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34,107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9,728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GARDEN STATE PAVILIONS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28,443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12,204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34,572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46,776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35,001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HILLVIEW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16,008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32,607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16,008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34,824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50,832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43,064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HOLMDEL TOWNE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43,301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11,678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54,979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65,804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29,458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MAPLE SHADE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MARLTON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BRUNSWICK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12,820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42,923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46,128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25,150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20,978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PISCATAWAY TOWN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15,411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17,172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21,024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PLAZA AT HILLSDALE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7,602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7,602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16,254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PLAZA AT SHORT HILLS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20,155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32,003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28,533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RIDGEWOOD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 RITE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9,371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1985(C)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UNION CRESCENT III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39,872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22,168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WESTMONT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17,566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18,168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WILLOWBROOK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15,320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40,997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15,320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51,813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67,133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54,849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NORTH TOWNE PLAZA - ALBUQUERQUE</w:t>
            </w:r>
          </w:p>
        </w:tc>
        <w:tc>
          <w:tcPr>
            <w:tcW w:w="150" w:type="pct"/>
            <w:shd w:val="clear" w:color="auto" w:fill="CCEEFF"/>
            <w:vAlign w:val="bottom"/>
            <w:hideMark/>
          </w:tcPr>
          <w:p w:rsidR="00000000" w:rsidRDefault="006954AA">
            <w:pPr>
              <w:rPr>
                <w:rFonts w:eastAsia="Times New Roman"/>
                <w:sz w:val="14"/>
                <w:szCs w:val="14"/>
              </w:rPr>
            </w:pPr>
            <w:r>
              <w:rPr>
                <w:rStyle w:val="a6"/>
                <w:rFonts w:eastAsia="Times New Roman"/>
                <w:sz w:val="14"/>
                <w:szCs w:val="14"/>
              </w:rPr>
              <w:t>NM</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33,327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33,405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37,003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34,312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CHARLESTON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29,704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24,267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29,704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24,694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54,398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50,236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COLLEGE PARK S.C.-N LAS VEGAS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18,413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20,422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18,739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D'ANDREA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29,435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41,843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12,067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29,776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DEL MONTE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DEL MONTE PLAZA ANCHOR 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17,600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17,781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FRANCISCO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GALENA JUNCTION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27,714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22,234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MCQUEEN CROSSINGS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22,077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19,105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RANCHO TOWNE &amp; COUNTRY</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13,364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13,344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REDFIELD PROMENADE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32,035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32,087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36,502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25,746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SPARKS MERCANTILE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NV</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17,069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23,777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18,409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74"/>
        <w:gridCol w:w="234"/>
        <w:gridCol w:w="68"/>
        <w:gridCol w:w="68"/>
        <w:gridCol w:w="400"/>
        <w:gridCol w:w="68"/>
        <w:gridCol w:w="68"/>
        <w:gridCol w:w="68"/>
        <w:gridCol w:w="483"/>
        <w:gridCol w:w="68"/>
        <w:gridCol w:w="68"/>
        <w:gridCol w:w="68"/>
        <w:gridCol w:w="484"/>
        <w:gridCol w:w="69"/>
        <w:gridCol w:w="69"/>
        <w:gridCol w:w="69"/>
        <w:gridCol w:w="401"/>
        <w:gridCol w:w="69"/>
        <w:gridCol w:w="69"/>
        <w:gridCol w:w="69"/>
        <w:gridCol w:w="484"/>
        <w:gridCol w:w="69"/>
        <w:gridCol w:w="69"/>
        <w:gridCol w:w="69"/>
        <w:gridCol w:w="455"/>
        <w:gridCol w:w="69"/>
        <w:gridCol w:w="69"/>
        <w:gridCol w:w="69"/>
        <w:gridCol w:w="484"/>
        <w:gridCol w:w="69"/>
        <w:gridCol w:w="69"/>
        <w:gridCol w:w="69"/>
        <w:gridCol w:w="484"/>
        <w:gridCol w:w="69"/>
        <w:gridCol w:w="69"/>
        <w:gridCol w:w="69"/>
        <w:gridCol w:w="484"/>
        <w:gridCol w:w="69"/>
        <w:gridCol w:w="484"/>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501 NORTH BROADWAY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AIRPORT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22,711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107,012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22,711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112,290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135,001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27,158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107,843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BELLMORE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BIRCHWOOD PLAZA COMMACK</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9,802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BRIDGEHAMPTON COMMONS-W&amp;E SIDE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42,184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45,245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47,103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26,390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1972(C)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CARMAN'S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12,558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37,290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12,562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39,526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51,093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CHAMPION FOOD SUPERMARKET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ELMONT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7,606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14,491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17,503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12,138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ELMSFORD CENTER 1</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ELMSFORD CENTER 2</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15,427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FAMILY DOLLAR UNION TURNPIKE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FOREST AVENUE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10,441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13,525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18,084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FRANKLIN SQUARE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GREAT NECK OUTPARCEL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GREENRIDGE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19,715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11,561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HAMPTON BAYS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9,410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1989(A)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HICKSVILLE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9,332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INDEPENDENCE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34,814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47,323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9,853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JERICHO COMMONS SOUTH</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33,071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36,805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49,173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34,141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KEY FOOD - 21ST STREET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KEY FOOD - ATLANTIC AVE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KEY FOOD - CENTRAL AVE.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6,899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7,419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KINGS HIGHWAY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KISSENA BOULEVARD SHOPPING CTR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LITTLE NECK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19,333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22,610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MANETTO HILL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17,016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17,280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1969(C)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MANHASSET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19,166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33,401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53,662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32,885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MARKET AT BAY SHORE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12,360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30,708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12,360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49,790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17,423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32,367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MASPETH QUEENS-DUANE READE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MILLERIDGE INN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MINEOLA CROSSINGS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MASSAPEQUA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r>
              <w:rPr>
                <w:rFonts w:eastAsia="Times New Roman"/>
                <w:sz w:val="14"/>
                <w:szCs w:val="14"/>
              </w:rPr>
              <w:t>1,787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OCEAN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RALPH AVENUE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11,340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15,377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19,791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6,851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RICHMOND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21,719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30,747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33,027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17,774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1989(A)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ROMAINE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SEQUAMS SHOPPING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SHOPRITE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STOP &amp; SHOP</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17,636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17,636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39,297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39,203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SMITHTOWN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7,651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SOUTHGATE SHOPPING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62,670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18,822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62,676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81,498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80,988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18,729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SYOSSET CORNERS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13,302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13,308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19,477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19,381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SYOSSET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1990(C)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THE BOULEVARD</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28,724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38,232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244,106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28,724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282,338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311,062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25,827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285,235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GARDENS AT GREAT NECK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27,956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99,322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98,609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16,961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THE GREEN COVE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17,017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39,206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17,017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39,206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56,223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55,835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MARKETPLACE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14,348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TOWNPATH CORNER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TURNPIKE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VETERANS MEMORIAL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45,847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51,827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20,286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31,541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WHITE PLAINS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WOODBURY COMMON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27,249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28,516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27,249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28,528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55,777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55,516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33"/>
        <w:gridCol w:w="241"/>
        <w:gridCol w:w="75"/>
        <w:gridCol w:w="75"/>
        <w:gridCol w:w="407"/>
        <w:gridCol w:w="75"/>
        <w:gridCol w:w="75"/>
        <w:gridCol w:w="75"/>
        <w:gridCol w:w="490"/>
        <w:gridCol w:w="75"/>
        <w:gridCol w:w="75"/>
        <w:gridCol w:w="75"/>
        <w:gridCol w:w="490"/>
        <w:gridCol w:w="75"/>
        <w:gridCol w:w="75"/>
        <w:gridCol w:w="75"/>
        <w:gridCol w:w="407"/>
        <w:gridCol w:w="75"/>
        <w:gridCol w:w="75"/>
        <w:gridCol w:w="75"/>
        <w:gridCol w:w="490"/>
        <w:gridCol w:w="75"/>
        <w:gridCol w:w="75"/>
        <w:gridCol w:w="75"/>
        <w:gridCol w:w="455"/>
        <w:gridCol w:w="75"/>
        <w:gridCol w:w="75"/>
        <w:gridCol w:w="75"/>
        <w:gridCol w:w="490"/>
        <w:gridCol w:w="75"/>
        <w:gridCol w:w="75"/>
        <w:gridCol w:w="76"/>
        <w:gridCol w:w="491"/>
        <w:gridCol w:w="76"/>
        <w:gridCol w:w="76"/>
        <w:gridCol w:w="76"/>
        <w:gridCol w:w="491"/>
        <w:gridCol w:w="76"/>
        <w:gridCol w:w="491"/>
      </w:tblGrid>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JANTZEN BEACH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OR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57,575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102,844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57,588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104,326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161,914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22,366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139,548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CENTER SQUARE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CRANBERRY TOWNSHIP-PARCEL 1&amp;2</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30,770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37,533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43,603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35,977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CROSSROADS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14,409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17,377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18,353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1986(A)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DEVON VILLAGE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31,476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22,872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FISHTOWN CROSSING</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20,398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20,401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43,003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42,042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FRANKFORD AVENUE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HARRISBURG EAST SHOPPING CTR.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15,851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18,854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HORSHAM POINT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18,189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18,296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LINCOLN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90,479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75,807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155,753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166,286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152,400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2017(C)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NORRITON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1984(A)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POCONO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18,402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21,825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19,161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1973(C)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SHOPPES AT WYNNEWOOD</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10,528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SHREWSBURY SQUARE S.C.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16,998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22,980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18,714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SPRINGFIELD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13,698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18,680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19,600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1983(A)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SUBURBAN SQUARE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70,680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166,351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83,062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71,280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248,813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320,093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72,766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247,327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TOWNSHIP LINE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WAYNE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15,605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22,687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16,114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WEXFORD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9,775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23,049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29,348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2010(A)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WHITEHALL MALL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5,196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WHITELAND TOWN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WHOLE FOODS AT WYNNEWOOD</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15,042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13,055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2014(C)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LOS COLOBOS - BUILDERS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9,628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LOS COLOBOS - KMART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4,402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9,486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8,458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LOS COLOBOS 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12,891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26,047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13,613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39,747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25,817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LOS COLOBOS 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14,894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30,681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31,689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46,831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16,923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29,908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MANATI VILLA MARIA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10,276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PLAZA CENTRO - COSTCO</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13,925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PLAZA CENTRO - MALL</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19,873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58,719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19,408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62,871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28,901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53,378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PLAZA CENTRO - RETAIL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17,265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15,375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PLAZA CENTRO - SAM'S CLUB</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20,225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19,178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25,698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18,026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7,672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PONCE TOWNE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14,433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14,903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33,275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48,178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21,166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27,012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REXVILLE TOWN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48,688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25,678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55,919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81,597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35,292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46,305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TRUJILLO ALTO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12,054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24,446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30,228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25,857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WESTERN PLAZA - MAYAGUEZ ONE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10,858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12,253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11,242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WESTERN PLAZA - MAYAGUEZ TWO</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PR</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23,055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39,928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21,819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FOREST PARK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SC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9,545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9,978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9,021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ST. ANDREWS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SC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21,942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25,074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25,804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13,526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1978(C)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WESTWOOD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SC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22,238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16,741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WOODRUFF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SC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20,179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14,434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2010(A)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HIGHLAND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TN</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MENDENHALL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TN</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14,826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14,819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16,091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OLD TOWNE VILLAGE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TN</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1978(C)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THE COMMONS AT DEXTER LAKE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TN</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16,205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COMMONS AT DEXTER LAKE 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TN</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8,874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26"/>
        <w:gridCol w:w="238"/>
        <w:gridCol w:w="72"/>
        <w:gridCol w:w="72"/>
        <w:gridCol w:w="404"/>
        <w:gridCol w:w="72"/>
        <w:gridCol w:w="72"/>
        <w:gridCol w:w="72"/>
        <w:gridCol w:w="487"/>
        <w:gridCol w:w="72"/>
        <w:gridCol w:w="72"/>
        <w:gridCol w:w="72"/>
        <w:gridCol w:w="488"/>
        <w:gridCol w:w="73"/>
        <w:gridCol w:w="73"/>
        <w:gridCol w:w="73"/>
        <w:gridCol w:w="405"/>
        <w:gridCol w:w="73"/>
        <w:gridCol w:w="73"/>
        <w:gridCol w:w="73"/>
        <w:gridCol w:w="488"/>
        <w:gridCol w:w="73"/>
        <w:gridCol w:w="73"/>
        <w:gridCol w:w="73"/>
        <w:gridCol w:w="455"/>
        <w:gridCol w:w="73"/>
        <w:gridCol w:w="73"/>
        <w:gridCol w:w="73"/>
        <w:gridCol w:w="488"/>
        <w:gridCol w:w="73"/>
        <w:gridCol w:w="73"/>
        <w:gridCol w:w="73"/>
        <w:gridCol w:w="488"/>
        <w:gridCol w:w="73"/>
        <w:gridCol w:w="73"/>
        <w:gridCol w:w="73"/>
        <w:gridCol w:w="488"/>
        <w:gridCol w:w="73"/>
        <w:gridCol w:w="488"/>
      </w:tblGrid>
      <w:tr w:rsidR="00000000">
        <w:trPr>
          <w:tblCellSpacing w:w="0" w:type="dxa"/>
        </w:trPr>
        <w:tc>
          <w:tcPr>
            <w:tcW w:w="650" w:type="pct"/>
            <w:vAlign w:val="bottom"/>
            <w:hideMark/>
          </w:tcPr>
          <w:p w:rsidR="00000000" w:rsidRDefault="006954AA">
            <w:pPr>
              <w:pStyle w:val="a3"/>
              <w:spacing w:before="0" w:beforeAutospacing="0" w:after="0" w:afterAutospacing="0"/>
              <w:ind w:left="360"/>
              <w:rPr>
                <w:sz w:val="14"/>
                <w:szCs w:val="14"/>
              </w:rPr>
            </w:pPr>
            <w:r>
              <w:rPr>
                <w:sz w:val="14"/>
                <w:szCs w:val="14"/>
              </w:rPr>
              <w:t>1350 W. 43RD ST. - WELLS FARGO</w:t>
            </w:r>
          </w:p>
        </w:tc>
        <w:tc>
          <w:tcPr>
            <w:tcW w:w="150" w:type="pct"/>
            <w:vAlign w:val="bottom"/>
            <w:hideMark/>
          </w:tcPr>
          <w:p w:rsidR="00000000" w:rsidRDefault="006954AA">
            <w:pPr>
              <w:pStyle w:val="a3"/>
              <w:spacing w:before="0" w:beforeAutospacing="0" w:after="0" w:afterAutospacing="0"/>
              <w:rPr>
                <w:sz w:val="14"/>
                <w:szCs w:val="14"/>
              </w:rPr>
            </w:pPr>
            <w:r>
              <w:rPr>
                <w:sz w:val="14"/>
                <w:szCs w:val="14"/>
              </w:rPr>
              <w:t>TX</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3,707</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247</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1</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3,708</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247</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3,955</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13</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3,942</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pStyle w:val="a3"/>
              <w:spacing w:before="0" w:beforeAutospacing="0" w:after="0" w:afterAutospacing="0"/>
              <w:jc w:val="center"/>
              <w:rPr>
                <w:sz w:val="14"/>
                <w:szCs w:val="14"/>
              </w:rPr>
            </w:pPr>
            <w:r>
              <w:rPr>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1934 WEST GRAY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1939 WEST GRAY</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43RD STREET CHASE BANK BLDG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ACCENT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ALABAMA SHEPHERD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21,385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25,975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23,925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ATASCOCITA COMMONS SHOP.CTR.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16,323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54,587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55,979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71,559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13,595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57,964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BAYBROOK GATEWAY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44,160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44,294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53,735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50,090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BAYBROOK WEBSTER 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BELLAIRE BLVD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BLALOCK MARKET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17,283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17,333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17,333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CENTER AT BAYBROOK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27,727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39,874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46,802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22,034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24,768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1998(A)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CENTER OF THE HILLS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16,428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19,352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8,335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11,017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CITADEL BUILDING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12,824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12,968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17,014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16,536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CONROE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18,869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50,757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10,842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57,096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67,938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12,928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COPPERFIELD VILLAGE SHOP.CTR.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34,864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36,119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43,947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35,330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COPPERWOOD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84,184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85,640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99,488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19,371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80,117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CYPRESS TOWNE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2003(C)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CYPRESS TOWNE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12,329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36,836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41,742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50,386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8,198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42,188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CYPRESS TOWNE CENTER (PHASE 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6,158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DRISCOLL AT RIVER OAKS-RESI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145,366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145,929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147,173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142,537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FIESTA TARGET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14,145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13,448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FIESTA TRAILS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32,897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15,185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33,181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48,366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45,391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GALVESTON 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28,288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31,536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33,197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31,122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GATEWAY STATION</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28,145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4,694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32,838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34,213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GATEWAY STATION PHASE 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12,020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13,170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17,313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14,995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GRAND PARKWAY MARKET PLACE II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13,436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39,393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12,298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40,531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52,829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47,352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GRAND PARKWAY MARKETPLACE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25,364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66,208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21,937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69,635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91,572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9,253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82,319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2014(C)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HEB - DAIRY ASHFORD &amp; MEMORIAL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1,076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HEIGHTS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10,140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5,423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10,169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15,592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14,747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INDEPENDENCE PLAZA - LAREDO</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53,564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4,836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53,628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58,464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55,212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9,702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INDEPENDENCE PLAZA II - LAREDO</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21,418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21,429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1,775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KROGER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1995(A)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LAKE PRAIRIE TOWN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29,654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6,783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30,768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37,551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9,404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28,147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LAS TIENDAS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27,927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7,944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28,661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36,605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27,582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2005(C)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MONTGOMERY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63,065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978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64,043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74,782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16,314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58,468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MUELLER OUTPARCEL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MUELLER REGIONAL RETAIL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85,805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86,359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93,711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6,341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87,370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CREEK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34,756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5,044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35,133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2,913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37,264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OAK FOREST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25,275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13,395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25,407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38,802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37,163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PLANTATION CENTRE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34,494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35,112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34,719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PRESTON LEBANON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13,552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28,204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12,164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29,592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41,756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11,181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30,575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RANDALLS CENTER/KINGS CROSSING</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24,255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27,972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26,384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RICHMOND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15,432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22,765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22,053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RIVER OAKS S.C. EAST</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13,896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19,662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18,696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RIVER OAKS S.C. WEST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14,185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138,022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14,185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139,464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153,649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145,767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ROCK PRAIRIE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8,004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7,898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SHOPPES AT MEMORIAL VILLAGES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41,493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41,277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41,277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2,596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38,681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SHOPS AT HILSHIRE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19,092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19,273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30,479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1,563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28,916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SHOPS AT KIRBY DRIVE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5,566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SHOPS AT THREE CORNERS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59,795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7,094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59,409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66,503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62,401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STEVENS RANCH</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18,143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6,407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18,143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6,674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24,817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24,336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THE CENTRE AT COPPERFIELD</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22,525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23,115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29,838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6,305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23,533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CENTRE AT POST OAK</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100,658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12,642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100,518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113,160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106,051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THE SHOPPES @ WILDERNESS OAKS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9,188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11,911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TOMBALL CROSSINGS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28,484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30,343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38,308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7,344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30,964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TOMBALL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31,793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4,280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31,866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36,146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2,792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33,354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TRENTON CROSSING - NORTH MCALLEN</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29,686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1,836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31,522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37,801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34,833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VILLAGE PLAZA AT BUNKER HILL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233,086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664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21,320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233,750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255,070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13,124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241,946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71,352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WESTCHASE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35,653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7,547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35,667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43,214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2,398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40,816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13,989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WESTHILL VILLAGE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26,479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38,843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36,618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WOODBRIDGE SHOPPING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6,814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7,330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9,899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95"/>
        <w:gridCol w:w="239"/>
        <w:gridCol w:w="73"/>
        <w:gridCol w:w="73"/>
        <w:gridCol w:w="405"/>
        <w:gridCol w:w="73"/>
        <w:gridCol w:w="73"/>
        <w:gridCol w:w="73"/>
        <w:gridCol w:w="488"/>
        <w:gridCol w:w="73"/>
        <w:gridCol w:w="73"/>
        <w:gridCol w:w="73"/>
        <w:gridCol w:w="488"/>
        <w:gridCol w:w="73"/>
        <w:gridCol w:w="73"/>
        <w:gridCol w:w="73"/>
        <w:gridCol w:w="405"/>
        <w:gridCol w:w="73"/>
        <w:gridCol w:w="74"/>
        <w:gridCol w:w="74"/>
        <w:gridCol w:w="489"/>
        <w:gridCol w:w="74"/>
        <w:gridCol w:w="74"/>
        <w:gridCol w:w="74"/>
        <w:gridCol w:w="455"/>
        <w:gridCol w:w="74"/>
        <w:gridCol w:w="74"/>
        <w:gridCol w:w="74"/>
        <w:gridCol w:w="489"/>
        <w:gridCol w:w="74"/>
        <w:gridCol w:w="74"/>
        <w:gridCol w:w="74"/>
        <w:gridCol w:w="489"/>
        <w:gridCol w:w="74"/>
        <w:gridCol w:w="74"/>
        <w:gridCol w:w="74"/>
        <w:gridCol w:w="489"/>
        <w:gridCol w:w="74"/>
        <w:gridCol w:w="489"/>
      </w:tblGrid>
      <w:tr w:rsidR="00000000">
        <w:trPr>
          <w:tblCellSpacing w:w="0" w:type="dxa"/>
        </w:trPr>
        <w:tc>
          <w:tcPr>
            <w:tcW w:w="650" w:type="pct"/>
            <w:vAlign w:val="bottom"/>
            <w:hideMark/>
          </w:tcPr>
          <w:p w:rsidR="00000000" w:rsidRDefault="006954AA">
            <w:pPr>
              <w:pStyle w:val="a3"/>
              <w:spacing w:before="0" w:beforeAutospacing="0" w:after="0" w:afterAutospacing="0"/>
              <w:ind w:left="360"/>
              <w:rPr>
                <w:sz w:val="14"/>
                <w:szCs w:val="14"/>
              </w:rPr>
            </w:pPr>
            <w:r>
              <w:rPr>
                <w:sz w:val="14"/>
                <w:szCs w:val="14"/>
              </w:rPr>
              <w:t>BURKE TOWN PLAZA</w:t>
            </w:r>
          </w:p>
        </w:tc>
        <w:tc>
          <w:tcPr>
            <w:tcW w:w="150" w:type="pct"/>
            <w:vAlign w:val="bottom"/>
            <w:hideMark/>
          </w:tcPr>
          <w:p w:rsidR="00000000" w:rsidRDefault="006954AA">
            <w:pPr>
              <w:pStyle w:val="a3"/>
              <w:spacing w:before="0" w:beforeAutospacing="0" w:after="0" w:afterAutospacing="0"/>
              <w:rPr>
                <w:sz w:val="14"/>
                <w:szCs w:val="14"/>
              </w:rPr>
            </w:pPr>
            <w:r>
              <w:rPr>
                <w:sz w:val="14"/>
                <w:szCs w:val="14"/>
              </w:rPr>
              <w:t>VA</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43,240</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(5,257</w:t>
            </w:r>
          </w:p>
        </w:tc>
        <w:tc>
          <w:tcPr>
            <w:tcW w:w="50" w:type="pct"/>
            <w:vAlign w:val="bottom"/>
            <w:hideMark/>
          </w:tcPr>
          <w:p w:rsidR="00000000" w:rsidRDefault="006954AA">
            <w:pPr>
              <w:rPr>
                <w:rFonts w:eastAsia="Times New Roman"/>
                <w:sz w:val="14"/>
                <w:szCs w:val="14"/>
              </w:rPr>
            </w:pPr>
            <w:r>
              <w:rPr>
                <w:rFonts w:eastAsia="Times New Roman"/>
                <w:sz w:val="14"/>
                <w:szCs w:val="14"/>
              </w:rPr>
              <w:t>)</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37,983</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250" w:type="pct"/>
            <w:vAlign w:val="bottom"/>
            <w:hideMark/>
          </w:tcPr>
          <w:p w:rsidR="00000000" w:rsidRDefault="006954AA">
            <w:pPr>
              <w:jc w:val="right"/>
              <w:rPr>
                <w:rFonts w:eastAsia="Times New Roman"/>
                <w:sz w:val="14"/>
                <w:szCs w:val="14"/>
              </w:rPr>
            </w:pPr>
            <w:r>
              <w:rPr>
                <w:rFonts w:eastAsia="Times New Roman"/>
                <w:sz w:val="14"/>
                <w:szCs w:val="14"/>
              </w:rPr>
              <w:t>37,983</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9,149</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28,834</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300" w:type="pct"/>
            <w:vAlign w:val="bottom"/>
            <w:hideMark/>
          </w:tcPr>
          <w:p w:rsidR="00000000" w:rsidRDefault="006954AA">
            <w:pPr>
              <w:pStyle w:val="a3"/>
              <w:spacing w:before="0" w:beforeAutospacing="0" w:after="0" w:afterAutospacing="0"/>
              <w:jc w:val="center"/>
              <w:rPr>
                <w:sz w:val="14"/>
                <w:szCs w:val="14"/>
              </w:rPr>
            </w:pPr>
            <w:r>
              <w:rPr>
                <w:sz w:val="14"/>
                <w:szCs w:val="14"/>
              </w:rPr>
              <w:t>2014(A)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CENTRO ARLINGTON</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35,103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3,937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36,463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40,400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39,165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CENTRO ARLINGTON-RESI</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15,012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155,639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15,012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155,693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170,705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167,059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DOCSTONE COMMONS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11,968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15,872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13,510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DOCSTONE O/P - STAPLES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4,318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4,915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3,959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DULLES TOWN CROSSING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53,285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104,176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53,285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104,963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158,248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27,893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130,355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GORDON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5,573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3,351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8,924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8,274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HILLTOP VILLAGE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23,409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93,673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23,409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93,999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117,408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4,573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112,835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OLD TOWN PLAZA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41,570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(14,427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3,053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28,590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31,643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8,406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23,237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POTOMAC RUN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27,370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48,451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27,370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52,279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79,649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19,497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60,152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2008(A)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STAFFORD MARKETPLACE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86,450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4,023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26,893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90,473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117,366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20,469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96,897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 ALEX - RETAIL</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55,434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6,043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56,264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62,307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2,060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60,247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WEST ALEX-OFFICE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10,458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1,479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10,458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11,580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 ALEX-RESI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65,282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15,892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65,517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81,409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77,680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AUBURN NORTH</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18,158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7,786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30,065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37,851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27,216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COVINGTON ESPLANADE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47,941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48,000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54,009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51,809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FRANKLIN PARK COMMONS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11,989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8,019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5,419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20,008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25,427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5,052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20,375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FRONTIER VILLAGE SHOPPING CTR.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44,861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2,768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47,629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58,380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10,992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47,388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GATEWAY SHOPPING CENTER</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11,270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9,478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6,938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20,748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27,686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3,646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24,040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SILVERDALE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3,875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33,895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37,651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9,606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28,045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THE MARKETPLACE AT FACTORIA</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60,502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92,696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12,631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60,502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105,327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165,829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29,161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136,668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WHITTAKER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23,508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15,799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23,588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39,387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37,929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49"/>
        <w:gridCol w:w="444"/>
        <w:gridCol w:w="35"/>
        <w:gridCol w:w="70"/>
        <w:gridCol w:w="560"/>
        <w:gridCol w:w="35"/>
        <w:gridCol w:w="35"/>
        <w:gridCol w:w="70"/>
        <w:gridCol w:w="630"/>
        <w:gridCol w:w="35"/>
        <w:gridCol w:w="35"/>
        <w:gridCol w:w="70"/>
        <w:gridCol w:w="560"/>
        <w:gridCol w:w="47"/>
        <w:gridCol w:w="35"/>
        <w:gridCol w:w="70"/>
        <w:gridCol w:w="560"/>
        <w:gridCol w:w="35"/>
        <w:gridCol w:w="35"/>
        <w:gridCol w:w="70"/>
        <w:gridCol w:w="630"/>
        <w:gridCol w:w="35"/>
        <w:gridCol w:w="35"/>
        <w:gridCol w:w="70"/>
        <w:gridCol w:w="630"/>
        <w:gridCol w:w="35"/>
        <w:gridCol w:w="35"/>
        <w:gridCol w:w="70"/>
        <w:gridCol w:w="560"/>
        <w:gridCol w:w="35"/>
        <w:gridCol w:w="35"/>
        <w:gridCol w:w="70"/>
        <w:gridCol w:w="630"/>
        <w:gridCol w:w="35"/>
        <w:gridCol w:w="35"/>
        <w:gridCol w:w="70"/>
        <w:gridCol w:w="455"/>
        <w:gridCol w:w="35"/>
        <w:gridCol w:w="467"/>
      </w:tblGrid>
      <w:tr w:rsidR="00000000">
        <w:trPr>
          <w:tblCellSpacing w:w="0" w:type="dxa"/>
        </w:trPr>
        <w:tc>
          <w:tcPr>
            <w:tcW w:w="650" w:type="pct"/>
            <w:vAlign w:val="bottom"/>
            <w:hideMark/>
          </w:tcPr>
          <w:p w:rsidR="00000000" w:rsidRDefault="006954AA">
            <w:pPr>
              <w:pStyle w:val="a3"/>
              <w:spacing w:before="0" w:beforeAutospacing="0" w:after="0" w:afterAutospacing="0"/>
              <w:rPr>
                <w:sz w:val="14"/>
                <w:szCs w:val="14"/>
              </w:rPr>
            </w:pPr>
            <w:r>
              <w:rPr>
                <w:i/>
                <w:iCs/>
                <w:sz w:val="14"/>
                <w:szCs w:val="14"/>
              </w:rPr>
              <w:t>OTHER PROPERTY INTERESTS</w:t>
            </w:r>
          </w:p>
        </w:tc>
        <w:tc>
          <w:tcPr>
            <w:tcW w:w="1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2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2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2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i/>
                <w:iCs/>
                <w:sz w:val="14"/>
                <w:szCs w:val="14"/>
              </w:rPr>
              <w:t> </w:t>
            </w:r>
          </w:p>
        </w:tc>
        <w:tc>
          <w:tcPr>
            <w:tcW w:w="50" w:type="pct"/>
            <w:vAlign w:val="bottom"/>
            <w:hideMark/>
          </w:tcPr>
          <w:p w:rsidR="00000000" w:rsidRDefault="006954AA">
            <w:pPr>
              <w:rPr>
                <w:rFonts w:eastAsia="Times New Roman"/>
                <w:sz w:val="14"/>
                <w:szCs w:val="14"/>
              </w:rPr>
            </w:pPr>
            <w:r>
              <w:rPr>
                <w:rFonts w:eastAsia="Times New Roman"/>
                <w:i/>
                <w:iCs/>
                <w:sz w:val="14"/>
                <w:szCs w:val="14"/>
              </w:rPr>
              <w:t> </w:t>
            </w:r>
          </w:p>
        </w:tc>
        <w:tc>
          <w:tcPr>
            <w:tcW w:w="300" w:type="pct"/>
            <w:vAlign w:val="bottom"/>
            <w:hideMark/>
          </w:tcPr>
          <w:p w:rsidR="00000000" w:rsidRDefault="006954AA">
            <w:pPr>
              <w:rPr>
                <w:rFonts w:eastAsia="Times New Roman"/>
                <w:sz w:val="14"/>
                <w:szCs w:val="14"/>
              </w:rPr>
            </w:pPr>
            <w:r>
              <w:rPr>
                <w:rFonts w:eastAsia="Times New Roman"/>
                <w:sz w:val="14"/>
                <w:szCs w:val="14"/>
              </w:rPr>
              <w:t> </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ASANTE RETAIL CENTER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8,703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(1,070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11,039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2004(C)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GLADDEN FARMS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4,010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HOMESTEAD-WACHTEL LAND LEASE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2013(A)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PALM COAST LANDING OUTPARCELS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LAKE WALES S.C.</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FL</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2009(A)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FLINT - VACANT LAND</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MI</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CHARLOTTE SPORTS &amp; FITNESS CTR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556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2,916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2,046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1986(A)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SURF CITY CROSSING</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5,260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(671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4,589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THE SHOPPES AT CAVENESS FARMS</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5,489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WAKE FOREST CROSSING II - LAND ONLY</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WAKEFIELD COMMONS III</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(5,397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1,109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804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2001(C)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WAKEFIELD CROSSINGS</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3,414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(3,277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2001(C)</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HILLSBOROUGH PROMENADE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NJ</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11,887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(6,632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5,006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249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5,255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5,141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2001(C)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JERICHO ATRIUM</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20,065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4,925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10,624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24,990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35,614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7,539</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28,075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2016(A)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KEY BANK BUILDING</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40,487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(8,329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32,989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33,658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22,159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11,499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MANHASSET CENTER (RESIDENTIAL)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950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MERRY LANE (PARKING LOT)</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1,486</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1,515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3,001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2007(A)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NORTHPORT LAND 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96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86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2012(A)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MCMINNVILLE PLAZA</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OR</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4,062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431</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4,493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2006(C)</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COULTER AVE. PARCEL</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PA</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578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1,348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17,607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16,795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2,738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19,533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19,532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2015(A)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1935 WEST GRAY</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784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2503 MCCUE, LLC</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2,287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625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1,662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CULLEN BLVD. AND EAST OREM DR.</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1,590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NORTH TOWNE PLAZA - BROWNSVILLE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1,517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1,545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1,543</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RICHMOND SQUARE - PAD</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570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TEXAS CITY LAND</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WESTOVER SQUARE</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1,520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855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pStyle w:val="a3"/>
              <w:spacing w:before="0" w:beforeAutospacing="0" w:after="0" w:afterAutospacing="0"/>
              <w:jc w:val="center"/>
              <w:rPr>
                <w:sz w:val="14"/>
                <w:szCs w:val="14"/>
              </w:rPr>
            </w:pPr>
            <w:r>
              <w:rPr>
                <w:rStyle w:val="a6"/>
                <w:sz w:val="14"/>
                <w:szCs w:val="14"/>
              </w:rPr>
              <w:t>2021(A)</w:t>
            </w:r>
          </w:p>
        </w:tc>
      </w:tr>
      <w:tr w:rsidR="006954AA">
        <w:trPr>
          <w:tblCellSpacing w:w="0" w:type="dxa"/>
        </w:trPr>
        <w:tc>
          <w:tcPr>
            <w:tcW w:w="650" w:type="pct"/>
            <w:shd w:val="clear" w:color="auto" w:fill="FFFFFF"/>
            <w:vAlign w:val="bottom"/>
            <w:hideMark/>
          </w:tcPr>
          <w:p w:rsidR="00000000" w:rsidRDefault="006954AA">
            <w:pPr>
              <w:pStyle w:val="a3"/>
              <w:spacing w:before="0" w:beforeAutospacing="0" w:after="0" w:afterAutospacing="0"/>
              <w:ind w:left="360"/>
              <w:rPr>
                <w:sz w:val="14"/>
                <w:szCs w:val="14"/>
              </w:rPr>
            </w:pPr>
            <w:r>
              <w:rPr>
                <w:sz w:val="14"/>
                <w:szCs w:val="14"/>
              </w:rPr>
              <w:t>BLUE RIDGE</w:t>
            </w:r>
          </w:p>
        </w:tc>
        <w:tc>
          <w:tcPr>
            <w:tcW w:w="150" w:type="pct"/>
            <w:shd w:val="clear" w:color="auto" w:fill="FFFFFF"/>
            <w:vAlign w:val="bottom"/>
            <w:hideMark/>
          </w:tcPr>
          <w:p w:rsidR="00000000" w:rsidRDefault="006954AA">
            <w:pPr>
              <w:pStyle w:val="a3"/>
              <w:spacing w:before="0" w:beforeAutospacing="0" w:after="0" w:afterAutospacing="0"/>
              <w:rPr>
                <w:sz w:val="14"/>
                <w:szCs w:val="14"/>
              </w:rPr>
            </w:pPr>
            <w:r>
              <w:rPr>
                <w:rStyle w:val="a6"/>
                <w:sz w:val="14"/>
                <w:szCs w:val="14"/>
              </w:rPr>
              <w:t>Various</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12,347</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71,530</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(52,241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3,514</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28,122</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31,636</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20,501</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11,135</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pStyle w:val="a3"/>
              <w:spacing w:before="0" w:beforeAutospacing="0" w:after="0" w:afterAutospacing="0"/>
              <w:jc w:val="center"/>
              <w:rPr>
                <w:sz w:val="14"/>
                <w:szCs w:val="14"/>
              </w:rPr>
            </w:pPr>
            <w:r>
              <w:rPr>
                <w:rStyle w:val="a6"/>
                <w:sz w:val="14"/>
                <w:szCs w:val="14"/>
              </w:rPr>
              <w:t>2005(A)</w:t>
            </w:r>
          </w:p>
        </w:tc>
      </w:tr>
      <w:tr w:rsidR="006954AA">
        <w:trPr>
          <w:tblCellSpacing w:w="0" w:type="dxa"/>
        </w:trPr>
        <w:tc>
          <w:tcPr>
            <w:tcW w:w="650" w:type="pct"/>
            <w:shd w:val="clear" w:color="auto" w:fill="CCEEFF"/>
            <w:vAlign w:val="bottom"/>
            <w:hideMark/>
          </w:tcPr>
          <w:p w:rsidR="00000000" w:rsidRDefault="006954AA">
            <w:pPr>
              <w:pStyle w:val="a3"/>
              <w:spacing w:before="0" w:beforeAutospacing="0" w:after="0" w:afterAutospacing="0"/>
              <w:ind w:left="360"/>
              <w:rPr>
                <w:sz w:val="14"/>
                <w:szCs w:val="14"/>
              </w:rPr>
            </w:pPr>
            <w:r>
              <w:rPr>
                <w:sz w:val="14"/>
                <w:szCs w:val="14"/>
              </w:rPr>
              <w:t>BALANCE OF PORTFOLIO (4)</w:t>
            </w:r>
          </w:p>
        </w:tc>
        <w:tc>
          <w:tcPr>
            <w:tcW w:w="150" w:type="pct"/>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Various</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1,907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65,127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(25,469</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41,565</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4,282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37,283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rPr>
                <w:rFonts w:eastAsia="Times New Roman"/>
                <w:sz w:val="14"/>
                <w:szCs w:val="14"/>
              </w:rPr>
            </w:pPr>
            <w:r>
              <w:rPr>
                <w:rStyle w:val="a6"/>
                <w:rFonts w:eastAsia="Times New Roman"/>
                <w:sz w:val="14"/>
                <w:szCs w:val="14"/>
              </w:rPr>
              <w:t> </w:t>
            </w:r>
          </w:p>
        </w:tc>
      </w:tr>
      <w:tr w:rsidR="006954AA">
        <w:trPr>
          <w:tblCellSpacing w:w="0" w:type="dxa"/>
        </w:trPr>
        <w:tc>
          <w:tcPr>
            <w:tcW w:w="6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1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6954AA">
            <w:pPr>
              <w:rPr>
                <w:rFonts w:eastAsia="Times New Roman"/>
                <w:sz w:val="14"/>
                <w:szCs w:val="14"/>
              </w:rPr>
            </w:pPr>
            <w:r>
              <w:rPr>
                <w:rFonts w:eastAsia="Times New Roman"/>
                <w:sz w:val="14"/>
                <w:szCs w:val="14"/>
              </w:rPr>
              <w:t> </w:t>
            </w:r>
          </w:p>
        </w:tc>
      </w:tr>
      <w:tr w:rsidR="006954AA">
        <w:trPr>
          <w:tblCellSpacing w:w="0" w:type="dxa"/>
        </w:trPr>
        <w:tc>
          <w:tcPr>
            <w:tcW w:w="650" w:type="pct"/>
            <w:gridSpan w:val="2"/>
            <w:shd w:val="clear" w:color="auto" w:fill="CCEEFF"/>
            <w:vAlign w:val="bottom"/>
            <w:hideMark/>
          </w:tcPr>
          <w:p w:rsidR="00000000" w:rsidRDefault="006954AA">
            <w:pPr>
              <w:pStyle w:val="a3"/>
              <w:spacing w:before="0" w:beforeAutospacing="0" w:after="0" w:afterAutospacing="0"/>
              <w:rPr>
                <w:sz w:val="14"/>
                <w:szCs w:val="14"/>
              </w:rPr>
            </w:pPr>
            <w:r>
              <w:rPr>
                <w:rStyle w:val="a6"/>
                <w:sz w:val="14"/>
                <w:szCs w:val="14"/>
              </w:rPr>
              <w:t>TOTALS</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4,157,793</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11,688,092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2,611,357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4,124,542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14,332,700</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25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18,457,242</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3,417,414</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15,039,828</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w:t>
            </w:r>
          </w:p>
        </w:tc>
        <w:tc>
          <w:tcPr>
            <w:tcW w:w="300" w:type="pct"/>
            <w:shd w:val="clear" w:color="auto" w:fill="CCEEFF"/>
            <w:vAlign w:val="bottom"/>
            <w:hideMark/>
          </w:tcPr>
          <w:p w:rsidR="00000000" w:rsidRDefault="006954AA">
            <w:pPr>
              <w:jc w:val="right"/>
              <w:rPr>
                <w:rFonts w:eastAsia="Times New Roman"/>
                <w:sz w:val="14"/>
                <w:szCs w:val="14"/>
              </w:rPr>
            </w:pPr>
            <w:r>
              <w:rPr>
                <w:rFonts w:eastAsia="Times New Roman"/>
                <w:sz w:val="14"/>
                <w:szCs w:val="14"/>
              </w:rPr>
              <w:t>376,917</w:t>
            </w:r>
          </w:p>
        </w:tc>
        <w:tc>
          <w:tcPr>
            <w:tcW w:w="50" w:type="pct"/>
            <w:shd w:val="clear" w:color="auto" w:fill="CCEEFF"/>
            <w:vAlign w:val="bottom"/>
            <w:hideMark/>
          </w:tcPr>
          <w:p w:rsidR="00000000" w:rsidRDefault="006954AA">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6954AA">
            <w:pPr>
              <w:rPr>
                <w:rFonts w:eastAsia="Times New Roman"/>
                <w:sz w:val="14"/>
                <w:szCs w:val="14"/>
              </w:rPr>
            </w:pPr>
            <w:r>
              <w:rPr>
                <w:rStyle w:val="a6"/>
                <w:rFonts w:eastAsia="Times New Roman"/>
                <w:sz w:val="14"/>
                <w:szCs w:val="14"/>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70"/>
        <w:gridCol w:w="6436"/>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The negative balance for costs capitalized subsequent to acquisition could include parcels/out-parcels sold, assets held-for-sale</w:t>
            </w:r>
            <w:r>
              <w:rPr>
                <w:sz w:val="20"/>
                <w:szCs w:val="20"/>
              </w:rPr>
              <w:t>, provision for losses and/or demolition of part of a property for redevelopment.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189"/>
        <w:gridCol w:w="6117"/>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Includes fair market value of debt adjustments, net and deferred financing costs, net.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1"/>
        <w:gridCol w:w="6235"/>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Shopping center includes land held for development.</w:t>
            </w:r>
          </w:p>
        </w:tc>
      </w:tr>
    </w:tbl>
    <w:p w:rsidR="00000000" w:rsidRDefault="006954AA">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6954AA">
            <w:pPr>
              <w:pStyle w:val="a3"/>
              <w:spacing w:before="0" w:beforeAutospacing="0" w:after="0" w:afterAutospacing="0"/>
              <w:rPr>
                <w:sz w:val="20"/>
                <w:szCs w:val="20"/>
              </w:rPr>
            </w:pPr>
            <w:r>
              <w:rPr>
                <w:sz w:val="20"/>
                <w:szCs w:val="20"/>
              </w:rPr>
              <w:t>(</w:t>
            </w:r>
            <w:r>
              <w:rPr>
                <w:rStyle w:val="a6"/>
                <w:sz w:val="20"/>
                <w:szCs w:val="20"/>
              </w:rPr>
              <w:t>4</w:t>
            </w:r>
            <w:r>
              <w:rPr>
                <w:sz w:val="20"/>
                <w:szCs w:val="20"/>
              </w:rPr>
              <w:t>)</w:t>
            </w:r>
          </w:p>
        </w:tc>
        <w:tc>
          <w:tcPr>
            <w:tcW w:w="6" w:type="dxa"/>
            <w:hideMark/>
          </w:tcPr>
          <w:p w:rsidR="00000000" w:rsidRDefault="006954AA">
            <w:pPr>
              <w:pStyle w:val="a3"/>
              <w:spacing w:before="0" w:beforeAutospacing="0" w:after="0" w:afterAutospacing="0"/>
              <w:rPr>
                <w:sz w:val="20"/>
                <w:szCs w:val="20"/>
              </w:rPr>
            </w:pPr>
            <w:r>
              <w:rPr>
                <w:sz w:val="20"/>
                <w:szCs w:val="20"/>
              </w:rPr>
              <w:t>Includes fixtures</w:t>
            </w:r>
            <w:r>
              <w:rPr>
                <w:sz w:val="20"/>
                <w:szCs w:val="20"/>
              </w:rPr>
              <w:t>, leasehold improvements and other costs capitalized.</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622074956"/>
        <w:rPr>
          <w:rFonts w:eastAsia="Times New Roman"/>
          <w:sz w:val="20"/>
          <w:szCs w:val="20"/>
        </w:rPr>
      </w:pPr>
      <w:r>
        <w:rPr>
          <w:rStyle w:val="a6"/>
          <w:rFonts w:eastAsia="Times New Roman"/>
          <w:sz w:val="20"/>
          <w:szCs w:val="20"/>
        </w:rPr>
        <w:t>102</w:t>
      </w: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pict>
          <v:rect id="_x0000_i1137" style="width:415.3pt;height:1.5pt" o:hralign="center" o:hrstd="t" o:hrnoshade="t" o:hr="t" fillcolor="black" stroked="f"/>
        </w:pict>
      </w:r>
    </w:p>
    <w:p w:rsidR="00000000" w:rsidRDefault="006954AA">
      <w:pPr>
        <w:divId w:val="742221554"/>
        <w:rPr>
          <w:rFonts w:eastAsia="Times New Roman"/>
          <w:sz w:val="20"/>
          <w:szCs w:val="20"/>
        </w:rPr>
      </w:pPr>
      <w:r>
        <w:rPr>
          <w:rFonts w:eastAsia="Times New Roman"/>
          <w:sz w:val="20"/>
          <w:szCs w:val="20"/>
        </w:rPr>
        <w:t xml:space="preserve">  </w:t>
      </w:r>
    </w:p>
    <w:p w:rsidR="00000000" w:rsidRDefault="006954AA">
      <w:pPr>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Depreciation and amortization are provided on the straight-line method over the estimated useful lives of the assets as follows:</w:t>
      </w:r>
    </w:p>
    <w:p w:rsidR="00000000" w:rsidRDefault="006954AA">
      <w:pPr>
        <w:pStyle w:val="a3"/>
        <w:spacing w:before="0" w:beforeAutospacing="0" w:after="0" w:afterAutospacing="0"/>
        <w:rPr>
          <w:sz w:val="20"/>
          <w:szCs w:val="20"/>
        </w:rPr>
      </w:pPr>
      <w:r>
        <w:rPr>
          <w:sz w:val="20"/>
          <w:szCs w:val="20"/>
        </w:rPr>
        <w:t> </w:t>
      </w:r>
    </w:p>
    <w:tbl>
      <w:tblPr>
        <w:tblW w:w="4000" w:type="pct"/>
        <w:tblCellSpacing w:w="0" w:type="dxa"/>
        <w:tblCellMar>
          <w:left w:w="0" w:type="dxa"/>
          <w:right w:w="0" w:type="dxa"/>
        </w:tblCellMar>
        <w:tblLook w:val="04A0" w:firstRow="1" w:lastRow="0" w:firstColumn="1" w:lastColumn="0" w:noHBand="0" w:noVBand="1"/>
      </w:tblPr>
      <w:tblGrid>
        <w:gridCol w:w="4533"/>
        <w:gridCol w:w="50"/>
        <w:gridCol w:w="770"/>
        <w:gridCol w:w="101"/>
        <w:gridCol w:w="156"/>
        <w:gridCol w:w="985"/>
        <w:gridCol w:w="50"/>
      </w:tblGrid>
      <w:tr w:rsidR="00000000">
        <w:trPr>
          <w:tblCellSpacing w:w="0" w:type="dxa"/>
        </w:trPr>
        <w:tc>
          <w:tcPr>
            <w:tcW w:w="360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Buildings and b</w:t>
            </w:r>
            <w:r>
              <w:rPr>
                <w:sz w:val="20"/>
                <w:szCs w:val="20"/>
              </w:rPr>
              <w:t>uilding improvements (in years)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954AA">
            <w:pPr>
              <w:rPr>
                <w:rFonts w:eastAsia="Times New Roman"/>
                <w:sz w:val="20"/>
                <w:szCs w:val="20"/>
              </w:rPr>
            </w:pPr>
            <w:r>
              <w:rPr>
                <w:rFonts w:eastAsia="Times New Roman"/>
                <w:sz w:val="20"/>
                <w:szCs w:val="20"/>
              </w:rPr>
              <w:t>5</w:t>
            </w:r>
          </w:p>
        </w:tc>
        <w:tc>
          <w:tcPr>
            <w:tcW w:w="100" w:type="pct"/>
            <w:shd w:val="clear" w:color="auto" w:fill="CCEEFF"/>
            <w:vAlign w:val="bottom"/>
            <w:hideMark/>
          </w:tcPr>
          <w:p w:rsidR="00000000" w:rsidRDefault="006954AA">
            <w:pPr>
              <w:rPr>
                <w:rFonts w:eastAsia="Times New Roman"/>
                <w:sz w:val="20"/>
                <w:szCs w:val="20"/>
              </w:rPr>
            </w:pPr>
            <w:r>
              <w:rPr>
                <w:rStyle w:val="a6"/>
                <w:rFonts w:eastAsia="Times New Roman"/>
                <w:sz w:val="20"/>
                <w:szCs w:val="20"/>
              </w:rPr>
              <w:t>to</w:t>
            </w:r>
          </w:p>
        </w:tc>
        <w:tc>
          <w:tcPr>
            <w:tcW w:w="1000" w:type="pct"/>
            <w:shd w:val="clear" w:color="auto" w:fill="CCEEFF"/>
            <w:vAlign w:val="bottom"/>
            <w:hideMark/>
          </w:tcPr>
          <w:p w:rsidR="00000000" w:rsidRDefault="006954AA">
            <w:pPr>
              <w:ind w:left="360"/>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6954AA">
            <w:pPr>
              <w:pStyle w:val="a3"/>
              <w:spacing w:before="0" w:beforeAutospacing="0" w:after="0" w:afterAutospacing="0"/>
              <w:rPr>
                <w:sz w:val="20"/>
                <w:szCs w:val="20"/>
              </w:rPr>
            </w:pPr>
            <w:r>
              <w:rPr>
                <w:sz w:val="20"/>
                <w:szCs w:val="20"/>
              </w:rPr>
              <w:t>Fixtures, building and leasehold improvements (including certain identified intangible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6954AA">
            <w:pPr>
              <w:pStyle w:val="a3"/>
              <w:spacing w:before="0" w:beforeAutospacing="0" w:after="0" w:afterAutospacing="0"/>
              <w:ind w:left="720"/>
              <w:rPr>
                <w:sz w:val="20"/>
                <w:szCs w:val="20"/>
              </w:rPr>
            </w:pPr>
            <w:r>
              <w:rPr>
                <w:sz w:val="20"/>
                <w:szCs w:val="20"/>
              </w:rPr>
              <w:t> </w:t>
            </w:r>
          </w:p>
        </w:tc>
        <w:tc>
          <w:tcPr>
            <w:tcW w:w="200" w:type="pct"/>
            <w:gridSpan w:val="3"/>
            <w:shd w:val="clear" w:color="auto" w:fill="FFFFFF"/>
            <w:vAlign w:val="bottom"/>
            <w:hideMark/>
          </w:tcPr>
          <w:p w:rsidR="00000000" w:rsidRDefault="006954AA">
            <w:pPr>
              <w:ind w:left="360"/>
              <w:jc w:val="both"/>
              <w:rPr>
                <w:rFonts w:eastAsia="Times New Roman"/>
                <w:sz w:val="20"/>
                <w:szCs w:val="20"/>
              </w:rPr>
            </w:pPr>
            <w:r>
              <w:rPr>
                <w:rStyle w:val="a6"/>
                <w:rFonts w:eastAsia="Times New Roman"/>
                <w:sz w:val="20"/>
                <w:szCs w:val="20"/>
              </w:rPr>
              <w:t>Terms of leases or useful lives, whichever is shorter</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xml:space="preserve">The aggregate cost for Federal income tax purposes was approximately $17.0 billion at </w:t>
      </w:r>
      <w:r>
        <w:rPr>
          <w:rStyle w:val="a6"/>
          <w:sz w:val="20"/>
          <w:szCs w:val="20"/>
        </w:rPr>
        <w:t>December 31, 2022.</w:t>
      </w:r>
    </w:p>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xml:space="preserve">The changes in total real estate assets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are as follows: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18,052,271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12,068,827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11,929,276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Acquisitions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542,789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5,765,363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10,449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Improvements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183,561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153,698</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210,390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Transfers from unconsolidated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785,334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Deductions during period:</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Sales and assets held-for-sale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(271,347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(205,057</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(30,764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Transfers to operating lease right-of-use assets,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Transfers to unconsolidated joint ventures</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(433,829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Adjustment for fully depreciated assets</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(36,032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(82,065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(45,042</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Adjustment of property carrying values</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(14,000</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(5,482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Balance, end of period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18,457,242</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18,052,271</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12,068,827</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 xml:space="preserve">The changes in accumulated depreciation for the years ended </w:t>
      </w:r>
      <w:r>
        <w:rPr>
          <w:rStyle w:val="a6"/>
          <w:sz w:val="20"/>
          <w:szCs w:val="20"/>
        </w:rPr>
        <w:t>December 31, 2022, 2021</w:t>
      </w:r>
      <w:r>
        <w:rPr>
          <w:sz w:val="20"/>
          <w:szCs w:val="20"/>
        </w:rPr>
        <w:t xml:space="preserve"> and </w:t>
      </w:r>
      <w:r>
        <w:rPr>
          <w:rStyle w:val="a6"/>
          <w:sz w:val="20"/>
          <w:szCs w:val="20"/>
        </w:rPr>
        <w:t>2020</w:t>
      </w:r>
      <w:r>
        <w:rPr>
          <w:sz w:val="20"/>
          <w:szCs w:val="20"/>
        </w:rPr>
        <w:t xml:space="preserve"> are as follows:</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6954AA">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3,010,699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2,717,114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2,500,053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Depreciation for year</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493,075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378,416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265,144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Deductions during period:</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Sales and assets held-for-sale</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(50,328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(2,766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(3,041</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ind w:left="180"/>
              <w:rPr>
                <w:sz w:val="20"/>
                <w:szCs w:val="20"/>
              </w:rPr>
            </w:pPr>
            <w:r>
              <w:rPr>
                <w:sz w:val="20"/>
                <w:szCs w:val="20"/>
              </w:rPr>
              <w:t>Transfers to operating lease right-of-use assets, net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954AA">
            <w:pPr>
              <w:pStyle w:val="a3"/>
              <w:spacing w:before="0" w:beforeAutospacing="0" w:after="0" w:afterAutospacing="0"/>
              <w:ind w:left="180"/>
              <w:rPr>
                <w:sz w:val="20"/>
                <w:szCs w:val="20"/>
              </w:rPr>
            </w:pPr>
            <w:r>
              <w:rPr>
                <w:sz w:val="20"/>
                <w:szCs w:val="20"/>
              </w:rPr>
              <w:t>Adjustment for fully depreciated assets/other</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(36,032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(82,065</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sz w:val="20"/>
                <w:szCs w:val="20"/>
              </w:rPr>
              <w:t>(45,042</w:t>
            </w:r>
          </w:p>
        </w:tc>
        <w:tc>
          <w:tcPr>
            <w:tcW w:w="50" w:type="pct"/>
            <w:shd w:val="clear" w:color="auto" w:fill="CCEE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6954AA">
            <w:pPr>
              <w:pStyle w:val="a3"/>
              <w:spacing w:before="0" w:beforeAutospacing="0" w:after="0" w:afterAutospacing="0"/>
              <w:rPr>
                <w:sz w:val="20"/>
                <w:szCs w:val="20"/>
              </w:rPr>
            </w:pPr>
            <w:r>
              <w:rPr>
                <w:sz w:val="20"/>
                <w:szCs w:val="20"/>
              </w:rPr>
              <w:t>Balance, end of period</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3,417,414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3,010,699</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6954AA">
            <w:pPr>
              <w:jc w:val="right"/>
              <w:rPr>
                <w:rFonts w:eastAsia="Times New Roman"/>
                <w:sz w:val="20"/>
                <w:szCs w:val="20"/>
              </w:rPr>
            </w:pPr>
            <w:r>
              <w:rPr>
                <w:rFonts w:eastAsia="Times New Roman"/>
                <w:sz w:val="20"/>
                <w:szCs w:val="20"/>
              </w:rPr>
              <w:t>2,717,114</w:t>
            </w:r>
          </w:p>
        </w:tc>
        <w:tc>
          <w:tcPr>
            <w:tcW w:w="50" w:type="pct"/>
            <w:shd w:val="clear" w:color="auto" w:fill="FFFF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p w:rsidR="00000000" w:rsidRDefault="006954AA">
      <w:pPr>
        <w:pStyle w:val="a3"/>
        <w:spacing w:before="0" w:beforeAutospacing="0" w:after="0" w:afterAutospacing="0"/>
        <w:rPr>
          <w:sz w:val="20"/>
          <w:szCs w:val="20"/>
        </w:rPr>
      </w:pPr>
      <w:r>
        <w:rPr>
          <w:sz w:val="20"/>
          <w:szCs w:val="20"/>
        </w:rPr>
        <w:t>Reclassifications:</w:t>
      </w:r>
    </w:p>
    <w:p w:rsidR="00000000" w:rsidRDefault="006954AA">
      <w:pPr>
        <w:pStyle w:val="a3"/>
        <w:spacing w:before="0" w:beforeAutospacing="0" w:after="0" w:afterAutospacing="0"/>
        <w:rPr>
          <w:sz w:val="20"/>
          <w:szCs w:val="20"/>
        </w:rPr>
      </w:pPr>
      <w:r>
        <w:rPr>
          <w:sz w:val="20"/>
          <w:szCs w:val="20"/>
        </w:rPr>
        <w:t>Certain amounts in the prior period have been reclassified in order to conform with the current period's presentation.</w:t>
      </w:r>
    </w:p>
    <w:p w:rsidR="00000000" w:rsidRDefault="006954AA">
      <w:pPr>
        <w:pStyle w:val="a3"/>
        <w:spacing w:before="0" w:beforeAutospacing="0" w:after="0" w:afterAutospacing="0"/>
        <w:rPr>
          <w:sz w:val="20"/>
          <w:szCs w:val="20"/>
        </w:rPr>
      </w:pPr>
      <w:r>
        <w:rPr>
          <w:sz w:val="20"/>
          <w:szCs w:val="20"/>
        </w:rPr>
        <w:t> </w:t>
      </w:r>
    </w:p>
    <w:p w:rsidR="00000000" w:rsidRDefault="006954AA">
      <w:pPr>
        <w:jc w:val="center"/>
        <w:divId w:val="1745295893"/>
        <w:rPr>
          <w:rFonts w:eastAsia="Times New Roman"/>
          <w:sz w:val="20"/>
          <w:szCs w:val="20"/>
        </w:rPr>
      </w:pPr>
      <w:r>
        <w:rPr>
          <w:rFonts w:eastAsia="Times New Roman"/>
          <w:sz w:val="20"/>
          <w:szCs w:val="20"/>
        </w:rPr>
        <w:t xml:space="preserve">103 </w:t>
      </w:r>
    </w:p>
    <w:p w:rsidR="00000000" w:rsidRDefault="006954AA">
      <w:pPr>
        <w:divId w:val="977491710"/>
        <w:rPr>
          <w:rFonts w:eastAsia="Times New Roman"/>
          <w:sz w:val="20"/>
          <w:szCs w:val="20"/>
        </w:rPr>
      </w:pPr>
      <w:r>
        <w:rPr>
          <w:rFonts w:eastAsia="Times New Roman"/>
          <w:sz w:val="20"/>
          <w:szCs w:val="20"/>
        </w:rPr>
        <w:pict>
          <v:rect id="_x0000_i1138" style="width:415.3pt;height:1.5pt" o:hralign="center" o:hrstd="t" o:hrnoshade="t" o:hr="t" fillcolor="black" stroked="f"/>
        </w:pict>
      </w:r>
    </w:p>
    <w:p w:rsidR="00000000" w:rsidRDefault="006954AA">
      <w:pPr>
        <w:divId w:val="429862296"/>
        <w:rPr>
          <w:rFonts w:eastAsia="Times New Roman"/>
          <w:sz w:val="20"/>
          <w:szCs w:val="20"/>
        </w:rPr>
      </w:pPr>
      <w:r>
        <w:rPr>
          <w:rFonts w:eastAsia="Times New Roman"/>
          <w:sz w:val="20"/>
          <w:szCs w:val="20"/>
        </w:rPr>
        <w:t xml:space="preserve">  </w:t>
      </w:r>
    </w:p>
    <w:p w:rsidR="00000000" w:rsidRDefault="006954AA">
      <w:pPr>
        <w:divId w:val="1632856964"/>
        <w:rPr>
          <w:rFonts w:eastAsia="Times New Roman"/>
          <w:sz w:val="20"/>
          <w:szCs w:val="20"/>
        </w:rPr>
      </w:pPr>
      <w:r>
        <w:rPr>
          <w:rFonts w:eastAsia="Times New Roman"/>
          <w:sz w:val="20"/>
          <w:szCs w:val="20"/>
        </w:rPr>
        <w:t xml:space="preserve">  </w:t>
      </w:r>
    </w:p>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4925" w:type="pct"/>
            <w:vAlign w:val="bottom"/>
            <w:hideMark/>
          </w:tcPr>
          <w:p w:rsidR="00000000" w:rsidRDefault="006954AA">
            <w:pPr>
              <w:pStyle w:val="a3"/>
              <w:spacing w:before="0" w:beforeAutospacing="0" w:after="0" w:afterAutospacing="0"/>
              <w:jc w:val="center"/>
              <w:rPr>
                <w:sz w:val="20"/>
                <w:szCs w:val="20"/>
              </w:rPr>
            </w:pPr>
            <w:r>
              <w:rPr>
                <w:b/>
                <w:bCs/>
                <w:sz w:val="20"/>
                <w:szCs w:val="20"/>
              </w:rPr>
              <w:t>KIMCO REALTY CORPORATION AND SUBSIDIARIES</w:t>
            </w:r>
          </w:p>
        </w:tc>
      </w:tr>
      <w:tr w:rsidR="00000000">
        <w:trPr>
          <w:tblCellSpacing w:w="0" w:type="dxa"/>
        </w:trPr>
        <w:tc>
          <w:tcPr>
            <w:tcW w:w="1235" w:type="pct"/>
            <w:vAlign w:val="bottom"/>
            <w:hideMark/>
          </w:tcPr>
          <w:p w:rsidR="00000000" w:rsidRDefault="006954AA">
            <w:pPr>
              <w:pStyle w:val="a3"/>
              <w:spacing w:before="0" w:beforeAutospacing="0" w:after="0" w:afterAutospacing="0"/>
              <w:jc w:val="center"/>
              <w:rPr>
                <w:sz w:val="20"/>
                <w:szCs w:val="20"/>
              </w:rPr>
            </w:pPr>
            <w:r>
              <w:rPr>
                <w:b/>
                <w:bCs/>
                <w:sz w:val="20"/>
                <w:szCs w:val="20"/>
              </w:rPr>
              <w:t>SCHEDULE IV - MORTGAGE LOANS ON REAL ESTATE</w:t>
            </w:r>
          </w:p>
        </w:tc>
      </w:tr>
      <w:tr w:rsidR="00000000">
        <w:trPr>
          <w:tblCellSpacing w:w="0" w:type="dxa"/>
        </w:trPr>
        <w:tc>
          <w:tcPr>
            <w:tcW w:w="1235" w:type="pct"/>
            <w:vAlign w:val="bottom"/>
            <w:hideMark/>
          </w:tcPr>
          <w:p w:rsidR="00000000" w:rsidRDefault="006954AA">
            <w:pPr>
              <w:pStyle w:val="a3"/>
              <w:spacing w:before="0" w:beforeAutospacing="0" w:after="0" w:afterAutospacing="0"/>
              <w:jc w:val="center"/>
              <w:rPr>
                <w:sz w:val="20"/>
                <w:szCs w:val="20"/>
              </w:rPr>
            </w:pPr>
            <w:r>
              <w:rPr>
                <w:b/>
                <w:bCs/>
                <w:sz w:val="20"/>
                <w:szCs w:val="20"/>
              </w:rPr>
              <w:t xml:space="preserve">As of </w:t>
            </w:r>
            <w:r>
              <w:rPr>
                <w:rStyle w:val="a6"/>
                <w:b/>
                <w:bCs/>
                <w:sz w:val="20"/>
                <w:szCs w:val="20"/>
              </w:rPr>
              <w:t>December 31, 2022</w:t>
            </w:r>
          </w:p>
        </w:tc>
      </w:tr>
      <w:tr w:rsidR="00000000">
        <w:trPr>
          <w:tblCellSpacing w:w="0" w:type="dxa"/>
        </w:trPr>
        <w:tc>
          <w:tcPr>
            <w:tcW w:w="4925" w:type="pct"/>
            <w:vAlign w:val="bottom"/>
            <w:hideMark/>
          </w:tcPr>
          <w:p w:rsidR="00000000" w:rsidRDefault="006954AA">
            <w:pPr>
              <w:pStyle w:val="a3"/>
              <w:spacing w:before="0" w:beforeAutospacing="0" w:after="0" w:afterAutospacing="0"/>
              <w:jc w:val="center"/>
              <w:rPr>
                <w:sz w:val="20"/>
                <w:szCs w:val="20"/>
              </w:rPr>
            </w:pPr>
            <w:r>
              <w:rPr>
                <w:b/>
                <w:bCs/>
                <w:sz w:val="20"/>
                <w:szCs w:val="20"/>
              </w:rPr>
              <w:t>(in thousands)</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95"/>
        <w:gridCol w:w="50"/>
        <w:gridCol w:w="84"/>
        <w:gridCol w:w="583"/>
        <w:gridCol w:w="167"/>
        <w:gridCol w:w="50"/>
        <w:gridCol w:w="98"/>
        <w:gridCol w:w="680"/>
        <w:gridCol w:w="50"/>
        <w:gridCol w:w="50"/>
        <w:gridCol w:w="95"/>
        <w:gridCol w:w="661"/>
        <w:gridCol w:w="50"/>
        <w:gridCol w:w="50"/>
        <w:gridCol w:w="101"/>
        <w:gridCol w:w="408"/>
        <w:gridCol w:w="50"/>
        <w:gridCol w:w="50"/>
        <w:gridCol w:w="114"/>
        <w:gridCol w:w="797"/>
        <w:gridCol w:w="50"/>
        <w:gridCol w:w="50"/>
        <w:gridCol w:w="114"/>
        <w:gridCol w:w="797"/>
        <w:gridCol w:w="67"/>
        <w:gridCol w:w="50"/>
        <w:gridCol w:w="119"/>
        <w:gridCol w:w="826"/>
        <w:gridCol w:w="50"/>
      </w:tblGrid>
      <w:tr w:rsidR="00000000">
        <w:trPr>
          <w:tblCellSpacing w:w="0" w:type="dxa"/>
        </w:trPr>
        <w:tc>
          <w:tcPr>
            <w:tcW w:w="1500" w:type="pct"/>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Description</w:t>
            </w:r>
          </w:p>
        </w:tc>
        <w:tc>
          <w:tcPr>
            <w:tcW w:w="0" w:type="auto"/>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Final Maturity </w:t>
            </w:r>
          </w:p>
          <w:p w:rsidR="00000000" w:rsidRDefault="006954AA">
            <w:pPr>
              <w:pStyle w:val="a3"/>
              <w:spacing w:before="0" w:beforeAutospacing="0" w:after="0" w:afterAutospacing="0"/>
              <w:jc w:val="center"/>
              <w:rPr>
                <w:sz w:val="20"/>
                <w:szCs w:val="20"/>
              </w:rPr>
            </w:pPr>
            <w:r>
              <w:rPr>
                <w:b/>
                <w:bCs/>
                <w:sz w:val="20"/>
                <w:szCs w:val="20"/>
              </w:rPr>
              <w:t>Date</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Periodic </w:t>
            </w:r>
          </w:p>
          <w:p w:rsidR="00000000" w:rsidRDefault="006954AA">
            <w:pPr>
              <w:pStyle w:val="a3"/>
              <w:spacing w:before="0" w:beforeAutospacing="0" w:after="0" w:afterAutospacing="0"/>
              <w:jc w:val="center"/>
              <w:rPr>
                <w:sz w:val="20"/>
                <w:szCs w:val="20"/>
              </w:rPr>
            </w:pPr>
            <w:r>
              <w:rPr>
                <w:b/>
                <w:bCs/>
                <w:sz w:val="20"/>
                <w:szCs w:val="20"/>
              </w:rPr>
              <w:t xml:space="preserve">Payment </w:t>
            </w:r>
          </w:p>
          <w:p w:rsidR="00000000" w:rsidRDefault="006954AA">
            <w:pPr>
              <w:pStyle w:val="a3"/>
              <w:spacing w:before="0" w:beforeAutospacing="0" w:after="0" w:afterAutospacing="0"/>
              <w:jc w:val="center"/>
              <w:rPr>
                <w:sz w:val="20"/>
                <w:szCs w:val="20"/>
              </w:rPr>
            </w:pPr>
            <w:r>
              <w:rPr>
                <w:b/>
                <w:bCs/>
                <w:sz w:val="20"/>
                <w:szCs w:val="20"/>
              </w:rPr>
              <w:t>Terms (a)</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Prior</w:t>
            </w:r>
          </w:p>
          <w:p w:rsidR="00000000" w:rsidRDefault="006954AA">
            <w:pPr>
              <w:pStyle w:val="a3"/>
              <w:spacing w:before="0" w:beforeAutospacing="0" w:after="0" w:afterAutospacing="0"/>
              <w:jc w:val="center"/>
              <w:rPr>
                <w:sz w:val="20"/>
                <w:szCs w:val="20"/>
              </w:rPr>
            </w:pPr>
            <w:r>
              <w:rPr>
                <w:b/>
                <w:bCs/>
                <w:sz w:val="20"/>
                <w:szCs w:val="20"/>
              </w:rPr>
              <w:t>Liens</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Original Face </w:t>
            </w:r>
          </w:p>
          <w:p w:rsidR="00000000" w:rsidRDefault="006954AA">
            <w:pPr>
              <w:pStyle w:val="a3"/>
              <w:spacing w:before="0" w:beforeAutospacing="0" w:after="0" w:afterAutospacing="0"/>
              <w:jc w:val="center"/>
              <w:rPr>
                <w:sz w:val="20"/>
                <w:szCs w:val="20"/>
              </w:rPr>
            </w:pPr>
            <w:r>
              <w:rPr>
                <w:b/>
                <w:bCs/>
                <w:sz w:val="20"/>
                <w:szCs w:val="20"/>
              </w:rPr>
              <w:t xml:space="preserve">Amount </w:t>
            </w:r>
          </w:p>
          <w:p w:rsidR="00000000" w:rsidRDefault="006954AA">
            <w:pPr>
              <w:pStyle w:val="a3"/>
              <w:spacing w:before="0" w:beforeAutospacing="0" w:after="0" w:afterAutospacing="0"/>
              <w:jc w:val="center"/>
              <w:rPr>
                <w:sz w:val="20"/>
                <w:szCs w:val="20"/>
              </w:rPr>
            </w:pPr>
            <w:r>
              <w:rPr>
                <w:b/>
                <w:bCs/>
                <w:sz w:val="20"/>
                <w:szCs w:val="20"/>
              </w:rPr>
              <w:t>of Mortgages</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 xml:space="preserve">Carrying </w:t>
            </w:r>
          </w:p>
          <w:p w:rsidR="00000000" w:rsidRDefault="006954AA">
            <w:pPr>
              <w:pStyle w:val="a3"/>
              <w:spacing w:before="0" w:beforeAutospacing="0" w:after="0" w:afterAutospacing="0"/>
              <w:jc w:val="center"/>
              <w:rPr>
                <w:sz w:val="20"/>
                <w:szCs w:val="20"/>
              </w:rPr>
            </w:pPr>
            <w:r>
              <w:rPr>
                <w:b/>
                <w:bCs/>
                <w:sz w:val="20"/>
                <w:szCs w:val="20"/>
              </w:rPr>
              <w:t xml:space="preserve">Amount of </w:t>
            </w:r>
          </w:p>
          <w:p w:rsidR="00000000" w:rsidRDefault="006954AA">
            <w:pPr>
              <w:pStyle w:val="a3"/>
              <w:spacing w:before="0" w:beforeAutospacing="0" w:after="0" w:afterAutospacing="0"/>
              <w:jc w:val="center"/>
              <w:rPr>
                <w:sz w:val="20"/>
                <w:szCs w:val="20"/>
              </w:rPr>
            </w:pPr>
            <w:r>
              <w:rPr>
                <w:b/>
                <w:bCs/>
                <w:sz w:val="20"/>
                <w:szCs w:val="20"/>
              </w:rPr>
              <w:t>Mortgages (b)</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6954AA">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6954AA">
            <w:pPr>
              <w:pStyle w:val="a3"/>
              <w:spacing w:before="0" w:beforeAutospacing="0" w:after="0" w:afterAutospacing="0"/>
              <w:jc w:val="center"/>
              <w:rPr>
                <w:sz w:val="20"/>
                <w:szCs w:val="20"/>
              </w:rPr>
            </w:pPr>
            <w:r>
              <w:rPr>
                <w:b/>
                <w:bCs/>
                <w:sz w:val="20"/>
                <w:szCs w:val="20"/>
              </w:rPr>
              <w:t>Principal Amount</w:t>
            </w:r>
          </w:p>
          <w:p w:rsidR="00000000" w:rsidRDefault="006954AA">
            <w:pPr>
              <w:pStyle w:val="a3"/>
              <w:spacing w:before="0" w:beforeAutospacing="0" w:after="0" w:afterAutospacing="0"/>
              <w:jc w:val="center"/>
              <w:rPr>
                <w:sz w:val="20"/>
                <w:szCs w:val="20"/>
              </w:rPr>
            </w:pPr>
            <w:r>
              <w:rPr>
                <w:b/>
                <w:bCs/>
                <w:sz w:val="20"/>
                <w:szCs w:val="20"/>
              </w:rPr>
              <w:t xml:space="preserve">of Loans Subject </w:t>
            </w:r>
          </w:p>
          <w:p w:rsidR="00000000" w:rsidRDefault="006954AA">
            <w:pPr>
              <w:pStyle w:val="a3"/>
              <w:spacing w:before="0" w:beforeAutospacing="0" w:after="0" w:afterAutospacing="0"/>
              <w:jc w:val="center"/>
              <w:rPr>
                <w:sz w:val="20"/>
                <w:szCs w:val="20"/>
              </w:rPr>
            </w:pPr>
            <w:r>
              <w:rPr>
                <w:b/>
                <w:bCs/>
                <w:sz w:val="20"/>
                <w:szCs w:val="20"/>
              </w:rPr>
              <w:t xml:space="preserve">to Delinquent </w:t>
            </w:r>
          </w:p>
          <w:p w:rsidR="00000000" w:rsidRDefault="006954AA">
            <w:pPr>
              <w:pStyle w:val="a3"/>
              <w:spacing w:before="0" w:beforeAutospacing="0" w:after="0" w:afterAutospacing="0"/>
              <w:jc w:val="center"/>
              <w:rPr>
                <w:sz w:val="20"/>
                <w:szCs w:val="20"/>
              </w:rPr>
            </w:pPr>
            <w:r>
              <w:rPr>
                <w:b/>
                <w:bCs/>
                <w:sz w:val="20"/>
                <w:szCs w:val="20"/>
              </w:rPr>
              <w:t>Principal or</w:t>
            </w:r>
          </w:p>
          <w:p w:rsidR="00000000" w:rsidRDefault="006954AA">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b/>
                <w:bCs/>
                <w:sz w:val="20"/>
                <w:szCs w:val="20"/>
                <w:u w:val="single"/>
              </w:rPr>
              <w:t>Mortgage Loans: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b/>
                <w:bCs/>
                <w:i/>
                <w:iCs/>
                <w:sz w:val="20"/>
                <w:szCs w:val="20"/>
              </w:rPr>
              <w:t>Retail</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Lynwood, CA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9.00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Jun-25</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16,463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16,463</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Jacksonville, FL</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Nov-26</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15,000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San Antonio, TX</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12.50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Sep-27</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21,500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16,359</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Fairfax, VA</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8.00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May-29</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14,000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Euless, TX</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Jun-29</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19,600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19,600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Las Vegas, NV</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12.00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May-33</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3,075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3,075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Las Vegas, NV</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7.00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Oct-53</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3,410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3,410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360"/>
              <w:rPr>
                <w:sz w:val="20"/>
                <w:szCs w:val="20"/>
              </w:rPr>
            </w:pPr>
            <w:r>
              <w:rPr>
                <w:b/>
                <w:bCs/>
                <w:i/>
                <w:iCs/>
                <w:sz w:val="20"/>
                <w:szCs w:val="20"/>
              </w:rPr>
              <w:t>Nonretail</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i/>
                <w:iCs/>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Commack, NY</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7.41</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Oct-26</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P&amp;I</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1,354</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166</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Melbourne, FL</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6.88</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Dec-30</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P&amp;I</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b/>
                <w:bCs/>
                <w:sz w:val="20"/>
                <w:szCs w:val="20"/>
                <w:u w:val="single"/>
              </w:rPr>
              <w:t>Other Financing Loans: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360"/>
              <w:rPr>
                <w:sz w:val="20"/>
                <w:szCs w:val="20"/>
              </w:rPr>
            </w:pPr>
            <w:r>
              <w:rPr>
                <w:b/>
                <w:bCs/>
                <w:i/>
                <w:iCs/>
                <w:sz w:val="20"/>
                <w:szCs w:val="20"/>
              </w:rPr>
              <w:t>Nonretail</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b/>
                <w:bCs/>
                <w:i/>
                <w:iCs/>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ind w:left="540"/>
              <w:rPr>
                <w:sz w:val="20"/>
                <w:szCs w:val="20"/>
              </w:rPr>
            </w:pPr>
            <w:r>
              <w:rPr>
                <w:sz w:val="20"/>
                <w:szCs w:val="20"/>
              </w:rPr>
              <w:t>Borrower A</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8.64</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Apr-23</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6954AA">
            <w:pPr>
              <w:pStyle w:val="a3"/>
              <w:spacing w:before="0" w:beforeAutospacing="0" w:after="0" w:afterAutospacing="0"/>
              <w:jc w:val="center"/>
              <w:rPr>
                <w:sz w:val="20"/>
                <w:szCs w:val="20"/>
              </w:rPr>
            </w:pPr>
            <w:r>
              <w:rPr>
                <w:rStyle w:val="a6"/>
                <w:sz w:val="20"/>
                <w:szCs w:val="20"/>
              </w:rPr>
              <w:t>P&amp;I</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175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pStyle w:val="a3"/>
              <w:spacing w:before="0" w:beforeAutospacing="0" w:after="0" w:afterAutospacing="0"/>
              <w:ind w:left="540"/>
              <w:rPr>
                <w:sz w:val="20"/>
                <w:szCs w:val="20"/>
              </w:rPr>
            </w:pPr>
            <w:r>
              <w:rPr>
                <w:sz w:val="20"/>
                <w:szCs w:val="20"/>
              </w:rPr>
              <w:t>Borrower B</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7.00</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Mar-31</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6954AA">
            <w:pPr>
              <w:pStyle w:val="a3"/>
              <w:spacing w:before="0" w:beforeAutospacing="0" w:after="0" w:afterAutospacing="0"/>
              <w:jc w:val="center"/>
              <w:rPr>
                <w:sz w:val="20"/>
                <w:szCs w:val="20"/>
              </w:rPr>
            </w:pPr>
            <w:r>
              <w:rPr>
                <w:rStyle w:val="a6"/>
                <w:sz w:val="20"/>
                <w:szCs w:val="20"/>
              </w:rPr>
              <w:t>P&amp;I</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397</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Fonts w:eastAsia="Times New Roman"/>
                <w:sz w:val="20"/>
                <w:szCs w:val="20"/>
              </w:rPr>
              <w:t>345</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pStyle w:val="a3"/>
              <w:spacing w:before="0" w:beforeAutospacing="0" w:after="0" w:afterAutospacing="0"/>
              <w:rPr>
                <w:sz w:val="20"/>
                <w:szCs w:val="20"/>
              </w:rPr>
            </w:pPr>
            <w:r>
              <w:rPr>
                <w:b/>
                <w:bCs/>
                <w:sz w:val="20"/>
                <w:szCs w:val="20"/>
                <w:u w:val="single"/>
              </w:rPr>
              <w:t>Allowance for Credit losses:</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Fonts w:eastAsia="Times New Roman"/>
                <w:sz w:val="20"/>
                <w:szCs w:val="20"/>
              </w:rPr>
              <w:t>(1,300</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6954AA">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r w:rsidR="006954AA">
        <w:trPr>
          <w:tblCellSpacing w:w="0" w:type="dxa"/>
        </w:trPr>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6954AA">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Style w:val="a6"/>
                <w:rFonts w:eastAsia="Times New Roman"/>
                <w:b/>
                <w:bCs/>
                <w:sz w:val="20"/>
                <w:szCs w:val="20"/>
              </w:rPr>
              <w:t>-</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95,474</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87,359</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6954AA">
            <w:pPr>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rsidR="00000000" w:rsidRDefault="006954AA">
            <w:pPr>
              <w:jc w:val="right"/>
              <w:rPr>
                <w:rFonts w:eastAsia="Times New Roman"/>
                <w:sz w:val="20"/>
                <w:szCs w:val="20"/>
              </w:rPr>
            </w:pP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6954AA">
            <w:pPr>
              <w:rPr>
                <w:rFonts w:eastAsia="Times New Roman"/>
                <w:sz w:val="20"/>
                <w:szCs w:val="20"/>
              </w:rPr>
            </w:pPr>
            <w:r>
              <w:rPr>
                <w:rFonts w:eastAsia="Times New Roman"/>
                <w:sz w:val="20"/>
                <w:szCs w:val="20"/>
              </w:rPr>
              <w:t> </w:t>
            </w:r>
          </w:p>
        </w:tc>
      </w:tr>
    </w:tbl>
    <w:p w:rsidR="00000000" w:rsidRDefault="006954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1235" w:type="pct"/>
            <w:vAlign w:val="bottom"/>
            <w:hideMark/>
          </w:tcPr>
          <w:p w:rsidR="00000000" w:rsidRDefault="006954AA">
            <w:pPr>
              <w:pStyle w:val="a3"/>
              <w:spacing w:before="0" w:beforeAutospacing="0" w:after="0" w:afterAutospacing="0"/>
              <w:rPr>
                <w:sz w:val="20"/>
                <w:szCs w:val="20"/>
              </w:rPr>
            </w:pPr>
            <w:r>
              <w:rPr>
                <w:sz w:val="20"/>
                <w:szCs w:val="20"/>
              </w:rPr>
              <w:t>(a)  I = Interest only; P&amp;I = Principal &amp; Interest.</w:t>
            </w:r>
          </w:p>
        </w:tc>
      </w:tr>
      <w:tr w:rsidR="00000000">
        <w:trPr>
          <w:tblCellSpacing w:w="0" w:type="dxa"/>
        </w:trPr>
        <w:tc>
          <w:tcPr>
            <w:tcW w:w="1235" w:type="pct"/>
            <w:vAlign w:val="bottom"/>
            <w:hideMark/>
          </w:tcPr>
          <w:p w:rsidR="00000000" w:rsidRDefault="006954AA">
            <w:pPr>
              <w:pStyle w:val="a3"/>
              <w:spacing w:before="0" w:beforeAutospacing="0" w:after="0" w:afterAutospacing="0"/>
              <w:rPr>
                <w:sz w:val="20"/>
                <w:szCs w:val="20"/>
              </w:rPr>
            </w:pPr>
            <w:r>
              <w:rPr>
                <w:sz w:val="20"/>
                <w:szCs w:val="20"/>
              </w:rPr>
              <w:t xml:space="preserve">(b)  The aggregate cost for Federal income tax purposes was approximately $87.3 million as of </w:t>
            </w:r>
            <w:r>
              <w:rPr>
                <w:rStyle w:val="a6"/>
                <w:sz w:val="20"/>
                <w:szCs w:val="20"/>
              </w:rPr>
              <w:t>December 31, 2022.</w:t>
            </w:r>
          </w:p>
        </w:tc>
      </w:tr>
      <w:tr w:rsidR="00000000">
        <w:trPr>
          <w:tblCellSpacing w:w="0" w:type="dxa"/>
        </w:trPr>
        <w:tc>
          <w:tcPr>
            <w:tcW w:w="1235"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235" w:type="pct"/>
            <w:vAlign w:val="bottom"/>
            <w:hideMark/>
          </w:tcPr>
          <w:p w:rsidR="00000000" w:rsidRDefault="006954AA">
            <w:pPr>
              <w:pStyle w:val="a3"/>
              <w:spacing w:before="0" w:beforeAutospacing="0" w:after="0" w:afterAutospacing="0"/>
              <w:rPr>
                <w:sz w:val="20"/>
                <w:szCs w:val="20"/>
              </w:rPr>
            </w:pPr>
            <w:r>
              <w:rPr>
                <w:sz w:val="20"/>
                <w:szCs w:val="20"/>
              </w:rPr>
              <w:t>For a reconci</w:t>
            </w:r>
            <w:r>
              <w:rPr>
                <w:sz w:val="20"/>
                <w:szCs w:val="20"/>
              </w:rPr>
              <w:t xml:space="preserve">liation of mortgage and other financing receivables from </w:t>
            </w:r>
            <w:r>
              <w:rPr>
                <w:rStyle w:val="a6"/>
                <w:sz w:val="20"/>
                <w:szCs w:val="20"/>
              </w:rPr>
              <w:t xml:space="preserve">January 1, 2020 </w:t>
            </w:r>
            <w:r>
              <w:rPr>
                <w:sz w:val="20"/>
                <w:szCs w:val="20"/>
              </w:rPr>
              <w:t xml:space="preserve">to </w:t>
            </w:r>
            <w:r>
              <w:rPr>
                <w:rStyle w:val="a6"/>
                <w:sz w:val="20"/>
                <w:szCs w:val="20"/>
              </w:rPr>
              <w:t xml:space="preserve">December 31, 2022, </w:t>
            </w:r>
            <w:r>
              <w:rPr>
                <w:sz w:val="20"/>
                <w:szCs w:val="20"/>
              </w:rPr>
              <w:t xml:space="preserve">see Footnote </w:t>
            </w:r>
            <w:r>
              <w:rPr>
                <w:rStyle w:val="a6"/>
                <w:sz w:val="20"/>
                <w:szCs w:val="20"/>
              </w:rPr>
              <w:t>12</w:t>
            </w:r>
            <w:r>
              <w:rPr>
                <w:sz w:val="20"/>
                <w:szCs w:val="20"/>
              </w:rPr>
              <w:t xml:space="preserve"> of the Notes to the Consolidated Financial Statements included in this Form </w:t>
            </w:r>
            <w:r>
              <w:rPr>
                <w:rStyle w:val="a6"/>
                <w:sz w:val="20"/>
                <w:szCs w:val="20"/>
              </w:rPr>
              <w:t>10</w:t>
            </w:r>
            <w:r>
              <w:rPr>
                <w:sz w:val="20"/>
                <w:szCs w:val="20"/>
              </w:rPr>
              <w:t>-K.</w:t>
            </w:r>
          </w:p>
        </w:tc>
      </w:tr>
      <w:tr w:rsidR="00000000">
        <w:trPr>
          <w:tblCellSpacing w:w="0" w:type="dxa"/>
        </w:trPr>
        <w:tc>
          <w:tcPr>
            <w:tcW w:w="1235" w:type="pct"/>
            <w:vAlign w:val="bottom"/>
            <w:hideMark/>
          </w:tcPr>
          <w:p w:rsidR="00000000" w:rsidRDefault="006954AA">
            <w:pPr>
              <w:rPr>
                <w:rFonts w:eastAsia="Times New Roman"/>
                <w:sz w:val="20"/>
                <w:szCs w:val="20"/>
              </w:rPr>
            </w:pPr>
            <w:r>
              <w:rPr>
                <w:rFonts w:eastAsia="Times New Roman"/>
                <w:sz w:val="20"/>
                <w:szCs w:val="20"/>
              </w:rPr>
              <w:t> </w:t>
            </w:r>
          </w:p>
        </w:tc>
      </w:tr>
      <w:tr w:rsidR="00000000">
        <w:trPr>
          <w:tblCellSpacing w:w="0" w:type="dxa"/>
        </w:trPr>
        <w:tc>
          <w:tcPr>
            <w:tcW w:w="1235" w:type="pct"/>
            <w:vAlign w:val="bottom"/>
            <w:hideMark/>
          </w:tcPr>
          <w:p w:rsidR="00000000" w:rsidRDefault="006954AA">
            <w:pPr>
              <w:pStyle w:val="a3"/>
              <w:spacing w:before="0" w:beforeAutospacing="0" w:after="0" w:afterAutospacing="0"/>
              <w:rPr>
                <w:sz w:val="20"/>
                <w:szCs w:val="20"/>
              </w:rPr>
            </w:pPr>
            <w:r>
              <w:rPr>
                <w:sz w:val="20"/>
                <w:szCs w:val="20"/>
              </w:rPr>
              <w:t xml:space="preserve">The Company feels it is </w:t>
            </w:r>
            <w:r>
              <w:rPr>
                <w:rStyle w:val="a6"/>
                <w:sz w:val="20"/>
                <w:szCs w:val="20"/>
              </w:rPr>
              <w:t>not</w:t>
            </w:r>
            <w:r>
              <w:rPr>
                <w:sz w:val="20"/>
                <w:szCs w:val="20"/>
              </w:rPr>
              <w:t xml:space="preserve"> practicable to estimate the fai</w:t>
            </w:r>
            <w:r>
              <w:rPr>
                <w:sz w:val="20"/>
                <w:szCs w:val="20"/>
              </w:rPr>
              <w:t xml:space="preserve">r value of each receivable as quoted market prices are </w:t>
            </w:r>
            <w:r>
              <w:rPr>
                <w:rStyle w:val="a6"/>
                <w:sz w:val="20"/>
                <w:szCs w:val="20"/>
              </w:rPr>
              <w:t>not</w:t>
            </w:r>
            <w:r>
              <w:rPr>
                <w:sz w:val="20"/>
                <w:szCs w:val="20"/>
              </w:rPr>
              <w:t xml:space="preserve"> available.  </w:t>
            </w:r>
          </w:p>
        </w:tc>
      </w:tr>
      <w:tr w:rsidR="00000000">
        <w:trPr>
          <w:tblCellSpacing w:w="0" w:type="dxa"/>
        </w:trPr>
        <w:tc>
          <w:tcPr>
            <w:tcW w:w="1235" w:type="pct"/>
            <w:vAlign w:val="bottom"/>
            <w:hideMark/>
          </w:tcPr>
          <w:p w:rsidR="00000000" w:rsidRDefault="006954AA">
            <w:pPr>
              <w:pStyle w:val="a3"/>
              <w:spacing w:before="0" w:beforeAutospacing="0" w:after="0" w:afterAutospacing="0"/>
              <w:rPr>
                <w:sz w:val="20"/>
                <w:szCs w:val="20"/>
              </w:rPr>
            </w:pPr>
            <w:r>
              <w:rPr>
                <w:sz w:val="20"/>
                <w:szCs w:val="20"/>
              </w:rPr>
              <w:t>The cost of obtaining an independent valuation on these assets is deemed excessive considering the materiality of the total receivables.</w:t>
            </w:r>
          </w:p>
        </w:tc>
      </w:tr>
    </w:tbl>
    <w:p w:rsidR="00000000" w:rsidRDefault="006954AA">
      <w:pPr>
        <w:pStyle w:val="a3"/>
        <w:spacing w:before="0" w:beforeAutospacing="0" w:after="0" w:afterAutospacing="0"/>
        <w:rPr>
          <w:sz w:val="20"/>
          <w:szCs w:val="20"/>
        </w:rPr>
      </w:pPr>
      <w:r>
        <w:rPr>
          <w:sz w:val="20"/>
          <w:szCs w:val="20"/>
        </w:rPr>
        <w:t> </w:t>
      </w:r>
    </w:p>
    <w:p w:rsidR="006954AA" w:rsidRDefault="006954AA">
      <w:pPr>
        <w:jc w:val="center"/>
        <w:divId w:val="1447238963"/>
        <w:rPr>
          <w:rFonts w:eastAsia="Times New Roman"/>
          <w:sz w:val="20"/>
          <w:szCs w:val="20"/>
        </w:rPr>
      </w:pPr>
      <w:r>
        <w:rPr>
          <w:rFonts w:eastAsia="Times New Roman"/>
          <w:sz w:val="20"/>
          <w:szCs w:val="20"/>
        </w:rPr>
        <w:t xml:space="preserve">104 </w:t>
      </w:r>
    </w:p>
    <w:sectPr w:rsidR="006954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54AA"/>
    <w:rsid w:val="006954AA"/>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www.kimcorealty.com/20221231"/>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832">
      <w:marLeft w:val="0"/>
      <w:marRight w:val="0"/>
      <w:marTop w:val="0"/>
      <w:marBottom w:val="0"/>
      <w:divBdr>
        <w:top w:val="none" w:sz="0" w:space="0" w:color="auto"/>
        <w:left w:val="none" w:sz="0" w:space="0" w:color="auto"/>
        <w:bottom w:val="none" w:sz="0" w:space="0" w:color="auto"/>
        <w:right w:val="none" w:sz="0" w:space="0" w:color="auto"/>
      </w:divBdr>
      <w:divsChild>
        <w:div w:id="268129469">
          <w:marLeft w:val="0"/>
          <w:marRight w:val="0"/>
          <w:marTop w:val="0"/>
          <w:marBottom w:val="0"/>
          <w:divBdr>
            <w:top w:val="none" w:sz="0" w:space="0" w:color="auto"/>
            <w:left w:val="none" w:sz="0" w:space="0" w:color="auto"/>
            <w:bottom w:val="none" w:sz="0" w:space="0" w:color="auto"/>
            <w:right w:val="none" w:sz="0" w:space="0" w:color="auto"/>
          </w:divBdr>
        </w:div>
      </w:divsChild>
    </w:div>
    <w:div w:id="21982094">
      <w:marLeft w:val="0"/>
      <w:marRight w:val="0"/>
      <w:marTop w:val="0"/>
      <w:marBottom w:val="0"/>
      <w:divBdr>
        <w:top w:val="none" w:sz="0" w:space="0" w:color="auto"/>
        <w:left w:val="none" w:sz="0" w:space="0" w:color="auto"/>
        <w:bottom w:val="none" w:sz="0" w:space="0" w:color="auto"/>
        <w:right w:val="none" w:sz="0" w:space="0" w:color="auto"/>
      </w:divBdr>
      <w:divsChild>
        <w:div w:id="1304506625">
          <w:marLeft w:val="0"/>
          <w:marRight w:val="0"/>
          <w:marTop w:val="0"/>
          <w:marBottom w:val="0"/>
          <w:divBdr>
            <w:top w:val="none" w:sz="0" w:space="0" w:color="auto"/>
            <w:left w:val="none" w:sz="0" w:space="0" w:color="auto"/>
            <w:bottom w:val="none" w:sz="0" w:space="0" w:color="auto"/>
            <w:right w:val="none" w:sz="0" w:space="0" w:color="auto"/>
          </w:divBdr>
        </w:div>
        <w:div w:id="407306839">
          <w:marLeft w:val="0"/>
          <w:marRight w:val="0"/>
          <w:marTop w:val="0"/>
          <w:marBottom w:val="0"/>
          <w:divBdr>
            <w:top w:val="none" w:sz="0" w:space="0" w:color="auto"/>
            <w:left w:val="none" w:sz="0" w:space="0" w:color="auto"/>
            <w:bottom w:val="none" w:sz="0" w:space="0" w:color="auto"/>
            <w:right w:val="none" w:sz="0" w:space="0" w:color="auto"/>
          </w:divBdr>
        </w:div>
        <w:div w:id="1607276145">
          <w:marLeft w:val="0"/>
          <w:marRight w:val="0"/>
          <w:marTop w:val="0"/>
          <w:marBottom w:val="0"/>
          <w:divBdr>
            <w:top w:val="none" w:sz="0" w:space="0" w:color="auto"/>
            <w:left w:val="none" w:sz="0" w:space="0" w:color="auto"/>
            <w:bottom w:val="none" w:sz="0" w:space="0" w:color="auto"/>
            <w:right w:val="none" w:sz="0" w:space="0" w:color="auto"/>
          </w:divBdr>
          <w:divsChild>
            <w:div w:id="1480226280">
              <w:marLeft w:val="0"/>
              <w:marRight w:val="0"/>
              <w:marTop w:val="0"/>
              <w:marBottom w:val="0"/>
              <w:divBdr>
                <w:top w:val="none" w:sz="0" w:space="0" w:color="auto"/>
                <w:left w:val="none" w:sz="0" w:space="0" w:color="auto"/>
                <w:bottom w:val="none" w:sz="0" w:space="0" w:color="auto"/>
                <w:right w:val="none" w:sz="0" w:space="0" w:color="auto"/>
              </w:divBdr>
            </w:div>
          </w:divsChild>
        </w:div>
        <w:div w:id="1944072018">
          <w:marLeft w:val="0"/>
          <w:marRight w:val="0"/>
          <w:marTop w:val="0"/>
          <w:marBottom w:val="0"/>
          <w:divBdr>
            <w:top w:val="none" w:sz="0" w:space="0" w:color="auto"/>
            <w:left w:val="none" w:sz="0" w:space="0" w:color="auto"/>
            <w:bottom w:val="none" w:sz="0" w:space="0" w:color="auto"/>
            <w:right w:val="none" w:sz="0" w:space="0" w:color="auto"/>
          </w:divBdr>
        </w:div>
      </w:divsChild>
    </w:div>
    <w:div w:id="23484341">
      <w:marLeft w:val="0"/>
      <w:marRight w:val="0"/>
      <w:marTop w:val="0"/>
      <w:marBottom w:val="0"/>
      <w:divBdr>
        <w:top w:val="none" w:sz="0" w:space="0" w:color="auto"/>
        <w:left w:val="none" w:sz="0" w:space="0" w:color="auto"/>
        <w:bottom w:val="none" w:sz="0" w:space="0" w:color="auto"/>
        <w:right w:val="none" w:sz="0" w:space="0" w:color="auto"/>
      </w:divBdr>
    </w:div>
    <w:div w:id="26101937">
      <w:marLeft w:val="0"/>
      <w:marRight w:val="0"/>
      <w:marTop w:val="0"/>
      <w:marBottom w:val="0"/>
      <w:divBdr>
        <w:top w:val="none" w:sz="0" w:space="0" w:color="auto"/>
        <w:left w:val="none" w:sz="0" w:space="0" w:color="auto"/>
        <w:bottom w:val="none" w:sz="0" w:space="0" w:color="auto"/>
        <w:right w:val="none" w:sz="0" w:space="0" w:color="auto"/>
      </w:divBdr>
    </w:div>
    <w:div w:id="33510376">
      <w:marLeft w:val="0"/>
      <w:marRight w:val="0"/>
      <w:marTop w:val="0"/>
      <w:marBottom w:val="0"/>
      <w:divBdr>
        <w:top w:val="none" w:sz="0" w:space="0" w:color="auto"/>
        <w:left w:val="none" w:sz="0" w:space="0" w:color="auto"/>
        <w:bottom w:val="none" w:sz="0" w:space="0" w:color="auto"/>
        <w:right w:val="none" w:sz="0" w:space="0" w:color="auto"/>
      </w:divBdr>
    </w:div>
    <w:div w:id="51856725">
      <w:marLeft w:val="0"/>
      <w:marRight w:val="0"/>
      <w:marTop w:val="0"/>
      <w:marBottom w:val="0"/>
      <w:divBdr>
        <w:top w:val="none" w:sz="0" w:space="0" w:color="auto"/>
        <w:left w:val="none" w:sz="0" w:space="0" w:color="auto"/>
        <w:bottom w:val="none" w:sz="0" w:space="0" w:color="auto"/>
        <w:right w:val="none" w:sz="0" w:space="0" w:color="auto"/>
      </w:divBdr>
    </w:div>
    <w:div w:id="63188480">
      <w:marLeft w:val="0"/>
      <w:marRight w:val="0"/>
      <w:marTop w:val="0"/>
      <w:marBottom w:val="0"/>
      <w:divBdr>
        <w:top w:val="none" w:sz="0" w:space="0" w:color="auto"/>
        <w:left w:val="none" w:sz="0" w:space="0" w:color="auto"/>
        <w:bottom w:val="none" w:sz="0" w:space="0" w:color="auto"/>
        <w:right w:val="none" w:sz="0" w:space="0" w:color="auto"/>
      </w:divBdr>
    </w:div>
    <w:div w:id="75712536">
      <w:marLeft w:val="0"/>
      <w:marRight w:val="0"/>
      <w:marTop w:val="0"/>
      <w:marBottom w:val="0"/>
      <w:divBdr>
        <w:top w:val="none" w:sz="0" w:space="0" w:color="auto"/>
        <w:left w:val="none" w:sz="0" w:space="0" w:color="auto"/>
        <w:bottom w:val="none" w:sz="0" w:space="0" w:color="auto"/>
        <w:right w:val="none" w:sz="0" w:space="0" w:color="auto"/>
      </w:divBdr>
    </w:div>
    <w:div w:id="93521948">
      <w:marLeft w:val="0"/>
      <w:marRight w:val="0"/>
      <w:marTop w:val="0"/>
      <w:marBottom w:val="0"/>
      <w:divBdr>
        <w:top w:val="none" w:sz="0" w:space="0" w:color="auto"/>
        <w:left w:val="none" w:sz="0" w:space="0" w:color="auto"/>
        <w:bottom w:val="none" w:sz="0" w:space="0" w:color="auto"/>
        <w:right w:val="none" w:sz="0" w:space="0" w:color="auto"/>
      </w:divBdr>
    </w:div>
    <w:div w:id="111020368">
      <w:marLeft w:val="0"/>
      <w:marRight w:val="0"/>
      <w:marTop w:val="0"/>
      <w:marBottom w:val="0"/>
      <w:divBdr>
        <w:top w:val="none" w:sz="0" w:space="0" w:color="auto"/>
        <w:left w:val="none" w:sz="0" w:space="0" w:color="auto"/>
        <w:bottom w:val="none" w:sz="0" w:space="0" w:color="auto"/>
        <w:right w:val="none" w:sz="0" w:space="0" w:color="auto"/>
      </w:divBdr>
      <w:divsChild>
        <w:div w:id="144901616">
          <w:marLeft w:val="0"/>
          <w:marRight w:val="0"/>
          <w:marTop w:val="0"/>
          <w:marBottom w:val="0"/>
          <w:divBdr>
            <w:top w:val="none" w:sz="0" w:space="0" w:color="auto"/>
            <w:left w:val="none" w:sz="0" w:space="0" w:color="auto"/>
            <w:bottom w:val="none" w:sz="0" w:space="0" w:color="auto"/>
            <w:right w:val="none" w:sz="0" w:space="0" w:color="auto"/>
          </w:divBdr>
        </w:div>
        <w:div w:id="1182433223">
          <w:marLeft w:val="0"/>
          <w:marRight w:val="0"/>
          <w:marTop w:val="0"/>
          <w:marBottom w:val="0"/>
          <w:divBdr>
            <w:top w:val="none" w:sz="0" w:space="0" w:color="auto"/>
            <w:left w:val="none" w:sz="0" w:space="0" w:color="auto"/>
            <w:bottom w:val="none" w:sz="0" w:space="0" w:color="auto"/>
            <w:right w:val="none" w:sz="0" w:space="0" w:color="auto"/>
          </w:divBdr>
        </w:div>
        <w:div w:id="1496989082">
          <w:marLeft w:val="0"/>
          <w:marRight w:val="0"/>
          <w:marTop w:val="0"/>
          <w:marBottom w:val="0"/>
          <w:divBdr>
            <w:top w:val="none" w:sz="0" w:space="0" w:color="auto"/>
            <w:left w:val="none" w:sz="0" w:space="0" w:color="auto"/>
            <w:bottom w:val="none" w:sz="0" w:space="0" w:color="auto"/>
            <w:right w:val="none" w:sz="0" w:space="0" w:color="auto"/>
          </w:divBdr>
          <w:divsChild>
            <w:div w:id="453410203">
              <w:marLeft w:val="0"/>
              <w:marRight w:val="0"/>
              <w:marTop w:val="0"/>
              <w:marBottom w:val="0"/>
              <w:divBdr>
                <w:top w:val="none" w:sz="0" w:space="0" w:color="auto"/>
                <w:left w:val="none" w:sz="0" w:space="0" w:color="auto"/>
                <w:bottom w:val="none" w:sz="0" w:space="0" w:color="auto"/>
                <w:right w:val="none" w:sz="0" w:space="0" w:color="auto"/>
              </w:divBdr>
            </w:div>
          </w:divsChild>
        </w:div>
        <w:div w:id="1515728369">
          <w:marLeft w:val="0"/>
          <w:marRight w:val="0"/>
          <w:marTop w:val="0"/>
          <w:marBottom w:val="0"/>
          <w:divBdr>
            <w:top w:val="none" w:sz="0" w:space="0" w:color="auto"/>
            <w:left w:val="none" w:sz="0" w:space="0" w:color="auto"/>
            <w:bottom w:val="none" w:sz="0" w:space="0" w:color="auto"/>
            <w:right w:val="none" w:sz="0" w:space="0" w:color="auto"/>
          </w:divBdr>
        </w:div>
      </w:divsChild>
    </w:div>
    <w:div w:id="114064447">
      <w:marLeft w:val="0"/>
      <w:marRight w:val="0"/>
      <w:marTop w:val="0"/>
      <w:marBottom w:val="0"/>
      <w:divBdr>
        <w:top w:val="none" w:sz="0" w:space="0" w:color="auto"/>
        <w:left w:val="none" w:sz="0" w:space="0" w:color="auto"/>
        <w:bottom w:val="none" w:sz="0" w:space="0" w:color="auto"/>
        <w:right w:val="none" w:sz="0" w:space="0" w:color="auto"/>
      </w:divBdr>
      <w:divsChild>
        <w:div w:id="573393201">
          <w:marLeft w:val="0"/>
          <w:marRight w:val="0"/>
          <w:marTop w:val="0"/>
          <w:marBottom w:val="0"/>
          <w:divBdr>
            <w:top w:val="none" w:sz="0" w:space="0" w:color="auto"/>
            <w:left w:val="none" w:sz="0" w:space="0" w:color="auto"/>
            <w:bottom w:val="none" w:sz="0" w:space="0" w:color="auto"/>
            <w:right w:val="none" w:sz="0" w:space="0" w:color="auto"/>
          </w:divBdr>
        </w:div>
      </w:divsChild>
    </w:div>
    <w:div w:id="122844924">
      <w:marLeft w:val="0"/>
      <w:marRight w:val="0"/>
      <w:marTop w:val="0"/>
      <w:marBottom w:val="0"/>
      <w:divBdr>
        <w:top w:val="none" w:sz="0" w:space="0" w:color="auto"/>
        <w:left w:val="none" w:sz="0" w:space="0" w:color="auto"/>
        <w:bottom w:val="none" w:sz="0" w:space="0" w:color="auto"/>
        <w:right w:val="none" w:sz="0" w:space="0" w:color="auto"/>
      </w:divBdr>
    </w:div>
    <w:div w:id="170727520">
      <w:marLeft w:val="0"/>
      <w:marRight w:val="0"/>
      <w:marTop w:val="0"/>
      <w:marBottom w:val="0"/>
      <w:divBdr>
        <w:top w:val="none" w:sz="0" w:space="0" w:color="auto"/>
        <w:left w:val="none" w:sz="0" w:space="0" w:color="auto"/>
        <w:bottom w:val="none" w:sz="0" w:space="0" w:color="auto"/>
        <w:right w:val="none" w:sz="0" w:space="0" w:color="auto"/>
      </w:divBdr>
      <w:divsChild>
        <w:div w:id="1575778863">
          <w:marLeft w:val="0"/>
          <w:marRight w:val="0"/>
          <w:marTop w:val="0"/>
          <w:marBottom w:val="0"/>
          <w:divBdr>
            <w:top w:val="none" w:sz="0" w:space="0" w:color="auto"/>
            <w:left w:val="none" w:sz="0" w:space="0" w:color="auto"/>
            <w:bottom w:val="none" w:sz="0" w:space="0" w:color="auto"/>
            <w:right w:val="none" w:sz="0" w:space="0" w:color="auto"/>
          </w:divBdr>
        </w:div>
      </w:divsChild>
    </w:div>
    <w:div w:id="176165462">
      <w:marLeft w:val="0"/>
      <w:marRight w:val="0"/>
      <w:marTop w:val="0"/>
      <w:marBottom w:val="0"/>
      <w:divBdr>
        <w:top w:val="none" w:sz="0" w:space="0" w:color="auto"/>
        <w:left w:val="none" w:sz="0" w:space="0" w:color="auto"/>
        <w:bottom w:val="none" w:sz="0" w:space="0" w:color="auto"/>
        <w:right w:val="none" w:sz="0" w:space="0" w:color="auto"/>
      </w:divBdr>
    </w:div>
    <w:div w:id="178081154">
      <w:marLeft w:val="0"/>
      <w:marRight w:val="0"/>
      <w:marTop w:val="0"/>
      <w:marBottom w:val="0"/>
      <w:divBdr>
        <w:top w:val="none" w:sz="0" w:space="0" w:color="auto"/>
        <w:left w:val="none" w:sz="0" w:space="0" w:color="auto"/>
        <w:bottom w:val="none" w:sz="0" w:space="0" w:color="auto"/>
        <w:right w:val="none" w:sz="0" w:space="0" w:color="auto"/>
      </w:divBdr>
    </w:div>
    <w:div w:id="178740626">
      <w:marLeft w:val="0"/>
      <w:marRight w:val="0"/>
      <w:marTop w:val="0"/>
      <w:marBottom w:val="0"/>
      <w:divBdr>
        <w:top w:val="none" w:sz="0" w:space="0" w:color="auto"/>
        <w:left w:val="none" w:sz="0" w:space="0" w:color="auto"/>
        <w:bottom w:val="none" w:sz="0" w:space="0" w:color="auto"/>
        <w:right w:val="none" w:sz="0" w:space="0" w:color="auto"/>
      </w:divBdr>
      <w:divsChild>
        <w:div w:id="2086757336">
          <w:marLeft w:val="0"/>
          <w:marRight w:val="0"/>
          <w:marTop w:val="0"/>
          <w:marBottom w:val="0"/>
          <w:divBdr>
            <w:top w:val="none" w:sz="0" w:space="0" w:color="auto"/>
            <w:left w:val="none" w:sz="0" w:space="0" w:color="auto"/>
            <w:bottom w:val="none" w:sz="0" w:space="0" w:color="auto"/>
            <w:right w:val="none" w:sz="0" w:space="0" w:color="auto"/>
          </w:divBdr>
        </w:div>
        <w:div w:id="57556815">
          <w:marLeft w:val="0"/>
          <w:marRight w:val="0"/>
          <w:marTop w:val="0"/>
          <w:marBottom w:val="0"/>
          <w:divBdr>
            <w:top w:val="none" w:sz="0" w:space="0" w:color="auto"/>
            <w:left w:val="none" w:sz="0" w:space="0" w:color="auto"/>
            <w:bottom w:val="none" w:sz="0" w:space="0" w:color="auto"/>
            <w:right w:val="none" w:sz="0" w:space="0" w:color="auto"/>
          </w:divBdr>
        </w:div>
        <w:div w:id="405566822">
          <w:marLeft w:val="0"/>
          <w:marRight w:val="0"/>
          <w:marTop w:val="0"/>
          <w:marBottom w:val="0"/>
          <w:divBdr>
            <w:top w:val="none" w:sz="0" w:space="0" w:color="auto"/>
            <w:left w:val="none" w:sz="0" w:space="0" w:color="auto"/>
            <w:bottom w:val="none" w:sz="0" w:space="0" w:color="auto"/>
            <w:right w:val="none" w:sz="0" w:space="0" w:color="auto"/>
          </w:divBdr>
          <w:divsChild>
            <w:div w:id="1287546220">
              <w:marLeft w:val="0"/>
              <w:marRight w:val="0"/>
              <w:marTop w:val="0"/>
              <w:marBottom w:val="0"/>
              <w:divBdr>
                <w:top w:val="none" w:sz="0" w:space="0" w:color="auto"/>
                <w:left w:val="none" w:sz="0" w:space="0" w:color="auto"/>
                <w:bottom w:val="none" w:sz="0" w:space="0" w:color="auto"/>
                <w:right w:val="none" w:sz="0" w:space="0" w:color="auto"/>
              </w:divBdr>
            </w:div>
          </w:divsChild>
        </w:div>
        <w:div w:id="1960839305">
          <w:marLeft w:val="0"/>
          <w:marRight w:val="0"/>
          <w:marTop w:val="0"/>
          <w:marBottom w:val="0"/>
          <w:divBdr>
            <w:top w:val="none" w:sz="0" w:space="0" w:color="auto"/>
            <w:left w:val="none" w:sz="0" w:space="0" w:color="auto"/>
            <w:bottom w:val="none" w:sz="0" w:space="0" w:color="auto"/>
            <w:right w:val="none" w:sz="0" w:space="0" w:color="auto"/>
          </w:divBdr>
        </w:div>
      </w:divsChild>
    </w:div>
    <w:div w:id="183132445">
      <w:marLeft w:val="0"/>
      <w:marRight w:val="0"/>
      <w:marTop w:val="0"/>
      <w:marBottom w:val="0"/>
      <w:divBdr>
        <w:top w:val="none" w:sz="0" w:space="0" w:color="auto"/>
        <w:left w:val="none" w:sz="0" w:space="0" w:color="auto"/>
        <w:bottom w:val="none" w:sz="0" w:space="0" w:color="auto"/>
        <w:right w:val="none" w:sz="0" w:space="0" w:color="auto"/>
      </w:divBdr>
      <w:divsChild>
        <w:div w:id="1299726067">
          <w:marLeft w:val="0"/>
          <w:marRight w:val="0"/>
          <w:marTop w:val="0"/>
          <w:marBottom w:val="0"/>
          <w:divBdr>
            <w:top w:val="none" w:sz="0" w:space="0" w:color="auto"/>
            <w:left w:val="none" w:sz="0" w:space="0" w:color="auto"/>
            <w:bottom w:val="none" w:sz="0" w:space="0" w:color="auto"/>
            <w:right w:val="none" w:sz="0" w:space="0" w:color="auto"/>
          </w:divBdr>
        </w:div>
        <w:div w:id="346450711">
          <w:marLeft w:val="0"/>
          <w:marRight w:val="0"/>
          <w:marTop w:val="0"/>
          <w:marBottom w:val="0"/>
          <w:divBdr>
            <w:top w:val="none" w:sz="0" w:space="0" w:color="auto"/>
            <w:left w:val="none" w:sz="0" w:space="0" w:color="auto"/>
            <w:bottom w:val="none" w:sz="0" w:space="0" w:color="auto"/>
            <w:right w:val="none" w:sz="0" w:space="0" w:color="auto"/>
          </w:divBdr>
        </w:div>
      </w:divsChild>
    </w:div>
    <w:div w:id="186675382">
      <w:marLeft w:val="0"/>
      <w:marRight w:val="0"/>
      <w:marTop w:val="0"/>
      <w:marBottom w:val="0"/>
      <w:divBdr>
        <w:top w:val="none" w:sz="0" w:space="0" w:color="auto"/>
        <w:left w:val="none" w:sz="0" w:space="0" w:color="auto"/>
        <w:bottom w:val="none" w:sz="0" w:space="0" w:color="auto"/>
        <w:right w:val="none" w:sz="0" w:space="0" w:color="auto"/>
      </w:divBdr>
      <w:divsChild>
        <w:div w:id="1344895585">
          <w:marLeft w:val="0"/>
          <w:marRight w:val="0"/>
          <w:marTop w:val="0"/>
          <w:marBottom w:val="0"/>
          <w:divBdr>
            <w:top w:val="none" w:sz="0" w:space="0" w:color="auto"/>
            <w:left w:val="none" w:sz="0" w:space="0" w:color="auto"/>
            <w:bottom w:val="none" w:sz="0" w:space="0" w:color="auto"/>
            <w:right w:val="none" w:sz="0" w:space="0" w:color="auto"/>
          </w:divBdr>
        </w:div>
        <w:div w:id="1988053191">
          <w:marLeft w:val="0"/>
          <w:marRight w:val="0"/>
          <w:marTop w:val="0"/>
          <w:marBottom w:val="0"/>
          <w:divBdr>
            <w:top w:val="none" w:sz="0" w:space="0" w:color="auto"/>
            <w:left w:val="none" w:sz="0" w:space="0" w:color="auto"/>
            <w:bottom w:val="none" w:sz="0" w:space="0" w:color="auto"/>
            <w:right w:val="none" w:sz="0" w:space="0" w:color="auto"/>
          </w:divBdr>
        </w:div>
        <w:div w:id="1673411158">
          <w:marLeft w:val="0"/>
          <w:marRight w:val="0"/>
          <w:marTop w:val="0"/>
          <w:marBottom w:val="0"/>
          <w:divBdr>
            <w:top w:val="none" w:sz="0" w:space="0" w:color="auto"/>
            <w:left w:val="none" w:sz="0" w:space="0" w:color="auto"/>
            <w:bottom w:val="none" w:sz="0" w:space="0" w:color="auto"/>
            <w:right w:val="none" w:sz="0" w:space="0" w:color="auto"/>
          </w:divBdr>
          <w:divsChild>
            <w:div w:id="544214827">
              <w:marLeft w:val="0"/>
              <w:marRight w:val="0"/>
              <w:marTop w:val="0"/>
              <w:marBottom w:val="0"/>
              <w:divBdr>
                <w:top w:val="none" w:sz="0" w:space="0" w:color="auto"/>
                <w:left w:val="none" w:sz="0" w:space="0" w:color="auto"/>
                <w:bottom w:val="none" w:sz="0" w:space="0" w:color="auto"/>
                <w:right w:val="none" w:sz="0" w:space="0" w:color="auto"/>
              </w:divBdr>
            </w:div>
          </w:divsChild>
        </w:div>
        <w:div w:id="339627944">
          <w:marLeft w:val="0"/>
          <w:marRight w:val="0"/>
          <w:marTop w:val="0"/>
          <w:marBottom w:val="0"/>
          <w:divBdr>
            <w:top w:val="none" w:sz="0" w:space="0" w:color="auto"/>
            <w:left w:val="none" w:sz="0" w:space="0" w:color="auto"/>
            <w:bottom w:val="none" w:sz="0" w:space="0" w:color="auto"/>
            <w:right w:val="none" w:sz="0" w:space="0" w:color="auto"/>
          </w:divBdr>
        </w:div>
      </w:divsChild>
    </w:div>
    <w:div w:id="191113181">
      <w:marLeft w:val="0"/>
      <w:marRight w:val="0"/>
      <w:marTop w:val="0"/>
      <w:marBottom w:val="0"/>
      <w:divBdr>
        <w:top w:val="none" w:sz="0" w:space="0" w:color="auto"/>
        <w:left w:val="none" w:sz="0" w:space="0" w:color="auto"/>
        <w:bottom w:val="none" w:sz="0" w:space="0" w:color="auto"/>
        <w:right w:val="none" w:sz="0" w:space="0" w:color="auto"/>
      </w:divBdr>
      <w:divsChild>
        <w:div w:id="475025745">
          <w:marLeft w:val="0"/>
          <w:marRight w:val="0"/>
          <w:marTop w:val="0"/>
          <w:marBottom w:val="0"/>
          <w:divBdr>
            <w:top w:val="none" w:sz="0" w:space="0" w:color="auto"/>
            <w:left w:val="none" w:sz="0" w:space="0" w:color="auto"/>
            <w:bottom w:val="none" w:sz="0" w:space="0" w:color="auto"/>
            <w:right w:val="none" w:sz="0" w:space="0" w:color="auto"/>
          </w:divBdr>
        </w:div>
        <w:div w:id="1068504617">
          <w:marLeft w:val="0"/>
          <w:marRight w:val="0"/>
          <w:marTop w:val="0"/>
          <w:marBottom w:val="0"/>
          <w:divBdr>
            <w:top w:val="none" w:sz="0" w:space="0" w:color="auto"/>
            <w:left w:val="none" w:sz="0" w:space="0" w:color="auto"/>
            <w:bottom w:val="none" w:sz="0" w:space="0" w:color="auto"/>
            <w:right w:val="none" w:sz="0" w:space="0" w:color="auto"/>
          </w:divBdr>
        </w:div>
        <w:div w:id="859002921">
          <w:marLeft w:val="0"/>
          <w:marRight w:val="0"/>
          <w:marTop w:val="0"/>
          <w:marBottom w:val="0"/>
          <w:divBdr>
            <w:top w:val="none" w:sz="0" w:space="0" w:color="auto"/>
            <w:left w:val="none" w:sz="0" w:space="0" w:color="auto"/>
            <w:bottom w:val="none" w:sz="0" w:space="0" w:color="auto"/>
            <w:right w:val="none" w:sz="0" w:space="0" w:color="auto"/>
          </w:divBdr>
          <w:divsChild>
            <w:div w:id="740565396">
              <w:marLeft w:val="0"/>
              <w:marRight w:val="0"/>
              <w:marTop w:val="0"/>
              <w:marBottom w:val="0"/>
              <w:divBdr>
                <w:top w:val="none" w:sz="0" w:space="0" w:color="auto"/>
                <w:left w:val="none" w:sz="0" w:space="0" w:color="auto"/>
                <w:bottom w:val="none" w:sz="0" w:space="0" w:color="auto"/>
                <w:right w:val="none" w:sz="0" w:space="0" w:color="auto"/>
              </w:divBdr>
            </w:div>
          </w:divsChild>
        </w:div>
        <w:div w:id="1045131616">
          <w:marLeft w:val="0"/>
          <w:marRight w:val="0"/>
          <w:marTop w:val="0"/>
          <w:marBottom w:val="0"/>
          <w:divBdr>
            <w:top w:val="none" w:sz="0" w:space="0" w:color="auto"/>
            <w:left w:val="none" w:sz="0" w:space="0" w:color="auto"/>
            <w:bottom w:val="none" w:sz="0" w:space="0" w:color="auto"/>
            <w:right w:val="none" w:sz="0" w:space="0" w:color="auto"/>
          </w:divBdr>
        </w:div>
      </w:divsChild>
    </w:div>
    <w:div w:id="202836959">
      <w:marLeft w:val="0"/>
      <w:marRight w:val="0"/>
      <w:marTop w:val="0"/>
      <w:marBottom w:val="0"/>
      <w:divBdr>
        <w:top w:val="none" w:sz="0" w:space="0" w:color="auto"/>
        <w:left w:val="none" w:sz="0" w:space="0" w:color="auto"/>
        <w:bottom w:val="none" w:sz="0" w:space="0" w:color="auto"/>
        <w:right w:val="none" w:sz="0" w:space="0" w:color="auto"/>
      </w:divBdr>
      <w:divsChild>
        <w:div w:id="1694459382">
          <w:marLeft w:val="0"/>
          <w:marRight w:val="0"/>
          <w:marTop w:val="0"/>
          <w:marBottom w:val="0"/>
          <w:divBdr>
            <w:top w:val="none" w:sz="0" w:space="0" w:color="auto"/>
            <w:left w:val="none" w:sz="0" w:space="0" w:color="auto"/>
            <w:bottom w:val="none" w:sz="0" w:space="0" w:color="auto"/>
            <w:right w:val="none" w:sz="0" w:space="0" w:color="auto"/>
          </w:divBdr>
        </w:div>
        <w:div w:id="745420664">
          <w:marLeft w:val="0"/>
          <w:marRight w:val="0"/>
          <w:marTop w:val="0"/>
          <w:marBottom w:val="0"/>
          <w:divBdr>
            <w:top w:val="none" w:sz="0" w:space="0" w:color="auto"/>
            <w:left w:val="none" w:sz="0" w:space="0" w:color="auto"/>
            <w:bottom w:val="none" w:sz="0" w:space="0" w:color="auto"/>
            <w:right w:val="none" w:sz="0" w:space="0" w:color="auto"/>
          </w:divBdr>
        </w:div>
      </w:divsChild>
    </w:div>
    <w:div w:id="220872360">
      <w:marLeft w:val="0"/>
      <w:marRight w:val="0"/>
      <w:marTop w:val="0"/>
      <w:marBottom w:val="0"/>
      <w:divBdr>
        <w:top w:val="none" w:sz="0" w:space="0" w:color="auto"/>
        <w:left w:val="none" w:sz="0" w:space="0" w:color="auto"/>
        <w:bottom w:val="none" w:sz="0" w:space="0" w:color="auto"/>
        <w:right w:val="none" w:sz="0" w:space="0" w:color="auto"/>
      </w:divBdr>
      <w:divsChild>
        <w:div w:id="1561362131">
          <w:marLeft w:val="0"/>
          <w:marRight w:val="0"/>
          <w:marTop w:val="0"/>
          <w:marBottom w:val="0"/>
          <w:divBdr>
            <w:top w:val="none" w:sz="0" w:space="0" w:color="auto"/>
            <w:left w:val="none" w:sz="0" w:space="0" w:color="auto"/>
            <w:bottom w:val="none" w:sz="0" w:space="0" w:color="auto"/>
            <w:right w:val="none" w:sz="0" w:space="0" w:color="auto"/>
          </w:divBdr>
        </w:div>
        <w:div w:id="302851555">
          <w:marLeft w:val="0"/>
          <w:marRight w:val="0"/>
          <w:marTop w:val="0"/>
          <w:marBottom w:val="0"/>
          <w:divBdr>
            <w:top w:val="none" w:sz="0" w:space="0" w:color="auto"/>
            <w:left w:val="none" w:sz="0" w:space="0" w:color="auto"/>
            <w:bottom w:val="none" w:sz="0" w:space="0" w:color="auto"/>
            <w:right w:val="none" w:sz="0" w:space="0" w:color="auto"/>
          </w:divBdr>
        </w:div>
        <w:div w:id="349723533">
          <w:marLeft w:val="0"/>
          <w:marRight w:val="0"/>
          <w:marTop w:val="0"/>
          <w:marBottom w:val="0"/>
          <w:divBdr>
            <w:top w:val="none" w:sz="0" w:space="0" w:color="auto"/>
            <w:left w:val="none" w:sz="0" w:space="0" w:color="auto"/>
            <w:bottom w:val="none" w:sz="0" w:space="0" w:color="auto"/>
            <w:right w:val="none" w:sz="0" w:space="0" w:color="auto"/>
          </w:divBdr>
          <w:divsChild>
            <w:div w:id="102188885">
              <w:marLeft w:val="0"/>
              <w:marRight w:val="0"/>
              <w:marTop w:val="0"/>
              <w:marBottom w:val="0"/>
              <w:divBdr>
                <w:top w:val="none" w:sz="0" w:space="0" w:color="auto"/>
                <w:left w:val="none" w:sz="0" w:space="0" w:color="auto"/>
                <w:bottom w:val="none" w:sz="0" w:space="0" w:color="auto"/>
                <w:right w:val="none" w:sz="0" w:space="0" w:color="auto"/>
              </w:divBdr>
            </w:div>
          </w:divsChild>
        </w:div>
        <w:div w:id="1150754401">
          <w:marLeft w:val="0"/>
          <w:marRight w:val="0"/>
          <w:marTop w:val="0"/>
          <w:marBottom w:val="0"/>
          <w:divBdr>
            <w:top w:val="none" w:sz="0" w:space="0" w:color="auto"/>
            <w:left w:val="none" w:sz="0" w:space="0" w:color="auto"/>
            <w:bottom w:val="none" w:sz="0" w:space="0" w:color="auto"/>
            <w:right w:val="none" w:sz="0" w:space="0" w:color="auto"/>
          </w:divBdr>
        </w:div>
      </w:divsChild>
    </w:div>
    <w:div w:id="225185385">
      <w:marLeft w:val="0"/>
      <w:marRight w:val="0"/>
      <w:marTop w:val="0"/>
      <w:marBottom w:val="0"/>
      <w:divBdr>
        <w:top w:val="none" w:sz="0" w:space="0" w:color="auto"/>
        <w:left w:val="none" w:sz="0" w:space="0" w:color="auto"/>
        <w:bottom w:val="none" w:sz="0" w:space="0" w:color="auto"/>
        <w:right w:val="none" w:sz="0" w:space="0" w:color="auto"/>
      </w:divBdr>
    </w:div>
    <w:div w:id="257180156">
      <w:marLeft w:val="0"/>
      <w:marRight w:val="0"/>
      <w:marTop w:val="0"/>
      <w:marBottom w:val="0"/>
      <w:divBdr>
        <w:top w:val="none" w:sz="0" w:space="0" w:color="auto"/>
        <w:left w:val="none" w:sz="0" w:space="0" w:color="auto"/>
        <w:bottom w:val="none" w:sz="0" w:space="0" w:color="auto"/>
        <w:right w:val="none" w:sz="0" w:space="0" w:color="auto"/>
      </w:divBdr>
      <w:divsChild>
        <w:div w:id="903299334">
          <w:marLeft w:val="0"/>
          <w:marRight w:val="0"/>
          <w:marTop w:val="0"/>
          <w:marBottom w:val="0"/>
          <w:divBdr>
            <w:top w:val="none" w:sz="0" w:space="0" w:color="auto"/>
            <w:left w:val="none" w:sz="0" w:space="0" w:color="auto"/>
            <w:bottom w:val="none" w:sz="0" w:space="0" w:color="auto"/>
            <w:right w:val="none" w:sz="0" w:space="0" w:color="auto"/>
          </w:divBdr>
        </w:div>
        <w:div w:id="209728529">
          <w:marLeft w:val="0"/>
          <w:marRight w:val="0"/>
          <w:marTop w:val="0"/>
          <w:marBottom w:val="0"/>
          <w:divBdr>
            <w:top w:val="none" w:sz="0" w:space="0" w:color="auto"/>
            <w:left w:val="none" w:sz="0" w:space="0" w:color="auto"/>
            <w:bottom w:val="none" w:sz="0" w:space="0" w:color="auto"/>
            <w:right w:val="none" w:sz="0" w:space="0" w:color="auto"/>
          </w:divBdr>
        </w:div>
        <w:div w:id="488789022">
          <w:marLeft w:val="0"/>
          <w:marRight w:val="0"/>
          <w:marTop w:val="0"/>
          <w:marBottom w:val="0"/>
          <w:divBdr>
            <w:top w:val="none" w:sz="0" w:space="0" w:color="auto"/>
            <w:left w:val="none" w:sz="0" w:space="0" w:color="auto"/>
            <w:bottom w:val="none" w:sz="0" w:space="0" w:color="auto"/>
            <w:right w:val="none" w:sz="0" w:space="0" w:color="auto"/>
          </w:divBdr>
          <w:divsChild>
            <w:div w:id="2096055028">
              <w:marLeft w:val="0"/>
              <w:marRight w:val="0"/>
              <w:marTop w:val="0"/>
              <w:marBottom w:val="0"/>
              <w:divBdr>
                <w:top w:val="none" w:sz="0" w:space="0" w:color="auto"/>
                <w:left w:val="none" w:sz="0" w:space="0" w:color="auto"/>
                <w:bottom w:val="none" w:sz="0" w:space="0" w:color="auto"/>
                <w:right w:val="none" w:sz="0" w:space="0" w:color="auto"/>
              </w:divBdr>
            </w:div>
          </w:divsChild>
        </w:div>
        <w:div w:id="471364867">
          <w:marLeft w:val="0"/>
          <w:marRight w:val="0"/>
          <w:marTop w:val="0"/>
          <w:marBottom w:val="0"/>
          <w:divBdr>
            <w:top w:val="none" w:sz="0" w:space="0" w:color="auto"/>
            <w:left w:val="none" w:sz="0" w:space="0" w:color="auto"/>
            <w:bottom w:val="none" w:sz="0" w:space="0" w:color="auto"/>
            <w:right w:val="none" w:sz="0" w:space="0" w:color="auto"/>
          </w:divBdr>
        </w:div>
      </w:divsChild>
    </w:div>
    <w:div w:id="262150094">
      <w:marLeft w:val="0"/>
      <w:marRight w:val="0"/>
      <w:marTop w:val="0"/>
      <w:marBottom w:val="0"/>
      <w:divBdr>
        <w:top w:val="none" w:sz="0" w:space="0" w:color="auto"/>
        <w:left w:val="none" w:sz="0" w:space="0" w:color="auto"/>
        <w:bottom w:val="none" w:sz="0" w:space="0" w:color="auto"/>
        <w:right w:val="none" w:sz="0" w:space="0" w:color="auto"/>
      </w:divBdr>
      <w:divsChild>
        <w:div w:id="1825658022">
          <w:marLeft w:val="0"/>
          <w:marRight w:val="0"/>
          <w:marTop w:val="0"/>
          <w:marBottom w:val="0"/>
          <w:divBdr>
            <w:top w:val="none" w:sz="0" w:space="0" w:color="auto"/>
            <w:left w:val="none" w:sz="0" w:space="0" w:color="auto"/>
            <w:bottom w:val="none" w:sz="0" w:space="0" w:color="auto"/>
            <w:right w:val="none" w:sz="0" w:space="0" w:color="auto"/>
          </w:divBdr>
        </w:div>
        <w:div w:id="259995679">
          <w:marLeft w:val="0"/>
          <w:marRight w:val="0"/>
          <w:marTop w:val="0"/>
          <w:marBottom w:val="0"/>
          <w:divBdr>
            <w:top w:val="none" w:sz="0" w:space="0" w:color="auto"/>
            <w:left w:val="none" w:sz="0" w:space="0" w:color="auto"/>
            <w:bottom w:val="none" w:sz="0" w:space="0" w:color="auto"/>
            <w:right w:val="none" w:sz="0" w:space="0" w:color="auto"/>
          </w:divBdr>
        </w:div>
      </w:divsChild>
    </w:div>
    <w:div w:id="272713737">
      <w:marLeft w:val="0"/>
      <w:marRight w:val="0"/>
      <w:marTop w:val="0"/>
      <w:marBottom w:val="0"/>
      <w:divBdr>
        <w:top w:val="none" w:sz="0" w:space="0" w:color="auto"/>
        <w:left w:val="none" w:sz="0" w:space="0" w:color="auto"/>
        <w:bottom w:val="none" w:sz="0" w:space="0" w:color="auto"/>
        <w:right w:val="none" w:sz="0" w:space="0" w:color="auto"/>
      </w:divBdr>
    </w:div>
    <w:div w:id="280919296">
      <w:marLeft w:val="0"/>
      <w:marRight w:val="0"/>
      <w:marTop w:val="0"/>
      <w:marBottom w:val="0"/>
      <w:divBdr>
        <w:top w:val="none" w:sz="0" w:space="0" w:color="auto"/>
        <w:left w:val="none" w:sz="0" w:space="0" w:color="auto"/>
        <w:bottom w:val="none" w:sz="0" w:space="0" w:color="auto"/>
        <w:right w:val="none" w:sz="0" w:space="0" w:color="auto"/>
      </w:divBdr>
      <w:divsChild>
        <w:div w:id="795292957">
          <w:marLeft w:val="0"/>
          <w:marRight w:val="0"/>
          <w:marTop w:val="0"/>
          <w:marBottom w:val="0"/>
          <w:divBdr>
            <w:top w:val="none" w:sz="0" w:space="0" w:color="auto"/>
            <w:left w:val="none" w:sz="0" w:space="0" w:color="auto"/>
            <w:bottom w:val="none" w:sz="0" w:space="0" w:color="auto"/>
            <w:right w:val="none" w:sz="0" w:space="0" w:color="auto"/>
          </w:divBdr>
        </w:div>
        <w:div w:id="651182343">
          <w:marLeft w:val="0"/>
          <w:marRight w:val="0"/>
          <w:marTop w:val="0"/>
          <w:marBottom w:val="0"/>
          <w:divBdr>
            <w:top w:val="none" w:sz="0" w:space="0" w:color="auto"/>
            <w:left w:val="none" w:sz="0" w:space="0" w:color="auto"/>
            <w:bottom w:val="none" w:sz="0" w:space="0" w:color="auto"/>
            <w:right w:val="none" w:sz="0" w:space="0" w:color="auto"/>
          </w:divBdr>
        </w:div>
        <w:div w:id="711081488">
          <w:marLeft w:val="0"/>
          <w:marRight w:val="0"/>
          <w:marTop w:val="0"/>
          <w:marBottom w:val="0"/>
          <w:divBdr>
            <w:top w:val="none" w:sz="0" w:space="0" w:color="auto"/>
            <w:left w:val="none" w:sz="0" w:space="0" w:color="auto"/>
            <w:bottom w:val="none" w:sz="0" w:space="0" w:color="auto"/>
            <w:right w:val="none" w:sz="0" w:space="0" w:color="auto"/>
          </w:divBdr>
          <w:divsChild>
            <w:div w:id="1134104134">
              <w:marLeft w:val="0"/>
              <w:marRight w:val="0"/>
              <w:marTop w:val="0"/>
              <w:marBottom w:val="0"/>
              <w:divBdr>
                <w:top w:val="none" w:sz="0" w:space="0" w:color="auto"/>
                <w:left w:val="none" w:sz="0" w:space="0" w:color="auto"/>
                <w:bottom w:val="none" w:sz="0" w:space="0" w:color="auto"/>
                <w:right w:val="none" w:sz="0" w:space="0" w:color="auto"/>
              </w:divBdr>
            </w:div>
          </w:divsChild>
        </w:div>
        <w:div w:id="88738400">
          <w:marLeft w:val="0"/>
          <w:marRight w:val="0"/>
          <w:marTop w:val="0"/>
          <w:marBottom w:val="0"/>
          <w:divBdr>
            <w:top w:val="none" w:sz="0" w:space="0" w:color="auto"/>
            <w:left w:val="none" w:sz="0" w:space="0" w:color="auto"/>
            <w:bottom w:val="none" w:sz="0" w:space="0" w:color="auto"/>
            <w:right w:val="none" w:sz="0" w:space="0" w:color="auto"/>
          </w:divBdr>
        </w:div>
      </w:divsChild>
    </w:div>
    <w:div w:id="288172295">
      <w:marLeft w:val="0"/>
      <w:marRight w:val="0"/>
      <w:marTop w:val="0"/>
      <w:marBottom w:val="0"/>
      <w:divBdr>
        <w:top w:val="none" w:sz="0" w:space="0" w:color="auto"/>
        <w:left w:val="none" w:sz="0" w:space="0" w:color="auto"/>
        <w:bottom w:val="none" w:sz="0" w:space="0" w:color="auto"/>
        <w:right w:val="none" w:sz="0" w:space="0" w:color="auto"/>
      </w:divBdr>
    </w:div>
    <w:div w:id="296423517">
      <w:marLeft w:val="0"/>
      <w:marRight w:val="0"/>
      <w:marTop w:val="0"/>
      <w:marBottom w:val="0"/>
      <w:divBdr>
        <w:top w:val="none" w:sz="0" w:space="0" w:color="auto"/>
        <w:left w:val="none" w:sz="0" w:space="0" w:color="auto"/>
        <w:bottom w:val="none" w:sz="0" w:space="0" w:color="auto"/>
        <w:right w:val="none" w:sz="0" w:space="0" w:color="auto"/>
      </w:divBdr>
    </w:div>
    <w:div w:id="312488137">
      <w:marLeft w:val="0"/>
      <w:marRight w:val="0"/>
      <w:marTop w:val="0"/>
      <w:marBottom w:val="0"/>
      <w:divBdr>
        <w:top w:val="none" w:sz="0" w:space="0" w:color="auto"/>
        <w:left w:val="none" w:sz="0" w:space="0" w:color="auto"/>
        <w:bottom w:val="none" w:sz="0" w:space="0" w:color="auto"/>
        <w:right w:val="none" w:sz="0" w:space="0" w:color="auto"/>
      </w:divBdr>
    </w:div>
    <w:div w:id="321743461">
      <w:marLeft w:val="0"/>
      <w:marRight w:val="0"/>
      <w:marTop w:val="0"/>
      <w:marBottom w:val="0"/>
      <w:divBdr>
        <w:top w:val="none" w:sz="0" w:space="0" w:color="auto"/>
        <w:left w:val="none" w:sz="0" w:space="0" w:color="auto"/>
        <w:bottom w:val="none" w:sz="0" w:space="0" w:color="auto"/>
        <w:right w:val="none" w:sz="0" w:space="0" w:color="auto"/>
      </w:divBdr>
      <w:divsChild>
        <w:div w:id="1327971867">
          <w:marLeft w:val="0"/>
          <w:marRight w:val="0"/>
          <w:marTop w:val="0"/>
          <w:marBottom w:val="0"/>
          <w:divBdr>
            <w:top w:val="none" w:sz="0" w:space="0" w:color="auto"/>
            <w:left w:val="none" w:sz="0" w:space="0" w:color="auto"/>
            <w:bottom w:val="none" w:sz="0" w:space="0" w:color="auto"/>
            <w:right w:val="none" w:sz="0" w:space="0" w:color="auto"/>
          </w:divBdr>
        </w:div>
        <w:div w:id="665859258">
          <w:marLeft w:val="0"/>
          <w:marRight w:val="0"/>
          <w:marTop w:val="0"/>
          <w:marBottom w:val="0"/>
          <w:divBdr>
            <w:top w:val="none" w:sz="0" w:space="0" w:color="auto"/>
            <w:left w:val="none" w:sz="0" w:space="0" w:color="auto"/>
            <w:bottom w:val="none" w:sz="0" w:space="0" w:color="auto"/>
            <w:right w:val="none" w:sz="0" w:space="0" w:color="auto"/>
          </w:divBdr>
        </w:div>
        <w:div w:id="1459563043">
          <w:marLeft w:val="0"/>
          <w:marRight w:val="0"/>
          <w:marTop w:val="0"/>
          <w:marBottom w:val="0"/>
          <w:divBdr>
            <w:top w:val="none" w:sz="0" w:space="0" w:color="auto"/>
            <w:left w:val="none" w:sz="0" w:space="0" w:color="auto"/>
            <w:bottom w:val="none" w:sz="0" w:space="0" w:color="auto"/>
            <w:right w:val="none" w:sz="0" w:space="0" w:color="auto"/>
          </w:divBdr>
          <w:divsChild>
            <w:div w:id="1453942667">
              <w:marLeft w:val="0"/>
              <w:marRight w:val="0"/>
              <w:marTop w:val="0"/>
              <w:marBottom w:val="0"/>
              <w:divBdr>
                <w:top w:val="none" w:sz="0" w:space="0" w:color="auto"/>
                <w:left w:val="none" w:sz="0" w:space="0" w:color="auto"/>
                <w:bottom w:val="none" w:sz="0" w:space="0" w:color="auto"/>
                <w:right w:val="none" w:sz="0" w:space="0" w:color="auto"/>
              </w:divBdr>
            </w:div>
          </w:divsChild>
        </w:div>
        <w:div w:id="129641959">
          <w:marLeft w:val="0"/>
          <w:marRight w:val="0"/>
          <w:marTop w:val="0"/>
          <w:marBottom w:val="0"/>
          <w:divBdr>
            <w:top w:val="none" w:sz="0" w:space="0" w:color="auto"/>
            <w:left w:val="none" w:sz="0" w:space="0" w:color="auto"/>
            <w:bottom w:val="none" w:sz="0" w:space="0" w:color="auto"/>
            <w:right w:val="none" w:sz="0" w:space="0" w:color="auto"/>
          </w:divBdr>
        </w:div>
      </w:divsChild>
    </w:div>
    <w:div w:id="342779594">
      <w:marLeft w:val="0"/>
      <w:marRight w:val="0"/>
      <w:marTop w:val="0"/>
      <w:marBottom w:val="0"/>
      <w:divBdr>
        <w:top w:val="none" w:sz="0" w:space="0" w:color="auto"/>
        <w:left w:val="none" w:sz="0" w:space="0" w:color="auto"/>
        <w:bottom w:val="none" w:sz="0" w:space="0" w:color="auto"/>
        <w:right w:val="none" w:sz="0" w:space="0" w:color="auto"/>
      </w:divBdr>
    </w:div>
    <w:div w:id="343173071">
      <w:marLeft w:val="0"/>
      <w:marRight w:val="0"/>
      <w:marTop w:val="0"/>
      <w:marBottom w:val="0"/>
      <w:divBdr>
        <w:top w:val="none" w:sz="0" w:space="0" w:color="auto"/>
        <w:left w:val="none" w:sz="0" w:space="0" w:color="auto"/>
        <w:bottom w:val="none" w:sz="0" w:space="0" w:color="auto"/>
        <w:right w:val="none" w:sz="0" w:space="0" w:color="auto"/>
      </w:divBdr>
    </w:div>
    <w:div w:id="355809183">
      <w:marLeft w:val="0"/>
      <w:marRight w:val="0"/>
      <w:marTop w:val="0"/>
      <w:marBottom w:val="0"/>
      <w:divBdr>
        <w:top w:val="none" w:sz="0" w:space="0" w:color="auto"/>
        <w:left w:val="none" w:sz="0" w:space="0" w:color="auto"/>
        <w:bottom w:val="none" w:sz="0" w:space="0" w:color="auto"/>
        <w:right w:val="none" w:sz="0" w:space="0" w:color="auto"/>
      </w:divBdr>
    </w:div>
    <w:div w:id="358163455">
      <w:marLeft w:val="0"/>
      <w:marRight w:val="0"/>
      <w:marTop w:val="0"/>
      <w:marBottom w:val="0"/>
      <w:divBdr>
        <w:top w:val="none" w:sz="0" w:space="0" w:color="auto"/>
        <w:left w:val="none" w:sz="0" w:space="0" w:color="auto"/>
        <w:bottom w:val="none" w:sz="0" w:space="0" w:color="auto"/>
        <w:right w:val="none" w:sz="0" w:space="0" w:color="auto"/>
      </w:divBdr>
      <w:divsChild>
        <w:div w:id="2082021478">
          <w:marLeft w:val="0"/>
          <w:marRight w:val="0"/>
          <w:marTop w:val="0"/>
          <w:marBottom w:val="0"/>
          <w:divBdr>
            <w:top w:val="none" w:sz="0" w:space="0" w:color="auto"/>
            <w:left w:val="none" w:sz="0" w:space="0" w:color="auto"/>
            <w:bottom w:val="none" w:sz="0" w:space="0" w:color="auto"/>
            <w:right w:val="none" w:sz="0" w:space="0" w:color="auto"/>
          </w:divBdr>
        </w:div>
        <w:div w:id="1806701600">
          <w:marLeft w:val="0"/>
          <w:marRight w:val="0"/>
          <w:marTop w:val="0"/>
          <w:marBottom w:val="0"/>
          <w:divBdr>
            <w:top w:val="none" w:sz="0" w:space="0" w:color="auto"/>
            <w:left w:val="none" w:sz="0" w:space="0" w:color="auto"/>
            <w:bottom w:val="none" w:sz="0" w:space="0" w:color="auto"/>
            <w:right w:val="none" w:sz="0" w:space="0" w:color="auto"/>
          </w:divBdr>
        </w:div>
      </w:divsChild>
    </w:div>
    <w:div w:id="379667118">
      <w:marLeft w:val="0"/>
      <w:marRight w:val="0"/>
      <w:marTop w:val="0"/>
      <w:marBottom w:val="0"/>
      <w:divBdr>
        <w:top w:val="none" w:sz="0" w:space="0" w:color="auto"/>
        <w:left w:val="none" w:sz="0" w:space="0" w:color="auto"/>
        <w:bottom w:val="none" w:sz="0" w:space="0" w:color="auto"/>
        <w:right w:val="none" w:sz="0" w:space="0" w:color="auto"/>
      </w:divBdr>
      <w:divsChild>
        <w:div w:id="1491407823">
          <w:marLeft w:val="0"/>
          <w:marRight w:val="0"/>
          <w:marTop w:val="0"/>
          <w:marBottom w:val="0"/>
          <w:divBdr>
            <w:top w:val="none" w:sz="0" w:space="0" w:color="auto"/>
            <w:left w:val="none" w:sz="0" w:space="0" w:color="auto"/>
            <w:bottom w:val="none" w:sz="0" w:space="0" w:color="auto"/>
            <w:right w:val="none" w:sz="0" w:space="0" w:color="auto"/>
          </w:divBdr>
        </w:div>
        <w:div w:id="132216402">
          <w:marLeft w:val="0"/>
          <w:marRight w:val="0"/>
          <w:marTop w:val="0"/>
          <w:marBottom w:val="0"/>
          <w:divBdr>
            <w:top w:val="none" w:sz="0" w:space="0" w:color="auto"/>
            <w:left w:val="none" w:sz="0" w:space="0" w:color="auto"/>
            <w:bottom w:val="none" w:sz="0" w:space="0" w:color="auto"/>
            <w:right w:val="none" w:sz="0" w:space="0" w:color="auto"/>
          </w:divBdr>
        </w:div>
        <w:div w:id="610622978">
          <w:marLeft w:val="0"/>
          <w:marRight w:val="0"/>
          <w:marTop w:val="0"/>
          <w:marBottom w:val="0"/>
          <w:divBdr>
            <w:top w:val="none" w:sz="0" w:space="0" w:color="auto"/>
            <w:left w:val="none" w:sz="0" w:space="0" w:color="auto"/>
            <w:bottom w:val="none" w:sz="0" w:space="0" w:color="auto"/>
            <w:right w:val="none" w:sz="0" w:space="0" w:color="auto"/>
          </w:divBdr>
          <w:divsChild>
            <w:div w:id="1603298559">
              <w:marLeft w:val="0"/>
              <w:marRight w:val="0"/>
              <w:marTop w:val="0"/>
              <w:marBottom w:val="0"/>
              <w:divBdr>
                <w:top w:val="none" w:sz="0" w:space="0" w:color="auto"/>
                <w:left w:val="none" w:sz="0" w:space="0" w:color="auto"/>
                <w:bottom w:val="none" w:sz="0" w:space="0" w:color="auto"/>
                <w:right w:val="none" w:sz="0" w:space="0" w:color="auto"/>
              </w:divBdr>
            </w:div>
          </w:divsChild>
        </w:div>
        <w:div w:id="224996639">
          <w:marLeft w:val="0"/>
          <w:marRight w:val="0"/>
          <w:marTop w:val="0"/>
          <w:marBottom w:val="0"/>
          <w:divBdr>
            <w:top w:val="none" w:sz="0" w:space="0" w:color="auto"/>
            <w:left w:val="none" w:sz="0" w:space="0" w:color="auto"/>
            <w:bottom w:val="none" w:sz="0" w:space="0" w:color="auto"/>
            <w:right w:val="none" w:sz="0" w:space="0" w:color="auto"/>
          </w:divBdr>
        </w:div>
      </w:divsChild>
    </w:div>
    <w:div w:id="390811938">
      <w:marLeft w:val="0"/>
      <w:marRight w:val="0"/>
      <w:marTop w:val="0"/>
      <w:marBottom w:val="0"/>
      <w:divBdr>
        <w:top w:val="none" w:sz="0" w:space="0" w:color="auto"/>
        <w:left w:val="none" w:sz="0" w:space="0" w:color="auto"/>
        <w:bottom w:val="none" w:sz="0" w:space="0" w:color="auto"/>
        <w:right w:val="none" w:sz="0" w:space="0" w:color="auto"/>
      </w:divBdr>
      <w:divsChild>
        <w:div w:id="1855419159">
          <w:marLeft w:val="0"/>
          <w:marRight w:val="0"/>
          <w:marTop w:val="0"/>
          <w:marBottom w:val="0"/>
          <w:divBdr>
            <w:top w:val="none" w:sz="0" w:space="0" w:color="auto"/>
            <w:left w:val="none" w:sz="0" w:space="0" w:color="auto"/>
            <w:bottom w:val="none" w:sz="0" w:space="0" w:color="auto"/>
            <w:right w:val="none" w:sz="0" w:space="0" w:color="auto"/>
          </w:divBdr>
        </w:div>
        <w:div w:id="1667857998">
          <w:marLeft w:val="0"/>
          <w:marRight w:val="0"/>
          <w:marTop w:val="0"/>
          <w:marBottom w:val="0"/>
          <w:divBdr>
            <w:top w:val="none" w:sz="0" w:space="0" w:color="auto"/>
            <w:left w:val="none" w:sz="0" w:space="0" w:color="auto"/>
            <w:bottom w:val="none" w:sz="0" w:space="0" w:color="auto"/>
            <w:right w:val="none" w:sz="0" w:space="0" w:color="auto"/>
          </w:divBdr>
        </w:div>
        <w:div w:id="1307973693">
          <w:marLeft w:val="0"/>
          <w:marRight w:val="0"/>
          <w:marTop w:val="0"/>
          <w:marBottom w:val="0"/>
          <w:divBdr>
            <w:top w:val="none" w:sz="0" w:space="0" w:color="auto"/>
            <w:left w:val="none" w:sz="0" w:space="0" w:color="auto"/>
            <w:bottom w:val="none" w:sz="0" w:space="0" w:color="auto"/>
            <w:right w:val="none" w:sz="0" w:space="0" w:color="auto"/>
          </w:divBdr>
          <w:divsChild>
            <w:div w:id="549534916">
              <w:marLeft w:val="0"/>
              <w:marRight w:val="0"/>
              <w:marTop w:val="0"/>
              <w:marBottom w:val="0"/>
              <w:divBdr>
                <w:top w:val="none" w:sz="0" w:space="0" w:color="auto"/>
                <w:left w:val="none" w:sz="0" w:space="0" w:color="auto"/>
                <w:bottom w:val="none" w:sz="0" w:space="0" w:color="auto"/>
                <w:right w:val="none" w:sz="0" w:space="0" w:color="auto"/>
              </w:divBdr>
            </w:div>
          </w:divsChild>
        </w:div>
        <w:div w:id="1744183572">
          <w:marLeft w:val="0"/>
          <w:marRight w:val="0"/>
          <w:marTop w:val="0"/>
          <w:marBottom w:val="0"/>
          <w:divBdr>
            <w:top w:val="none" w:sz="0" w:space="0" w:color="auto"/>
            <w:left w:val="none" w:sz="0" w:space="0" w:color="auto"/>
            <w:bottom w:val="none" w:sz="0" w:space="0" w:color="auto"/>
            <w:right w:val="none" w:sz="0" w:space="0" w:color="auto"/>
          </w:divBdr>
        </w:div>
      </w:divsChild>
    </w:div>
    <w:div w:id="391274384">
      <w:marLeft w:val="0"/>
      <w:marRight w:val="0"/>
      <w:marTop w:val="0"/>
      <w:marBottom w:val="0"/>
      <w:divBdr>
        <w:top w:val="none" w:sz="0" w:space="0" w:color="auto"/>
        <w:left w:val="none" w:sz="0" w:space="0" w:color="auto"/>
        <w:bottom w:val="none" w:sz="0" w:space="0" w:color="auto"/>
        <w:right w:val="none" w:sz="0" w:space="0" w:color="auto"/>
      </w:divBdr>
      <w:divsChild>
        <w:div w:id="197356791">
          <w:marLeft w:val="0"/>
          <w:marRight w:val="0"/>
          <w:marTop w:val="0"/>
          <w:marBottom w:val="0"/>
          <w:divBdr>
            <w:top w:val="none" w:sz="0" w:space="0" w:color="auto"/>
            <w:left w:val="none" w:sz="0" w:space="0" w:color="auto"/>
            <w:bottom w:val="none" w:sz="0" w:space="0" w:color="auto"/>
            <w:right w:val="none" w:sz="0" w:space="0" w:color="auto"/>
          </w:divBdr>
        </w:div>
        <w:div w:id="788860853">
          <w:marLeft w:val="0"/>
          <w:marRight w:val="0"/>
          <w:marTop w:val="0"/>
          <w:marBottom w:val="0"/>
          <w:divBdr>
            <w:top w:val="none" w:sz="0" w:space="0" w:color="auto"/>
            <w:left w:val="none" w:sz="0" w:space="0" w:color="auto"/>
            <w:bottom w:val="none" w:sz="0" w:space="0" w:color="auto"/>
            <w:right w:val="none" w:sz="0" w:space="0" w:color="auto"/>
          </w:divBdr>
          <w:divsChild>
            <w:div w:id="1820881853">
              <w:marLeft w:val="0"/>
              <w:marRight w:val="0"/>
              <w:marTop w:val="0"/>
              <w:marBottom w:val="0"/>
              <w:divBdr>
                <w:top w:val="none" w:sz="0" w:space="0" w:color="auto"/>
                <w:left w:val="none" w:sz="0" w:space="0" w:color="auto"/>
                <w:bottom w:val="none" w:sz="0" w:space="0" w:color="auto"/>
                <w:right w:val="none" w:sz="0" w:space="0" w:color="auto"/>
              </w:divBdr>
            </w:div>
            <w:div w:id="1140458636">
              <w:marLeft w:val="0"/>
              <w:marRight w:val="0"/>
              <w:marTop w:val="0"/>
              <w:marBottom w:val="0"/>
              <w:divBdr>
                <w:top w:val="none" w:sz="0" w:space="0" w:color="auto"/>
                <w:left w:val="none" w:sz="0" w:space="0" w:color="auto"/>
                <w:bottom w:val="none" w:sz="0" w:space="0" w:color="auto"/>
                <w:right w:val="none" w:sz="0" w:space="0" w:color="auto"/>
              </w:divBdr>
            </w:div>
            <w:div w:id="510141877">
              <w:marLeft w:val="0"/>
              <w:marRight w:val="0"/>
              <w:marTop w:val="0"/>
              <w:marBottom w:val="0"/>
              <w:divBdr>
                <w:top w:val="none" w:sz="0" w:space="0" w:color="auto"/>
                <w:left w:val="none" w:sz="0" w:space="0" w:color="auto"/>
                <w:bottom w:val="none" w:sz="0" w:space="0" w:color="auto"/>
                <w:right w:val="none" w:sz="0" w:space="0" w:color="auto"/>
              </w:divBdr>
              <w:divsChild>
                <w:div w:id="1784953380">
                  <w:marLeft w:val="0"/>
                  <w:marRight w:val="0"/>
                  <w:marTop w:val="0"/>
                  <w:marBottom w:val="0"/>
                  <w:divBdr>
                    <w:top w:val="none" w:sz="0" w:space="0" w:color="auto"/>
                    <w:left w:val="none" w:sz="0" w:space="0" w:color="auto"/>
                    <w:bottom w:val="none" w:sz="0" w:space="0" w:color="auto"/>
                    <w:right w:val="none" w:sz="0" w:space="0" w:color="auto"/>
                  </w:divBdr>
                </w:div>
              </w:divsChild>
            </w:div>
            <w:div w:id="744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471">
      <w:marLeft w:val="0"/>
      <w:marRight w:val="0"/>
      <w:marTop w:val="0"/>
      <w:marBottom w:val="0"/>
      <w:divBdr>
        <w:top w:val="none" w:sz="0" w:space="0" w:color="auto"/>
        <w:left w:val="none" w:sz="0" w:space="0" w:color="auto"/>
        <w:bottom w:val="none" w:sz="0" w:space="0" w:color="auto"/>
        <w:right w:val="none" w:sz="0" w:space="0" w:color="auto"/>
      </w:divBdr>
    </w:div>
    <w:div w:id="397217301">
      <w:marLeft w:val="0"/>
      <w:marRight w:val="0"/>
      <w:marTop w:val="0"/>
      <w:marBottom w:val="0"/>
      <w:divBdr>
        <w:top w:val="none" w:sz="0" w:space="0" w:color="auto"/>
        <w:left w:val="none" w:sz="0" w:space="0" w:color="auto"/>
        <w:bottom w:val="none" w:sz="0" w:space="0" w:color="auto"/>
        <w:right w:val="none" w:sz="0" w:space="0" w:color="auto"/>
      </w:divBdr>
    </w:div>
    <w:div w:id="407924777">
      <w:marLeft w:val="0"/>
      <w:marRight w:val="0"/>
      <w:marTop w:val="0"/>
      <w:marBottom w:val="0"/>
      <w:divBdr>
        <w:top w:val="none" w:sz="0" w:space="0" w:color="auto"/>
        <w:left w:val="none" w:sz="0" w:space="0" w:color="auto"/>
        <w:bottom w:val="none" w:sz="0" w:space="0" w:color="auto"/>
        <w:right w:val="none" w:sz="0" w:space="0" w:color="auto"/>
      </w:divBdr>
    </w:div>
    <w:div w:id="413942546">
      <w:marLeft w:val="0"/>
      <w:marRight w:val="0"/>
      <w:marTop w:val="0"/>
      <w:marBottom w:val="0"/>
      <w:divBdr>
        <w:top w:val="none" w:sz="0" w:space="0" w:color="auto"/>
        <w:left w:val="none" w:sz="0" w:space="0" w:color="auto"/>
        <w:bottom w:val="none" w:sz="0" w:space="0" w:color="auto"/>
        <w:right w:val="none" w:sz="0" w:space="0" w:color="auto"/>
      </w:divBdr>
      <w:divsChild>
        <w:div w:id="1623537391">
          <w:marLeft w:val="0"/>
          <w:marRight w:val="0"/>
          <w:marTop w:val="0"/>
          <w:marBottom w:val="0"/>
          <w:divBdr>
            <w:top w:val="none" w:sz="0" w:space="0" w:color="auto"/>
            <w:left w:val="none" w:sz="0" w:space="0" w:color="auto"/>
            <w:bottom w:val="none" w:sz="0" w:space="0" w:color="auto"/>
            <w:right w:val="none" w:sz="0" w:space="0" w:color="auto"/>
          </w:divBdr>
        </w:div>
        <w:div w:id="309332735">
          <w:marLeft w:val="0"/>
          <w:marRight w:val="0"/>
          <w:marTop w:val="0"/>
          <w:marBottom w:val="0"/>
          <w:divBdr>
            <w:top w:val="none" w:sz="0" w:space="0" w:color="auto"/>
            <w:left w:val="none" w:sz="0" w:space="0" w:color="auto"/>
            <w:bottom w:val="none" w:sz="0" w:space="0" w:color="auto"/>
            <w:right w:val="none" w:sz="0" w:space="0" w:color="auto"/>
          </w:divBdr>
        </w:div>
        <w:div w:id="1479877676">
          <w:marLeft w:val="0"/>
          <w:marRight w:val="0"/>
          <w:marTop w:val="0"/>
          <w:marBottom w:val="0"/>
          <w:divBdr>
            <w:top w:val="none" w:sz="0" w:space="0" w:color="auto"/>
            <w:left w:val="none" w:sz="0" w:space="0" w:color="auto"/>
            <w:bottom w:val="none" w:sz="0" w:space="0" w:color="auto"/>
            <w:right w:val="none" w:sz="0" w:space="0" w:color="auto"/>
          </w:divBdr>
          <w:divsChild>
            <w:div w:id="1966497140">
              <w:marLeft w:val="0"/>
              <w:marRight w:val="0"/>
              <w:marTop w:val="0"/>
              <w:marBottom w:val="0"/>
              <w:divBdr>
                <w:top w:val="none" w:sz="0" w:space="0" w:color="auto"/>
                <w:left w:val="none" w:sz="0" w:space="0" w:color="auto"/>
                <w:bottom w:val="none" w:sz="0" w:space="0" w:color="auto"/>
                <w:right w:val="none" w:sz="0" w:space="0" w:color="auto"/>
              </w:divBdr>
            </w:div>
          </w:divsChild>
        </w:div>
        <w:div w:id="798380959">
          <w:marLeft w:val="0"/>
          <w:marRight w:val="0"/>
          <w:marTop w:val="0"/>
          <w:marBottom w:val="0"/>
          <w:divBdr>
            <w:top w:val="none" w:sz="0" w:space="0" w:color="auto"/>
            <w:left w:val="none" w:sz="0" w:space="0" w:color="auto"/>
            <w:bottom w:val="none" w:sz="0" w:space="0" w:color="auto"/>
            <w:right w:val="none" w:sz="0" w:space="0" w:color="auto"/>
          </w:divBdr>
        </w:div>
      </w:divsChild>
    </w:div>
    <w:div w:id="424568918">
      <w:marLeft w:val="0"/>
      <w:marRight w:val="0"/>
      <w:marTop w:val="0"/>
      <w:marBottom w:val="0"/>
      <w:divBdr>
        <w:top w:val="none" w:sz="0" w:space="0" w:color="auto"/>
        <w:left w:val="none" w:sz="0" w:space="0" w:color="auto"/>
        <w:bottom w:val="none" w:sz="0" w:space="0" w:color="auto"/>
        <w:right w:val="none" w:sz="0" w:space="0" w:color="auto"/>
      </w:divBdr>
      <w:divsChild>
        <w:div w:id="1882397722">
          <w:marLeft w:val="0"/>
          <w:marRight w:val="0"/>
          <w:marTop w:val="0"/>
          <w:marBottom w:val="0"/>
          <w:divBdr>
            <w:top w:val="none" w:sz="0" w:space="0" w:color="auto"/>
            <w:left w:val="none" w:sz="0" w:space="0" w:color="auto"/>
            <w:bottom w:val="none" w:sz="0" w:space="0" w:color="auto"/>
            <w:right w:val="none" w:sz="0" w:space="0" w:color="auto"/>
          </w:divBdr>
        </w:div>
      </w:divsChild>
    </w:div>
    <w:div w:id="428277805">
      <w:marLeft w:val="0"/>
      <w:marRight w:val="0"/>
      <w:marTop w:val="0"/>
      <w:marBottom w:val="0"/>
      <w:divBdr>
        <w:top w:val="none" w:sz="0" w:space="0" w:color="auto"/>
        <w:left w:val="none" w:sz="0" w:space="0" w:color="auto"/>
        <w:bottom w:val="none" w:sz="0" w:space="0" w:color="auto"/>
        <w:right w:val="none" w:sz="0" w:space="0" w:color="auto"/>
      </w:divBdr>
    </w:div>
    <w:div w:id="433212542">
      <w:marLeft w:val="0"/>
      <w:marRight w:val="0"/>
      <w:marTop w:val="0"/>
      <w:marBottom w:val="0"/>
      <w:divBdr>
        <w:top w:val="none" w:sz="0" w:space="0" w:color="auto"/>
        <w:left w:val="none" w:sz="0" w:space="0" w:color="auto"/>
        <w:bottom w:val="none" w:sz="0" w:space="0" w:color="auto"/>
        <w:right w:val="none" w:sz="0" w:space="0" w:color="auto"/>
      </w:divBdr>
    </w:div>
    <w:div w:id="443110094">
      <w:marLeft w:val="0"/>
      <w:marRight w:val="0"/>
      <w:marTop w:val="0"/>
      <w:marBottom w:val="0"/>
      <w:divBdr>
        <w:top w:val="none" w:sz="0" w:space="0" w:color="auto"/>
        <w:left w:val="none" w:sz="0" w:space="0" w:color="auto"/>
        <w:bottom w:val="none" w:sz="0" w:space="0" w:color="auto"/>
        <w:right w:val="none" w:sz="0" w:space="0" w:color="auto"/>
      </w:divBdr>
    </w:div>
    <w:div w:id="455410475">
      <w:marLeft w:val="0"/>
      <w:marRight w:val="0"/>
      <w:marTop w:val="0"/>
      <w:marBottom w:val="0"/>
      <w:divBdr>
        <w:top w:val="none" w:sz="0" w:space="0" w:color="auto"/>
        <w:left w:val="none" w:sz="0" w:space="0" w:color="auto"/>
        <w:bottom w:val="none" w:sz="0" w:space="0" w:color="auto"/>
        <w:right w:val="none" w:sz="0" w:space="0" w:color="auto"/>
      </w:divBdr>
      <w:divsChild>
        <w:div w:id="2055960237">
          <w:marLeft w:val="0"/>
          <w:marRight w:val="0"/>
          <w:marTop w:val="0"/>
          <w:marBottom w:val="0"/>
          <w:divBdr>
            <w:top w:val="none" w:sz="0" w:space="0" w:color="auto"/>
            <w:left w:val="none" w:sz="0" w:space="0" w:color="auto"/>
            <w:bottom w:val="none" w:sz="0" w:space="0" w:color="auto"/>
            <w:right w:val="none" w:sz="0" w:space="0" w:color="auto"/>
          </w:divBdr>
        </w:div>
        <w:div w:id="1888175565">
          <w:marLeft w:val="0"/>
          <w:marRight w:val="0"/>
          <w:marTop w:val="0"/>
          <w:marBottom w:val="0"/>
          <w:divBdr>
            <w:top w:val="none" w:sz="0" w:space="0" w:color="auto"/>
            <w:left w:val="none" w:sz="0" w:space="0" w:color="auto"/>
            <w:bottom w:val="none" w:sz="0" w:space="0" w:color="auto"/>
            <w:right w:val="none" w:sz="0" w:space="0" w:color="auto"/>
          </w:divBdr>
        </w:div>
        <w:div w:id="761534604">
          <w:marLeft w:val="0"/>
          <w:marRight w:val="0"/>
          <w:marTop w:val="0"/>
          <w:marBottom w:val="0"/>
          <w:divBdr>
            <w:top w:val="none" w:sz="0" w:space="0" w:color="auto"/>
            <w:left w:val="none" w:sz="0" w:space="0" w:color="auto"/>
            <w:bottom w:val="none" w:sz="0" w:space="0" w:color="auto"/>
            <w:right w:val="none" w:sz="0" w:space="0" w:color="auto"/>
          </w:divBdr>
          <w:divsChild>
            <w:div w:id="1399981531">
              <w:marLeft w:val="0"/>
              <w:marRight w:val="0"/>
              <w:marTop w:val="0"/>
              <w:marBottom w:val="0"/>
              <w:divBdr>
                <w:top w:val="none" w:sz="0" w:space="0" w:color="auto"/>
                <w:left w:val="none" w:sz="0" w:space="0" w:color="auto"/>
                <w:bottom w:val="none" w:sz="0" w:space="0" w:color="auto"/>
                <w:right w:val="none" w:sz="0" w:space="0" w:color="auto"/>
              </w:divBdr>
            </w:div>
          </w:divsChild>
        </w:div>
        <w:div w:id="1235161443">
          <w:marLeft w:val="0"/>
          <w:marRight w:val="0"/>
          <w:marTop w:val="0"/>
          <w:marBottom w:val="0"/>
          <w:divBdr>
            <w:top w:val="none" w:sz="0" w:space="0" w:color="auto"/>
            <w:left w:val="none" w:sz="0" w:space="0" w:color="auto"/>
            <w:bottom w:val="none" w:sz="0" w:space="0" w:color="auto"/>
            <w:right w:val="none" w:sz="0" w:space="0" w:color="auto"/>
          </w:divBdr>
        </w:div>
      </w:divsChild>
    </w:div>
    <w:div w:id="488667353">
      <w:marLeft w:val="0"/>
      <w:marRight w:val="0"/>
      <w:marTop w:val="0"/>
      <w:marBottom w:val="0"/>
      <w:divBdr>
        <w:top w:val="none" w:sz="0" w:space="0" w:color="auto"/>
        <w:left w:val="none" w:sz="0" w:space="0" w:color="auto"/>
        <w:bottom w:val="none" w:sz="0" w:space="0" w:color="auto"/>
        <w:right w:val="none" w:sz="0" w:space="0" w:color="auto"/>
      </w:divBdr>
      <w:divsChild>
        <w:div w:id="1782454941">
          <w:marLeft w:val="0"/>
          <w:marRight w:val="0"/>
          <w:marTop w:val="0"/>
          <w:marBottom w:val="0"/>
          <w:divBdr>
            <w:top w:val="none" w:sz="0" w:space="0" w:color="auto"/>
            <w:left w:val="none" w:sz="0" w:space="0" w:color="auto"/>
            <w:bottom w:val="none" w:sz="0" w:space="0" w:color="auto"/>
            <w:right w:val="none" w:sz="0" w:space="0" w:color="auto"/>
          </w:divBdr>
          <w:divsChild>
            <w:div w:id="1179929708">
              <w:marLeft w:val="0"/>
              <w:marRight w:val="0"/>
              <w:marTop w:val="0"/>
              <w:marBottom w:val="0"/>
              <w:divBdr>
                <w:top w:val="none" w:sz="0" w:space="0" w:color="auto"/>
                <w:left w:val="none" w:sz="0" w:space="0" w:color="auto"/>
                <w:bottom w:val="none" w:sz="0" w:space="0" w:color="auto"/>
                <w:right w:val="none" w:sz="0" w:space="0" w:color="auto"/>
              </w:divBdr>
            </w:div>
          </w:divsChild>
        </w:div>
        <w:div w:id="1587811617">
          <w:marLeft w:val="0"/>
          <w:marRight w:val="0"/>
          <w:marTop w:val="0"/>
          <w:marBottom w:val="0"/>
          <w:divBdr>
            <w:top w:val="none" w:sz="0" w:space="0" w:color="auto"/>
            <w:left w:val="none" w:sz="0" w:space="0" w:color="auto"/>
            <w:bottom w:val="none" w:sz="0" w:space="0" w:color="auto"/>
            <w:right w:val="none" w:sz="0" w:space="0" w:color="auto"/>
          </w:divBdr>
          <w:divsChild>
            <w:div w:id="3423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217">
      <w:marLeft w:val="0"/>
      <w:marRight w:val="0"/>
      <w:marTop w:val="0"/>
      <w:marBottom w:val="0"/>
      <w:divBdr>
        <w:top w:val="none" w:sz="0" w:space="0" w:color="auto"/>
        <w:left w:val="none" w:sz="0" w:space="0" w:color="auto"/>
        <w:bottom w:val="none" w:sz="0" w:space="0" w:color="auto"/>
        <w:right w:val="none" w:sz="0" w:space="0" w:color="auto"/>
      </w:divBdr>
      <w:divsChild>
        <w:div w:id="2058893412">
          <w:marLeft w:val="0"/>
          <w:marRight w:val="0"/>
          <w:marTop w:val="0"/>
          <w:marBottom w:val="0"/>
          <w:divBdr>
            <w:top w:val="none" w:sz="0" w:space="0" w:color="auto"/>
            <w:left w:val="none" w:sz="0" w:space="0" w:color="auto"/>
            <w:bottom w:val="none" w:sz="0" w:space="0" w:color="auto"/>
            <w:right w:val="none" w:sz="0" w:space="0" w:color="auto"/>
          </w:divBdr>
        </w:div>
        <w:div w:id="1897736807">
          <w:marLeft w:val="0"/>
          <w:marRight w:val="0"/>
          <w:marTop w:val="0"/>
          <w:marBottom w:val="0"/>
          <w:divBdr>
            <w:top w:val="none" w:sz="0" w:space="0" w:color="auto"/>
            <w:left w:val="none" w:sz="0" w:space="0" w:color="auto"/>
            <w:bottom w:val="none" w:sz="0" w:space="0" w:color="auto"/>
            <w:right w:val="none" w:sz="0" w:space="0" w:color="auto"/>
          </w:divBdr>
        </w:div>
        <w:div w:id="1351487862">
          <w:marLeft w:val="0"/>
          <w:marRight w:val="0"/>
          <w:marTop w:val="0"/>
          <w:marBottom w:val="0"/>
          <w:divBdr>
            <w:top w:val="none" w:sz="0" w:space="0" w:color="auto"/>
            <w:left w:val="none" w:sz="0" w:space="0" w:color="auto"/>
            <w:bottom w:val="none" w:sz="0" w:space="0" w:color="auto"/>
            <w:right w:val="none" w:sz="0" w:space="0" w:color="auto"/>
          </w:divBdr>
          <w:divsChild>
            <w:div w:id="1211844241">
              <w:marLeft w:val="0"/>
              <w:marRight w:val="0"/>
              <w:marTop w:val="0"/>
              <w:marBottom w:val="0"/>
              <w:divBdr>
                <w:top w:val="none" w:sz="0" w:space="0" w:color="auto"/>
                <w:left w:val="none" w:sz="0" w:space="0" w:color="auto"/>
                <w:bottom w:val="none" w:sz="0" w:space="0" w:color="auto"/>
                <w:right w:val="none" w:sz="0" w:space="0" w:color="auto"/>
              </w:divBdr>
            </w:div>
          </w:divsChild>
        </w:div>
        <w:div w:id="1871143500">
          <w:marLeft w:val="0"/>
          <w:marRight w:val="0"/>
          <w:marTop w:val="0"/>
          <w:marBottom w:val="0"/>
          <w:divBdr>
            <w:top w:val="none" w:sz="0" w:space="0" w:color="auto"/>
            <w:left w:val="none" w:sz="0" w:space="0" w:color="auto"/>
            <w:bottom w:val="none" w:sz="0" w:space="0" w:color="auto"/>
            <w:right w:val="none" w:sz="0" w:space="0" w:color="auto"/>
          </w:divBdr>
        </w:div>
      </w:divsChild>
    </w:div>
    <w:div w:id="503129570">
      <w:marLeft w:val="0"/>
      <w:marRight w:val="0"/>
      <w:marTop w:val="0"/>
      <w:marBottom w:val="0"/>
      <w:divBdr>
        <w:top w:val="none" w:sz="0" w:space="0" w:color="auto"/>
        <w:left w:val="none" w:sz="0" w:space="0" w:color="auto"/>
        <w:bottom w:val="none" w:sz="0" w:space="0" w:color="auto"/>
        <w:right w:val="none" w:sz="0" w:space="0" w:color="auto"/>
      </w:divBdr>
      <w:divsChild>
        <w:div w:id="723598701">
          <w:marLeft w:val="0"/>
          <w:marRight w:val="0"/>
          <w:marTop w:val="0"/>
          <w:marBottom w:val="0"/>
          <w:divBdr>
            <w:top w:val="none" w:sz="0" w:space="0" w:color="auto"/>
            <w:left w:val="none" w:sz="0" w:space="0" w:color="auto"/>
            <w:bottom w:val="none" w:sz="0" w:space="0" w:color="auto"/>
            <w:right w:val="none" w:sz="0" w:space="0" w:color="auto"/>
          </w:divBdr>
        </w:div>
        <w:div w:id="218635036">
          <w:marLeft w:val="0"/>
          <w:marRight w:val="0"/>
          <w:marTop w:val="0"/>
          <w:marBottom w:val="0"/>
          <w:divBdr>
            <w:top w:val="none" w:sz="0" w:space="0" w:color="auto"/>
            <w:left w:val="none" w:sz="0" w:space="0" w:color="auto"/>
            <w:bottom w:val="none" w:sz="0" w:space="0" w:color="auto"/>
            <w:right w:val="none" w:sz="0" w:space="0" w:color="auto"/>
          </w:divBdr>
        </w:div>
      </w:divsChild>
    </w:div>
    <w:div w:id="504562040">
      <w:marLeft w:val="0"/>
      <w:marRight w:val="0"/>
      <w:marTop w:val="0"/>
      <w:marBottom w:val="0"/>
      <w:divBdr>
        <w:top w:val="none" w:sz="0" w:space="0" w:color="auto"/>
        <w:left w:val="none" w:sz="0" w:space="0" w:color="auto"/>
        <w:bottom w:val="none" w:sz="0" w:space="0" w:color="auto"/>
        <w:right w:val="none" w:sz="0" w:space="0" w:color="auto"/>
      </w:divBdr>
    </w:div>
    <w:div w:id="516501897">
      <w:marLeft w:val="0"/>
      <w:marRight w:val="0"/>
      <w:marTop w:val="0"/>
      <w:marBottom w:val="0"/>
      <w:divBdr>
        <w:top w:val="none" w:sz="0" w:space="0" w:color="auto"/>
        <w:left w:val="none" w:sz="0" w:space="0" w:color="auto"/>
        <w:bottom w:val="none" w:sz="0" w:space="0" w:color="auto"/>
        <w:right w:val="none" w:sz="0" w:space="0" w:color="auto"/>
      </w:divBdr>
      <w:divsChild>
        <w:div w:id="1402412328">
          <w:marLeft w:val="0"/>
          <w:marRight w:val="0"/>
          <w:marTop w:val="0"/>
          <w:marBottom w:val="0"/>
          <w:divBdr>
            <w:top w:val="none" w:sz="0" w:space="0" w:color="auto"/>
            <w:left w:val="none" w:sz="0" w:space="0" w:color="auto"/>
            <w:bottom w:val="none" w:sz="0" w:space="0" w:color="auto"/>
            <w:right w:val="none" w:sz="0" w:space="0" w:color="auto"/>
          </w:divBdr>
        </w:div>
        <w:div w:id="624309510">
          <w:marLeft w:val="0"/>
          <w:marRight w:val="0"/>
          <w:marTop w:val="0"/>
          <w:marBottom w:val="0"/>
          <w:divBdr>
            <w:top w:val="none" w:sz="0" w:space="0" w:color="auto"/>
            <w:left w:val="none" w:sz="0" w:space="0" w:color="auto"/>
            <w:bottom w:val="none" w:sz="0" w:space="0" w:color="auto"/>
            <w:right w:val="none" w:sz="0" w:space="0" w:color="auto"/>
          </w:divBdr>
        </w:div>
        <w:div w:id="47926437">
          <w:marLeft w:val="0"/>
          <w:marRight w:val="0"/>
          <w:marTop w:val="0"/>
          <w:marBottom w:val="0"/>
          <w:divBdr>
            <w:top w:val="none" w:sz="0" w:space="0" w:color="auto"/>
            <w:left w:val="none" w:sz="0" w:space="0" w:color="auto"/>
            <w:bottom w:val="none" w:sz="0" w:space="0" w:color="auto"/>
            <w:right w:val="none" w:sz="0" w:space="0" w:color="auto"/>
          </w:divBdr>
          <w:divsChild>
            <w:div w:id="1022438169">
              <w:marLeft w:val="0"/>
              <w:marRight w:val="0"/>
              <w:marTop w:val="0"/>
              <w:marBottom w:val="0"/>
              <w:divBdr>
                <w:top w:val="none" w:sz="0" w:space="0" w:color="auto"/>
                <w:left w:val="none" w:sz="0" w:space="0" w:color="auto"/>
                <w:bottom w:val="none" w:sz="0" w:space="0" w:color="auto"/>
                <w:right w:val="none" w:sz="0" w:space="0" w:color="auto"/>
              </w:divBdr>
            </w:div>
          </w:divsChild>
        </w:div>
        <w:div w:id="1911235751">
          <w:marLeft w:val="0"/>
          <w:marRight w:val="0"/>
          <w:marTop w:val="0"/>
          <w:marBottom w:val="0"/>
          <w:divBdr>
            <w:top w:val="none" w:sz="0" w:space="0" w:color="auto"/>
            <w:left w:val="none" w:sz="0" w:space="0" w:color="auto"/>
            <w:bottom w:val="none" w:sz="0" w:space="0" w:color="auto"/>
            <w:right w:val="none" w:sz="0" w:space="0" w:color="auto"/>
          </w:divBdr>
        </w:div>
      </w:divsChild>
    </w:div>
    <w:div w:id="552081037">
      <w:marLeft w:val="0"/>
      <w:marRight w:val="0"/>
      <w:marTop w:val="0"/>
      <w:marBottom w:val="0"/>
      <w:divBdr>
        <w:top w:val="none" w:sz="0" w:space="0" w:color="auto"/>
        <w:left w:val="none" w:sz="0" w:space="0" w:color="auto"/>
        <w:bottom w:val="none" w:sz="0" w:space="0" w:color="auto"/>
        <w:right w:val="none" w:sz="0" w:space="0" w:color="auto"/>
      </w:divBdr>
      <w:divsChild>
        <w:div w:id="1982034619">
          <w:marLeft w:val="0"/>
          <w:marRight w:val="0"/>
          <w:marTop w:val="0"/>
          <w:marBottom w:val="0"/>
          <w:divBdr>
            <w:top w:val="none" w:sz="0" w:space="0" w:color="auto"/>
            <w:left w:val="none" w:sz="0" w:space="0" w:color="auto"/>
            <w:bottom w:val="none" w:sz="0" w:space="0" w:color="auto"/>
            <w:right w:val="none" w:sz="0" w:space="0" w:color="auto"/>
          </w:divBdr>
        </w:div>
        <w:div w:id="160589952">
          <w:marLeft w:val="0"/>
          <w:marRight w:val="0"/>
          <w:marTop w:val="0"/>
          <w:marBottom w:val="0"/>
          <w:divBdr>
            <w:top w:val="none" w:sz="0" w:space="0" w:color="auto"/>
            <w:left w:val="none" w:sz="0" w:space="0" w:color="auto"/>
            <w:bottom w:val="none" w:sz="0" w:space="0" w:color="auto"/>
            <w:right w:val="none" w:sz="0" w:space="0" w:color="auto"/>
          </w:divBdr>
        </w:div>
      </w:divsChild>
    </w:div>
    <w:div w:id="567034486">
      <w:marLeft w:val="0"/>
      <w:marRight w:val="0"/>
      <w:marTop w:val="0"/>
      <w:marBottom w:val="0"/>
      <w:divBdr>
        <w:top w:val="none" w:sz="0" w:space="0" w:color="auto"/>
        <w:left w:val="none" w:sz="0" w:space="0" w:color="auto"/>
        <w:bottom w:val="none" w:sz="0" w:space="0" w:color="auto"/>
        <w:right w:val="none" w:sz="0" w:space="0" w:color="auto"/>
      </w:divBdr>
    </w:div>
    <w:div w:id="580867516">
      <w:marLeft w:val="0"/>
      <w:marRight w:val="0"/>
      <w:marTop w:val="0"/>
      <w:marBottom w:val="0"/>
      <w:divBdr>
        <w:top w:val="none" w:sz="0" w:space="0" w:color="auto"/>
        <w:left w:val="none" w:sz="0" w:space="0" w:color="auto"/>
        <w:bottom w:val="none" w:sz="0" w:space="0" w:color="auto"/>
        <w:right w:val="none" w:sz="0" w:space="0" w:color="auto"/>
      </w:divBdr>
    </w:div>
    <w:div w:id="592445452">
      <w:marLeft w:val="0"/>
      <w:marRight w:val="0"/>
      <w:marTop w:val="0"/>
      <w:marBottom w:val="0"/>
      <w:divBdr>
        <w:top w:val="none" w:sz="0" w:space="0" w:color="auto"/>
        <w:left w:val="none" w:sz="0" w:space="0" w:color="auto"/>
        <w:bottom w:val="none" w:sz="0" w:space="0" w:color="auto"/>
        <w:right w:val="none" w:sz="0" w:space="0" w:color="auto"/>
      </w:divBdr>
      <w:divsChild>
        <w:div w:id="1004479376">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605578372">
          <w:marLeft w:val="0"/>
          <w:marRight w:val="0"/>
          <w:marTop w:val="0"/>
          <w:marBottom w:val="0"/>
          <w:divBdr>
            <w:top w:val="none" w:sz="0" w:space="0" w:color="auto"/>
            <w:left w:val="none" w:sz="0" w:space="0" w:color="auto"/>
            <w:bottom w:val="none" w:sz="0" w:space="0" w:color="auto"/>
            <w:right w:val="none" w:sz="0" w:space="0" w:color="auto"/>
          </w:divBdr>
          <w:divsChild>
            <w:div w:id="609972052">
              <w:marLeft w:val="0"/>
              <w:marRight w:val="0"/>
              <w:marTop w:val="0"/>
              <w:marBottom w:val="0"/>
              <w:divBdr>
                <w:top w:val="none" w:sz="0" w:space="0" w:color="auto"/>
                <w:left w:val="none" w:sz="0" w:space="0" w:color="auto"/>
                <w:bottom w:val="none" w:sz="0" w:space="0" w:color="auto"/>
                <w:right w:val="none" w:sz="0" w:space="0" w:color="auto"/>
              </w:divBdr>
            </w:div>
          </w:divsChild>
        </w:div>
        <w:div w:id="1203977221">
          <w:marLeft w:val="0"/>
          <w:marRight w:val="0"/>
          <w:marTop w:val="0"/>
          <w:marBottom w:val="0"/>
          <w:divBdr>
            <w:top w:val="none" w:sz="0" w:space="0" w:color="auto"/>
            <w:left w:val="none" w:sz="0" w:space="0" w:color="auto"/>
            <w:bottom w:val="none" w:sz="0" w:space="0" w:color="auto"/>
            <w:right w:val="none" w:sz="0" w:space="0" w:color="auto"/>
          </w:divBdr>
        </w:div>
      </w:divsChild>
    </w:div>
    <w:div w:id="593517631">
      <w:marLeft w:val="0"/>
      <w:marRight w:val="0"/>
      <w:marTop w:val="0"/>
      <w:marBottom w:val="0"/>
      <w:divBdr>
        <w:top w:val="none" w:sz="0" w:space="0" w:color="auto"/>
        <w:left w:val="none" w:sz="0" w:space="0" w:color="auto"/>
        <w:bottom w:val="none" w:sz="0" w:space="0" w:color="auto"/>
        <w:right w:val="none" w:sz="0" w:space="0" w:color="auto"/>
      </w:divBdr>
    </w:div>
    <w:div w:id="600264272">
      <w:marLeft w:val="0"/>
      <w:marRight w:val="0"/>
      <w:marTop w:val="0"/>
      <w:marBottom w:val="0"/>
      <w:divBdr>
        <w:top w:val="none" w:sz="0" w:space="0" w:color="auto"/>
        <w:left w:val="none" w:sz="0" w:space="0" w:color="auto"/>
        <w:bottom w:val="none" w:sz="0" w:space="0" w:color="auto"/>
        <w:right w:val="none" w:sz="0" w:space="0" w:color="auto"/>
      </w:divBdr>
    </w:div>
    <w:div w:id="611939996">
      <w:marLeft w:val="0"/>
      <w:marRight w:val="0"/>
      <w:marTop w:val="0"/>
      <w:marBottom w:val="0"/>
      <w:divBdr>
        <w:top w:val="none" w:sz="0" w:space="0" w:color="auto"/>
        <w:left w:val="none" w:sz="0" w:space="0" w:color="auto"/>
        <w:bottom w:val="none" w:sz="0" w:space="0" w:color="auto"/>
        <w:right w:val="none" w:sz="0" w:space="0" w:color="auto"/>
      </w:divBdr>
    </w:div>
    <w:div w:id="613246359">
      <w:marLeft w:val="0"/>
      <w:marRight w:val="0"/>
      <w:marTop w:val="0"/>
      <w:marBottom w:val="0"/>
      <w:divBdr>
        <w:top w:val="none" w:sz="0" w:space="0" w:color="auto"/>
        <w:left w:val="none" w:sz="0" w:space="0" w:color="auto"/>
        <w:bottom w:val="none" w:sz="0" w:space="0" w:color="auto"/>
        <w:right w:val="none" w:sz="0" w:space="0" w:color="auto"/>
      </w:divBdr>
    </w:div>
    <w:div w:id="615527488">
      <w:marLeft w:val="0"/>
      <w:marRight w:val="0"/>
      <w:marTop w:val="0"/>
      <w:marBottom w:val="0"/>
      <w:divBdr>
        <w:top w:val="none" w:sz="0" w:space="0" w:color="auto"/>
        <w:left w:val="none" w:sz="0" w:space="0" w:color="auto"/>
        <w:bottom w:val="none" w:sz="0" w:space="0" w:color="auto"/>
        <w:right w:val="none" w:sz="0" w:space="0" w:color="auto"/>
      </w:divBdr>
    </w:div>
    <w:div w:id="615865725">
      <w:marLeft w:val="0"/>
      <w:marRight w:val="0"/>
      <w:marTop w:val="0"/>
      <w:marBottom w:val="0"/>
      <w:divBdr>
        <w:top w:val="none" w:sz="0" w:space="0" w:color="auto"/>
        <w:left w:val="none" w:sz="0" w:space="0" w:color="auto"/>
        <w:bottom w:val="none" w:sz="0" w:space="0" w:color="auto"/>
        <w:right w:val="none" w:sz="0" w:space="0" w:color="auto"/>
      </w:divBdr>
      <w:divsChild>
        <w:div w:id="1477994130">
          <w:marLeft w:val="0"/>
          <w:marRight w:val="0"/>
          <w:marTop w:val="0"/>
          <w:marBottom w:val="0"/>
          <w:divBdr>
            <w:top w:val="none" w:sz="0" w:space="0" w:color="auto"/>
            <w:left w:val="none" w:sz="0" w:space="0" w:color="auto"/>
            <w:bottom w:val="none" w:sz="0" w:space="0" w:color="auto"/>
            <w:right w:val="none" w:sz="0" w:space="0" w:color="auto"/>
          </w:divBdr>
        </w:div>
      </w:divsChild>
    </w:div>
    <w:div w:id="618030087">
      <w:marLeft w:val="0"/>
      <w:marRight w:val="0"/>
      <w:marTop w:val="0"/>
      <w:marBottom w:val="0"/>
      <w:divBdr>
        <w:top w:val="none" w:sz="0" w:space="0" w:color="auto"/>
        <w:left w:val="none" w:sz="0" w:space="0" w:color="auto"/>
        <w:bottom w:val="none" w:sz="0" w:space="0" w:color="auto"/>
        <w:right w:val="none" w:sz="0" w:space="0" w:color="auto"/>
      </w:divBdr>
      <w:divsChild>
        <w:div w:id="1201942289">
          <w:marLeft w:val="0"/>
          <w:marRight w:val="0"/>
          <w:marTop w:val="0"/>
          <w:marBottom w:val="0"/>
          <w:divBdr>
            <w:top w:val="none" w:sz="0" w:space="0" w:color="auto"/>
            <w:left w:val="none" w:sz="0" w:space="0" w:color="auto"/>
            <w:bottom w:val="none" w:sz="0" w:space="0" w:color="auto"/>
            <w:right w:val="none" w:sz="0" w:space="0" w:color="auto"/>
          </w:divBdr>
        </w:div>
        <w:div w:id="1007169203">
          <w:marLeft w:val="0"/>
          <w:marRight w:val="0"/>
          <w:marTop w:val="0"/>
          <w:marBottom w:val="0"/>
          <w:divBdr>
            <w:top w:val="none" w:sz="0" w:space="0" w:color="auto"/>
            <w:left w:val="none" w:sz="0" w:space="0" w:color="auto"/>
            <w:bottom w:val="none" w:sz="0" w:space="0" w:color="auto"/>
            <w:right w:val="none" w:sz="0" w:space="0" w:color="auto"/>
          </w:divBdr>
        </w:div>
      </w:divsChild>
    </w:div>
    <w:div w:id="618680358">
      <w:marLeft w:val="0"/>
      <w:marRight w:val="0"/>
      <w:marTop w:val="0"/>
      <w:marBottom w:val="0"/>
      <w:divBdr>
        <w:top w:val="none" w:sz="0" w:space="0" w:color="auto"/>
        <w:left w:val="none" w:sz="0" w:space="0" w:color="auto"/>
        <w:bottom w:val="none" w:sz="0" w:space="0" w:color="auto"/>
        <w:right w:val="none" w:sz="0" w:space="0" w:color="auto"/>
      </w:divBdr>
      <w:divsChild>
        <w:div w:id="534389398">
          <w:marLeft w:val="0"/>
          <w:marRight w:val="0"/>
          <w:marTop w:val="0"/>
          <w:marBottom w:val="0"/>
          <w:divBdr>
            <w:top w:val="none" w:sz="0" w:space="0" w:color="auto"/>
            <w:left w:val="none" w:sz="0" w:space="0" w:color="auto"/>
            <w:bottom w:val="none" w:sz="0" w:space="0" w:color="auto"/>
            <w:right w:val="none" w:sz="0" w:space="0" w:color="auto"/>
          </w:divBdr>
        </w:div>
        <w:div w:id="1977249644">
          <w:marLeft w:val="0"/>
          <w:marRight w:val="0"/>
          <w:marTop w:val="0"/>
          <w:marBottom w:val="0"/>
          <w:divBdr>
            <w:top w:val="none" w:sz="0" w:space="0" w:color="auto"/>
            <w:left w:val="none" w:sz="0" w:space="0" w:color="auto"/>
            <w:bottom w:val="none" w:sz="0" w:space="0" w:color="auto"/>
            <w:right w:val="none" w:sz="0" w:space="0" w:color="auto"/>
          </w:divBdr>
        </w:div>
      </w:divsChild>
    </w:div>
    <w:div w:id="622074956">
      <w:marLeft w:val="0"/>
      <w:marRight w:val="0"/>
      <w:marTop w:val="0"/>
      <w:marBottom w:val="0"/>
      <w:divBdr>
        <w:top w:val="none" w:sz="0" w:space="0" w:color="auto"/>
        <w:left w:val="none" w:sz="0" w:space="0" w:color="auto"/>
        <w:bottom w:val="none" w:sz="0" w:space="0" w:color="auto"/>
        <w:right w:val="none" w:sz="0" w:space="0" w:color="auto"/>
      </w:divBdr>
    </w:div>
    <w:div w:id="626858493">
      <w:marLeft w:val="0"/>
      <w:marRight w:val="0"/>
      <w:marTop w:val="0"/>
      <w:marBottom w:val="0"/>
      <w:divBdr>
        <w:top w:val="none" w:sz="0" w:space="0" w:color="auto"/>
        <w:left w:val="none" w:sz="0" w:space="0" w:color="auto"/>
        <w:bottom w:val="none" w:sz="0" w:space="0" w:color="auto"/>
        <w:right w:val="none" w:sz="0" w:space="0" w:color="auto"/>
      </w:divBdr>
    </w:div>
    <w:div w:id="629282070">
      <w:marLeft w:val="0"/>
      <w:marRight w:val="0"/>
      <w:marTop w:val="0"/>
      <w:marBottom w:val="0"/>
      <w:divBdr>
        <w:top w:val="none" w:sz="0" w:space="0" w:color="auto"/>
        <w:left w:val="none" w:sz="0" w:space="0" w:color="auto"/>
        <w:bottom w:val="none" w:sz="0" w:space="0" w:color="auto"/>
        <w:right w:val="none" w:sz="0" w:space="0" w:color="auto"/>
      </w:divBdr>
    </w:div>
    <w:div w:id="638340253">
      <w:marLeft w:val="0"/>
      <w:marRight w:val="0"/>
      <w:marTop w:val="0"/>
      <w:marBottom w:val="0"/>
      <w:divBdr>
        <w:top w:val="none" w:sz="0" w:space="0" w:color="auto"/>
        <w:left w:val="none" w:sz="0" w:space="0" w:color="auto"/>
        <w:bottom w:val="none" w:sz="0" w:space="0" w:color="auto"/>
        <w:right w:val="none" w:sz="0" w:space="0" w:color="auto"/>
      </w:divBdr>
      <w:divsChild>
        <w:div w:id="2086027221">
          <w:marLeft w:val="0"/>
          <w:marRight w:val="0"/>
          <w:marTop w:val="0"/>
          <w:marBottom w:val="0"/>
          <w:divBdr>
            <w:top w:val="none" w:sz="0" w:space="0" w:color="auto"/>
            <w:left w:val="none" w:sz="0" w:space="0" w:color="auto"/>
            <w:bottom w:val="none" w:sz="0" w:space="0" w:color="auto"/>
            <w:right w:val="none" w:sz="0" w:space="0" w:color="auto"/>
          </w:divBdr>
        </w:div>
        <w:div w:id="2040080771">
          <w:marLeft w:val="0"/>
          <w:marRight w:val="0"/>
          <w:marTop w:val="0"/>
          <w:marBottom w:val="0"/>
          <w:divBdr>
            <w:top w:val="none" w:sz="0" w:space="0" w:color="auto"/>
            <w:left w:val="none" w:sz="0" w:space="0" w:color="auto"/>
            <w:bottom w:val="none" w:sz="0" w:space="0" w:color="auto"/>
            <w:right w:val="none" w:sz="0" w:space="0" w:color="auto"/>
          </w:divBdr>
        </w:div>
        <w:div w:id="896860263">
          <w:marLeft w:val="0"/>
          <w:marRight w:val="0"/>
          <w:marTop w:val="0"/>
          <w:marBottom w:val="0"/>
          <w:divBdr>
            <w:top w:val="none" w:sz="0" w:space="0" w:color="auto"/>
            <w:left w:val="none" w:sz="0" w:space="0" w:color="auto"/>
            <w:bottom w:val="none" w:sz="0" w:space="0" w:color="auto"/>
            <w:right w:val="none" w:sz="0" w:space="0" w:color="auto"/>
          </w:divBdr>
          <w:divsChild>
            <w:div w:id="560597407">
              <w:marLeft w:val="0"/>
              <w:marRight w:val="0"/>
              <w:marTop w:val="0"/>
              <w:marBottom w:val="0"/>
              <w:divBdr>
                <w:top w:val="none" w:sz="0" w:space="0" w:color="auto"/>
                <w:left w:val="none" w:sz="0" w:space="0" w:color="auto"/>
                <w:bottom w:val="none" w:sz="0" w:space="0" w:color="auto"/>
                <w:right w:val="none" w:sz="0" w:space="0" w:color="auto"/>
              </w:divBdr>
            </w:div>
          </w:divsChild>
        </w:div>
        <w:div w:id="1979411117">
          <w:marLeft w:val="0"/>
          <w:marRight w:val="0"/>
          <w:marTop w:val="0"/>
          <w:marBottom w:val="0"/>
          <w:divBdr>
            <w:top w:val="none" w:sz="0" w:space="0" w:color="auto"/>
            <w:left w:val="none" w:sz="0" w:space="0" w:color="auto"/>
            <w:bottom w:val="none" w:sz="0" w:space="0" w:color="auto"/>
            <w:right w:val="none" w:sz="0" w:space="0" w:color="auto"/>
          </w:divBdr>
        </w:div>
      </w:divsChild>
    </w:div>
    <w:div w:id="639579001">
      <w:marLeft w:val="0"/>
      <w:marRight w:val="0"/>
      <w:marTop w:val="0"/>
      <w:marBottom w:val="0"/>
      <w:divBdr>
        <w:top w:val="none" w:sz="0" w:space="0" w:color="auto"/>
        <w:left w:val="none" w:sz="0" w:space="0" w:color="auto"/>
        <w:bottom w:val="none" w:sz="0" w:space="0" w:color="auto"/>
        <w:right w:val="none" w:sz="0" w:space="0" w:color="auto"/>
      </w:divBdr>
      <w:divsChild>
        <w:div w:id="358749104">
          <w:marLeft w:val="0"/>
          <w:marRight w:val="0"/>
          <w:marTop w:val="0"/>
          <w:marBottom w:val="0"/>
          <w:divBdr>
            <w:top w:val="none" w:sz="0" w:space="0" w:color="auto"/>
            <w:left w:val="none" w:sz="0" w:space="0" w:color="auto"/>
            <w:bottom w:val="none" w:sz="0" w:space="0" w:color="auto"/>
            <w:right w:val="none" w:sz="0" w:space="0" w:color="auto"/>
          </w:divBdr>
        </w:div>
        <w:div w:id="1645351695">
          <w:marLeft w:val="0"/>
          <w:marRight w:val="0"/>
          <w:marTop w:val="0"/>
          <w:marBottom w:val="0"/>
          <w:divBdr>
            <w:top w:val="none" w:sz="0" w:space="0" w:color="auto"/>
            <w:left w:val="none" w:sz="0" w:space="0" w:color="auto"/>
            <w:bottom w:val="none" w:sz="0" w:space="0" w:color="auto"/>
            <w:right w:val="none" w:sz="0" w:space="0" w:color="auto"/>
          </w:divBdr>
        </w:div>
      </w:divsChild>
    </w:div>
    <w:div w:id="652376181">
      <w:marLeft w:val="0"/>
      <w:marRight w:val="0"/>
      <w:marTop w:val="0"/>
      <w:marBottom w:val="0"/>
      <w:divBdr>
        <w:top w:val="none" w:sz="0" w:space="0" w:color="auto"/>
        <w:left w:val="none" w:sz="0" w:space="0" w:color="auto"/>
        <w:bottom w:val="none" w:sz="0" w:space="0" w:color="auto"/>
        <w:right w:val="none" w:sz="0" w:space="0" w:color="auto"/>
      </w:divBdr>
    </w:div>
    <w:div w:id="669792461">
      <w:marLeft w:val="0"/>
      <w:marRight w:val="0"/>
      <w:marTop w:val="0"/>
      <w:marBottom w:val="0"/>
      <w:divBdr>
        <w:top w:val="none" w:sz="0" w:space="0" w:color="auto"/>
        <w:left w:val="none" w:sz="0" w:space="0" w:color="auto"/>
        <w:bottom w:val="none" w:sz="0" w:space="0" w:color="auto"/>
        <w:right w:val="none" w:sz="0" w:space="0" w:color="auto"/>
      </w:divBdr>
    </w:div>
    <w:div w:id="673068332">
      <w:marLeft w:val="0"/>
      <w:marRight w:val="0"/>
      <w:marTop w:val="0"/>
      <w:marBottom w:val="0"/>
      <w:divBdr>
        <w:top w:val="none" w:sz="0" w:space="0" w:color="auto"/>
        <w:left w:val="none" w:sz="0" w:space="0" w:color="auto"/>
        <w:bottom w:val="none" w:sz="0" w:space="0" w:color="auto"/>
        <w:right w:val="none" w:sz="0" w:space="0" w:color="auto"/>
      </w:divBdr>
      <w:divsChild>
        <w:div w:id="520164147">
          <w:marLeft w:val="0"/>
          <w:marRight w:val="0"/>
          <w:marTop w:val="0"/>
          <w:marBottom w:val="0"/>
          <w:divBdr>
            <w:top w:val="none" w:sz="0" w:space="0" w:color="auto"/>
            <w:left w:val="none" w:sz="0" w:space="0" w:color="auto"/>
            <w:bottom w:val="none" w:sz="0" w:space="0" w:color="auto"/>
            <w:right w:val="none" w:sz="0" w:space="0" w:color="auto"/>
          </w:divBdr>
        </w:div>
        <w:div w:id="252276034">
          <w:marLeft w:val="0"/>
          <w:marRight w:val="0"/>
          <w:marTop w:val="0"/>
          <w:marBottom w:val="0"/>
          <w:divBdr>
            <w:top w:val="none" w:sz="0" w:space="0" w:color="auto"/>
            <w:left w:val="none" w:sz="0" w:space="0" w:color="auto"/>
            <w:bottom w:val="none" w:sz="0" w:space="0" w:color="auto"/>
            <w:right w:val="none" w:sz="0" w:space="0" w:color="auto"/>
          </w:divBdr>
        </w:div>
      </w:divsChild>
    </w:div>
    <w:div w:id="680278402">
      <w:marLeft w:val="0"/>
      <w:marRight w:val="0"/>
      <w:marTop w:val="0"/>
      <w:marBottom w:val="0"/>
      <w:divBdr>
        <w:top w:val="none" w:sz="0" w:space="0" w:color="auto"/>
        <w:left w:val="none" w:sz="0" w:space="0" w:color="auto"/>
        <w:bottom w:val="none" w:sz="0" w:space="0" w:color="auto"/>
        <w:right w:val="none" w:sz="0" w:space="0" w:color="auto"/>
      </w:divBdr>
    </w:div>
    <w:div w:id="706023336">
      <w:marLeft w:val="0"/>
      <w:marRight w:val="0"/>
      <w:marTop w:val="0"/>
      <w:marBottom w:val="0"/>
      <w:divBdr>
        <w:top w:val="none" w:sz="0" w:space="0" w:color="auto"/>
        <w:left w:val="none" w:sz="0" w:space="0" w:color="auto"/>
        <w:bottom w:val="none" w:sz="0" w:space="0" w:color="auto"/>
        <w:right w:val="none" w:sz="0" w:space="0" w:color="auto"/>
      </w:divBdr>
      <w:divsChild>
        <w:div w:id="778379529">
          <w:marLeft w:val="0"/>
          <w:marRight w:val="0"/>
          <w:marTop w:val="0"/>
          <w:marBottom w:val="0"/>
          <w:divBdr>
            <w:top w:val="none" w:sz="0" w:space="0" w:color="auto"/>
            <w:left w:val="none" w:sz="0" w:space="0" w:color="auto"/>
            <w:bottom w:val="none" w:sz="0" w:space="0" w:color="auto"/>
            <w:right w:val="none" w:sz="0" w:space="0" w:color="auto"/>
          </w:divBdr>
        </w:div>
        <w:div w:id="1501504530">
          <w:marLeft w:val="0"/>
          <w:marRight w:val="0"/>
          <w:marTop w:val="0"/>
          <w:marBottom w:val="0"/>
          <w:divBdr>
            <w:top w:val="none" w:sz="0" w:space="0" w:color="auto"/>
            <w:left w:val="none" w:sz="0" w:space="0" w:color="auto"/>
            <w:bottom w:val="none" w:sz="0" w:space="0" w:color="auto"/>
            <w:right w:val="none" w:sz="0" w:space="0" w:color="auto"/>
          </w:divBdr>
        </w:div>
        <w:div w:id="476528946">
          <w:marLeft w:val="0"/>
          <w:marRight w:val="0"/>
          <w:marTop w:val="0"/>
          <w:marBottom w:val="0"/>
          <w:divBdr>
            <w:top w:val="none" w:sz="0" w:space="0" w:color="auto"/>
            <w:left w:val="none" w:sz="0" w:space="0" w:color="auto"/>
            <w:bottom w:val="none" w:sz="0" w:space="0" w:color="auto"/>
            <w:right w:val="none" w:sz="0" w:space="0" w:color="auto"/>
          </w:divBdr>
          <w:divsChild>
            <w:div w:id="1626959704">
              <w:marLeft w:val="0"/>
              <w:marRight w:val="0"/>
              <w:marTop w:val="0"/>
              <w:marBottom w:val="0"/>
              <w:divBdr>
                <w:top w:val="none" w:sz="0" w:space="0" w:color="auto"/>
                <w:left w:val="none" w:sz="0" w:space="0" w:color="auto"/>
                <w:bottom w:val="none" w:sz="0" w:space="0" w:color="auto"/>
                <w:right w:val="none" w:sz="0" w:space="0" w:color="auto"/>
              </w:divBdr>
            </w:div>
          </w:divsChild>
        </w:div>
        <w:div w:id="711734517">
          <w:marLeft w:val="0"/>
          <w:marRight w:val="0"/>
          <w:marTop w:val="0"/>
          <w:marBottom w:val="0"/>
          <w:divBdr>
            <w:top w:val="none" w:sz="0" w:space="0" w:color="auto"/>
            <w:left w:val="none" w:sz="0" w:space="0" w:color="auto"/>
            <w:bottom w:val="none" w:sz="0" w:space="0" w:color="auto"/>
            <w:right w:val="none" w:sz="0" w:space="0" w:color="auto"/>
          </w:divBdr>
        </w:div>
      </w:divsChild>
    </w:div>
    <w:div w:id="707534373">
      <w:marLeft w:val="0"/>
      <w:marRight w:val="0"/>
      <w:marTop w:val="0"/>
      <w:marBottom w:val="0"/>
      <w:divBdr>
        <w:top w:val="none" w:sz="0" w:space="0" w:color="auto"/>
        <w:left w:val="none" w:sz="0" w:space="0" w:color="auto"/>
        <w:bottom w:val="none" w:sz="0" w:space="0" w:color="auto"/>
        <w:right w:val="none" w:sz="0" w:space="0" w:color="auto"/>
      </w:divBdr>
    </w:div>
    <w:div w:id="723799504">
      <w:marLeft w:val="0"/>
      <w:marRight w:val="0"/>
      <w:marTop w:val="0"/>
      <w:marBottom w:val="0"/>
      <w:divBdr>
        <w:top w:val="none" w:sz="0" w:space="0" w:color="auto"/>
        <w:left w:val="none" w:sz="0" w:space="0" w:color="auto"/>
        <w:bottom w:val="none" w:sz="0" w:space="0" w:color="auto"/>
        <w:right w:val="none" w:sz="0" w:space="0" w:color="auto"/>
      </w:divBdr>
      <w:divsChild>
        <w:div w:id="145703588">
          <w:marLeft w:val="0"/>
          <w:marRight w:val="0"/>
          <w:marTop w:val="0"/>
          <w:marBottom w:val="0"/>
          <w:divBdr>
            <w:top w:val="none" w:sz="0" w:space="0" w:color="auto"/>
            <w:left w:val="none" w:sz="0" w:space="0" w:color="auto"/>
            <w:bottom w:val="none" w:sz="0" w:space="0" w:color="auto"/>
            <w:right w:val="none" w:sz="0" w:space="0" w:color="auto"/>
          </w:divBdr>
        </w:div>
      </w:divsChild>
    </w:div>
    <w:div w:id="729617213">
      <w:marLeft w:val="0"/>
      <w:marRight w:val="0"/>
      <w:marTop w:val="0"/>
      <w:marBottom w:val="0"/>
      <w:divBdr>
        <w:top w:val="none" w:sz="0" w:space="0" w:color="auto"/>
        <w:left w:val="none" w:sz="0" w:space="0" w:color="auto"/>
        <w:bottom w:val="none" w:sz="0" w:space="0" w:color="auto"/>
        <w:right w:val="none" w:sz="0" w:space="0" w:color="auto"/>
      </w:divBdr>
    </w:div>
    <w:div w:id="743340287">
      <w:marLeft w:val="0"/>
      <w:marRight w:val="0"/>
      <w:marTop w:val="0"/>
      <w:marBottom w:val="0"/>
      <w:divBdr>
        <w:top w:val="none" w:sz="0" w:space="0" w:color="auto"/>
        <w:left w:val="none" w:sz="0" w:space="0" w:color="auto"/>
        <w:bottom w:val="none" w:sz="0" w:space="0" w:color="auto"/>
        <w:right w:val="none" w:sz="0" w:space="0" w:color="auto"/>
      </w:divBdr>
      <w:divsChild>
        <w:div w:id="843282206">
          <w:marLeft w:val="0"/>
          <w:marRight w:val="0"/>
          <w:marTop w:val="0"/>
          <w:marBottom w:val="0"/>
          <w:divBdr>
            <w:top w:val="none" w:sz="0" w:space="0" w:color="auto"/>
            <w:left w:val="none" w:sz="0" w:space="0" w:color="auto"/>
            <w:bottom w:val="none" w:sz="0" w:space="0" w:color="auto"/>
            <w:right w:val="none" w:sz="0" w:space="0" w:color="auto"/>
          </w:divBdr>
        </w:div>
        <w:div w:id="1868761370">
          <w:marLeft w:val="0"/>
          <w:marRight w:val="0"/>
          <w:marTop w:val="0"/>
          <w:marBottom w:val="0"/>
          <w:divBdr>
            <w:top w:val="none" w:sz="0" w:space="0" w:color="auto"/>
            <w:left w:val="none" w:sz="0" w:space="0" w:color="auto"/>
            <w:bottom w:val="none" w:sz="0" w:space="0" w:color="auto"/>
            <w:right w:val="none" w:sz="0" w:space="0" w:color="auto"/>
          </w:divBdr>
        </w:div>
      </w:divsChild>
    </w:div>
    <w:div w:id="748160153">
      <w:marLeft w:val="0"/>
      <w:marRight w:val="0"/>
      <w:marTop w:val="0"/>
      <w:marBottom w:val="0"/>
      <w:divBdr>
        <w:top w:val="none" w:sz="0" w:space="0" w:color="auto"/>
        <w:left w:val="none" w:sz="0" w:space="0" w:color="auto"/>
        <w:bottom w:val="none" w:sz="0" w:space="0" w:color="auto"/>
        <w:right w:val="none" w:sz="0" w:space="0" w:color="auto"/>
      </w:divBdr>
      <w:divsChild>
        <w:div w:id="788620336">
          <w:marLeft w:val="0"/>
          <w:marRight w:val="0"/>
          <w:marTop w:val="0"/>
          <w:marBottom w:val="0"/>
          <w:divBdr>
            <w:top w:val="none" w:sz="0" w:space="0" w:color="auto"/>
            <w:left w:val="none" w:sz="0" w:space="0" w:color="auto"/>
            <w:bottom w:val="none" w:sz="0" w:space="0" w:color="auto"/>
            <w:right w:val="none" w:sz="0" w:space="0" w:color="auto"/>
          </w:divBdr>
        </w:div>
      </w:divsChild>
    </w:div>
    <w:div w:id="769665660">
      <w:marLeft w:val="0"/>
      <w:marRight w:val="0"/>
      <w:marTop w:val="0"/>
      <w:marBottom w:val="0"/>
      <w:divBdr>
        <w:top w:val="none" w:sz="0" w:space="0" w:color="auto"/>
        <w:left w:val="none" w:sz="0" w:space="0" w:color="auto"/>
        <w:bottom w:val="none" w:sz="0" w:space="0" w:color="auto"/>
        <w:right w:val="none" w:sz="0" w:space="0" w:color="auto"/>
      </w:divBdr>
      <w:divsChild>
        <w:div w:id="1231113584">
          <w:marLeft w:val="0"/>
          <w:marRight w:val="0"/>
          <w:marTop w:val="0"/>
          <w:marBottom w:val="0"/>
          <w:divBdr>
            <w:top w:val="none" w:sz="0" w:space="0" w:color="auto"/>
            <w:left w:val="none" w:sz="0" w:space="0" w:color="auto"/>
            <w:bottom w:val="none" w:sz="0" w:space="0" w:color="auto"/>
            <w:right w:val="none" w:sz="0" w:space="0" w:color="auto"/>
          </w:divBdr>
        </w:div>
        <w:div w:id="1494638387">
          <w:marLeft w:val="0"/>
          <w:marRight w:val="0"/>
          <w:marTop w:val="0"/>
          <w:marBottom w:val="0"/>
          <w:divBdr>
            <w:top w:val="none" w:sz="0" w:space="0" w:color="auto"/>
            <w:left w:val="none" w:sz="0" w:space="0" w:color="auto"/>
            <w:bottom w:val="none" w:sz="0" w:space="0" w:color="auto"/>
            <w:right w:val="none" w:sz="0" w:space="0" w:color="auto"/>
          </w:divBdr>
        </w:div>
        <w:div w:id="667830028">
          <w:marLeft w:val="0"/>
          <w:marRight w:val="0"/>
          <w:marTop w:val="0"/>
          <w:marBottom w:val="0"/>
          <w:divBdr>
            <w:top w:val="none" w:sz="0" w:space="0" w:color="auto"/>
            <w:left w:val="none" w:sz="0" w:space="0" w:color="auto"/>
            <w:bottom w:val="none" w:sz="0" w:space="0" w:color="auto"/>
            <w:right w:val="none" w:sz="0" w:space="0" w:color="auto"/>
          </w:divBdr>
          <w:divsChild>
            <w:div w:id="1092358009">
              <w:marLeft w:val="0"/>
              <w:marRight w:val="0"/>
              <w:marTop w:val="0"/>
              <w:marBottom w:val="0"/>
              <w:divBdr>
                <w:top w:val="none" w:sz="0" w:space="0" w:color="auto"/>
                <w:left w:val="none" w:sz="0" w:space="0" w:color="auto"/>
                <w:bottom w:val="none" w:sz="0" w:space="0" w:color="auto"/>
                <w:right w:val="none" w:sz="0" w:space="0" w:color="auto"/>
              </w:divBdr>
            </w:div>
          </w:divsChild>
        </w:div>
        <w:div w:id="1033073413">
          <w:marLeft w:val="0"/>
          <w:marRight w:val="0"/>
          <w:marTop w:val="0"/>
          <w:marBottom w:val="0"/>
          <w:divBdr>
            <w:top w:val="none" w:sz="0" w:space="0" w:color="auto"/>
            <w:left w:val="none" w:sz="0" w:space="0" w:color="auto"/>
            <w:bottom w:val="none" w:sz="0" w:space="0" w:color="auto"/>
            <w:right w:val="none" w:sz="0" w:space="0" w:color="auto"/>
          </w:divBdr>
        </w:div>
      </w:divsChild>
    </w:div>
    <w:div w:id="771391099">
      <w:marLeft w:val="0"/>
      <w:marRight w:val="0"/>
      <w:marTop w:val="0"/>
      <w:marBottom w:val="0"/>
      <w:divBdr>
        <w:top w:val="none" w:sz="0" w:space="0" w:color="auto"/>
        <w:left w:val="none" w:sz="0" w:space="0" w:color="auto"/>
        <w:bottom w:val="none" w:sz="0" w:space="0" w:color="auto"/>
        <w:right w:val="none" w:sz="0" w:space="0" w:color="auto"/>
      </w:divBdr>
    </w:div>
    <w:div w:id="783496514">
      <w:marLeft w:val="0"/>
      <w:marRight w:val="0"/>
      <w:marTop w:val="0"/>
      <w:marBottom w:val="0"/>
      <w:divBdr>
        <w:top w:val="none" w:sz="0" w:space="0" w:color="auto"/>
        <w:left w:val="none" w:sz="0" w:space="0" w:color="auto"/>
        <w:bottom w:val="none" w:sz="0" w:space="0" w:color="auto"/>
        <w:right w:val="none" w:sz="0" w:space="0" w:color="auto"/>
      </w:divBdr>
      <w:divsChild>
        <w:div w:id="1598293851">
          <w:marLeft w:val="0"/>
          <w:marRight w:val="0"/>
          <w:marTop w:val="0"/>
          <w:marBottom w:val="0"/>
          <w:divBdr>
            <w:top w:val="none" w:sz="0" w:space="0" w:color="auto"/>
            <w:left w:val="none" w:sz="0" w:space="0" w:color="auto"/>
            <w:bottom w:val="none" w:sz="0" w:space="0" w:color="auto"/>
            <w:right w:val="none" w:sz="0" w:space="0" w:color="auto"/>
          </w:divBdr>
        </w:div>
        <w:div w:id="920333474">
          <w:marLeft w:val="0"/>
          <w:marRight w:val="0"/>
          <w:marTop w:val="0"/>
          <w:marBottom w:val="0"/>
          <w:divBdr>
            <w:top w:val="none" w:sz="0" w:space="0" w:color="auto"/>
            <w:left w:val="none" w:sz="0" w:space="0" w:color="auto"/>
            <w:bottom w:val="none" w:sz="0" w:space="0" w:color="auto"/>
            <w:right w:val="none" w:sz="0" w:space="0" w:color="auto"/>
          </w:divBdr>
        </w:div>
        <w:div w:id="1117724319">
          <w:marLeft w:val="0"/>
          <w:marRight w:val="0"/>
          <w:marTop w:val="0"/>
          <w:marBottom w:val="0"/>
          <w:divBdr>
            <w:top w:val="none" w:sz="0" w:space="0" w:color="auto"/>
            <w:left w:val="none" w:sz="0" w:space="0" w:color="auto"/>
            <w:bottom w:val="none" w:sz="0" w:space="0" w:color="auto"/>
            <w:right w:val="none" w:sz="0" w:space="0" w:color="auto"/>
          </w:divBdr>
          <w:divsChild>
            <w:div w:id="1516307805">
              <w:marLeft w:val="0"/>
              <w:marRight w:val="0"/>
              <w:marTop w:val="0"/>
              <w:marBottom w:val="0"/>
              <w:divBdr>
                <w:top w:val="none" w:sz="0" w:space="0" w:color="auto"/>
                <w:left w:val="none" w:sz="0" w:space="0" w:color="auto"/>
                <w:bottom w:val="none" w:sz="0" w:space="0" w:color="auto"/>
                <w:right w:val="none" w:sz="0" w:space="0" w:color="auto"/>
              </w:divBdr>
            </w:div>
          </w:divsChild>
        </w:div>
        <w:div w:id="934940901">
          <w:marLeft w:val="0"/>
          <w:marRight w:val="0"/>
          <w:marTop w:val="0"/>
          <w:marBottom w:val="0"/>
          <w:divBdr>
            <w:top w:val="none" w:sz="0" w:space="0" w:color="auto"/>
            <w:left w:val="none" w:sz="0" w:space="0" w:color="auto"/>
            <w:bottom w:val="none" w:sz="0" w:space="0" w:color="auto"/>
            <w:right w:val="none" w:sz="0" w:space="0" w:color="auto"/>
          </w:divBdr>
        </w:div>
      </w:divsChild>
    </w:div>
    <w:div w:id="787774403">
      <w:marLeft w:val="0"/>
      <w:marRight w:val="0"/>
      <w:marTop w:val="0"/>
      <w:marBottom w:val="0"/>
      <w:divBdr>
        <w:top w:val="none" w:sz="0" w:space="0" w:color="auto"/>
        <w:left w:val="none" w:sz="0" w:space="0" w:color="auto"/>
        <w:bottom w:val="none" w:sz="0" w:space="0" w:color="auto"/>
        <w:right w:val="none" w:sz="0" w:space="0" w:color="auto"/>
      </w:divBdr>
      <w:divsChild>
        <w:div w:id="386343793">
          <w:marLeft w:val="0"/>
          <w:marRight w:val="0"/>
          <w:marTop w:val="0"/>
          <w:marBottom w:val="0"/>
          <w:divBdr>
            <w:top w:val="none" w:sz="0" w:space="0" w:color="auto"/>
            <w:left w:val="none" w:sz="0" w:space="0" w:color="auto"/>
            <w:bottom w:val="none" w:sz="0" w:space="0" w:color="auto"/>
            <w:right w:val="none" w:sz="0" w:space="0" w:color="auto"/>
          </w:divBdr>
        </w:div>
        <w:div w:id="664019825">
          <w:marLeft w:val="0"/>
          <w:marRight w:val="0"/>
          <w:marTop w:val="0"/>
          <w:marBottom w:val="0"/>
          <w:divBdr>
            <w:top w:val="none" w:sz="0" w:space="0" w:color="auto"/>
            <w:left w:val="none" w:sz="0" w:space="0" w:color="auto"/>
            <w:bottom w:val="none" w:sz="0" w:space="0" w:color="auto"/>
            <w:right w:val="none" w:sz="0" w:space="0" w:color="auto"/>
          </w:divBdr>
        </w:div>
        <w:div w:id="2074504932">
          <w:marLeft w:val="0"/>
          <w:marRight w:val="0"/>
          <w:marTop w:val="0"/>
          <w:marBottom w:val="0"/>
          <w:divBdr>
            <w:top w:val="none" w:sz="0" w:space="0" w:color="auto"/>
            <w:left w:val="none" w:sz="0" w:space="0" w:color="auto"/>
            <w:bottom w:val="none" w:sz="0" w:space="0" w:color="auto"/>
            <w:right w:val="none" w:sz="0" w:space="0" w:color="auto"/>
          </w:divBdr>
          <w:divsChild>
            <w:div w:id="849952979">
              <w:marLeft w:val="0"/>
              <w:marRight w:val="0"/>
              <w:marTop w:val="0"/>
              <w:marBottom w:val="0"/>
              <w:divBdr>
                <w:top w:val="none" w:sz="0" w:space="0" w:color="auto"/>
                <w:left w:val="none" w:sz="0" w:space="0" w:color="auto"/>
                <w:bottom w:val="none" w:sz="0" w:space="0" w:color="auto"/>
                <w:right w:val="none" w:sz="0" w:space="0" w:color="auto"/>
              </w:divBdr>
            </w:div>
          </w:divsChild>
        </w:div>
        <w:div w:id="994140595">
          <w:marLeft w:val="0"/>
          <w:marRight w:val="0"/>
          <w:marTop w:val="0"/>
          <w:marBottom w:val="0"/>
          <w:divBdr>
            <w:top w:val="none" w:sz="0" w:space="0" w:color="auto"/>
            <w:left w:val="none" w:sz="0" w:space="0" w:color="auto"/>
            <w:bottom w:val="none" w:sz="0" w:space="0" w:color="auto"/>
            <w:right w:val="none" w:sz="0" w:space="0" w:color="auto"/>
          </w:divBdr>
        </w:div>
      </w:divsChild>
    </w:div>
    <w:div w:id="789125731">
      <w:marLeft w:val="0"/>
      <w:marRight w:val="0"/>
      <w:marTop w:val="0"/>
      <w:marBottom w:val="0"/>
      <w:divBdr>
        <w:top w:val="none" w:sz="0" w:space="0" w:color="auto"/>
        <w:left w:val="none" w:sz="0" w:space="0" w:color="auto"/>
        <w:bottom w:val="none" w:sz="0" w:space="0" w:color="auto"/>
        <w:right w:val="none" w:sz="0" w:space="0" w:color="auto"/>
      </w:divBdr>
      <w:divsChild>
        <w:div w:id="1076052060">
          <w:marLeft w:val="0"/>
          <w:marRight w:val="0"/>
          <w:marTop w:val="0"/>
          <w:marBottom w:val="0"/>
          <w:divBdr>
            <w:top w:val="none" w:sz="0" w:space="0" w:color="auto"/>
            <w:left w:val="none" w:sz="0" w:space="0" w:color="auto"/>
            <w:bottom w:val="none" w:sz="0" w:space="0" w:color="auto"/>
            <w:right w:val="none" w:sz="0" w:space="0" w:color="auto"/>
          </w:divBdr>
        </w:div>
        <w:div w:id="641694094">
          <w:marLeft w:val="0"/>
          <w:marRight w:val="0"/>
          <w:marTop w:val="0"/>
          <w:marBottom w:val="0"/>
          <w:divBdr>
            <w:top w:val="none" w:sz="0" w:space="0" w:color="auto"/>
            <w:left w:val="none" w:sz="0" w:space="0" w:color="auto"/>
            <w:bottom w:val="none" w:sz="0" w:space="0" w:color="auto"/>
            <w:right w:val="none" w:sz="0" w:space="0" w:color="auto"/>
          </w:divBdr>
        </w:div>
        <w:div w:id="271086990">
          <w:marLeft w:val="0"/>
          <w:marRight w:val="0"/>
          <w:marTop w:val="0"/>
          <w:marBottom w:val="0"/>
          <w:divBdr>
            <w:top w:val="none" w:sz="0" w:space="0" w:color="auto"/>
            <w:left w:val="none" w:sz="0" w:space="0" w:color="auto"/>
            <w:bottom w:val="none" w:sz="0" w:space="0" w:color="auto"/>
            <w:right w:val="none" w:sz="0" w:space="0" w:color="auto"/>
          </w:divBdr>
          <w:divsChild>
            <w:div w:id="2009794607">
              <w:marLeft w:val="0"/>
              <w:marRight w:val="0"/>
              <w:marTop w:val="0"/>
              <w:marBottom w:val="0"/>
              <w:divBdr>
                <w:top w:val="none" w:sz="0" w:space="0" w:color="auto"/>
                <w:left w:val="none" w:sz="0" w:space="0" w:color="auto"/>
                <w:bottom w:val="none" w:sz="0" w:space="0" w:color="auto"/>
                <w:right w:val="none" w:sz="0" w:space="0" w:color="auto"/>
              </w:divBdr>
            </w:div>
          </w:divsChild>
        </w:div>
        <w:div w:id="2029789404">
          <w:marLeft w:val="0"/>
          <w:marRight w:val="0"/>
          <w:marTop w:val="0"/>
          <w:marBottom w:val="0"/>
          <w:divBdr>
            <w:top w:val="none" w:sz="0" w:space="0" w:color="auto"/>
            <w:left w:val="none" w:sz="0" w:space="0" w:color="auto"/>
            <w:bottom w:val="none" w:sz="0" w:space="0" w:color="auto"/>
            <w:right w:val="none" w:sz="0" w:space="0" w:color="auto"/>
          </w:divBdr>
        </w:div>
      </w:divsChild>
    </w:div>
    <w:div w:id="808089143">
      <w:marLeft w:val="0"/>
      <w:marRight w:val="0"/>
      <w:marTop w:val="0"/>
      <w:marBottom w:val="0"/>
      <w:divBdr>
        <w:top w:val="none" w:sz="0" w:space="0" w:color="auto"/>
        <w:left w:val="none" w:sz="0" w:space="0" w:color="auto"/>
        <w:bottom w:val="none" w:sz="0" w:space="0" w:color="auto"/>
        <w:right w:val="none" w:sz="0" w:space="0" w:color="auto"/>
      </w:divBdr>
    </w:div>
    <w:div w:id="817921446">
      <w:marLeft w:val="0"/>
      <w:marRight w:val="0"/>
      <w:marTop w:val="0"/>
      <w:marBottom w:val="0"/>
      <w:divBdr>
        <w:top w:val="none" w:sz="0" w:space="0" w:color="auto"/>
        <w:left w:val="none" w:sz="0" w:space="0" w:color="auto"/>
        <w:bottom w:val="none" w:sz="0" w:space="0" w:color="auto"/>
        <w:right w:val="none" w:sz="0" w:space="0" w:color="auto"/>
      </w:divBdr>
      <w:divsChild>
        <w:div w:id="654532560">
          <w:marLeft w:val="0"/>
          <w:marRight w:val="0"/>
          <w:marTop w:val="0"/>
          <w:marBottom w:val="0"/>
          <w:divBdr>
            <w:top w:val="none" w:sz="0" w:space="0" w:color="auto"/>
            <w:left w:val="none" w:sz="0" w:space="0" w:color="auto"/>
            <w:bottom w:val="none" w:sz="0" w:space="0" w:color="auto"/>
            <w:right w:val="none" w:sz="0" w:space="0" w:color="auto"/>
          </w:divBdr>
        </w:div>
        <w:div w:id="1166439243">
          <w:marLeft w:val="0"/>
          <w:marRight w:val="0"/>
          <w:marTop w:val="0"/>
          <w:marBottom w:val="0"/>
          <w:divBdr>
            <w:top w:val="none" w:sz="0" w:space="0" w:color="auto"/>
            <w:left w:val="none" w:sz="0" w:space="0" w:color="auto"/>
            <w:bottom w:val="none" w:sz="0" w:space="0" w:color="auto"/>
            <w:right w:val="none" w:sz="0" w:space="0" w:color="auto"/>
          </w:divBdr>
        </w:div>
      </w:divsChild>
    </w:div>
    <w:div w:id="824122837">
      <w:marLeft w:val="0"/>
      <w:marRight w:val="0"/>
      <w:marTop w:val="0"/>
      <w:marBottom w:val="0"/>
      <w:divBdr>
        <w:top w:val="none" w:sz="0" w:space="0" w:color="auto"/>
        <w:left w:val="none" w:sz="0" w:space="0" w:color="auto"/>
        <w:bottom w:val="none" w:sz="0" w:space="0" w:color="auto"/>
        <w:right w:val="none" w:sz="0" w:space="0" w:color="auto"/>
      </w:divBdr>
      <w:divsChild>
        <w:div w:id="1715078457">
          <w:marLeft w:val="0"/>
          <w:marRight w:val="0"/>
          <w:marTop w:val="0"/>
          <w:marBottom w:val="0"/>
          <w:divBdr>
            <w:top w:val="none" w:sz="0" w:space="0" w:color="auto"/>
            <w:left w:val="none" w:sz="0" w:space="0" w:color="auto"/>
            <w:bottom w:val="none" w:sz="0" w:space="0" w:color="auto"/>
            <w:right w:val="none" w:sz="0" w:space="0" w:color="auto"/>
          </w:divBdr>
        </w:div>
        <w:div w:id="1629623546">
          <w:marLeft w:val="0"/>
          <w:marRight w:val="0"/>
          <w:marTop w:val="0"/>
          <w:marBottom w:val="0"/>
          <w:divBdr>
            <w:top w:val="none" w:sz="0" w:space="0" w:color="auto"/>
            <w:left w:val="none" w:sz="0" w:space="0" w:color="auto"/>
            <w:bottom w:val="none" w:sz="0" w:space="0" w:color="auto"/>
            <w:right w:val="none" w:sz="0" w:space="0" w:color="auto"/>
          </w:divBdr>
        </w:div>
        <w:div w:id="928855671">
          <w:marLeft w:val="0"/>
          <w:marRight w:val="0"/>
          <w:marTop w:val="0"/>
          <w:marBottom w:val="0"/>
          <w:divBdr>
            <w:top w:val="none" w:sz="0" w:space="0" w:color="auto"/>
            <w:left w:val="none" w:sz="0" w:space="0" w:color="auto"/>
            <w:bottom w:val="none" w:sz="0" w:space="0" w:color="auto"/>
            <w:right w:val="none" w:sz="0" w:space="0" w:color="auto"/>
          </w:divBdr>
          <w:divsChild>
            <w:div w:id="1249121336">
              <w:marLeft w:val="0"/>
              <w:marRight w:val="0"/>
              <w:marTop w:val="0"/>
              <w:marBottom w:val="0"/>
              <w:divBdr>
                <w:top w:val="none" w:sz="0" w:space="0" w:color="auto"/>
                <w:left w:val="none" w:sz="0" w:space="0" w:color="auto"/>
                <w:bottom w:val="none" w:sz="0" w:space="0" w:color="auto"/>
                <w:right w:val="none" w:sz="0" w:space="0" w:color="auto"/>
              </w:divBdr>
            </w:div>
          </w:divsChild>
        </w:div>
        <w:div w:id="2139643198">
          <w:marLeft w:val="0"/>
          <w:marRight w:val="0"/>
          <w:marTop w:val="0"/>
          <w:marBottom w:val="0"/>
          <w:divBdr>
            <w:top w:val="none" w:sz="0" w:space="0" w:color="auto"/>
            <w:left w:val="none" w:sz="0" w:space="0" w:color="auto"/>
            <w:bottom w:val="none" w:sz="0" w:space="0" w:color="auto"/>
            <w:right w:val="none" w:sz="0" w:space="0" w:color="auto"/>
          </w:divBdr>
        </w:div>
      </w:divsChild>
    </w:div>
    <w:div w:id="848059107">
      <w:marLeft w:val="0"/>
      <w:marRight w:val="0"/>
      <w:marTop w:val="0"/>
      <w:marBottom w:val="0"/>
      <w:divBdr>
        <w:top w:val="none" w:sz="0" w:space="0" w:color="auto"/>
        <w:left w:val="none" w:sz="0" w:space="0" w:color="auto"/>
        <w:bottom w:val="none" w:sz="0" w:space="0" w:color="auto"/>
        <w:right w:val="none" w:sz="0" w:space="0" w:color="auto"/>
      </w:divBdr>
      <w:divsChild>
        <w:div w:id="360207467">
          <w:marLeft w:val="0"/>
          <w:marRight w:val="0"/>
          <w:marTop w:val="0"/>
          <w:marBottom w:val="0"/>
          <w:divBdr>
            <w:top w:val="none" w:sz="0" w:space="0" w:color="auto"/>
            <w:left w:val="none" w:sz="0" w:space="0" w:color="auto"/>
            <w:bottom w:val="none" w:sz="0" w:space="0" w:color="auto"/>
            <w:right w:val="none" w:sz="0" w:space="0" w:color="auto"/>
          </w:divBdr>
          <w:divsChild>
            <w:div w:id="14680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67">
      <w:marLeft w:val="0"/>
      <w:marRight w:val="0"/>
      <w:marTop w:val="0"/>
      <w:marBottom w:val="0"/>
      <w:divBdr>
        <w:top w:val="none" w:sz="0" w:space="0" w:color="auto"/>
        <w:left w:val="none" w:sz="0" w:space="0" w:color="auto"/>
        <w:bottom w:val="none" w:sz="0" w:space="0" w:color="auto"/>
        <w:right w:val="none" w:sz="0" w:space="0" w:color="auto"/>
      </w:divBdr>
      <w:divsChild>
        <w:div w:id="1466695816">
          <w:marLeft w:val="0"/>
          <w:marRight w:val="0"/>
          <w:marTop w:val="0"/>
          <w:marBottom w:val="0"/>
          <w:divBdr>
            <w:top w:val="none" w:sz="0" w:space="0" w:color="auto"/>
            <w:left w:val="none" w:sz="0" w:space="0" w:color="auto"/>
            <w:bottom w:val="none" w:sz="0" w:space="0" w:color="auto"/>
            <w:right w:val="none" w:sz="0" w:space="0" w:color="auto"/>
          </w:divBdr>
        </w:div>
        <w:div w:id="1708093566">
          <w:marLeft w:val="0"/>
          <w:marRight w:val="0"/>
          <w:marTop w:val="0"/>
          <w:marBottom w:val="0"/>
          <w:divBdr>
            <w:top w:val="none" w:sz="0" w:space="0" w:color="auto"/>
            <w:left w:val="none" w:sz="0" w:space="0" w:color="auto"/>
            <w:bottom w:val="none" w:sz="0" w:space="0" w:color="auto"/>
            <w:right w:val="none" w:sz="0" w:space="0" w:color="auto"/>
          </w:divBdr>
        </w:div>
      </w:divsChild>
    </w:div>
    <w:div w:id="851143548">
      <w:marLeft w:val="0"/>
      <w:marRight w:val="0"/>
      <w:marTop w:val="0"/>
      <w:marBottom w:val="0"/>
      <w:divBdr>
        <w:top w:val="none" w:sz="0" w:space="0" w:color="auto"/>
        <w:left w:val="none" w:sz="0" w:space="0" w:color="auto"/>
        <w:bottom w:val="none" w:sz="0" w:space="0" w:color="auto"/>
        <w:right w:val="none" w:sz="0" w:space="0" w:color="auto"/>
      </w:divBdr>
      <w:divsChild>
        <w:div w:id="433328534">
          <w:marLeft w:val="0"/>
          <w:marRight w:val="0"/>
          <w:marTop w:val="0"/>
          <w:marBottom w:val="0"/>
          <w:divBdr>
            <w:top w:val="none" w:sz="0" w:space="0" w:color="auto"/>
            <w:left w:val="none" w:sz="0" w:space="0" w:color="auto"/>
            <w:bottom w:val="none" w:sz="0" w:space="0" w:color="auto"/>
            <w:right w:val="none" w:sz="0" w:space="0" w:color="auto"/>
          </w:divBdr>
        </w:div>
        <w:div w:id="794715428">
          <w:marLeft w:val="0"/>
          <w:marRight w:val="0"/>
          <w:marTop w:val="0"/>
          <w:marBottom w:val="0"/>
          <w:divBdr>
            <w:top w:val="none" w:sz="0" w:space="0" w:color="auto"/>
            <w:left w:val="none" w:sz="0" w:space="0" w:color="auto"/>
            <w:bottom w:val="none" w:sz="0" w:space="0" w:color="auto"/>
            <w:right w:val="none" w:sz="0" w:space="0" w:color="auto"/>
          </w:divBdr>
        </w:div>
      </w:divsChild>
    </w:div>
    <w:div w:id="853348625">
      <w:marLeft w:val="0"/>
      <w:marRight w:val="0"/>
      <w:marTop w:val="0"/>
      <w:marBottom w:val="0"/>
      <w:divBdr>
        <w:top w:val="none" w:sz="0" w:space="0" w:color="auto"/>
        <w:left w:val="none" w:sz="0" w:space="0" w:color="auto"/>
        <w:bottom w:val="none" w:sz="0" w:space="0" w:color="auto"/>
        <w:right w:val="none" w:sz="0" w:space="0" w:color="auto"/>
      </w:divBdr>
    </w:div>
    <w:div w:id="862204609">
      <w:marLeft w:val="0"/>
      <w:marRight w:val="0"/>
      <w:marTop w:val="0"/>
      <w:marBottom w:val="0"/>
      <w:divBdr>
        <w:top w:val="none" w:sz="0" w:space="0" w:color="auto"/>
        <w:left w:val="none" w:sz="0" w:space="0" w:color="auto"/>
        <w:bottom w:val="none" w:sz="0" w:space="0" w:color="auto"/>
        <w:right w:val="none" w:sz="0" w:space="0" w:color="auto"/>
      </w:divBdr>
    </w:div>
    <w:div w:id="862942160">
      <w:marLeft w:val="0"/>
      <w:marRight w:val="0"/>
      <w:marTop w:val="0"/>
      <w:marBottom w:val="0"/>
      <w:divBdr>
        <w:top w:val="none" w:sz="0" w:space="0" w:color="auto"/>
        <w:left w:val="none" w:sz="0" w:space="0" w:color="auto"/>
        <w:bottom w:val="none" w:sz="0" w:space="0" w:color="auto"/>
        <w:right w:val="none" w:sz="0" w:space="0" w:color="auto"/>
      </w:divBdr>
      <w:divsChild>
        <w:div w:id="1725718540">
          <w:marLeft w:val="0"/>
          <w:marRight w:val="0"/>
          <w:marTop w:val="0"/>
          <w:marBottom w:val="0"/>
          <w:divBdr>
            <w:top w:val="none" w:sz="0" w:space="0" w:color="auto"/>
            <w:left w:val="none" w:sz="0" w:space="0" w:color="auto"/>
            <w:bottom w:val="none" w:sz="0" w:space="0" w:color="auto"/>
            <w:right w:val="none" w:sz="0" w:space="0" w:color="auto"/>
          </w:divBdr>
        </w:div>
        <w:div w:id="1144086493">
          <w:marLeft w:val="0"/>
          <w:marRight w:val="0"/>
          <w:marTop w:val="0"/>
          <w:marBottom w:val="0"/>
          <w:divBdr>
            <w:top w:val="none" w:sz="0" w:space="0" w:color="auto"/>
            <w:left w:val="none" w:sz="0" w:space="0" w:color="auto"/>
            <w:bottom w:val="none" w:sz="0" w:space="0" w:color="auto"/>
            <w:right w:val="none" w:sz="0" w:space="0" w:color="auto"/>
          </w:divBdr>
        </w:div>
      </w:divsChild>
    </w:div>
    <w:div w:id="880290981">
      <w:marLeft w:val="0"/>
      <w:marRight w:val="0"/>
      <w:marTop w:val="0"/>
      <w:marBottom w:val="0"/>
      <w:divBdr>
        <w:top w:val="none" w:sz="0" w:space="0" w:color="auto"/>
        <w:left w:val="none" w:sz="0" w:space="0" w:color="auto"/>
        <w:bottom w:val="none" w:sz="0" w:space="0" w:color="auto"/>
        <w:right w:val="none" w:sz="0" w:space="0" w:color="auto"/>
      </w:divBdr>
    </w:div>
    <w:div w:id="896666987">
      <w:marLeft w:val="0"/>
      <w:marRight w:val="0"/>
      <w:marTop w:val="0"/>
      <w:marBottom w:val="0"/>
      <w:divBdr>
        <w:top w:val="none" w:sz="0" w:space="0" w:color="auto"/>
        <w:left w:val="none" w:sz="0" w:space="0" w:color="auto"/>
        <w:bottom w:val="none" w:sz="0" w:space="0" w:color="auto"/>
        <w:right w:val="none" w:sz="0" w:space="0" w:color="auto"/>
      </w:divBdr>
      <w:divsChild>
        <w:div w:id="32464459">
          <w:marLeft w:val="0"/>
          <w:marRight w:val="0"/>
          <w:marTop w:val="0"/>
          <w:marBottom w:val="0"/>
          <w:divBdr>
            <w:top w:val="none" w:sz="0" w:space="0" w:color="auto"/>
            <w:left w:val="none" w:sz="0" w:space="0" w:color="auto"/>
            <w:bottom w:val="none" w:sz="0" w:space="0" w:color="auto"/>
            <w:right w:val="none" w:sz="0" w:space="0" w:color="auto"/>
          </w:divBdr>
        </w:div>
        <w:div w:id="360016014">
          <w:marLeft w:val="0"/>
          <w:marRight w:val="0"/>
          <w:marTop w:val="0"/>
          <w:marBottom w:val="0"/>
          <w:divBdr>
            <w:top w:val="none" w:sz="0" w:space="0" w:color="auto"/>
            <w:left w:val="none" w:sz="0" w:space="0" w:color="auto"/>
            <w:bottom w:val="none" w:sz="0" w:space="0" w:color="auto"/>
            <w:right w:val="none" w:sz="0" w:space="0" w:color="auto"/>
          </w:divBdr>
        </w:div>
      </w:divsChild>
    </w:div>
    <w:div w:id="898631518">
      <w:marLeft w:val="0"/>
      <w:marRight w:val="0"/>
      <w:marTop w:val="0"/>
      <w:marBottom w:val="0"/>
      <w:divBdr>
        <w:top w:val="none" w:sz="0" w:space="0" w:color="auto"/>
        <w:left w:val="none" w:sz="0" w:space="0" w:color="auto"/>
        <w:bottom w:val="none" w:sz="0" w:space="0" w:color="auto"/>
        <w:right w:val="none" w:sz="0" w:space="0" w:color="auto"/>
      </w:divBdr>
    </w:div>
    <w:div w:id="901909172">
      <w:marLeft w:val="0"/>
      <w:marRight w:val="0"/>
      <w:marTop w:val="0"/>
      <w:marBottom w:val="0"/>
      <w:divBdr>
        <w:top w:val="none" w:sz="0" w:space="0" w:color="auto"/>
        <w:left w:val="none" w:sz="0" w:space="0" w:color="auto"/>
        <w:bottom w:val="none" w:sz="0" w:space="0" w:color="auto"/>
        <w:right w:val="none" w:sz="0" w:space="0" w:color="auto"/>
      </w:divBdr>
      <w:divsChild>
        <w:div w:id="403377520">
          <w:marLeft w:val="0"/>
          <w:marRight w:val="0"/>
          <w:marTop w:val="0"/>
          <w:marBottom w:val="0"/>
          <w:divBdr>
            <w:top w:val="none" w:sz="0" w:space="0" w:color="auto"/>
            <w:left w:val="none" w:sz="0" w:space="0" w:color="auto"/>
            <w:bottom w:val="none" w:sz="0" w:space="0" w:color="auto"/>
            <w:right w:val="none" w:sz="0" w:space="0" w:color="auto"/>
          </w:divBdr>
        </w:div>
        <w:div w:id="24140160">
          <w:marLeft w:val="0"/>
          <w:marRight w:val="0"/>
          <w:marTop w:val="0"/>
          <w:marBottom w:val="0"/>
          <w:divBdr>
            <w:top w:val="none" w:sz="0" w:space="0" w:color="auto"/>
            <w:left w:val="none" w:sz="0" w:space="0" w:color="auto"/>
            <w:bottom w:val="none" w:sz="0" w:space="0" w:color="auto"/>
            <w:right w:val="none" w:sz="0" w:space="0" w:color="auto"/>
          </w:divBdr>
        </w:div>
      </w:divsChild>
    </w:div>
    <w:div w:id="927008539">
      <w:marLeft w:val="0"/>
      <w:marRight w:val="0"/>
      <w:marTop w:val="0"/>
      <w:marBottom w:val="0"/>
      <w:divBdr>
        <w:top w:val="none" w:sz="0" w:space="0" w:color="auto"/>
        <w:left w:val="none" w:sz="0" w:space="0" w:color="auto"/>
        <w:bottom w:val="none" w:sz="0" w:space="0" w:color="auto"/>
        <w:right w:val="none" w:sz="0" w:space="0" w:color="auto"/>
      </w:divBdr>
      <w:divsChild>
        <w:div w:id="1557818425">
          <w:marLeft w:val="0"/>
          <w:marRight w:val="0"/>
          <w:marTop w:val="0"/>
          <w:marBottom w:val="0"/>
          <w:divBdr>
            <w:top w:val="none" w:sz="0" w:space="0" w:color="auto"/>
            <w:left w:val="none" w:sz="0" w:space="0" w:color="auto"/>
            <w:bottom w:val="none" w:sz="0" w:space="0" w:color="auto"/>
            <w:right w:val="none" w:sz="0" w:space="0" w:color="auto"/>
          </w:divBdr>
        </w:div>
        <w:div w:id="2000427228">
          <w:marLeft w:val="0"/>
          <w:marRight w:val="0"/>
          <w:marTop w:val="0"/>
          <w:marBottom w:val="0"/>
          <w:divBdr>
            <w:top w:val="none" w:sz="0" w:space="0" w:color="auto"/>
            <w:left w:val="none" w:sz="0" w:space="0" w:color="auto"/>
            <w:bottom w:val="none" w:sz="0" w:space="0" w:color="auto"/>
            <w:right w:val="none" w:sz="0" w:space="0" w:color="auto"/>
          </w:divBdr>
        </w:div>
      </w:divsChild>
    </w:div>
    <w:div w:id="934823966">
      <w:marLeft w:val="0"/>
      <w:marRight w:val="0"/>
      <w:marTop w:val="0"/>
      <w:marBottom w:val="0"/>
      <w:divBdr>
        <w:top w:val="none" w:sz="0" w:space="0" w:color="auto"/>
        <w:left w:val="none" w:sz="0" w:space="0" w:color="auto"/>
        <w:bottom w:val="none" w:sz="0" w:space="0" w:color="auto"/>
        <w:right w:val="none" w:sz="0" w:space="0" w:color="auto"/>
      </w:divBdr>
    </w:div>
    <w:div w:id="941380171">
      <w:marLeft w:val="0"/>
      <w:marRight w:val="0"/>
      <w:marTop w:val="0"/>
      <w:marBottom w:val="0"/>
      <w:divBdr>
        <w:top w:val="none" w:sz="0" w:space="0" w:color="auto"/>
        <w:left w:val="none" w:sz="0" w:space="0" w:color="auto"/>
        <w:bottom w:val="none" w:sz="0" w:space="0" w:color="auto"/>
        <w:right w:val="none" w:sz="0" w:space="0" w:color="auto"/>
      </w:divBdr>
    </w:div>
    <w:div w:id="977491710">
      <w:marLeft w:val="0"/>
      <w:marRight w:val="0"/>
      <w:marTop w:val="0"/>
      <w:marBottom w:val="0"/>
      <w:divBdr>
        <w:top w:val="none" w:sz="0" w:space="0" w:color="auto"/>
        <w:left w:val="none" w:sz="0" w:space="0" w:color="auto"/>
        <w:bottom w:val="none" w:sz="0" w:space="0" w:color="auto"/>
        <w:right w:val="none" w:sz="0" w:space="0" w:color="auto"/>
      </w:divBdr>
      <w:divsChild>
        <w:div w:id="1745295893">
          <w:marLeft w:val="0"/>
          <w:marRight w:val="0"/>
          <w:marTop w:val="0"/>
          <w:marBottom w:val="0"/>
          <w:divBdr>
            <w:top w:val="none" w:sz="0" w:space="0" w:color="auto"/>
            <w:left w:val="none" w:sz="0" w:space="0" w:color="auto"/>
            <w:bottom w:val="none" w:sz="0" w:space="0" w:color="auto"/>
            <w:right w:val="none" w:sz="0" w:space="0" w:color="auto"/>
          </w:divBdr>
        </w:div>
        <w:div w:id="748577337">
          <w:marLeft w:val="0"/>
          <w:marRight w:val="0"/>
          <w:marTop w:val="0"/>
          <w:marBottom w:val="0"/>
          <w:divBdr>
            <w:top w:val="none" w:sz="0" w:space="0" w:color="auto"/>
            <w:left w:val="none" w:sz="0" w:space="0" w:color="auto"/>
            <w:bottom w:val="none" w:sz="0" w:space="0" w:color="auto"/>
            <w:right w:val="none" w:sz="0" w:space="0" w:color="auto"/>
          </w:divBdr>
          <w:divsChild>
            <w:div w:id="429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6864">
      <w:marLeft w:val="0"/>
      <w:marRight w:val="0"/>
      <w:marTop w:val="0"/>
      <w:marBottom w:val="0"/>
      <w:divBdr>
        <w:top w:val="none" w:sz="0" w:space="0" w:color="auto"/>
        <w:left w:val="none" w:sz="0" w:space="0" w:color="auto"/>
        <w:bottom w:val="none" w:sz="0" w:space="0" w:color="auto"/>
        <w:right w:val="none" w:sz="0" w:space="0" w:color="auto"/>
      </w:divBdr>
      <w:divsChild>
        <w:div w:id="2001039779">
          <w:marLeft w:val="0"/>
          <w:marRight w:val="0"/>
          <w:marTop w:val="0"/>
          <w:marBottom w:val="0"/>
          <w:divBdr>
            <w:top w:val="none" w:sz="0" w:space="0" w:color="auto"/>
            <w:left w:val="none" w:sz="0" w:space="0" w:color="auto"/>
            <w:bottom w:val="none" w:sz="0" w:space="0" w:color="auto"/>
            <w:right w:val="none" w:sz="0" w:space="0" w:color="auto"/>
          </w:divBdr>
        </w:div>
        <w:div w:id="383137933">
          <w:marLeft w:val="0"/>
          <w:marRight w:val="0"/>
          <w:marTop w:val="0"/>
          <w:marBottom w:val="0"/>
          <w:divBdr>
            <w:top w:val="none" w:sz="0" w:space="0" w:color="auto"/>
            <w:left w:val="none" w:sz="0" w:space="0" w:color="auto"/>
            <w:bottom w:val="none" w:sz="0" w:space="0" w:color="auto"/>
            <w:right w:val="none" w:sz="0" w:space="0" w:color="auto"/>
          </w:divBdr>
        </w:div>
        <w:div w:id="592980305">
          <w:marLeft w:val="0"/>
          <w:marRight w:val="0"/>
          <w:marTop w:val="0"/>
          <w:marBottom w:val="0"/>
          <w:divBdr>
            <w:top w:val="none" w:sz="0" w:space="0" w:color="auto"/>
            <w:left w:val="none" w:sz="0" w:space="0" w:color="auto"/>
            <w:bottom w:val="none" w:sz="0" w:space="0" w:color="auto"/>
            <w:right w:val="none" w:sz="0" w:space="0" w:color="auto"/>
          </w:divBdr>
          <w:divsChild>
            <w:div w:id="432825605">
              <w:marLeft w:val="0"/>
              <w:marRight w:val="0"/>
              <w:marTop w:val="0"/>
              <w:marBottom w:val="0"/>
              <w:divBdr>
                <w:top w:val="none" w:sz="0" w:space="0" w:color="auto"/>
                <w:left w:val="none" w:sz="0" w:space="0" w:color="auto"/>
                <w:bottom w:val="none" w:sz="0" w:space="0" w:color="auto"/>
                <w:right w:val="none" w:sz="0" w:space="0" w:color="auto"/>
              </w:divBdr>
            </w:div>
          </w:divsChild>
        </w:div>
        <w:div w:id="265700742">
          <w:marLeft w:val="0"/>
          <w:marRight w:val="0"/>
          <w:marTop w:val="0"/>
          <w:marBottom w:val="0"/>
          <w:divBdr>
            <w:top w:val="none" w:sz="0" w:space="0" w:color="auto"/>
            <w:left w:val="none" w:sz="0" w:space="0" w:color="auto"/>
            <w:bottom w:val="none" w:sz="0" w:space="0" w:color="auto"/>
            <w:right w:val="none" w:sz="0" w:space="0" w:color="auto"/>
          </w:divBdr>
        </w:div>
      </w:divsChild>
    </w:div>
    <w:div w:id="988896490">
      <w:marLeft w:val="0"/>
      <w:marRight w:val="0"/>
      <w:marTop w:val="0"/>
      <w:marBottom w:val="0"/>
      <w:divBdr>
        <w:top w:val="none" w:sz="0" w:space="0" w:color="auto"/>
        <w:left w:val="none" w:sz="0" w:space="0" w:color="auto"/>
        <w:bottom w:val="none" w:sz="0" w:space="0" w:color="auto"/>
        <w:right w:val="none" w:sz="0" w:space="0" w:color="auto"/>
      </w:divBdr>
    </w:div>
    <w:div w:id="1009605250">
      <w:marLeft w:val="0"/>
      <w:marRight w:val="0"/>
      <w:marTop w:val="0"/>
      <w:marBottom w:val="0"/>
      <w:divBdr>
        <w:top w:val="none" w:sz="0" w:space="0" w:color="auto"/>
        <w:left w:val="none" w:sz="0" w:space="0" w:color="auto"/>
        <w:bottom w:val="none" w:sz="0" w:space="0" w:color="auto"/>
        <w:right w:val="none" w:sz="0" w:space="0" w:color="auto"/>
      </w:divBdr>
      <w:divsChild>
        <w:div w:id="116604020">
          <w:marLeft w:val="0"/>
          <w:marRight w:val="0"/>
          <w:marTop w:val="0"/>
          <w:marBottom w:val="0"/>
          <w:divBdr>
            <w:top w:val="none" w:sz="0" w:space="0" w:color="auto"/>
            <w:left w:val="none" w:sz="0" w:space="0" w:color="auto"/>
            <w:bottom w:val="none" w:sz="0" w:space="0" w:color="auto"/>
            <w:right w:val="none" w:sz="0" w:space="0" w:color="auto"/>
          </w:divBdr>
        </w:div>
        <w:div w:id="914123775">
          <w:marLeft w:val="0"/>
          <w:marRight w:val="0"/>
          <w:marTop w:val="0"/>
          <w:marBottom w:val="0"/>
          <w:divBdr>
            <w:top w:val="none" w:sz="0" w:space="0" w:color="auto"/>
            <w:left w:val="none" w:sz="0" w:space="0" w:color="auto"/>
            <w:bottom w:val="none" w:sz="0" w:space="0" w:color="auto"/>
            <w:right w:val="none" w:sz="0" w:space="0" w:color="auto"/>
          </w:divBdr>
        </w:div>
        <w:div w:id="872813633">
          <w:marLeft w:val="0"/>
          <w:marRight w:val="0"/>
          <w:marTop w:val="0"/>
          <w:marBottom w:val="0"/>
          <w:divBdr>
            <w:top w:val="none" w:sz="0" w:space="0" w:color="auto"/>
            <w:left w:val="none" w:sz="0" w:space="0" w:color="auto"/>
            <w:bottom w:val="none" w:sz="0" w:space="0" w:color="auto"/>
            <w:right w:val="none" w:sz="0" w:space="0" w:color="auto"/>
          </w:divBdr>
          <w:divsChild>
            <w:div w:id="774521105">
              <w:marLeft w:val="0"/>
              <w:marRight w:val="0"/>
              <w:marTop w:val="0"/>
              <w:marBottom w:val="0"/>
              <w:divBdr>
                <w:top w:val="none" w:sz="0" w:space="0" w:color="auto"/>
                <w:left w:val="none" w:sz="0" w:space="0" w:color="auto"/>
                <w:bottom w:val="none" w:sz="0" w:space="0" w:color="auto"/>
                <w:right w:val="none" w:sz="0" w:space="0" w:color="auto"/>
              </w:divBdr>
            </w:div>
          </w:divsChild>
        </w:div>
        <w:div w:id="513610094">
          <w:marLeft w:val="0"/>
          <w:marRight w:val="0"/>
          <w:marTop w:val="0"/>
          <w:marBottom w:val="0"/>
          <w:divBdr>
            <w:top w:val="none" w:sz="0" w:space="0" w:color="auto"/>
            <w:left w:val="none" w:sz="0" w:space="0" w:color="auto"/>
            <w:bottom w:val="none" w:sz="0" w:space="0" w:color="auto"/>
            <w:right w:val="none" w:sz="0" w:space="0" w:color="auto"/>
          </w:divBdr>
        </w:div>
      </w:divsChild>
    </w:div>
    <w:div w:id="1017081357">
      <w:marLeft w:val="0"/>
      <w:marRight w:val="0"/>
      <w:marTop w:val="0"/>
      <w:marBottom w:val="0"/>
      <w:divBdr>
        <w:top w:val="none" w:sz="0" w:space="0" w:color="auto"/>
        <w:left w:val="none" w:sz="0" w:space="0" w:color="auto"/>
        <w:bottom w:val="none" w:sz="0" w:space="0" w:color="auto"/>
        <w:right w:val="none" w:sz="0" w:space="0" w:color="auto"/>
      </w:divBdr>
    </w:div>
    <w:div w:id="1056319234">
      <w:marLeft w:val="0"/>
      <w:marRight w:val="0"/>
      <w:marTop w:val="0"/>
      <w:marBottom w:val="0"/>
      <w:divBdr>
        <w:top w:val="none" w:sz="0" w:space="0" w:color="auto"/>
        <w:left w:val="none" w:sz="0" w:space="0" w:color="auto"/>
        <w:bottom w:val="none" w:sz="0" w:space="0" w:color="auto"/>
        <w:right w:val="none" w:sz="0" w:space="0" w:color="auto"/>
      </w:divBdr>
    </w:div>
    <w:div w:id="1067339383">
      <w:marLeft w:val="0"/>
      <w:marRight w:val="0"/>
      <w:marTop w:val="0"/>
      <w:marBottom w:val="0"/>
      <w:divBdr>
        <w:top w:val="none" w:sz="0" w:space="0" w:color="auto"/>
        <w:left w:val="none" w:sz="0" w:space="0" w:color="auto"/>
        <w:bottom w:val="none" w:sz="0" w:space="0" w:color="auto"/>
        <w:right w:val="none" w:sz="0" w:space="0" w:color="auto"/>
      </w:divBdr>
      <w:divsChild>
        <w:div w:id="694379201">
          <w:marLeft w:val="0"/>
          <w:marRight w:val="0"/>
          <w:marTop w:val="0"/>
          <w:marBottom w:val="0"/>
          <w:divBdr>
            <w:top w:val="none" w:sz="0" w:space="0" w:color="auto"/>
            <w:left w:val="none" w:sz="0" w:space="0" w:color="auto"/>
            <w:bottom w:val="none" w:sz="0" w:space="0" w:color="auto"/>
            <w:right w:val="none" w:sz="0" w:space="0" w:color="auto"/>
          </w:divBdr>
        </w:div>
        <w:div w:id="994336736">
          <w:marLeft w:val="0"/>
          <w:marRight w:val="0"/>
          <w:marTop w:val="0"/>
          <w:marBottom w:val="0"/>
          <w:divBdr>
            <w:top w:val="none" w:sz="0" w:space="0" w:color="auto"/>
            <w:left w:val="none" w:sz="0" w:space="0" w:color="auto"/>
            <w:bottom w:val="none" w:sz="0" w:space="0" w:color="auto"/>
            <w:right w:val="none" w:sz="0" w:space="0" w:color="auto"/>
          </w:divBdr>
        </w:div>
        <w:div w:id="2039506285">
          <w:marLeft w:val="0"/>
          <w:marRight w:val="0"/>
          <w:marTop w:val="0"/>
          <w:marBottom w:val="0"/>
          <w:divBdr>
            <w:top w:val="none" w:sz="0" w:space="0" w:color="auto"/>
            <w:left w:val="none" w:sz="0" w:space="0" w:color="auto"/>
            <w:bottom w:val="none" w:sz="0" w:space="0" w:color="auto"/>
            <w:right w:val="none" w:sz="0" w:space="0" w:color="auto"/>
          </w:divBdr>
          <w:divsChild>
            <w:div w:id="1096176102">
              <w:marLeft w:val="0"/>
              <w:marRight w:val="0"/>
              <w:marTop w:val="0"/>
              <w:marBottom w:val="0"/>
              <w:divBdr>
                <w:top w:val="none" w:sz="0" w:space="0" w:color="auto"/>
                <w:left w:val="none" w:sz="0" w:space="0" w:color="auto"/>
                <w:bottom w:val="none" w:sz="0" w:space="0" w:color="auto"/>
                <w:right w:val="none" w:sz="0" w:space="0" w:color="auto"/>
              </w:divBdr>
            </w:div>
          </w:divsChild>
        </w:div>
        <w:div w:id="516505419">
          <w:marLeft w:val="0"/>
          <w:marRight w:val="0"/>
          <w:marTop w:val="0"/>
          <w:marBottom w:val="0"/>
          <w:divBdr>
            <w:top w:val="none" w:sz="0" w:space="0" w:color="auto"/>
            <w:left w:val="none" w:sz="0" w:space="0" w:color="auto"/>
            <w:bottom w:val="none" w:sz="0" w:space="0" w:color="auto"/>
            <w:right w:val="none" w:sz="0" w:space="0" w:color="auto"/>
          </w:divBdr>
        </w:div>
      </w:divsChild>
    </w:div>
    <w:div w:id="1070470201">
      <w:marLeft w:val="0"/>
      <w:marRight w:val="0"/>
      <w:marTop w:val="0"/>
      <w:marBottom w:val="0"/>
      <w:divBdr>
        <w:top w:val="none" w:sz="0" w:space="0" w:color="auto"/>
        <w:left w:val="none" w:sz="0" w:space="0" w:color="auto"/>
        <w:bottom w:val="none" w:sz="0" w:space="0" w:color="auto"/>
        <w:right w:val="none" w:sz="0" w:space="0" w:color="auto"/>
      </w:divBdr>
      <w:divsChild>
        <w:div w:id="1745684091">
          <w:marLeft w:val="0"/>
          <w:marRight w:val="0"/>
          <w:marTop w:val="0"/>
          <w:marBottom w:val="0"/>
          <w:divBdr>
            <w:top w:val="none" w:sz="0" w:space="0" w:color="auto"/>
            <w:left w:val="none" w:sz="0" w:space="0" w:color="auto"/>
            <w:bottom w:val="none" w:sz="0" w:space="0" w:color="auto"/>
            <w:right w:val="none" w:sz="0" w:space="0" w:color="auto"/>
          </w:divBdr>
        </w:div>
        <w:div w:id="29498839">
          <w:marLeft w:val="0"/>
          <w:marRight w:val="0"/>
          <w:marTop w:val="0"/>
          <w:marBottom w:val="0"/>
          <w:divBdr>
            <w:top w:val="none" w:sz="0" w:space="0" w:color="auto"/>
            <w:left w:val="none" w:sz="0" w:space="0" w:color="auto"/>
            <w:bottom w:val="none" w:sz="0" w:space="0" w:color="auto"/>
            <w:right w:val="none" w:sz="0" w:space="0" w:color="auto"/>
          </w:divBdr>
          <w:divsChild>
            <w:div w:id="566887760">
              <w:marLeft w:val="0"/>
              <w:marRight w:val="0"/>
              <w:marTop w:val="0"/>
              <w:marBottom w:val="0"/>
              <w:divBdr>
                <w:top w:val="none" w:sz="0" w:space="0" w:color="auto"/>
                <w:left w:val="none" w:sz="0" w:space="0" w:color="auto"/>
                <w:bottom w:val="none" w:sz="0" w:space="0" w:color="auto"/>
                <w:right w:val="none" w:sz="0" w:space="0" w:color="auto"/>
              </w:divBdr>
            </w:div>
            <w:div w:id="450898607">
              <w:marLeft w:val="0"/>
              <w:marRight w:val="0"/>
              <w:marTop w:val="0"/>
              <w:marBottom w:val="0"/>
              <w:divBdr>
                <w:top w:val="none" w:sz="0" w:space="0" w:color="auto"/>
                <w:left w:val="none" w:sz="0" w:space="0" w:color="auto"/>
                <w:bottom w:val="none" w:sz="0" w:space="0" w:color="auto"/>
                <w:right w:val="none" w:sz="0" w:space="0" w:color="auto"/>
              </w:divBdr>
              <w:divsChild>
                <w:div w:id="14161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2357">
      <w:marLeft w:val="0"/>
      <w:marRight w:val="0"/>
      <w:marTop w:val="0"/>
      <w:marBottom w:val="0"/>
      <w:divBdr>
        <w:top w:val="none" w:sz="0" w:space="0" w:color="auto"/>
        <w:left w:val="none" w:sz="0" w:space="0" w:color="auto"/>
        <w:bottom w:val="none" w:sz="0" w:space="0" w:color="auto"/>
        <w:right w:val="none" w:sz="0" w:space="0" w:color="auto"/>
      </w:divBdr>
    </w:div>
    <w:div w:id="1079598560">
      <w:marLeft w:val="0"/>
      <w:marRight w:val="0"/>
      <w:marTop w:val="0"/>
      <w:marBottom w:val="0"/>
      <w:divBdr>
        <w:top w:val="none" w:sz="0" w:space="0" w:color="auto"/>
        <w:left w:val="none" w:sz="0" w:space="0" w:color="auto"/>
        <w:bottom w:val="none" w:sz="0" w:space="0" w:color="auto"/>
        <w:right w:val="none" w:sz="0" w:space="0" w:color="auto"/>
      </w:divBdr>
    </w:div>
    <w:div w:id="1097597669">
      <w:marLeft w:val="0"/>
      <w:marRight w:val="0"/>
      <w:marTop w:val="0"/>
      <w:marBottom w:val="0"/>
      <w:divBdr>
        <w:top w:val="none" w:sz="0" w:space="0" w:color="auto"/>
        <w:left w:val="none" w:sz="0" w:space="0" w:color="auto"/>
        <w:bottom w:val="none" w:sz="0" w:space="0" w:color="auto"/>
        <w:right w:val="none" w:sz="0" w:space="0" w:color="auto"/>
      </w:divBdr>
      <w:divsChild>
        <w:div w:id="570430812">
          <w:marLeft w:val="0"/>
          <w:marRight w:val="0"/>
          <w:marTop w:val="0"/>
          <w:marBottom w:val="0"/>
          <w:divBdr>
            <w:top w:val="none" w:sz="0" w:space="0" w:color="auto"/>
            <w:left w:val="none" w:sz="0" w:space="0" w:color="auto"/>
            <w:bottom w:val="none" w:sz="0" w:space="0" w:color="auto"/>
            <w:right w:val="none" w:sz="0" w:space="0" w:color="auto"/>
          </w:divBdr>
        </w:div>
        <w:div w:id="2052538313">
          <w:marLeft w:val="0"/>
          <w:marRight w:val="0"/>
          <w:marTop w:val="0"/>
          <w:marBottom w:val="0"/>
          <w:divBdr>
            <w:top w:val="none" w:sz="0" w:space="0" w:color="auto"/>
            <w:left w:val="none" w:sz="0" w:space="0" w:color="auto"/>
            <w:bottom w:val="none" w:sz="0" w:space="0" w:color="auto"/>
            <w:right w:val="none" w:sz="0" w:space="0" w:color="auto"/>
          </w:divBdr>
        </w:div>
        <w:div w:id="1330451165">
          <w:marLeft w:val="0"/>
          <w:marRight w:val="0"/>
          <w:marTop w:val="0"/>
          <w:marBottom w:val="0"/>
          <w:divBdr>
            <w:top w:val="none" w:sz="0" w:space="0" w:color="auto"/>
            <w:left w:val="none" w:sz="0" w:space="0" w:color="auto"/>
            <w:bottom w:val="none" w:sz="0" w:space="0" w:color="auto"/>
            <w:right w:val="none" w:sz="0" w:space="0" w:color="auto"/>
          </w:divBdr>
          <w:divsChild>
            <w:div w:id="188104063">
              <w:marLeft w:val="0"/>
              <w:marRight w:val="0"/>
              <w:marTop w:val="0"/>
              <w:marBottom w:val="0"/>
              <w:divBdr>
                <w:top w:val="none" w:sz="0" w:space="0" w:color="auto"/>
                <w:left w:val="none" w:sz="0" w:space="0" w:color="auto"/>
                <w:bottom w:val="none" w:sz="0" w:space="0" w:color="auto"/>
                <w:right w:val="none" w:sz="0" w:space="0" w:color="auto"/>
              </w:divBdr>
            </w:div>
          </w:divsChild>
        </w:div>
        <w:div w:id="1031421835">
          <w:marLeft w:val="0"/>
          <w:marRight w:val="0"/>
          <w:marTop w:val="0"/>
          <w:marBottom w:val="0"/>
          <w:divBdr>
            <w:top w:val="none" w:sz="0" w:space="0" w:color="auto"/>
            <w:left w:val="none" w:sz="0" w:space="0" w:color="auto"/>
            <w:bottom w:val="none" w:sz="0" w:space="0" w:color="auto"/>
            <w:right w:val="none" w:sz="0" w:space="0" w:color="auto"/>
          </w:divBdr>
        </w:div>
      </w:divsChild>
    </w:div>
    <w:div w:id="1100835851">
      <w:marLeft w:val="0"/>
      <w:marRight w:val="0"/>
      <w:marTop w:val="0"/>
      <w:marBottom w:val="0"/>
      <w:divBdr>
        <w:top w:val="none" w:sz="0" w:space="0" w:color="auto"/>
        <w:left w:val="none" w:sz="0" w:space="0" w:color="auto"/>
        <w:bottom w:val="none" w:sz="0" w:space="0" w:color="auto"/>
        <w:right w:val="none" w:sz="0" w:space="0" w:color="auto"/>
      </w:divBdr>
    </w:div>
    <w:div w:id="1103839747">
      <w:marLeft w:val="0"/>
      <w:marRight w:val="0"/>
      <w:marTop w:val="0"/>
      <w:marBottom w:val="0"/>
      <w:divBdr>
        <w:top w:val="none" w:sz="0" w:space="0" w:color="auto"/>
        <w:left w:val="none" w:sz="0" w:space="0" w:color="auto"/>
        <w:bottom w:val="none" w:sz="0" w:space="0" w:color="auto"/>
        <w:right w:val="none" w:sz="0" w:space="0" w:color="auto"/>
      </w:divBdr>
      <w:divsChild>
        <w:div w:id="1183982206">
          <w:marLeft w:val="0"/>
          <w:marRight w:val="0"/>
          <w:marTop w:val="0"/>
          <w:marBottom w:val="0"/>
          <w:divBdr>
            <w:top w:val="none" w:sz="0" w:space="0" w:color="auto"/>
            <w:left w:val="none" w:sz="0" w:space="0" w:color="auto"/>
            <w:bottom w:val="none" w:sz="0" w:space="0" w:color="auto"/>
            <w:right w:val="none" w:sz="0" w:space="0" w:color="auto"/>
          </w:divBdr>
        </w:div>
      </w:divsChild>
    </w:div>
    <w:div w:id="1123501565">
      <w:marLeft w:val="0"/>
      <w:marRight w:val="0"/>
      <w:marTop w:val="0"/>
      <w:marBottom w:val="0"/>
      <w:divBdr>
        <w:top w:val="none" w:sz="0" w:space="0" w:color="auto"/>
        <w:left w:val="none" w:sz="0" w:space="0" w:color="auto"/>
        <w:bottom w:val="none" w:sz="0" w:space="0" w:color="auto"/>
        <w:right w:val="none" w:sz="0" w:space="0" w:color="auto"/>
      </w:divBdr>
      <w:divsChild>
        <w:div w:id="44642242">
          <w:marLeft w:val="0"/>
          <w:marRight w:val="0"/>
          <w:marTop w:val="0"/>
          <w:marBottom w:val="0"/>
          <w:divBdr>
            <w:top w:val="none" w:sz="0" w:space="0" w:color="auto"/>
            <w:left w:val="none" w:sz="0" w:space="0" w:color="auto"/>
            <w:bottom w:val="none" w:sz="0" w:space="0" w:color="auto"/>
            <w:right w:val="none" w:sz="0" w:space="0" w:color="auto"/>
          </w:divBdr>
        </w:div>
        <w:div w:id="919561243">
          <w:marLeft w:val="0"/>
          <w:marRight w:val="0"/>
          <w:marTop w:val="0"/>
          <w:marBottom w:val="0"/>
          <w:divBdr>
            <w:top w:val="none" w:sz="0" w:space="0" w:color="auto"/>
            <w:left w:val="none" w:sz="0" w:space="0" w:color="auto"/>
            <w:bottom w:val="none" w:sz="0" w:space="0" w:color="auto"/>
            <w:right w:val="none" w:sz="0" w:space="0" w:color="auto"/>
          </w:divBdr>
        </w:div>
        <w:div w:id="2124617086">
          <w:marLeft w:val="0"/>
          <w:marRight w:val="0"/>
          <w:marTop w:val="0"/>
          <w:marBottom w:val="0"/>
          <w:divBdr>
            <w:top w:val="none" w:sz="0" w:space="0" w:color="auto"/>
            <w:left w:val="none" w:sz="0" w:space="0" w:color="auto"/>
            <w:bottom w:val="none" w:sz="0" w:space="0" w:color="auto"/>
            <w:right w:val="none" w:sz="0" w:space="0" w:color="auto"/>
          </w:divBdr>
          <w:divsChild>
            <w:div w:id="1997416998">
              <w:marLeft w:val="0"/>
              <w:marRight w:val="0"/>
              <w:marTop w:val="0"/>
              <w:marBottom w:val="0"/>
              <w:divBdr>
                <w:top w:val="none" w:sz="0" w:space="0" w:color="auto"/>
                <w:left w:val="none" w:sz="0" w:space="0" w:color="auto"/>
                <w:bottom w:val="none" w:sz="0" w:space="0" w:color="auto"/>
                <w:right w:val="none" w:sz="0" w:space="0" w:color="auto"/>
              </w:divBdr>
            </w:div>
          </w:divsChild>
        </w:div>
        <w:div w:id="333578799">
          <w:marLeft w:val="0"/>
          <w:marRight w:val="0"/>
          <w:marTop w:val="0"/>
          <w:marBottom w:val="0"/>
          <w:divBdr>
            <w:top w:val="none" w:sz="0" w:space="0" w:color="auto"/>
            <w:left w:val="none" w:sz="0" w:space="0" w:color="auto"/>
            <w:bottom w:val="none" w:sz="0" w:space="0" w:color="auto"/>
            <w:right w:val="none" w:sz="0" w:space="0" w:color="auto"/>
          </w:divBdr>
        </w:div>
      </w:divsChild>
    </w:div>
    <w:div w:id="1173371857">
      <w:marLeft w:val="0"/>
      <w:marRight w:val="0"/>
      <w:marTop w:val="0"/>
      <w:marBottom w:val="0"/>
      <w:divBdr>
        <w:top w:val="none" w:sz="0" w:space="0" w:color="auto"/>
        <w:left w:val="none" w:sz="0" w:space="0" w:color="auto"/>
        <w:bottom w:val="none" w:sz="0" w:space="0" w:color="auto"/>
        <w:right w:val="none" w:sz="0" w:space="0" w:color="auto"/>
      </w:divBdr>
      <w:divsChild>
        <w:div w:id="259722112">
          <w:marLeft w:val="0"/>
          <w:marRight w:val="0"/>
          <w:marTop w:val="0"/>
          <w:marBottom w:val="0"/>
          <w:divBdr>
            <w:top w:val="none" w:sz="0" w:space="0" w:color="auto"/>
            <w:left w:val="none" w:sz="0" w:space="0" w:color="auto"/>
            <w:bottom w:val="none" w:sz="0" w:space="0" w:color="auto"/>
            <w:right w:val="none" w:sz="0" w:space="0" w:color="auto"/>
          </w:divBdr>
          <w:divsChild>
            <w:div w:id="615218228">
              <w:marLeft w:val="0"/>
              <w:marRight w:val="0"/>
              <w:marTop w:val="0"/>
              <w:marBottom w:val="0"/>
              <w:divBdr>
                <w:top w:val="none" w:sz="0" w:space="0" w:color="auto"/>
                <w:left w:val="none" w:sz="0" w:space="0" w:color="auto"/>
                <w:bottom w:val="none" w:sz="0" w:space="0" w:color="auto"/>
                <w:right w:val="none" w:sz="0" w:space="0" w:color="auto"/>
              </w:divBdr>
            </w:div>
          </w:divsChild>
        </w:div>
        <w:div w:id="877551558">
          <w:marLeft w:val="0"/>
          <w:marRight w:val="0"/>
          <w:marTop w:val="0"/>
          <w:marBottom w:val="0"/>
          <w:divBdr>
            <w:top w:val="none" w:sz="0" w:space="0" w:color="auto"/>
            <w:left w:val="none" w:sz="0" w:space="0" w:color="auto"/>
            <w:bottom w:val="none" w:sz="0" w:space="0" w:color="auto"/>
            <w:right w:val="none" w:sz="0" w:space="0" w:color="auto"/>
          </w:divBdr>
        </w:div>
      </w:divsChild>
    </w:div>
    <w:div w:id="1191651674">
      <w:marLeft w:val="0"/>
      <w:marRight w:val="0"/>
      <w:marTop w:val="0"/>
      <w:marBottom w:val="0"/>
      <w:divBdr>
        <w:top w:val="none" w:sz="0" w:space="0" w:color="auto"/>
        <w:left w:val="none" w:sz="0" w:space="0" w:color="auto"/>
        <w:bottom w:val="none" w:sz="0" w:space="0" w:color="auto"/>
        <w:right w:val="none" w:sz="0" w:space="0" w:color="auto"/>
      </w:divBdr>
      <w:divsChild>
        <w:div w:id="1233201565">
          <w:marLeft w:val="0"/>
          <w:marRight w:val="0"/>
          <w:marTop w:val="0"/>
          <w:marBottom w:val="0"/>
          <w:divBdr>
            <w:top w:val="none" w:sz="0" w:space="0" w:color="auto"/>
            <w:left w:val="none" w:sz="0" w:space="0" w:color="auto"/>
            <w:bottom w:val="none" w:sz="0" w:space="0" w:color="auto"/>
            <w:right w:val="none" w:sz="0" w:space="0" w:color="auto"/>
          </w:divBdr>
        </w:div>
        <w:div w:id="646739918">
          <w:marLeft w:val="0"/>
          <w:marRight w:val="0"/>
          <w:marTop w:val="0"/>
          <w:marBottom w:val="0"/>
          <w:divBdr>
            <w:top w:val="none" w:sz="0" w:space="0" w:color="auto"/>
            <w:left w:val="none" w:sz="0" w:space="0" w:color="auto"/>
            <w:bottom w:val="none" w:sz="0" w:space="0" w:color="auto"/>
            <w:right w:val="none" w:sz="0" w:space="0" w:color="auto"/>
          </w:divBdr>
          <w:divsChild>
            <w:div w:id="20879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5531">
      <w:marLeft w:val="0"/>
      <w:marRight w:val="0"/>
      <w:marTop w:val="0"/>
      <w:marBottom w:val="0"/>
      <w:divBdr>
        <w:top w:val="none" w:sz="0" w:space="0" w:color="auto"/>
        <w:left w:val="none" w:sz="0" w:space="0" w:color="auto"/>
        <w:bottom w:val="none" w:sz="0" w:space="0" w:color="auto"/>
        <w:right w:val="none" w:sz="0" w:space="0" w:color="auto"/>
      </w:divBdr>
      <w:divsChild>
        <w:div w:id="184564151">
          <w:marLeft w:val="0"/>
          <w:marRight w:val="0"/>
          <w:marTop w:val="0"/>
          <w:marBottom w:val="0"/>
          <w:divBdr>
            <w:top w:val="none" w:sz="0" w:space="0" w:color="auto"/>
            <w:left w:val="none" w:sz="0" w:space="0" w:color="auto"/>
            <w:bottom w:val="none" w:sz="0" w:space="0" w:color="auto"/>
            <w:right w:val="none" w:sz="0" w:space="0" w:color="auto"/>
          </w:divBdr>
        </w:div>
        <w:div w:id="1264221742">
          <w:marLeft w:val="0"/>
          <w:marRight w:val="0"/>
          <w:marTop w:val="0"/>
          <w:marBottom w:val="0"/>
          <w:divBdr>
            <w:top w:val="none" w:sz="0" w:space="0" w:color="auto"/>
            <w:left w:val="none" w:sz="0" w:space="0" w:color="auto"/>
            <w:bottom w:val="none" w:sz="0" w:space="0" w:color="auto"/>
            <w:right w:val="none" w:sz="0" w:space="0" w:color="auto"/>
          </w:divBdr>
        </w:div>
      </w:divsChild>
    </w:div>
    <w:div w:id="1201742061">
      <w:marLeft w:val="0"/>
      <w:marRight w:val="0"/>
      <w:marTop w:val="0"/>
      <w:marBottom w:val="0"/>
      <w:divBdr>
        <w:top w:val="none" w:sz="0" w:space="0" w:color="auto"/>
        <w:left w:val="none" w:sz="0" w:space="0" w:color="auto"/>
        <w:bottom w:val="none" w:sz="0" w:space="0" w:color="auto"/>
        <w:right w:val="none" w:sz="0" w:space="0" w:color="auto"/>
      </w:divBdr>
    </w:div>
    <w:div w:id="1227448943">
      <w:marLeft w:val="0"/>
      <w:marRight w:val="0"/>
      <w:marTop w:val="0"/>
      <w:marBottom w:val="0"/>
      <w:divBdr>
        <w:top w:val="none" w:sz="0" w:space="0" w:color="auto"/>
        <w:left w:val="none" w:sz="0" w:space="0" w:color="auto"/>
        <w:bottom w:val="none" w:sz="0" w:space="0" w:color="auto"/>
        <w:right w:val="none" w:sz="0" w:space="0" w:color="auto"/>
      </w:divBdr>
    </w:div>
    <w:div w:id="1243757599">
      <w:marLeft w:val="0"/>
      <w:marRight w:val="0"/>
      <w:marTop w:val="0"/>
      <w:marBottom w:val="0"/>
      <w:divBdr>
        <w:top w:val="none" w:sz="0" w:space="0" w:color="auto"/>
        <w:left w:val="none" w:sz="0" w:space="0" w:color="auto"/>
        <w:bottom w:val="none" w:sz="0" w:space="0" w:color="auto"/>
        <w:right w:val="none" w:sz="0" w:space="0" w:color="auto"/>
      </w:divBdr>
      <w:divsChild>
        <w:div w:id="173809870">
          <w:marLeft w:val="0"/>
          <w:marRight w:val="0"/>
          <w:marTop w:val="0"/>
          <w:marBottom w:val="0"/>
          <w:divBdr>
            <w:top w:val="none" w:sz="0" w:space="0" w:color="auto"/>
            <w:left w:val="none" w:sz="0" w:space="0" w:color="auto"/>
            <w:bottom w:val="none" w:sz="0" w:space="0" w:color="auto"/>
            <w:right w:val="none" w:sz="0" w:space="0" w:color="auto"/>
          </w:divBdr>
        </w:div>
        <w:div w:id="17002947">
          <w:marLeft w:val="0"/>
          <w:marRight w:val="0"/>
          <w:marTop w:val="0"/>
          <w:marBottom w:val="0"/>
          <w:divBdr>
            <w:top w:val="none" w:sz="0" w:space="0" w:color="auto"/>
            <w:left w:val="none" w:sz="0" w:space="0" w:color="auto"/>
            <w:bottom w:val="none" w:sz="0" w:space="0" w:color="auto"/>
            <w:right w:val="none" w:sz="0" w:space="0" w:color="auto"/>
          </w:divBdr>
        </w:div>
        <w:div w:id="1917864453">
          <w:marLeft w:val="0"/>
          <w:marRight w:val="0"/>
          <w:marTop w:val="0"/>
          <w:marBottom w:val="0"/>
          <w:divBdr>
            <w:top w:val="none" w:sz="0" w:space="0" w:color="auto"/>
            <w:left w:val="none" w:sz="0" w:space="0" w:color="auto"/>
            <w:bottom w:val="none" w:sz="0" w:space="0" w:color="auto"/>
            <w:right w:val="none" w:sz="0" w:space="0" w:color="auto"/>
          </w:divBdr>
          <w:divsChild>
            <w:div w:id="1595359389">
              <w:marLeft w:val="0"/>
              <w:marRight w:val="0"/>
              <w:marTop w:val="0"/>
              <w:marBottom w:val="0"/>
              <w:divBdr>
                <w:top w:val="none" w:sz="0" w:space="0" w:color="auto"/>
                <w:left w:val="none" w:sz="0" w:space="0" w:color="auto"/>
                <w:bottom w:val="none" w:sz="0" w:space="0" w:color="auto"/>
                <w:right w:val="none" w:sz="0" w:space="0" w:color="auto"/>
              </w:divBdr>
            </w:div>
          </w:divsChild>
        </w:div>
        <w:div w:id="839781692">
          <w:marLeft w:val="0"/>
          <w:marRight w:val="0"/>
          <w:marTop w:val="0"/>
          <w:marBottom w:val="0"/>
          <w:divBdr>
            <w:top w:val="none" w:sz="0" w:space="0" w:color="auto"/>
            <w:left w:val="none" w:sz="0" w:space="0" w:color="auto"/>
            <w:bottom w:val="none" w:sz="0" w:space="0" w:color="auto"/>
            <w:right w:val="none" w:sz="0" w:space="0" w:color="auto"/>
          </w:divBdr>
        </w:div>
      </w:divsChild>
    </w:div>
    <w:div w:id="1247882255">
      <w:marLeft w:val="0"/>
      <w:marRight w:val="0"/>
      <w:marTop w:val="0"/>
      <w:marBottom w:val="0"/>
      <w:divBdr>
        <w:top w:val="none" w:sz="0" w:space="0" w:color="auto"/>
        <w:left w:val="none" w:sz="0" w:space="0" w:color="auto"/>
        <w:bottom w:val="none" w:sz="0" w:space="0" w:color="auto"/>
        <w:right w:val="none" w:sz="0" w:space="0" w:color="auto"/>
      </w:divBdr>
      <w:divsChild>
        <w:div w:id="1044788367">
          <w:marLeft w:val="0"/>
          <w:marRight w:val="0"/>
          <w:marTop w:val="0"/>
          <w:marBottom w:val="0"/>
          <w:divBdr>
            <w:top w:val="none" w:sz="0" w:space="0" w:color="auto"/>
            <w:left w:val="none" w:sz="0" w:space="0" w:color="auto"/>
            <w:bottom w:val="none" w:sz="0" w:space="0" w:color="auto"/>
            <w:right w:val="none" w:sz="0" w:space="0" w:color="auto"/>
          </w:divBdr>
        </w:div>
        <w:div w:id="1581212878">
          <w:marLeft w:val="0"/>
          <w:marRight w:val="0"/>
          <w:marTop w:val="0"/>
          <w:marBottom w:val="0"/>
          <w:divBdr>
            <w:top w:val="none" w:sz="0" w:space="0" w:color="auto"/>
            <w:left w:val="none" w:sz="0" w:space="0" w:color="auto"/>
            <w:bottom w:val="none" w:sz="0" w:space="0" w:color="auto"/>
            <w:right w:val="none" w:sz="0" w:space="0" w:color="auto"/>
          </w:divBdr>
        </w:div>
      </w:divsChild>
    </w:div>
    <w:div w:id="1264801962">
      <w:marLeft w:val="0"/>
      <w:marRight w:val="0"/>
      <w:marTop w:val="0"/>
      <w:marBottom w:val="0"/>
      <w:divBdr>
        <w:top w:val="none" w:sz="0" w:space="0" w:color="auto"/>
        <w:left w:val="none" w:sz="0" w:space="0" w:color="auto"/>
        <w:bottom w:val="none" w:sz="0" w:space="0" w:color="auto"/>
        <w:right w:val="none" w:sz="0" w:space="0" w:color="auto"/>
      </w:divBdr>
    </w:div>
    <w:div w:id="1276324264">
      <w:marLeft w:val="0"/>
      <w:marRight w:val="0"/>
      <w:marTop w:val="0"/>
      <w:marBottom w:val="0"/>
      <w:divBdr>
        <w:top w:val="none" w:sz="0" w:space="0" w:color="auto"/>
        <w:left w:val="none" w:sz="0" w:space="0" w:color="auto"/>
        <w:bottom w:val="none" w:sz="0" w:space="0" w:color="auto"/>
        <w:right w:val="none" w:sz="0" w:space="0" w:color="auto"/>
      </w:divBdr>
    </w:div>
    <w:div w:id="1279144706">
      <w:marLeft w:val="0"/>
      <w:marRight w:val="0"/>
      <w:marTop w:val="0"/>
      <w:marBottom w:val="0"/>
      <w:divBdr>
        <w:top w:val="none" w:sz="0" w:space="0" w:color="auto"/>
        <w:left w:val="none" w:sz="0" w:space="0" w:color="auto"/>
        <w:bottom w:val="none" w:sz="0" w:space="0" w:color="auto"/>
        <w:right w:val="none" w:sz="0" w:space="0" w:color="auto"/>
      </w:divBdr>
      <w:divsChild>
        <w:div w:id="145359652">
          <w:marLeft w:val="0"/>
          <w:marRight w:val="0"/>
          <w:marTop w:val="0"/>
          <w:marBottom w:val="0"/>
          <w:divBdr>
            <w:top w:val="none" w:sz="0" w:space="0" w:color="auto"/>
            <w:left w:val="none" w:sz="0" w:space="0" w:color="auto"/>
            <w:bottom w:val="none" w:sz="0" w:space="0" w:color="auto"/>
            <w:right w:val="none" w:sz="0" w:space="0" w:color="auto"/>
          </w:divBdr>
        </w:div>
        <w:div w:id="45837298">
          <w:marLeft w:val="0"/>
          <w:marRight w:val="0"/>
          <w:marTop w:val="0"/>
          <w:marBottom w:val="0"/>
          <w:divBdr>
            <w:top w:val="none" w:sz="0" w:space="0" w:color="auto"/>
            <w:left w:val="none" w:sz="0" w:space="0" w:color="auto"/>
            <w:bottom w:val="none" w:sz="0" w:space="0" w:color="auto"/>
            <w:right w:val="none" w:sz="0" w:space="0" w:color="auto"/>
          </w:divBdr>
        </w:div>
      </w:divsChild>
    </w:div>
    <w:div w:id="1286424950">
      <w:marLeft w:val="0"/>
      <w:marRight w:val="0"/>
      <w:marTop w:val="0"/>
      <w:marBottom w:val="0"/>
      <w:divBdr>
        <w:top w:val="none" w:sz="0" w:space="0" w:color="auto"/>
        <w:left w:val="none" w:sz="0" w:space="0" w:color="auto"/>
        <w:bottom w:val="none" w:sz="0" w:space="0" w:color="auto"/>
        <w:right w:val="none" w:sz="0" w:space="0" w:color="auto"/>
      </w:divBdr>
    </w:div>
    <w:div w:id="1288203022">
      <w:marLeft w:val="0"/>
      <w:marRight w:val="0"/>
      <w:marTop w:val="0"/>
      <w:marBottom w:val="0"/>
      <w:divBdr>
        <w:top w:val="none" w:sz="0" w:space="0" w:color="auto"/>
        <w:left w:val="none" w:sz="0" w:space="0" w:color="auto"/>
        <w:bottom w:val="none" w:sz="0" w:space="0" w:color="auto"/>
        <w:right w:val="none" w:sz="0" w:space="0" w:color="auto"/>
      </w:divBdr>
    </w:div>
    <w:div w:id="1306617067">
      <w:marLeft w:val="0"/>
      <w:marRight w:val="0"/>
      <w:marTop w:val="0"/>
      <w:marBottom w:val="0"/>
      <w:divBdr>
        <w:top w:val="none" w:sz="0" w:space="0" w:color="auto"/>
        <w:left w:val="none" w:sz="0" w:space="0" w:color="auto"/>
        <w:bottom w:val="none" w:sz="0" w:space="0" w:color="auto"/>
        <w:right w:val="none" w:sz="0" w:space="0" w:color="auto"/>
      </w:divBdr>
    </w:div>
    <w:div w:id="1338077092">
      <w:marLeft w:val="0"/>
      <w:marRight w:val="0"/>
      <w:marTop w:val="0"/>
      <w:marBottom w:val="0"/>
      <w:divBdr>
        <w:top w:val="none" w:sz="0" w:space="0" w:color="auto"/>
        <w:left w:val="none" w:sz="0" w:space="0" w:color="auto"/>
        <w:bottom w:val="none" w:sz="0" w:space="0" w:color="auto"/>
        <w:right w:val="none" w:sz="0" w:space="0" w:color="auto"/>
      </w:divBdr>
    </w:div>
    <w:div w:id="1344432911">
      <w:marLeft w:val="0"/>
      <w:marRight w:val="0"/>
      <w:marTop w:val="0"/>
      <w:marBottom w:val="0"/>
      <w:divBdr>
        <w:top w:val="none" w:sz="0" w:space="0" w:color="auto"/>
        <w:left w:val="none" w:sz="0" w:space="0" w:color="auto"/>
        <w:bottom w:val="none" w:sz="0" w:space="0" w:color="auto"/>
        <w:right w:val="none" w:sz="0" w:space="0" w:color="auto"/>
      </w:divBdr>
      <w:divsChild>
        <w:div w:id="409423238">
          <w:marLeft w:val="0"/>
          <w:marRight w:val="0"/>
          <w:marTop w:val="0"/>
          <w:marBottom w:val="0"/>
          <w:divBdr>
            <w:top w:val="none" w:sz="0" w:space="0" w:color="auto"/>
            <w:left w:val="none" w:sz="0" w:space="0" w:color="auto"/>
            <w:bottom w:val="none" w:sz="0" w:space="0" w:color="auto"/>
            <w:right w:val="none" w:sz="0" w:space="0" w:color="auto"/>
          </w:divBdr>
        </w:div>
        <w:div w:id="873150887">
          <w:marLeft w:val="0"/>
          <w:marRight w:val="0"/>
          <w:marTop w:val="0"/>
          <w:marBottom w:val="0"/>
          <w:divBdr>
            <w:top w:val="none" w:sz="0" w:space="0" w:color="auto"/>
            <w:left w:val="none" w:sz="0" w:space="0" w:color="auto"/>
            <w:bottom w:val="none" w:sz="0" w:space="0" w:color="auto"/>
            <w:right w:val="none" w:sz="0" w:space="0" w:color="auto"/>
          </w:divBdr>
        </w:div>
      </w:divsChild>
    </w:div>
    <w:div w:id="1354308462">
      <w:marLeft w:val="0"/>
      <w:marRight w:val="0"/>
      <w:marTop w:val="0"/>
      <w:marBottom w:val="0"/>
      <w:divBdr>
        <w:top w:val="none" w:sz="0" w:space="0" w:color="auto"/>
        <w:left w:val="none" w:sz="0" w:space="0" w:color="auto"/>
        <w:bottom w:val="none" w:sz="0" w:space="0" w:color="auto"/>
        <w:right w:val="none" w:sz="0" w:space="0" w:color="auto"/>
      </w:divBdr>
      <w:divsChild>
        <w:div w:id="751201670">
          <w:marLeft w:val="0"/>
          <w:marRight w:val="0"/>
          <w:marTop w:val="0"/>
          <w:marBottom w:val="0"/>
          <w:divBdr>
            <w:top w:val="none" w:sz="0" w:space="0" w:color="auto"/>
            <w:left w:val="none" w:sz="0" w:space="0" w:color="auto"/>
            <w:bottom w:val="none" w:sz="0" w:space="0" w:color="auto"/>
            <w:right w:val="none" w:sz="0" w:space="0" w:color="auto"/>
          </w:divBdr>
          <w:divsChild>
            <w:div w:id="14472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9649">
      <w:marLeft w:val="0"/>
      <w:marRight w:val="0"/>
      <w:marTop w:val="0"/>
      <w:marBottom w:val="0"/>
      <w:divBdr>
        <w:top w:val="none" w:sz="0" w:space="0" w:color="auto"/>
        <w:left w:val="none" w:sz="0" w:space="0" w:color="auto"/>
        <w:bottom w:val="none" w:sz="0" w:space="0" w:color="auto"/>
        <w:right w:val="none" w:sz="0" w:space="0" w:color="auto"/>
      </w:divBdr>
    </w:div>
    <w:div w:id="1418558686">
      <w:marLeft w:val="0"/>
      <w:marRight w:val="0"/>
      <w:marTop w:val="0"/>
      <w:marBottom w:val="0"/>
      <w:divBdr>
        <w:top w:val="none" w:sz="0" w:space="0" w:color="auto"/>
        <w:left w:val="none" w:sz="0" w:space="0" w:color="auto"/>
        <w:bottom w:val="none" w:sz="0" w:space="0" w:color="auto"/>
        <w:right w:val="none" w:sz="0" w:space="0" w:color="auto"/>
      </w:divBdr>
    </w:div>
    <w:div w:id="1427775498">
      <w:marLeft w:val="0"/>
      <w:marRight w:val="0"/>
      <w:marTop w:val="0"/>
      <w:marBottom w:val="0"/>
      <w:divBdr>
        <w:top w:val="none" w:sz="0" w:space="0" w:color="auto"/>
        <w:left w:val="none" w:sz="0" w:space="0" w:color="auto"/>
        <w:bottom w:val="none" w:sz="0" w:space="0" w:color="auto"/>
        <w:right w:val="none" w:sz="0" w:space="0" w:color="auto"/>
      </w:divBdr>
    </w:div>
    <w:div w:id="1432160303">
      <w:marLeft w:val="0"/>
      <w:marRight w:val="0"/>
      <w:marTop w:val="0"/>
      <w:marBottom w:val="0"/>
      <w:divBdr>
        <w:top w:val="none" w:sz="0" w:space="0" w:color="auto"/>
        <w:left w:val="none" w:sz="0" w:space="0" w:color="auto"/>
        <w:bottom w:val="none" w:sz="0" w:space="0" w:color="auto"/>
        <w:right w:val="none" w:sz="0" w:space="0" w:color="auto"/>
      </w:divBdr>
      <w:divsChild>
        <w:div w:id="1249582510">
          <w:marLeft w:val="0"/>
          <w:marRight w:val="0"/>
          <w:marTop w:val="0"/>
          <w:marBottom w:val="0"/>
          <w:divBdr>
            <w:top w:val="none" w:sz="0" w:space="0" w:color="auto"/>
            <w:left w:val="none" w:sz="0" w:space="0" w:color="auto"/>
            <w:bottom w:val="none" w:sz="0" w:space="0" w:color="auto"/>
            <w:right w:val="none" w:sz="0" w:space="0" w:color="auto"/>
          </w:divBdr>
        </w:div>
        <w:div w:id="582106375">
          <w:marLeft w:val="0"/>
          <w:marRight w:val="0"/>
          <w:marTop w:val="0"/>
          <w:marBottom w:val="0"/>
          <w:divBdr>
            <w:top w:val="none" w:sz="0" w:space="0" w:color="auto"/>
            <w:left w:val="none" w:sz="0" w:space="0" w:color="auto"/>
            <w:bottom w:val="none" w:sz="0" w:space="0" w:color="auto"/>
            <w:right w:val="none" w:sz="0" w:space="0" w:color="auto"/>
          </w:divBdr>
        </w:div>
      </w:divsChild>
    </w:div>
    <w:div w:id="1434086408">
      <w:marLeft w:val="0"/>
      <w:marRight w:val="0"/>
      <w:marTop w:val="0"/>
      <w:marBottom w:val="0"/>
      <w:divBdr>
        <w:top w:val="none" w:sz="0" w:space="0" w:color="auto"/>
        <w:left w:val="none" w:sz="0" w:space="0" w:color="auto"/>
        <w:bottom w:val="none" w:sz="0" w:space="0" w:color="auto"/>
        <w:right w:val="none" w:sz="0" w:space="0" w:color="auto"/>
      </w:divBdr>
    </w:div>
    <w:div w:id="1439720771">
      <w:marLeft w:val="0"/>
      <w:marRight w:val="0"/>
      <w:marTop w:val="0"/>
      <w:marBottom w:val="0"/>
      <w:divBdr>
        <w:top w:val="none" w:sz="0" w:space="0" w:color="auto"/>
        <w:left w:val="none" w:sz="0" w:space="0" w:color="auto"/>
        <w:bottom w:val="none" w:sz="0" w:space="0" w:color="auto"/>
        <w:right w:val="none" w:sz="0" w:space="0" w:color="auto"/>
      </w:divBdr>
      <w:divsChild>
        <w:div w:id="1723358308">
          <w:marLeft w:val="0"/>
          <w:marRight w:val="0"/>
          <w:marTop w:val="0"/>
          <w:marBottom w:val="0"/>
          <w:divBdr>
            <w:top w:val="none" w:sz="0" w:space="0" w:color="auto"/>
            <w:left w:val="none" w:sz="0" w:space="0" w:color="auto"/>
            <w:bottom w:val="none" w:sz="0" w:space="0" w:color="auto"/>
            <w:right w:val="none" w:sz="0" w:space="0" w:color="auto"/>
          </w:divBdr>
        </w:div>
        <w:div w:id="468135061">
          <w:marLeft w:val="0"/>
          <w:marRight w:val="0"/>
          <w:marTop w:val="0"/>
          <w:marBottom w:val="0"/>
          <w:divBdr>
            <w:top w:val="none" w:sz="0" w:space="0" w:color="auto"/>
            <w:left w:val="none" w:sz="0" w:space="0" w:color="auto"/>
            <w:bottom w:val="none" w:sz="0" w:space="0" w:color="auto"/>
            <w:right w:val="none" w:sz="0" w:space="0" w:color="auto"/>
          </w:divBdr>
        </w:div>
        <w:div w:id="289559840">
          <w:marLeft w:val="0"/>
          <w:marRight w:val="0"/>
          <w:marTop w:val="0"/>
          <w:marBottom w:val="0"/>
          <w:divBdr>
            <w:top w:val="none" w:sz="0" w:space="0" w:color="auto"/>
            <w:left w:val="none" w:sz="0" w:space="0" w:color="auto"/>
            <w:bottom w:val="none" w:sz="0" w:space="0" w:color="auto"/>
            <w:right w:val="none" w:sz="0" w:space="0" w:color="auto"/>
          </w:divBdr>
          <w:divsChild>
            <w:div w:id="1664310195">
              <w:marLeft w:val="0"/>
              <w:marRight w:val="0"/>
              <w:marTop w:val="0"/>
              <w:marBottom w:val="0"/>
              <w:divBdr>
                <w:top w:val="none" w:sz="0" w:space="0" w:color="auto"/>
                <w:left w:val="none" w:sz="0" w:space="0" w:color="auto"/>
                <w:bottom w:val="none" w:sz="0" w:space="0" w:color="auto"/>
                <w:right w:val="none" w:sz="0" w:space="0" w:color="auto"/>
              </w:divBdr>
            </w:div>
          </w:divsChild>
        </w:div>
        <w:div w:id="1457986714">
          <w:marLeft w:val="0"/>
          <w:marRight w:val="0"/>
          <w:marTop w:val="0"/>
          <w:marBottom w:val="0"/>
          <w:divBdr>
            <w:top w:val="none" w:sz="0" w:space="0" w:color="auto"/>
            <w:left w:val="none" w:sz="0" w:space="0" w:color="auto"/>
            <w:bottom w:val="none" w:sz="0" w:space="0" w:color="auto"/>
            <w:right w:val="none" w:sz="0" w:space="0" w:color="auto"/>
          </w:divBdr>
        </w:div>
      </w:divsChild>
    </w:div>
    <w:div w:id="1444229244">
      <w:marLeft w:val="0"/>
      <w:marRight w:val="0"/>
      <w:marTop w:val="0"/>
      <w:marBottom w:val="0"/>
      <w:divBdr>
        <w:top w:val="none" w:sz="0" w:space="0" w:color="auto"/>
        <w:left w:val="none" w:sz="0" w:space="0" w:color="auto"/>
        <w:bottom w:val="none" w:sz="0" w:space="0" w:color="auto"/>
        <w:right w:val="none" w:sz="0" w:space="0" w:color="auto"/>
      </w:divBdr>
    </w:div>
    <w:div w:id="1444303029">
      <w:marLeft w:val="0"/>
      <w:marRight w:val="0"/>
      <w:marTop w:val="0"/>
      <w:marBottom w:val="0"/>
      <w:divBdr>
        <w:top w:val="none" w:sz="0" w:space="0" w:color="auto"/>
        <w:left w:val="none" w:sz="0" w:space="0" w:color="auto"/>
        <w:bottom w:val="none" w:sz="0" w:space="0" w:color="auto"/>
        <w:right w:val="none" w:sz="0" w:space="0" w:color="auto"/>
      </w:divBdr>
      <w:divsChild>
        <w:div w:id="1134450660">
          <w:marLeft w:val="0"/>
          <w:marRight w:val="0"/>
          <w:marTop w:val="0"/>
          <w:marBottom w:val="0"/>
          <w:divBdr>
            <w:top w:val="none" w:sz="0" w:space="0" w:color="auto"/>
            <w:left w:val="none" w:sz="0" w:space="0" w:color="auto"/>
            <w:bottom w:val="none" w:sz="0" w:space="0" w:color="auto"/>
            <w:right w:val="none" w:sz="0" w:space="0" w:color="auto"/>
          </w:divBdr>
        </w:div>
        <w:div w:id="1695770818">
          <w:marLeft w:val="0"/>
          <w:marRight w:val="0"/>
          <w:marTop w:val="0"/>
          <w:marBottom w:val="0"/>
          <w:divBdr>
            <w:top w:val="none" w:sz="0" w:space="0" w:color="auto"/>
            <w:left w:val="none" w:sz="0" w:space="0" w:color="auto"/>
            <w:bottom w:val="none" w:sz="0" w:space="0" w:color="auto"/>
            <w:right w:val="none" w:sz="0" w:space="0" w:color="auto"/>
          </w:divBdr>
        </w:div>
        <w:div w:id="1909148816">
          <w:marLeft w:val="0"/>
          <w:marRight w:val="0"/>
          <w:marTop w:val="0"/>
          <w:marBottom w:val="0"/>
          <w:divBdr>
            <w:top w:val="none" w:sz="0" w:space="0" w:color="auto"/>
            <w:left w:val="none" w:sz="0" w:space="0" w:color="auto"/>
            <w:bottom w:val="none" w:sz="0" w:space="0" w:color="auto"/>
            <w:right w:val="none" w:sz="0" w:space="0" w:color="auto"/>
          </w:divBdr>
          <w:divsChild>
            <w:div w:id="286547017">
              <w:marLeft w:val="0"/>
              <w:marRight w:val="0"/>
              <w:marTop w:val="0"/>
              <w:marBottom w:val="0"/>
              <w:divBdr>
                <w:top w:val="none" w:sz="0" w:space="0" w:color="auto"/>
                <w:left w:val="none" w:sz="0" w:space="0" w:color="auto"/>
                <w:bottom w:val="none" w:sz="0" w:space="0" w:color="auto"/>
                <w:right w:val="none" w:sz="0" w:space="0" w:color="auto"/>
              </w:divBdr>
            </w:div>
          </w:divsChild>
        </w:div>
        <w:div w:id="1380789714">
          <w:marLeft w:val="0"/>
          <w:marRight w:val="0"/>
          <w:marTop w:val="0"/>
          <w:marBottom w:val="0"/>
          <w:divBdr>
            <w:top w:val="none" w:sz="0" w:space="0" w:color="auto"/>
            <w:left w:val="none" w:sz="0" w:space="0" w:color="auto"/>
            <w:bottom w:val="none" w:sz="0" w:space="0" w:color="auto"/>
            <w:right w:val="none" w:sz="0" w:space="0" w:color="auto"/>
          </w:divBdr>
        </w:div>
      </w:divsChild>
    </w:div>
    <w:div w:id="1446999808">
      <w:marLeft w:val="0"/>
      <w:marRight w:val="0"/>
      <w:marTop w:val="0"/>
      <w:marBottom w:val="0"/>
      <w:divBdr>
        <w:top w:val="none" w:sz="0" w:space="0" w:color="auto"/>
        <w:left w:val="none" w:sz="0" w:space="0" w:color="auto"/>
        <w:bottom w:val="none" w:sz="0" w:space="0" w:color="auto"/>
        <w:right w:val="none" w:sz="0" w:space="0" w:color="auto"/>
      </w:divBdr>
    </w:div>
    <w:div w:id="1452091039">
      <w:marLeft w:val="0"/>
      <w:marRight w:val="0"/>
      <w:marTop w:val="0"/>
      <w:marBottom w:val="0"/>
      <w:divBdr>
        <w:top w:val="none" w:sz="0" w:space="0" w:color="auto"/>
        <w:left w:val="none" w:sz="0" w:space="0" w:color="auto"/>
        <w:bottom w:val="none" w:sz="0" w:space="0" w:color="auto"/>
        <w:right w:val="none" w:sz="0" w:space="0" w:color="auto"/>
      </w:divBdr>
    </w:div>
    <w:div w:id="1468888106">
      <w:marLeft w:val="0"/>
      <w:marRight w:val="0"/>
      <w:marTop w:val="0"/>
      <w:marBottom w:val="0"/>
      <w:divBdr>
        <w:top w:val="none" w:sz="0" w:space="0" w:color="auto"/>
        <w:left w:val="none" w:sz="0" w:space="0" w:color="auto"/>
        <w:bottom w:val="none" w:sz="0" w:space="0" w:color="auto"/>
        <w:right w:val="none" w:sz="0" w:space="0" w:color="auto"/>
      </w:divBdr>
      <w:divsChild>
        <w:div w:id="1213881689">
          <w:marLeft w:val="0"/>
          <w:marRight w:val="0"/>
          <w:marTop w:val="0"/>
          <w:marBottom w:val="0"/>
          <w:divBdr>
            <w:top w:val="none" w:sz="0" w:space="0" w:color="auto"/>
            <w:left w:val="none" w:sz="0" w:space="0" w:color="auto"/>
            <w:bottom w:val="none" w:sz="0" w:space="0" w:color="auto"/>
            <w:right w:val="none" w:sz="0" w:space="0" w:color="auto"/>
          </w:divBdr>
        </w:div>
        <w:div w:id="1310093856">
          <w:marLeft w:val="0"/>
          <w:marRight w:val="0"/>
          <w:marTop w:val="0"/>
          <w:marBottom w:val="0"/>
          <w:divBdr>
            <w:top w:val="none" w:sz="0" w:space="0" w:color="auto"/>
            <w:left w:val="none" w:sz="0" w:space="0" w:color="auto"/>
            <w:bottom w:val="none" w:sz="0" w:space="0" w:color="auto"/>
            <w:right w:val="none" w:sz="0" w:space="0" w:color="auto"/>
          </w:divBdr>
        </w:div>
      </w:divsChild>
    </w:div>
    <w:div w:id="1470784091">
      <w:marLeft w:val="0"/>
      <w:marRight w:val="0"/>
      <w:marTop w:val="0"/>
      <w:marBottom w:val="0"/>
      <w:divBdr>
        <w:top w:val="none" w:sz="0" w:space="0" w:color="auto"/>
        <w:left w:val="none" w:sz="0" w:space="0" w:color="auto"/>
        <w:bottom w:val="none" w:sz="0" w:space="0" w:color="auto"/>
        <w:right w:val="none" w:sz="0" w:space="0" w:color="auto"/>
      </w:divBdr>
      <w:divsChild>
        <w:div w:id="409010491">
          <w:marLeft w:val="0"/>
          <w:marRight w:val="0"/>
          <w:marTop w:val="0"/>
          <w:marBottom w:val="0"/>
          <w:divBdr>
            <w:top w:val="none" w:sz="0" w:space="0" w:color="auto"/>
            <w:left w:val="none" w:sz="0" w:space="0" w:color="auto"/>
            <w:bottom w:val="none" w:sz="0" w:space="0" w:color="auto"/>
            <w:right w:val="none" w:sz="0" w:space="0" w:color="auto"/>
          </w:divBdr>
        </w:div>
        <w:div w:id="1061834152">
          <w:marLeft w:val="0"/>
          <w:marRight w:val="0"/>
          <w:marTop w:val="0"/>
          <w:marBottom w:val="0"/>
          <w:divBdr>
            <w:top w:val="none" w:sz="0" w:space="0" w:color="auto"/>
            <w:left w:val="none" w:sz="0" w:space="0" w:color="auto"/>
            <w:bottom w:val="none" w:sz="0" w:space="0" w:color="auto"/>
            <w:right w:val="none" w:sz="0" w:space="0" w:color="auto"/>
          </w:divBdr>
        </w:div>
        <w:div w:id="756023770">
          <w:marLeft w:val="0"/>
          <w:marRight w:val="0"/>
          <w:marTop w:val="0"/>
          <w:marBottom w:val="0"/>
          <w:divBdr>
            <w:top w:val="none" w:sz="0" w:space="0" w:color="auto"/>
            <w:left w:val="none" w:sz="0" w:space="0" w:color="auto"/>
            <w:bottom w:val="none" w:sz="0" w:space="0" w:color="auto"/>
            <w:right w:val="none" w:sz="0" w:space="0" w:color="auto"/>
          </w:divBdr>
          <w:divsChild>
            <w:div w:id="1115948263">
              <w:marLeft w:val="0"/>
              <w:marRight w:val="0"/>
              <w:marTop w:val="0"/>
              <w:marBottom w:val="0"/>
              <w:divBdr>
                <w:top w:val="none" w:sz="0" w:space="0" w:color="auto"/>
                <w:left w:val="none" w:sz="0" w:space="0" w:color="auto"/>
                <w:bottom w:val="none" w:sz="0" w:space="0" w:color="auto"/>
                <w:right w:val="none" w:sz="0" w:space="0" w:color="auto"/>
              </w:divBdr>
            </w:div>
          </w:divsChild>
        </w:div>
        <w:div w:id="440029562">
          <w:marLeft w:val="0"/>
          <w:marRight w:val="0"/>
          <w:marTop w:val="0"/>
          <w:marBottom w:val="0"/>
          <w:divBdr>
            <w:top w:val="none" w:sz="0" w:space="0" w:color="auto"/>
            <w:left w:val="none" w:sz="0" w:space="0" w:color="auto"/>
            <w:bottom w:val="none" w:sz="0" w:space="0" w:color="auto"/>
            <w:right w:val="none" w:sz="0" w:space="0" w:color="auto"/>
          </w:divBdr>
        </w:div>
      </w:divsChild>
    </w:div>
    <w:div w:id="1479155001">
      <w:marLeft w:val="0"/>
      <w:marRight w:val="0"/>
      <w:marTop w:val="0"/>
      <w:marBottom w:val="0"/>
      <w:divBdr>
        <w:top w:val="none" w:sz="0" w:space="0" w:color="auto"/>
        <w:left w:val="none" w:sz="0" w:space="0" w:color="auto"/>
        <w:bottom w:val="none" w:sz="0" w:space="0" w:color="auto"/>
        <w:right w:val="none" w:sz="0" w:space="0" w:color="auto"/>
      </w:divBdr>
      <w:divsChild>
        <w:div w:id="2104688906">
          <w:marLeft w:val="0"/>
          <w:marRight w:val="0"/>
          <w:marTop w:val="0"/>
          <w:marBottom w:val="0"/>
          <w:divBdr>
            <w:top w:val="none" w:sz="0" w:space="0" w:color="auto"/>
            <w:left w:val="none" w:sz="0" w:space="0" w:color="auto"/>
            <w:bottom w:val="none" w:sz="0" w:space="0" w:color="auto"/>
            <w:right w:val="none" w:sz="0" w:space="0" w:color="auto"/>
          </w:divBdr>
        </w:div>
      </w:divsChild>
    </w:div>
    <w:div w:id="1494639562">
      <w:marLeft w:val="0"/>
      <w:marRight w:val="0"/>
      <w:marTop w:val="0"/>
      <w:marBottom w:val="0"/>
      <w:divBdr>
        <w:top w:val="none" w:sz="0" w:space="0" w:color="auto"/>
        <w:left w:val="none" w:sz="0" w:space="0" w:color="auto"/>
        <w:bottom w:val="none" w:sz="0" w:space="0" w:color="auto"/>
        <w:right w:val="none" w:sz="0" w:space="0" w:color="auto"/>
      </w:divBdr>
    </w:div>
    <w:div w:id="1495998705">
      <w:marLeft w:val="0"/>
      <w:marRight w:val="0"/>
      <w:marTop w:val="0"/>
      <w:marBottom w:val="0"/>
      <w:divBdr>
        <w:top w:val="none" w:sz="0" w:space="0" w:color="auto"/>
        <w:left w:val="none" w:sz="0" w:space="0" w:color="auto"/>
        <w:bottom w:val="none" w:sz="0" w:space="0" w:color="auto"/>
        <w:right w:val="none" w:sz="0" w:space="0" w:color="auto"/>
      </w:divBdr>
      <w:divsChild>
        <w:div w:id="123081606">
          <w:marLeft w:val="0"/>
          <w:marRight w:val="0"/>
          <w:marTop w:val="0"/>
          <w:marBottom w:val="0"/>
          <w:divBdr>
            <w:top w:val="none" w:sz="0" w:space="0" w:color="auto"/>
            <w:left w:val="none" w:sz="0" w:space="0" w:color="auto"/>
            <w:bottom w:val="none" w:sz="0" w:space="0" w:color="auto"/>
            <w:right w:val="none" w:sz="0" w:space="0" w:color="auto"/>
          </w:divBdr>
        </w:div>
        <w:div w:id="181357699">
          <w:marLeft w:val="0"/>
          <w:marRight w:val="0"/>
          <w:marTop w:val="0"/>
          <w:marBottom w:val="0"/>
          <w:divBdr>
            <w:top w:val="none" w:sz="0" w:space="0" w:color="auto"/>
            <w:left w:val="none" w:sz="0" w:space="0" w:color="auto"/>
            <w:bottom w:val="none" w:sz="0" w:space="0" w:color="auto"/>
            <w:right w:val="none" w:sz="0" w:space="0" w:color="auto"/>
          </w:divBdr>
        </w:div>
      </w:divsChild>
    </w:div>
    <w:div w:id="1506945410">
      <w:marLeft w:val="0"/>
      <w:marRight w:val="0"/>
      <w:marTop w:val="0"/>
      <w:marBottom w:val="0"/>
      <w:divBdr>
        <w:top w:val="none" w:sz="0" w:space="0" w:color="auto"/>
        <w:left w:val="none" w:sz="0" w:space="0" w:color="auto"/>
        <w:bottom w:val="none" w:sz="0" w:space="0" w:color="auto"/>
        <w:right w:val="none" w:sz="0" w:space="0" w:color="auto"/>
      </w:divBdr>
    </w:div>
    <w:div w:id="1510288271">
      <w:marLeft w:val="0"/>
      <w:marRight w:val="0"/>
      <w:marTop w:val="0"/>
      <w:marBottom w:val="0"/>
      <w:divBdr>
        <w:top w:val="none" w:sz="0" w:space="0" w:color="auto"/>
        <w:left w:val="none" w:sz="0" w:space="0" w:color="auto"/>
        <w:bottom w:val="none" w:sz="0" w:space="0" w:color="auto"/>
        <w:right w:val="none" w:sz="0" w:space="0" w:color="auto"/>
      </w:divBdr>
    </w:div>
    <w:div w:id="1551841443">
      <w:marLeft w:val="0"/>
      <w:marRight w:val="0"/>
      <w:marTop w:val="0"/>
      <w:marBottom w:val="0"/>
      <w:divBdr>
        <w:top w:val="none" w:sz="0" w:space="0" w:color="auto"/>
        <w:left w:val="none" w:sz="0" w:space="0" w:color="auto"/>
        <w:bottom w:val="none" w:sz="0" w:space="0" w:color="auto"/>
        <w:right w:val="none" w:sz="0" w:space="0" w:color="auto"/>
      </w:divBdr>
      <w:divsChild>
        <w:div w:id="463885251">
          <w:marLeft w:val="0"/>
          <w:marRight w:val="0"/>
          <w:marTop w:val="0"/>
          <w:marBottom w:val="0"/>
          <w:divBdr>
            <w:top w:val="none" w:sz="0" w:space="0" w:color="auto"/>
            <w:left w:val="none" w:sz="0" w:space="0" w:color="auto"/>
            <w:bottom w:val="none" w:sz="0" w:space="0" w:color="auto"/>
            <w:right w:val="none" w:sz="0" w:space="0" w:color="auto"/>
          </w:divBdr>
        </w:div>
        <w:div w:id="173111137">
          <w:marLeft w:val="0"/>
          <w:marRight w:val="0"/>
          <w:marTop w:val="0"/>
          <w:marBottom w:val="0"/>
          <w:divBdr>
            <w:top w:val="none" w:sz="0" w:space="0" w:color="auto"/>
            <w:left w:val="none" w:sz="0" w:space="0" w:color="auto"/>
            <w:bottom w:val="none" w:sz="0" w:space="0" w:color="auto"/>
            <w:right w:val="none" w:sz="0" w:space="0" w:color="auto"/>
          </w:divBdr>
        </w:div>
        <w:div w:id="1486780599">
          <w:marLeft w:val="0"/>
          <w:marRight w:val="0"/>
          <w:marTop w:val="0"/>
          <w:marBottom w:val="0"/>
          <w:divBdr>
            <w:top w:val="none" w:sz="0" w:space="0" w:color="auto"/>
            <w:left w:val="none" w:sz="0" w:space="0" w:color="auto"/>
            <w:bottom w:val="none" w:sz="0" w:space="0" w:color="auto"/>
            <w:right w:val="none" w:sz="0" w:space="0" w:color="auto"/>
          </w:divBdr>
          <w:divsChild>
            <w:div w:id="2002080269">
              <w:marLeft w:val="0"/>
              <w:marRight w:val="0"/>
              <w:marTop w:val="0"/>
              <w:marBottom w:val="0"/>
              <w:divBdr>
                <w:top w:val="none" w:sz="0" w:space="0" w:color="auto"/>
                <w:left w:val="none" w:sz="0" w:space="0" w:color="auto"/>
                <w:bottom w:val="none" w:sz="0" w:space="0" w:color="auto"/>
                <w:right w:val="none" w:sz="0" w:space="0" w:color="auto"/>
              </w:divBdr>
            </w:div>
          </w:divsChild>
        </w:div>
        <w:div w:id="539589550">
          <w:marLeft w:val="0"/>
          <w:marRight w:val="0"/>
          <w:marTop w:val="0"/>
          <w:marBottom w:val="0"/>
          <w:divBdr>
            <w:top w:val="none" w:sz="0" w:space="0" w:color="auto"/>
            <w:left w:val="none" w:sz="0" w:space="0" w:color="auto"/>
            <w:bottom w:val="none" w:sz="0" w:space="0" w:color="auto"/>
            <w:right w:val="none" w:sz="0" w:space="0" w:color="auto"/>
          </w:divBdr>
        </w:div>
      </w:divsChild>
    </w:div>
    <w:div w:id="1556619870">
      <w:marLeft w:val="0"/>
      <w:marRight w:val="0"/>
      <w:marTop w:val="0"/>
      <w:marBottom w:val="0"/>
      <w:divBdr>
        <w:top w:val="none" w:sz="0" w:space="0" w:color="auto"/>
        <w:left w:val="none" w:sz="0" w:space="0" w:color="auto"/>
        <w:bottom w:val="none" w:sz="0" w:space="0" w:color="auto"/>
        <w:right w:val="none" w:sz="0" w:space="0" w:color="auto"/>
      </w:divBdr>
    </w:div>
    <w:div w:id="1560363261">
      <w:marLeft w:val="0"/>
      <w:marRight w:val="0"/>
      <w:marTop w:val="0"/>
      <w:marBottom w:val="0"/>
      <w:divBdr>
        <w:top w:val="none" w:sz="0" w:space="0" w:color="auto"/>
        <w:left w:val="none" w:sz="0" w:space="0" w:color="auto"/>
        <w:bottom w:val="none" w:sz="0" w:space="0" w:color="auto"/>
        <w:right w:val="none" w:sz="0" w:space="0" w:color="auto"/>
      </w:divBdr>
      <w:divsChild>
        <w:div w:id="750732398">
          <w:marLeft w:val="0"/>
          <w:marRight w:val="0"/>
          <w:marTop w:val="0"/>
          <w:marBottom w:val="0"/>
          <w:divBdr>
            <w:top w:val="none" w:sz="0" w:space="0" w:color="auto"/>
            <w:left w:val="none" w:sz="0" w:space="0" w:color="auto"/>
            <w:bottom w:val="none" w:sz="0" w:space="0" w:color="auto"/>
            <w:right w:val="none" w:sz="0" w:space="0" w:color="auto"/>
          </w:divBdr>
        </w:div>
        <w:div w:id="1529413794">
          <w:marLeft w:val="0"/>
          <w:marRight w:val="0"/>
          <w:marTop w:val="0"/>
          <w:marBottom w:val="0"/>
          <w:divBdr>
            <w:top w:val="none" w:sz="0" w:space="0" w:color="auto"/>
            <w:left w:val="none" w:sz="0" w:space="0" w:color="auto"/>
            <w:bottom w:val="none" w:sz="0" w:space="0" w:color="auto"/>
            <w:right w:val="none" w:sz="0" w:space="0" w:color="auto"/>
          </w:divBdr>
          <w:divsChild>
            <w:div w:id="1476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313">
      <w:marLeft w:val="0"/>
      <w:marRight w:val="0"/>
      <w:marTop w:val="0"/>
      <w:marBottom w:val="0"/>
      <w:divBdr>
        <w:top w:val="none" w:sz="0" w:space="0" w:color="auto"/>
        <w:left w:val="none" w:sz="0" w:space="0" w:color="auto"/>
        <w:bottom w:val="none" w:sz="0" w:space="0" w:color="auto"/>
        <w:right w:val="none" w:sz="0" w:space="0" w:color="auto"/>
      </w:divBdr>
    </w:div>
    <w:div w:id="1560559064">
      <w:marLeft w:val="0"/>
      <w:marRight w:val="0"/>
      <w:marTop w:val="0"/>
      <w:marBottom w:val="0"/>
      <w:divBdr>
        <w:top w:val="none" w:sz="0" w:space="0" w:color="auto"/>
        <w:left w:val="none" w:sz="0" w:space="0" w:color="auto"/>
        <w:bottom w:val="none" w:sz="0" w:space="0" w:color="auto"/>
        <w:right w:val="none" w:sz="0" w:space="0" w:color="auto"/>
      </w:divBdr>
      <w:divsChild>
        <w:div w:id="1277252827">
          <w:marLeft w:val="0"/>
          <w:marRight w:val="0"/>
          <w:marTop w:val="0"/>
          <w:marBottom w:val="0"/>
          <w:divBdr>
            <w:top w:val="none" w:sz="0" w:space="0" w:color="auto"/>
            <w:left w:val="none" w:sz="0" w:space="0" w:color="auto"/>
            <w:bottom w:val="none" w:sz="0" w:space="0" w:color="auto"/>
            <w:right w:val="none" w:sz="0" w:space="0" w:color="auto"/>
          </w:divBdr>
        </w:div>
        <w:div w:id="35200064">
          <w:marLeft w:val="0"/>
          <w:marRight w:val="0"/>
          <w:marTop w:val="0"/>
          <w:marBottom w:val="0"/>
          <w:divBdr>
            <w:top w:val="none" w:sz="0" w:space="0" w:color="auto"/>
            <w:left w:val="none" w:sz="0" w:space="0" w:color="auto"/>
            <w:bottom w:val="none" w:sz="0" w:space="0" w:color="auto"/>
            <w:right w:val="none" w:sz="0" w:space="0" w:color="auto"/>
          </w:divBdr>
        </w:div>
      </w:divsChild>
    </w:div>
    <w:div w:id="1577982891">
      <w:marLeft w:val="0"/>
      <w:marRight w:val="0"/>
      <w:marTop w:val="0"/>
      <w:marBottom w:val="0"/>
      <w:divBdr>
        <w:top w:val="none" w:sz="0" w:space="0" w:color="auto"/>
        <w:left w:val="none" w:sz="0" w:space="0" w:color="auto"/>
        <w:bottom w:val="none" w:sz="0" w:space="0" w:color="auto"/>
        <w:right w:val="none" w:sz="0" w:space="0" w:color="auto"/>
      </w:divBdr>
      <w:divsChild>
        <w:div w:id="350761676">
          <w:marLeft w:val="0"/>
          <w:marRight w:val="0"/>
          <w:marTop w:val="0"/>
          <w:marBottom w:val="0"/>
          <w:divBdr>
            <w:top w:val="none" w:sz="0" w:space="0" w:color="auto"/>
            <w:left w:val="none" w:sz="0" w:space="0" w:color="auto"/>
            <w:bottom w:val="none" w:sz="0" w:space="0" w:color="auto"/>
            <w:right w:val="none" w:sz="0" w:space="0" w:color="auto"/>
          </w:divBdr>
        </w:div>
        <w:div w:id="1532843665">
          <w:marLeft w:val="0"/>
          <w:marRight w:val="0"/>
          <w:marTop w:val="0"/>
          <w:marBottom w:val="0"/>
          <w:divBdr>
            <w:top w:val="none" w:sz="0" w:space="0" w:color="auto"/>
            <w:left w:val="none" w:sz="0" w:space="0" w:color="auto"/>
            <w:bottom w:val="none" w:sz="0" w:space="0" w:color="auto"/>
            <w:right w:val="none" w:sz="0" w:space="0" w:color="auto"/>
          </w:divBdr>
        </w:div>
        <w:div w:id="366375695">
          <w:marLeft w:val="0"/>
          <w:marRight w:val="0"/>
          <w:marTop w:val="0"/>
          <w:marBottom w:val="0"/>
          <w:divBdr>
            <w:top w:val="none" w:sz="0" w:space="0" w:color="auto"/>
            <w:left w:val="none" w:sz="0" w:space="0" w:color="auto"/>
            <w:bottom w:val="none" w:sz="0" w:space="0" w:color="auto"/>
            <w:right w:val="none" w:sz="0" w:space="0" w:color="auto"/>
          </w:divBdr>
          <w:divsChild>
            <w:div w:id="465851852">
              <w:marLeft w:val="0"/>
              <w:marRight w:val="0"/>
              <w:marTop w:val="0"/>
              <w:marBottom w:val="0"/>
              <w:divBdr>
                <w:top w:val="none" w:sz="0" w:space="0" w:color="auto"/>
                <w:left w:val="none" w:sz="0" w:space="0" w:color="auto"/>
                <w:bottom w:val="none" w:sz="0" w:space="0" w:color="auto"/>
                <w:right w:val="none" w:sz="0" w:space="0" w:color="auto"/>
              </w:divBdr>
            </w:div>
          </w:divsChild>
        </w:div>
        <w:div w:id="790781577">
          <w:marLeft w:val="0"/>
          <w:marRight w:val="0"/>
          <w:marTop w:val="0"/>
          <w:marBottom w:val="0"/>
          <w:divBdr>
            <w:top w:val="none" w:sz="0" w:space="0" w:color="auto"/>
            <w:left w:val="none" w:sz="0" w:space="0" w:color="auto"/>
            <w:bottom w:val="none" w:sz="0" w:space="0" w:color="auto"/>
            <w:right w:val="none" w:sz="0" w:space="0" w:color="auto"/>
          </w:divBdr>
        </w:div>
      </w:divsChild>
    </w:div>
    <w:div w:id="1584757582">
      <w:marLeft w:val="0"/>
      <w:marRight w:val="0"/>
      <w:marTop w:val="0"/>
      <w:marBottom w:val="0"/>
      <w:divBdr>
        <w:top w:val="none" w:sz="0" w:space="0" w:color="auto"/>
        <w:left w:val="none" w:sz="0" w:space="0" w:color="auto"/>
        <w:bottom w:val="none" w:sz="0" w:space="0" w:color="auto"/>
        <w:right w:val="none" w:sz="0" w:space="0" w:color="auto"/>
      </w:divBdr>
      <w:divsChild>
        <w:div w:id="1586916219">
          <w:marLeft w:val="0"/>
          <w:marRight w:val="0"/>
          <w:marTop w:val="0"/>
          <w:marBottom w:val="0"/>
          <w:divBdr>
            <w:top w:val="none" w:sz="0" w:space="0" w:color="auto"/>
            <w:left w:val="none" w:sz="0" w:space="0" w:color="auto"/>
            <w:bottom w:val="none" w:sz="0" w:space="0" w:color="auto"/>
            <w:right w:val="none" w:sz="0" w:space="0" w:color="auto"/>
          </w:divBdr>
        </w:div>
        <w:div w:id="2010449226">
          <w:marLeft w:val="0"/>
          <w:marRight w:val="0"/>
          <w:marTop w:val="0"/>
          <w:marBottom w:val="0"/>
          <w:divBdr>
            <w:top w:val="none" w:sz="0" w:space="0" w:color="auto"/>
            <w:left w:val="none" w:sz="0" w:space="0" w:color="auto"/>
            <w:bottom w:val="none" w:sz="0" w:space="0" w:color="auto"/>
            <w:right w:val="none" w:sz="0" w:space="0" w:color="auto"/>
          </w:divBdr>
        </w:div>
        <w:div w:id="987632534">
          <w:marLeft w:val="0"/>
          <w:marRight w:val="0"/>
          <w:marTop w:val="0"/>
          <w:marBottom w:val="0"/>
          <w:divBdr>
            <w:top w:val="none" w:sz="0" w:space="0" w:color="auto"/>
            <w:left w:val="none" w:sz="0" w:space="0" w:color="auto"/>
            <w:bottom w:val="none" w:sz="0" w:space="0" w:color="auto"/>
            <w:right w:val="none" w:sz="0" w:space="0" w:color="auto"/>
          </w:divBdr>
          <w:divsChild>
            <w:div w:id="1851024129">
              <w:marLeft w:val="0"/>
              <w:marRight w:val="0"/>
              <w:marTop w:val="0"/>
              <w:marBottom w:val="0"/>
              <w:divBdr>
                <w:top w:val="none" w:sz="0" w:space="0" w:color="auto"/>
                <w:left w:val="none" w:sz="0" w:space="0" w:color="auto"/>
                <w:bottom w:val="none" w:sz="0" w:space="0" w:color="auto"/>
                <w:right w:val="none" w:sz="0" w:space="0" w:color="auto"/>
              </w:divBdr>
            </w:div>
          </w:divsChild>
        </w:div>
        <w:div w:id="1550923332">
          <w:marLeft w:val="0"/>
          <w:marRight w:val="0"/>
          <w:marTop w:val="0"/>
          <w:marBottom w:val="0"/>
          <w:divBdr>
            <w:top w:val="none" w:sz="0" w:space="0" w:color="auto"/>
            <w:left w:val="none" w:sz="0" w:space="0" w:color="auto"/>
            <w:bottom w:val="none" w:sz="0" w:space="0" w:color="auto"/>
            <w:right w:val="none" w:sz="0" w:space="0" w:color="auto"/>
          </w:divBdr>
        </w:div>
      </w:divsChild>
    </w:div>
    <w:div w:id="1596554883">
      <w:marLeft w:val="0"/>
      <w:marRight w:val="0"/>
      <w:marTop w:val="0"/>
      <w:marBottom w:val="0"/>
      <w:divBdr>
        <w:top w:val="none" w:sz="0" w:space="0" w:color="auto"/>
        <w:left w:val="none" w:sz="0" w:space="0" w:color="auto"/>
        <w:bottom w:val="none" w:sz="0" w:space="0" w:color="auto"/>
        <w:right w:val="none" w:sz="0" w:space="0" w:color="auto"/>
      </w:divBdr>
    </w:div>
    <w:div w:id="1602032249">
      <w:marLeft w:val="0"/>
      <w:marRight w:val="0"/>
      <w:marTop w:val="0"/>
      <w:marBottom w:val="0"/>
      <w:divBdr>
        <w:top w:val="none" w:sz="0" w:space="0" w:color="auto"/>
        <w:left w:val="none" w:sz="0" w:space="0" w:color="auto"/>
        <w:bottom w:val="none" w:sz="0" w:space="0" w:color="auto"/>
        <w:right w:val="none" w:sz="0" w:space="0" w:color="auto"/>
      </w:divBdr>
    </w:div>
    <w:div w:id="1618562439">
      <w:marLeft w:val="0"/>
      <w:marRight w:val="0"/>
      <w:marTop w:val="0"/>
      <w:marBottom w:val="0"/>
      <w:divBdr>
        <w:top w:val="none" w:sz="0" w:space="0" w:color="auto"/>
        <w:left w:val="none" w:sz="0" w:space="0" w:color="auto"/>
        <w:bottom w:val="none" w:sz="0" w:space="0" w:color="auto"/>
        <w:right w:val="none" w:sz="0" w:space="0" w:color="auto"/>
      </w:divBdr>
      <w:divsChild>
        <w:div w:id="686061175">
          <w:marLeft w:val="0"/>
          <w:marRight w:val="0"/>
          <w:marTop w:val="0"/>
          <w:marBottom w:val="0"/>
          <w:divBdr>
            <w:top w:val="none" w:sz="0" w:space="0" w:color="auto"/>
            <w:left w:val="none" w:sz="0" w:space="0" w:color="auto"/>
            <w:bottom w:val="none" w:sz="0" w:space="0" w:color="auto"/>
            <w:right w:val="none" w:sz="0" w:space="0" w:color="auto"/>
          </w:divBdr>
          <w:divsChild>
            <w:div w:id="2055039039">
              <w:marLeft w:val="0"/>
              <w:marRight w:val="0"/>
              <w:marTop w:val="0"/>
              <w:marBottom w:val="0"/>
              <w:divBdr>
                <w:top w:val="none" w:sz="0" w:space="0" w:color="auto"/>
                <w:left w:val="none" w:sz="0" w:space="0" w:color="auto"/>
                <w:bottom w:val="none" w:sz="0" w:space="0" w:color="auto"/>
                <w:right w:val="none" w:sz="0" w:space="0" w:color="auto"/>
              </w:divBdr>
              <w:divsChild>
                <w:div w:id="1034378603">
                  <w:marLeft w:val="0"/>
                  <w:marRight w:val="0"/>
                  <w:marTop w:val="0"/>
                  <w:marBottom w:val="0"/>
                  <w:divBdr>
                    <w:top w:val="none" w:sz="0" w:space="0" w:color="auto"/>
                    <w:left w:val="none" w:sz="0" w:space="0" w:color="auto"/>
                    <w:bottom w:val="none" w:sz="0" w:space="0" w:color="auto"/>
                    <w:right w:val="none" w:sz="0" w:space="0" w:color="auto"/>
                  </w:divBdr>
                </w:div>
              </w:divsChild>
            </w:div>
            <w:div w:id="298458509">
              <w:marLeft w:val="0"/>
              <w:marRight w:val="0"/>
              <w:marTop w:val="0"/>
              <w:marBottom w:val="0"/>
              <w:divBdr>
                <w:top w:val="none" w:sz="0" w:space="0" w:color="auto"/>
                <w:left w:val="none" w:sz="0" w:space="0" w:color="auto"/>
                <w:bottom w:val="none" w:sz="0" w:space="0" w:color="auto"/>
                <w:right w:val="none" w:sz="0" w:space="0" w:color="auto"/>
              </w:divBdr>
              <w:divsChild>
                <w:div w:id="13994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845">
      <w:marLeft w:val="0"/>
      <w:marRight w:val="0"/>
      <w:marTop w:val="0"/>
      <w:marBottom w:val="0"/>
      <w:divBdr>
        <w:top w:val="none" w:sz="0" w:space="0" w:color="auto"/>
        <w:left w:val="none" w:sz="0" w:space="0" w:color="auto"/>
        <w:bottom w:val="none" w:sz="0" w:space="0" w:color="auto"/>
        <w:right w:val="none" w:sz="0" w:space="0" w:color="auto"/>
      </w:divBdr>
    </w:div>
    <w:div w:id="1632856964">
      <w:marLeft w:val="0"/>
      <w:marRight w:val="0"/>
      <w:marTop w:val="0"/>
      <w:marBottom w:val="0"/>
      <w:divBdr>
        <w:top w:val="none" w:sz="0" w:space="0" w:color="auto"/>
        <w:left w:val="none" w:sz="0" w:space="0" w:color="auto"/>
        <w:bottom w:val="none" w:sz="0" w:space="0" w:color="auto"/>
        <w:right w:val="none" w:sz="0" w:space="0" w:color="auto"/>
      </w:divBdr>
    </w:div>
    <w:div w:id="1640645213">
      <w:marLeft w:val="0"/>
      <w:marRight w:val="0"/>
      <w:marTop w:val="0"/>
      <w:marBottom w:val="0"/>
      <w:divBdr>
        <w:top w:val="none" w:sz="0" w:space="0" w:color="auto"/>
        <w:left w:val="none" w:sz="0" w:space="0" w:color="auto"/>
        <w:bottom w:val="none" w:sz="0" w:space="0" w:color="auto"/>
        <w:right w:val="none" w:sz="0" w:space="0" w:color="auto"/>
      </w:divBdr>
    </w:div>
    <w:div w:id="1642074398">
      <w:marLeft w:val="0"/>
      <w:marRight w:val="0"/>
      <w:marTop w:val="0"/>
      <w:marBottom w:val="0"/>
      <w:divBdr>
        <w:top w:val="none" w:sz="0" w:space="0" w:color="auto"/>
        <w:left w:val="none" w:sz="0" w:space="0" w:color="auto"/>
        <w:bottom w:val="none" w:sz="0" w:space="0" w:color="auto"/>
        <w:right w:val="none" w:sz="0" w:space="0" w:color="auto"/>
      </w:divBdr>
      <w:divsChild>
        <w:div w:id="1564945302">
          <w:marLeft w:val="0"/>
          <w:marRight w:val="0"/>
          <w:marTop w:val="0"/>
          <w:marBottom w:val="0"/>
          <w:divBdr>
            <w:top w:val="none" w:sz="0" w:space="0" w:color="auto"/>
            <w:left w:val="none" w:sz="0" w:space="0" w:color="auto"/>
            <w:bottom w:val="none" w:sz="0" w:space="0" w:color="auto"/>
            <w:right w:val="none" w:sz="0" w:space="0" w:color="auto"/>
          </w:divBdr>
        </w:div>
        <w:div w:id="865369306">
          <w:marLeft w:val="0"/>
          <w:marRight w:val="0"/>
          <w:marTop w:val="0"/>
          <w:marBottom w:val="0"/>
          <w:divBdr>
            <w:top w:val="none" w:sz="0" w:space="0" w:color="auto"/>
            <w:left w:val="none" w:sz="0" w:space="0" w:color="auto"/>
            <w:bottom w:val="none" w:sz="0" w:space="0" w:color="auto"/>
            <w:right w:val="none" w:sz="0" w:space="0" w:color="auto"/>
          </w:divBdr>
        </w:div>
      </w:divsChild>
    </w:div>
    <w:div w:id="1647933030">
      <w:marLeft w:val="0"/>
      <w:marRight w:val="0"/>
      <w:marTop w:val="0"/>
      <w:marBottom w:val="0"/>
      <w:divBdr>
        <w:top w:val="none" w:sz="0" w:space="0" w:color="auto"/>
        <w:left w:val="none" w:sz="0" w:space="0" w:color="auto"/>
        <w:bottom w:val="none" w:sz="0" w:space="0" w:color="auto"/>
        <w:right w:val="none" w:sz="0" w:space="0" w:color="auto"/>
      </w:divBdr>
    </w:div>
    <w:div w:id="1678729420">
      <w:marLeft w:val="0"/>
      <w:marRight w:val="0"/>
      <w:marTop w:val="0"/>
      <w:marBottom w:val="0"/>
      <w:divBdr>
        <w:top w:val="none" w:sz="0" w:space="0" w:color="auto"/>
        <w:left w:val="none" w:sz="0" w:space="0" w:color="auto"/>
        <w:bottom w:val="none" w:sz="0" w:space="0" w:color="auto"/>
        <w:right w:val="none" w:sz="0" w:space="0" w:color="auto"/>
      </w:divBdr>
      <w:divsChild>
        <w:div w:id="90399435">
          <w:marLeft w:val="0"/>
          <w:marRight w:val="0"/>
          <w:marTop w:val="0"/>
          <w:marBottom w:val="0"/>
          <w:divBdr>
            <w:top w:val="none" w:sz="0" w:space="0" w:color="auto"/>
            <w:left w:val="none" w:sz="0" w:space="0" w:color="auto"/>
            <w:bottom w:val="none" w:sz="0" w:space="0" w:color="auto"/>
            <w:right w:val="none" w:sz="0" w:space="0" w:color="auto"/>
          </w:divBdr>
        </w:div>
        <w:div w:id="597106540">
          <w:marLeft w:val="0"/>
          <w:marRight w:val="0"/>
          <w:marTop w:val="0"/>
          <w:marBottom w:val="0"/>
          <w:divBdr>
            <w:top w:val="none" w:sz="0" w:space="0" w:color="auto"/>
            <w:left w:val="none" w:sz="0" w:space="0" w:color="auto"/>
            <w:bottom w:val="none" w:sz="0" w:space="0" w:color="auto"/>
            <w:right w:val="none" w:sz="0" w:space="0" w:color="auto"/>
          </w:divBdr>
        </w:div>
        <w:div w:id="868686067">
          <w:marLeft w:val="0"/>
          <w:marRight w:val="0"/>
          <w:marTop w:val="0"/>
          <w:marBottom w:val="0"/>
          <w:divBdr>
            <w:top w:val="none" w:sz="0" w:space="0" w:color="auto"/>
            <w:left w:val="none" w:sz="0" w:space="0" w:color="auto"/>
            <w:bottom w:val="none" w:sz="0" w:space="0" w:color="auto"/>
            <w:right w:val="none" w:sz="0" w:space="0" w:color="auto"/>
          </w:divBdr>
          <w:divsChild>
            <w:div w:id="2144106382">
              <w:marLeft w:val="0"/>
              <w:marRight w:val="0"/>
              <w:marTop w:val="0"/>
              <w:marBottom w:val="0"/>
              <w:divBdr>
                <w:top w:val="none" w:sz="0" w:space="0" w:color="auto"/>
                <w:left w:val="none" w:sz="0" w:space="0" w:color="auto"/>
                <w:bottom w:val="none" w:sz="0" w:space="0" w:color="auto"/>
                <w:right w:val="none" w:sz="0" w:space="0" w:color="auto"/>
              </w:divBdr>
            </w:div>
          </w:divsChild>
        </w:div>
        <w:div w:id="723068036">
          <w:marLeft w:val="0"/>
          <w:marRight w:val="0"/>
          <w:marTop w:val="0"/>
          <w:marBottom w:val="0"/>
          <w:divBdr>
            <w:top w:val="none" w:sz="0" w:space="0" w:color="auto"/>
            <w:left w:val="none" w:sz="0" w:space="0" w:color="auto"/>
            <w:bottom w:val="none" w:sz="0" w:space="0" w:color="auto"/>
            <w:right w:val="none" w:sz="0" w:space="0" w:color="auto"/>
          </w:divBdr>
        </w:div>
      </w:divsChild>
    </w:div>
    <w:div w:id="1681854744">
      <w:marLeft w:val="0"/>
      <w:marRight w:val="0"/>
      <w:marTop w:val="0"/>
      <w:marBottom w:val="0"/>
      <w:divBdr>
        <w:top w:val="none" w:sz="0" w:space="0" w:color="auto"/>
        <w:left w:val="none" w:sz="0" w:space="0" w:color="auto"/>
        <w:bottom w:val="none" w:sz="0" w:space="0" w:color="auto"/>
        <w:right w:val="none" w:sz="0" w:space="0" w:color="auto"/>
      </w:divBdr>
      <w:divsChild>
        <w:div w:id="366570052">
          <w:marLeft w:val="0"/>
          <w:marRight w:val="0"/>
          <w:marTop w:val="0"/>
          <w:marBottom w:val="0"/>
          <w:divBdr>
            <w:top w:val="none" w:sz="0" w:space="0" w:color="auto"/>
            <w:left w:val="none" w:sz="0" w:space="0" w:color="auto"/>
            <w:bottom w:val="none" w:sz="0" w:space="0" w:color="auto"/>
            <w:right w:val="none" w:sz="0" w:space="0" w:color="auto"/>
          </w:divBdr>
        </w:div>
      </w:divsChild>
    </w:div>
    <w:div w:id="1688098140">
      <w:marLeft w:val="0"/>
      <w:marRight w:val="0"/>
      <w:marTop w:val="0"/>
      <w:marBottom w:val="0"/>
      <w:divBdr>
        <w:top w:val="none" w:sz="0" w:space="0" w:color="auto"/>
        <w:left w:val="none" w:sz="0" w:space="0" w:color="auto"/>
        <w:bottom w:val="none" w:sz="0" w:space="0" w:color="auto"/>
        <w:right w:val="none" w:sz="0" w:space="0" w:color="auto"/>
      </w:divBdr>
    </w:div>
    <w:div w:id="1688174107">
      <w:marLeft w:val="0"/>
      <w:marRight w:val="0"/>
      <w:marTop w:val="0"/>
      <w:marBottom w:val="0"/>
      <w:divBdr>
        <w:top w:val="none" w:sz="0" w:space="0" w:color="auto"/>
        <w:left w:val="none" w:sz="0" w:space="0" w:color="auto"/>
        <w:bottom w:val="none" w:sz="0" w:space="0" w:color="auto"/>
        <w:right w:val="none" w:sz="0" w:space="0" w:color="auto"/>
      </w:divBdr>
    </w:div>
    <w:div w:id="1689407884">
      <w:marLeft w:val="0"/>
      <w:marRight w:val="0"/>
      <w:marTop w:val="0"/>
      <w:marBottom w:val="0"/>
      <w:divBdr>
        <w:top w:val="none" w:sz="0" w:space="0" w:color="auto"/>
        <w:left w:val="none" w:sz="0" w:space="0" w:color="auto"/>
        <w:bottom w:val="none" w:sz="0" w:space="0" w:color="auto"/>
        <w:right w:val="none" w:sz="0" w:space="0" w:color="auto"/>
      </w:divBdr>
      <w:divsChild>
        <w:div w:id="1921671288">
          <w:marLeft w:val="0"/>
          <w:marRight w:val="0"/>
          <w:marTop w:val="0"/>
          <w:marBottom w:val="0"/>
          <w:divBdr>
            <w:top w:val="none" w:sz="0" w:space="0" w:color="auto"/>
            <w:left w:val="none" w:sz="0" w:space="0" w:color="auto"/>
            <w:bottom w:val="none" w:sz="0" w:space="0" w:color="auto"/>
            <w:right w:val="none" w:sz="0" w:space="0" w:color="auto"/>
          </w:divBdr>
        </w:div>
        <w:div w:id="1919367951">
          <w:marLeft w:val="0"/>
          <w:marRight w:val="0"/>
          <w:marTop w:val="0"/>
          <w:marBottom w:val="0"/>
          <w:divBdr>
            <w:top w:val="none" w:sz="0" w:space="0" w:color="auto"/>
            <w:left w:val="none" w:sz="0" w:space="0" w:color="auto"/>
            <w:bottom w:val="none" w:sz="0" w:space="0" w:color="auto"/>
            <w:right w:val="none" w:sz="0" w:space="0" w:color="auto"/>
          </w:divBdr>
        </w:div>
        <w:div w:id="2119719610">
          <w:marLeft w:val="0"/>
          <w:marRight w:val="0"/>
          <w:marTop w:val="0"/>
          <w:marBottom w:val="0"/>
          <w:divBdr>
            <w:top w:val="none" w:sz="0" w:space="0" w:color="auto"/>
            <w:left w:val="none" w:sz="0" w:space="0" w:color="auto"/>
            <w:bottom w:val="none" w:sz="0" w:space="0" w:color="auto"/>
            <w:right w:val="none" w:sz="0" w:space="0" w:color="auto"/>
          </w:divBdr>
          <w:divsChild>
            <w:div w:id="1148088721">
              <w:marLeft w:val="0"/>
              <w:marRight w:val="0"/>
              <w:marTop w:val="0"/>
              <w:marBottom w:val="0"/>
              <w:divBdr>
                <w:top w:val="none" w:sz="0" w:space="0" w:color="auto"/>
                <w:left w:val="none" w:sz="0" w:space="0" w:color="auto"/>
                <w:bottom w:val="none" w:sz="0" w:space="0" w:color="auto"/>
                <w:right w:val="none" w:sz="0" w:space="0" w:color="auto"/>
              </w:divBdr>
            </w:div>
          </w:divsChild>
        </w:div>
        <w:div w:id="594214961">
          <w:marLeft w:val="0"/>
          <w:marRight w:val="0"/>
          <w:marTop w:val="0"/>
          <w:marBottom w:val="0"/>
          <w:divBdr>
            <w:top w:val="none" w:sz="0" w:space="0" w:color="auto"/>
            <w:left w:val="none" w:sz="0" w:space="0" w:color="auto"/>
            <w:bottom w:val="none" w:sz="0" w:space="0" w:color="auto"/>
            <w:right w:val="none" w:sz="0" w:space="0" w:color="auto"/>
          </w:divBdr>
        </w:div>
      </w:divsChild>
    </w:div>
    <w:div w:id="1694263879">
      <w:marLeft w:val="0"/>
      <w:marRight w:val="0"/>
      <w:marTop w:val="0"/>
      <w:marBottom w:val="0"/>
      <w:divBdr>
        <w:top w:val="none" w:sz="0" w:space="0" w:color="auto"/>
        <w:left w:val="none" w:sz="0" w:space="0" w:color="auto"/>
        <w:bottom w:val="none" w:sz="0" w:space="0" w:color="auto"/>
        <w:right w:val="none" w:sz="0" w:space="0" w:color="auto"/>
      </w:divBdr>
      <w:divsChild>
        <w:div w:id="2127771364">
          <w:marLeft w:val="0"/>
          <w:marRight w:val="0"/>
          <w:marTop w:val="0"/>
          <w:marBottom w:val="0"/>
          <w:divBdr>
            <w:top w:val="none" w:sz="0" w:space="0" w:color="auto"/>
            <w:left w:val="none" w:sz="0" w:space="0" w:color="auto"/>
            <w:bottom w:val="none" w:sz="0" w:space="0" w:color="auto"/>
            <w:right w:val="none" w:sz="0" w:space="0" w:color="auto"/>
          </w:divBdr>
        </w:div>
      </w:divsChild>
    </w:div>
    <w:div w:id="1700887998">
      <w:marLeft w:val="0"/>
      <w:marRight w:val="0"/>
      <w:marTop w:val="0"/>
      <w:marBottom w:val="0"/>
      <w:divBdr>
        <w:top w:val="none" w:sz="0" w:space="0" w:color="auto"/>
        <w:left w:val="none" w:sz="0" w:space="0" w:color="auto"/>
        <w:bottom w:val="none" w:sz="0" w:space="0" w:color="auto"/>
        <w:right w:val="none" w:sz="0" w:space="0" w:color="auto"/>
      </w:divBdr>
    </w:div>
    <w:div w:id="1703481056">
      <w:marLeft w:val="0"/>
      <w:marRight w:val="0"/>
      <w:marTop w:val="0"/>
      <w:marBottom w:val="0"/>
      <w:divBdr>
        <w:top w:val="none" w:sz="0" w:space="0" w:color="auto"/>
        <w:left w:val="none" w:sz="0" w:space="0" w:color="auto"/>
        <w:bottom w:val="none" w:sz="0" w:space="0" w:color="auto"/>
        <w:right w:val="none" w:sz="0" w:space="0" w:color="auto"/>
      </w:divBdr>
    </w:div>
    <w:div w:id="1721856592">
      <w:marLeft w:val="0"/>
      <w:marRight w:val="0"/>
      <w:marTop w:val="0"/>
      <w:marBottom w:val="0"/>
      <w:divBdr>
        <w:top w:val="none" w:sz="0" w:space="0" w:color="auto"/>
        <w:left w:val="none" w:sz="0" w:space="0" w:color="auto"/>
        <w:bottom w:val="none" w:sz="0" w:space="0" w:color="auto"/>
        <w:right w:val="none" w:sz="0" w:space="0" w:color="auto"/>
      </w:divBdr>
      <w:divsChild>
        <w:div w:id="1549220127">
          <w:marLeft w:val="0"/>
          <w:marRight w:val="0"/>
          <w:marTop w:val="0"/>
          <w:marBottom w:val="0"/>
          <w:divBdr>
            <w:top w:val="none" w:sz="0" w:space="0" w:color="auto"/>
            <w:left w:val="none" w:sz="0" w:space="0" w:color="auto"/>
            <w:bottom w:val="none" w:sz="0" w:space="0" w:color="auto"/>
            <w:right w:val="none" w:sz="0" w:space="0" w:color="auto"/>
          </w:divBdr>
        </w:div>
      </w:divsChild>
    </w:div>
    <w:div w:id="1725834860">
      <w:marLeft w:val="0"/>
      <w:marRight w:val="0"/>
      <w:marTop w:val="0"/>
      <w:marBottom w:val="0"/>
      <w:divBdr>
        <w:top w:val="none" w:sz="0" w:space="0" w:color="auto"/>
        <w:left w:val="none" w:sz="0" w:space="0" w:color="auto"/>
        <w:bottom w:val="none" w:sz="0" w:space="0" w:color="auto"/>
        <w:right w:val="none" w:sz="0" w:space="0" w:color="auto"/>
      </w:divBdr>
    </w:div>
    <w:div w:id="1727877744">
      <w:marLeft w:val="0"/>
      <w:marRight w:val="0"/>
      <w:marTop w:val="0"/>
      <w:marBottom w:val="0"/>
      <w:divBdr>
        <w:top w:val="none" w:sz="0" w:space="0" w:color="auto"/>
        <w:left w:val="none" w:sz="0" w:space="0" w:color="auto"/>
        <w:bottom w:val="none" w:sz="0" w:space="0" w:color="auto"/>
        <w:right w:val="none" w:sz="0" w:space="0" w:color="auto"/>
      </w:divBdr>
    </w:div>
    <w:div w:id="1756896872">
      <w:marLeft w:val="0"/>
      <w:marRight w:val="0"/>
      <w:marTop w:val="0"/>
      <w:marBottom w:val="0"/>
      <w:divBdr>
        <w:top w:val="none" w:sz="0" w:space="0" w:color="auto"/>
        <w:left w:val="none" w:sz="0" w:space="0" w:color="auto"/>
        <w:bottom w:val="none" w:sz="0" w:space="0" w:color="auto"/>
        <w:right w:val="none" w:sz="0" w:space="0" w:color="auto"/>
      </w:divBdr>
      <w:divsChild>
        <w:div w:id="214396115">
          <w:marLeft w:val="0"/>
          <w:marRight w:val="0"/>
          <w:marTop w:val="0"/>
          <w:marBottom w:val="0"/>
          <w:divBdr>
            <w:top w:val="none" w:sz="0" w:space="0" w:color="auto"/>
            <w:left w:val="none" w:sz="0" w:space="0" w:color="auto"/>
            <w:bottom w:val="none" w:sz="0" w:space="0" w:color="auto"/>
            <w:right w:val="none" w:sz="0" w:space="0" w:color="auto"/>
          </w:divBdr>
        </w:div>
        <w:div w:id="186988056">
          <w:marLeft w:val="0"/>
          <w:marRight w:val="0"/>
          <w:marTop w:val="0"/>
          <w:marBottom w:val="0"/>
          <w:divBdr>
            <w:top w:val="none" w:sz="0" w:space="0" w:color="auto"/>
            <w:left w:val="none" w:sz="0" w:space="0" w:color="auto"/>
            <w:bottom w:val="none" w:sz="0" w:space="0" w:color="auto"/>
            <w:right w:val="none" w:sz="0" w:space="0" w:color="auto"/>
          </w:divBdr>
        </w:div>
        <w:div w:id="1559777830">
          <w:marLeft w:val="0"/>
          <w:marRight w:val="0"/>
          <w:marTop w:val="0"/>
          <w:marBottom w:val="0"/>
          <w:divBdr>
            <w:top w:val="none" w:sz="0" w:space="0" w:color="auto"/>
            <w:left w:val="none" w:sz="0" w:space="0" w:color="auto"/>
            <w:bottom w:val="none" w:sz="0" w:space="0" w:color="auto"/>
            <w:right w:val="none" w:sz="0" w:space="0" w:color="auto"/>
          </w:divBdr>
          <w:divsChild>
            <w:div w:id="1052188757">
              <w:marLeft w:val="0"/>
              <w:marRight w:val="0"/>
              <w:marTop w:val="0"/>
              <w:marBottom w:val="0"/>
              <w:divBdr>
                <w:top w:val="none" w:sz="0" w:space="0" w:color="auto"/>
                <w:left w:val="none" w:sz="0" w:space="0" w:color="auto"/>
                <w:bottom w:val="none" w:sz="0" w:space="0" w:color="auto"/>
                <w:right w:val="none" w:sz="0" w:space="0" w:color="auto"/>
              </w:divBdr>
            </w:div>
          </w:divsChild>
        </w:div>
        <w:div w:id="269288331">
          <w:marLeft w:val="0"/>
          <w:marRight w:val="0"/>
          <w:marTop w:val="0"/>
          <w:marBottom w:val="0"/>
          <w:divBdr>
            <w:top w:val="none" w:sz="0" w:space="0" w:color="auto"/>
            <w:left w:val="none" w:sz="0" w:space="0" w:color="auto"/>
            <w:bottom w:val="none" w:sz="0" w:space="0" w:color="auto"/>
            <w:right w:val="none" w:sz="0" w:space="0" w:color="auto"/>
          </w:divBdr>
        </w:div>
      </w:divsChild>
    </w:div>
    <w:div w:id="1793354838">
      <w:marLeft w:val="0"/>
      <w:marRight w:val="0"/>
      <w:marTop w:val="0"/>
      <w:marBottom w:val="0"/>
      <w:divBdr>
        <w:top w:val="none" w:sz="0" w:space="0" w:color="auto"/>
        <w:left w:val="none" w:sz="0" w:space="0" w:color="auto"/>
        <w:bottom w:val="none" w:sz="0" w:space="0" w:color="auto"/>
        <w:right w:val="none" w:sz="0" w:space="0" w:color="auto"/>
      </w:divBdr>
    </w:div>
    <w:div w:id="1805271889">
      <w:marLeft w:val="0"/>
      <w:marRight w:val="0"/>
      <w:marTop w:val="0"/>
      <w:marBottom w:val="0"/>
      <w:divBdr>
        <w:top w:val="none" w:sz="0" w:space="0" w:color="auto"/>
        <w:left w:val="none" w:sz="0" w:space="0" w:color="auto"/>
        <w:bottom w:val="none" w:sz="0" w:space="0" w:color="auto"/>
        <w:right w:val="none" w:sz="0" w:space="0" w:color="auto"/>
      </w:divBdr>
    </w:div>
    <w:div w:id="1827554468">
      <w:marLeft w:val="0"/>
      <w:marRight w:val="0"/>
      <w:marTop w:val="0"/>
      <w:marBottom w:val="0"/>
      <w:divBdr>
        <w:top w:val="none" w:sz="0" w:space="0" w:color="auto"/>
        <w:left w:val="none" w:sz="0" w:space="0" w:color="auto"/>
        <w:bottom w:val="none" w:sz="0" w:space="0" w:color="auto"/>
        <w:right w:val="none" w:sz="0" w:space="0" w:color="auto"/>
      </w:divBdr>
    </w:div>
    <w:div w:id="1831017690">
      <w:marLeft w:val="0"/>
      <w:marRight w:val="0"/>
      <w:marTop w:val="0"/>
      <w:marBottom w:val="0"/>
      <w:divBdr>
        <w:top w:val="none" w:sz="0" w:space="0" w:color="auto"/>
        <w:left w:val="none" w:sz="0" w:space="0" w:color="auto"/>
        <w:bottom w:val="none" w:sz="0" w:space="0" w:color="auto"/>
        <w:right w:val="none" w:sz="0" w:space="0" w:color="auto"/>
      </w:divBdr>
      <w:divsChild>
        <w:div w:id="612978299">
          <w:marLeft w:val="0"/>
          <w:marRight w:val="0"/>
          <w:marTop w:val="0"/>
          <w:marBottom w:val="0"/>
          <w:divBdr>
            <w:top w:val="none" w:sz="0" w:space="0" w:color="auto"/>
            <w:left w:val="none" w:sz="0" w:space="0" w:color="auto"/>
            <w:bottom w:val="none" w:sz="0" w:space="0" w:color="auto"/>
            <w:right w:val="none" w:sz="0" w:space="0" w:color="auto"/>
          </w:divBdr>
        </w:div>
        <w:div w:id="1715615454">
          <w:marLeft w:val="0"/>
          <w:marRight w:val="0"/>
          <w:marTop w:val="0"/>
          <w:marBottom w:val="0"/>
          <w:divBdr>
            <w:top w:val="none" w:sz="0" w:space="0" w:color="auto"/>
            <w:left w:val="none" w:sz="0" w:space="0" w:color="auto"/>
            <w:bottom w:val="none" w:sz="0" w:space="0" w:color="auto"/>
            <w:right w:val="none" w:sz="0" w:space="0" w:color="auto"/>
          </w:divBdr>
        </w:div>
      </w:divsChild>
    </w:div>
    <w:div w:id="1840341198">
      <w:marLeft w:val="0"/>
      <w:marRight w:val="0"/>
      <w:marTop w:val="0"/>
      <w:marBottom w:val="0"/>
      <w:divBdr>
        <w:top w:val="none" w:sz="0" w:space="0" w:color="auto"/>
        <w:left w:val="none" w:sz="0" w:space="0" w:color="auto"/>
        <w:bottom w:val="none" w:sz="0" w:space="0" w:color="auto"/>
        <w:right w:val="none" w:sz="0" w:space="0" w:color="auto"/>
      </w:divBdr>
    </w:div>
    <w:div w:id="1850607166">
      <w:marLeft w:val="0"/>
      <w:marRight w:val="0"/>
      <w:marTop w:val="0"/>
      <w:marBottom w:val="0"/>
      <w:divBdr>
        <w:top w:val="none" w:sz="0" w:space="0" w:color="auto"/>
        <w:left w:val="none" w:sz="0" w:space="0" w:color="auto"/>
        <w:bottom w:val="none" w:sz="0" w:space="0" w:color="auto"/>
        <w:right w:val="none" w:sz="0" w:space="0" w:color="auto"/>
      </w:divBdr>
      <w:divsChild>
        <w:div w:id="1427112395">
          <w:marLeft w:val="0"/>
          <w:marRight w:val="0"/>
          <w:marTop w:val="0"/>
          <w:marBottom w:val="0"/>
          <w:divBdr>
            <w:top w:val="none" w:sz="0" w:space="0" w:color="auto"/>
            <w:left w:val="none" w:sz="0" w:space="0" w:color="auto"/>
            <w:bottom w:val="none" w:sz="0" w:space="0" w:color="auto"/>
            <w:right w:val="none" w:sz="0" w:space="0" w:color="auto"/>
          </w:divBdr>
        </w:div>
        <w:div w:id="1134955724">
          <w:marLeft w:val="0"/>
          <w:marRight w:val="0"/>
          <w:marTop w:val="0"/>
          <w:marBottom w:val="0"/>
          <w:divBdr>
            <w:top w:val="none" w:sz="0" w:space="0" w:color="auto"/>
            <w:left w:val="none" w:sz="0" w:space="0" w:color="auto"/>
            <w:bottom w:val="none" w:sz="0" w:space="0" w:color="auto"/>
            <w:right w:val="none" w:sz="0" w:space="0" w:color="auto"/>
          </w:divBdr>
        </w:div>
      </w:divsChild>
    </w:div>
    <w:div w:id="1872108359">
      <w:marLeft w:val="0"/>
      <w:marRight w:val="0"/>
      <w:marTop w:val="0"/>
      <w:marBottom w:val="0"/>
      <w:divBdr>
        <w:top w:val="none" w:sz="0" w:space="0" w:color="auto"/>
        <w:left w:val="none" w:sz="0" w:space="0" w:color="auto"/>
        <w:bottom w:val="none" w:sz="0" w:space="0" w:color="auto"/>
        <w:right w:val="none" w:sz="0" w:space="0" w:color="auto"/>
      </w:divBdr>
      <w:divsChild>
        <w:div w:id="1620142417">
          <w:marLeft w:val="0"/>
          <w:marRight w:val="0"/>
          <w:marTop w:val="0"/>
          <w:marBottom w:val="0"/>
          <w:divBdr>
            <w:top w:val="none" w:sz="0" w:space="0" w:color="auto"/>
            <w:left w:val="none" w:sz="0" w:space="0" w:color="auto"/>
            <w:bottom w:val="none" w:sz="0" w:space="0" w:color="auto"/>
            <w:right w:val="none" w:sz="0" w:space="0" w:color="auto"/>
          </w:divBdr>
        </w:div>
        <w:div w:id="1677340428">
          <w:marLeft w:val="0"/>
          <w:marRight w:val="0"/>
          <w:marTop w:val="0"/>
          <w:marBottom w:val="0"/>
          <w:divBdr>
            <w:top w:val="none" w:sz="0" w:space="0" w:color="auto"/>
            <w:left w:val="none" w:sz="0" w:space="0" w:color="auto"/>
            <w:bottom w:val="none" w:sz="0" w:space="0" w:color="auto"/>
            <w:right w:val="none" w:sz="0" w:space="0" w:color="auto"/>
          </w:divBdr>
        </w:div>
      </w:divsChild>
    </w:div>
    <w:div w:id="1877738535">
      <w:marLeft w:val="0"/>
      <w:marRight w:val="0"/>
      <w:marTop w:val="0"/>
      <w:marBottom w:val="0"/>
      <w:divBdr>
        <w:top w:val="none" w:sz="0" w:space="0" w:color="auto"/>
        <w:left w:val="none" w:sz="0" w:space="0" w:color="auto"/>
        <w:bottom w:val="none" w:sz="0" w:space="0" w:color="auto"/>
        <w:right w:val="none" w:sz="0" w:space="0" w:color="auto"/>
      </w:divBdr>
    </w:div>
    <w:div w:id="1891116413">
      <w:marLeft w:val="0"/>
      <w:marRight w:val="0"/>
      <w:marTop w:val="0"/>
      <w:marBottom w:val="0"/>
      <w:divBdr>
        <w:top w:val="none" w:sz="0" w:space="0" w:color="auto"/>
        <w:left w:val="none" w:sz="0" w:space="0" w:color="auto"/>
        <w:bottom w:val="none" w:sz="0" w:space="0" w:color="auto"/>
        <w:right w:val="none" w:sz="0" w:space="0" w:color="auto"/>
      </w:divBdr>
      <w:divsChild>
        <w:div w:id="1277978202">
          <w:marLeft w:val="0"/>
          <w:marRight w:val="0"/>
          <w:marTop w:val="0"/>
          <w:marBottom w:val="0"/>
          <w:divBdr>
            <w:top w:val="none" w:sz="0" w:space="0" w:color="auto"/>
            <w:left w:val="none" w:sz="0" w:space="0" w:color="auto"/>
            <w:bottom w:val="none" w:sz="0" w:space="0" w:color="auto"/>
            <w:right w:val="none" w:sz="0" w:space="0" w:color="auto"/>
          </w:divBdr>
        </w:div>
        <w:div w:id="525172114">
          <w:marLeft w:val="0"/>
          <w:marRight w:val="0"/>
          <w:marTop w:val="0"/>
          <w:marBottom w:val="0"/>
          <w:divBdr>
            <w:top w:val="none" w:sz="0" w:space="0" w:color="auto"/>
            <w:left w:val="none" w:sz="0" w:space="0" w:color="auto"/>
            <w:bottom w:val="none" w:sz="0" w:space="0" w:color="auto"/>
            <w:right w:val="none" w:sz="0" w:space="0" w:color="auto"/>
          </w:divBdr>
        </w:div>
        <w:div w:id="199903094">
          <w:marLeft w:val="0"/>
          <w:marRight w:val="0"/>
          <w:marTop w:val="0"/>
          <w:marBottom w:val="0"/>
          <w:divBdr>
            <w:top w:val="none" w:sz="0" w:space="0" w:color="auto"/>
            <w:left w:val="none" w:sz="0" w:space="0" w:color="auto"/>
            <w:bottom w:val="none" w:sz="0" w:space="0" w:color="auto"/>
            <w:right w:val="none" w:sz="0" w:space="0" w:color="auto"/>
          </w:divBdr>
          <w:divsChild>
            <w:div w:id="54163431">
              <w:marLeft w:val="0"/>
              <w:marRight w:val="0"/>
              <w:marTop w:val="0"/>
              <w:marBottom w:val="0"/>
              <w:divBdr>
                <w:top w:val="none" w:sz="0" w:space="0" w:color="auto"/>
                <w:left w:val="none" w:sz="0" w:space="0" w:color="auto"/>
                <w:bottom w:val="none" w:sz="0" w:space="0" w:color="auto"/>
                <w:right w:val="none" w:sz="0" w:space="0" w:color="auto"/>
              </w:divBdr>
            </w:div>
          </w:divsChild>
        </w:div>
        <w:div w:id="478956982">
          <w:marLeft w:val="0"/>
          <w:marRight w:val="0"/>
          <w:marTop w:val="0"/>
          <w:marBottom w:val="0"/>
          <w:divBdr>
            <w:top w:val="none" w:sz="0" w:space="0" w:color="auto"/>
            <w:left w:val="none" w:sz="0" w:space="0" w:color="auto"/>
            <w:bottom w:val="none" w:sz="0" w:space="0" w:color="auto"/>
            <w:right w:val="none" w:sz="0" w:space="0" w:color="auto"/>
          </w:divBdr>
        </w:div>
      </w:divsChild>
    </w:div>
    <w:div w:id="1900361757">
      <w:marLeft w:val="0"/>
      <w:marRight w:val="0"/>
      <w:marTop w:val="0"/>
      <w:marBottom w:val="0"/>
      <w:divBdr>
        <w:top w:val="none" w:sz="0" w:space="0" w:color="auto"/>
        <w:left w:val="none" w:sz="0" w:space="0" w:color="auto"/>
        <w:bottom w:val="none" w:sz="0" w:space="0" w:color="auto"/>
        <w:right w:val="none" w:sz="0" w:space="0" w:color="auto"/>
      </w:divBdr>
      <w:divsChild>
        <w:div w:id="961963585">
          <w:marLeft w:val="0"/>
          <w:marRight w:val="0"/>
          <w:marTop w:val="0"/>
          <w:marBottom w:val="0"/>
          <w:divBdr>
            <w:top w:val="none" w:sz="0" w:space="0" w:color="auto"/>
            <w:left w:val="none" w:sz="0" w:space="0" w:color="auto"/>
            <w:bottom w:val="none" w:sz="0" w:space="0" w:color="auto"/>
            <w:right w:val="none" w:sz="0" w:space="0" w:color="auto"/>
          </w:divBdr>
        </w:div>
        <w:div w:id="298846428">
          <w:marLeft w:val="0"/>
          <w:marRight w:val="0"/>
          <w:marTop w:val="0"/>
          <w:marBottom w:val="0"/>
          <w:divBdr>
            <w:top w:val="none" w:sz="0" w:space="0" w:color="auto"/>
            <w:left w:val="none" w:sz="0" w:space="0" w:color="auto"/>
            <w:bottom w:val="none" w:sz="0" w:space="0" w:color="auto"/>
            <w:right w:val="none" w:sz="0" w:space="0" w:color="auto"/>
          </w:divBdr>
          <w:divsChild>
            <w:div w:id="2068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5588">
      <w:marLeft w:val="0"/>
      <w:marRight w:val="0"/>
      <w:marTop w:val="0"/>
      <w:marBottom w:val="0"/>
      <w:divBdr>
        <w:top w:val="none" w:sz="0" w:space="0" w:color="auto"/>
        <w:left w:val="none" w:sz="0" w:space="0" w:color="auto"/>
        <w:bottom w:val="none" w:sz="0" w:space="0" w:color="auto"/>
        <w:right w:val="none" w:sz="0" w:space="0" w:color="auto"/>
      </w:divBdr>
      <w:divsChild>
        <w:div w:id="1043751732">
          <w:marLeft w:val="0"/>
          <w:marRight w:val="0"/>
          <w:marTop w:val="0"/>
          <w:marBottom w:val="0"/>
          <w:divBdr>
            <w:top w:val="none" w:sz="0" w:space="0" w:color="auto"/>
            <w:left w:val="none" w:sz="0" w:space="0" w:color="auto"/>
            <w:bottom w:val="none" w:sz="0" w:space="0" w:color="auto"/>
            <w:right w:val="none" w:sz="0" w:space="0" w:color="auto"/>
          </w:divBdr>
        </w:div>
        <w:div w:id="1421028211">
          <w:marLeft w:val="0"/>
          <w:marRight w:val="0"/>
          <w:marTop w:val="0"/>
          <w:marBottom w:val="0"/>
          <w:divBdr>
            <w:top w:val="none" w:sz="0" w:space="0" w:color="auto"/>
            <w:left w:val="none" w:sz="0" w:space="0" w:color="auto"/>
            <w:bottom w:val="none" w:sz="0" w:space="0" w:color="auto"/>
            <w:right w:val="none" w:sz="0" w:space="0" w:color="auto"/>
          </w:divBdr>
        </w:div>
      </w:divsChild>
    </w:div>
    <w:div w:id="1941378432">
      <w:marLeft w:val="0"/>
      <w:marRight w:val="0"/>
      <w:marTop w:val="0"/>
      <w:marBottom w:val="0"/>
      <w:divBdr>
        <w:top w:val="none" w:sz="0" w:space="0" w:color="auto"/>
        <w:left w:val="none" w:sz="0" w:space="0" w:color="auto"/>
        <w:bottom w:val="none" w:sz="0" w:space="0" w:color="auto"/>
        <w:right w:val="none" w:sz="0" w:space="0" w:color="auto"/>
      </w:divBdr>
      <w:divsChild>
        <w:div w:id="271940348">
          <w:marLeft w:val="0"/>
          <w:marRight w:val="0"/>
          <w:marTop w:val="0"/>
          <w:marBottom w:val="0"/>
          <w:divBdr>
            <w:top w:val="none" w:sz="0" w:space="0" w:color="auto"/>
            <w:left w:val="none" w:sz="0" w:space="0" w:color="auto"/>
            <w:bottom w:val="none" w:sz="0" w:space="0" w:color="auto"/>
            <w:right w:val="none" w:sz="0" w:space="0" w:color="auto"/>
          </w:divBdr>
        </w:div>
        <w:div w:id="1119833970">
          <w:marLeft w:val="0"/>
          <w:marRight w:val="0"/>
          <w:marTop w:val="0"/>
          <w:marBottom w:val="0"/>
          <w:divBdr>
            <w:top w:val="none" w:sz="0" w:space="0" w:color="auto"/>
            <w:left w:val="none" w:sz="0" w:space="0" w:color="auto"/>
            <w:bottom w:val="none" w:sz="0" w:space="0" w:color="auto"/>
            <w:right w:val="none" w:sz="0" w:space="0" w:color="auto"/>
          </w:divBdr>
        </w:div>
      </w:divsChild>
    </w:div>
    <w:div w:id="1987855473">
      <w:marLeft w:val="0"/>
      <w:marRight w:val="0"/>
      <w:marTop w:val="0"/>
      <w:marBottom w:val="0"/>
      <w:divBdr>
        <w:top w:val="none" w:sz="0" w:space="0" w:color="auto"/>
        <w:left w:val="none" w:sz="0" w:space="0" w:color="auto"/>
        <w:bottom w:val="none" w:sz="0" w:space="0" w:color="auto"/>
        <w:right w:val="none" w:sz="0" w:space="0" w:color="auto"/>
      </w:divBdr>
      <w:divsChild>
        <w:div w:id="826097555">
          <w:marLeft w:val="0"/>
          <w:marRight w:val="0"/>
          <w:marTop w:val="0"/>
          <w:marBottom w:val="0"/>
          <w:divBdr>
            <w:top w:val="none" w:sz="0" w:space="0" w:color="auto"/>
            <w:left w:val="none" w:sz="0" w:space="0" w:color="auto"/>
            <w:bottom w:val="none" w:sz="0" w:space="0" w:color="auto"/>
            <w:right w:val="none" w:sz="0" w:space="0" w:color="auto"/>
          </w:divBdr>
        </w:div>
        <w:div w:id="215967861">
          <w:marLeft w:val="0"/>
          <w:marRight w:val="0"/>
          <w:marTop w:val="0"/>
          <w:marBottom w:val="0"/>
          <w:divBdr>
            <w:top w:val="none" w:sz="0" w:space="0" w:color="auto"/>
            <w:left w:val="none" w:sz="0" w:space="0" w:color="auto"/>
            <w:bottom w:val="none" w:sz="0" w:space="0" w:color="auto"/>
            <w:right w:val="none" w:sz="0" w:space="0" w:color="auto"/>
          </w:divBdr>
        </w:div>
      </w:divsChild>
    </w:div>
    <w:div w:id="1991975768">
      <w:marLeft w:val="0"/>
      <w:marRight w:val="0"/>
      <w:marTop w:val="0"/>
      <w:marBottom w:val="0"/>
      <w:divBdr>
        <w:top w:val="none" w:sz="0" w:space="0" w:color="auto"/>
        <w:left w:val="none" w:sz="0" w:space="0" w:color="auto"/>
        <w:bottom w:val="none" w:sz="0" w:space="0" w:color="auto"/>
        <w:right w:val="none" w:sz="0" w:space="0" w:color="auto"/>
      </w:divBdr>
    </w:div>
    <w:div w:id="2010789837">
      <w:marLeft w:val="0"/>
      <w:marRight w:val="0"/>
      <w:marTop w:val="0"/>
      <w:marBottom w:val="0"/>
      <w:divBdr>
        <w:top w:val="none" w:sz="0" w:space="0" w:color="auto"/>
        <w:left w:val="none" w:sz="0" w:space="0" w:color="auto"/>
        <w:bottom w:val="none" w:sz="0" w:space="0" w:color="auto"/>
        <w:right w:val="none" w:sz="0" w:space="0" w:color="auto"/>
      </w:divBdr>
      <w:divsChild>
        <w:div w:id="86849937">
          <w:marLeft w:val="0"/>
          <w:marRight w:val="0"/>
          <w:marTop w:val="0"/>
          <w:marBottom w:val="0"/>
          <w:divBdr>
            <w:top w:val="none" w:sz="0" w:space="0" w:color="auto"/>
            <w:left w:val="none" w:sz="0" w:space="0" w:color="auto"/>
            <w:bottom w:val="none" w:sz="0" w:space="0" w:color="auto"/>
            <w:right w:val="none" w:sz="0" w:space="0" w:color="auto"/>
          </w:divBdr>
          <w:divsChild>
            <w:div w:id="9301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4339">
      <w:marLeft w:val="0"/>
      <w:marRight w:val="0"/>
      <w:marTop w:val="0"/>
      <w:marBottom w:val="0"/>
      <w:divBdr>
        <w:top w:val="none" w:sz="0" w:space="0" w:color="auto"/>
        <w:left w:val="none" w:sz="0" w:space="0" w:color="auto"/>
        <w:bottom w:val="none" w:sz="0" w:space="0" w:color="auto"/>
        <w:right w:val="none" w:sz="0" w:space="0" w:color="auto"/>
      </w:divBdr>
    </w:div>
    <w:div w:id="2028554922">
      <w:marLeft w:val="0"/>
      <w:marRight w:val="0"/>
      <w:marTop w:val="0"/>
      <w:marBottom w:val="0"/>
      <w:divBdr>
        <w:top w:val="none" w:sz="0" w:space="0" w:color="auto"/>
        <w:left w:val="none" w:sz="0" w:space="0" w:color="auto"/>
        <w:bottom w:val="none" w:sz="0" w:space="0" w:color="auto"/>
        <w:right w:val="none" w:sz="0" w:space="0" w:color="auto"/>
      </w:divBdr>
      <w:divsChild>
        <w:div w:id="618147084">
          <w:marLeft w:val="0"/>
          <w:marRight w:val="0"/>
          <w:marTop w:val="0"/>
          <w:marBottom w:val="0"/>
          <w:divBdr>
            <w:top w:val="none" w:sz="0" w:space="0" w:color="auto"/>
            <w:left w:val="none" w:sz="0" w:space="0" w:color="auto"/>
            <w:bottom w:val="none" w:sz="0" w:space="0" w:color="auto"/>
            <w:right w:val="none" w:sz="0" w:space="0" w:color="auto"/>
          </w:divBdr>
        </w:div>
        <w:div w:id="960454579">
          <w:marLeft w:val="0"/>
          <w:marRight w:val="0"/>
          <w:marTop w:val="0"/>
          <w:marBottom w:val="0"/>
          <w:divBdr>
            <w:top w:val="none" w:sz="0" w:space="0" w:color="auto"/>
            <w:left w:val="none" w:sz="0" w:space="0" w:color="auto"/>
            <w:bottom w:val="none" w:sz="0" w:space="0" w:color="auto"/>
            <w:right w:val="none" w:sz="0" w:space="0" w:color="auto"/>
          </w:divBdr>
        </w:div>
      </w:divsChild>
    </w:div>
    <w:div w:id="2038314287">
      <w:marLeft w:val="0"/>
      <w:marRight w:val="0"/>
      <w:marTop w:val="0"/>
      <w:marBottom w:val="0"/>
      <w:divBdr>
        <w:top w:val="none" w:sz="0" w:space="0" w:color="auto"/>
        <w:left w:val="none" w:sz="0" w:space="0" w:color="auto"/>
        <w:bottom w:val="none" w:sz="0" w:space="0" w:color="auto"/>
        <w:right w:val="none" w:sz="0" w:space="0" w:color="auto"/>
      </w:divBdr>
      <w:divsChild>
        <w:div w:id="1973561269">
          <w:marLeft w:val="0"/>
          <w:marRight w:val="0"/>
          <w:marTop w:val="0"/>
          <w:marBottom w:val="0"/>
          <w:divBdr>
            <w:top w:val="none" w:sz="0" w:space="0" w:color="auto"/>
            <w:left w:val="none" w:sz="0" w:space="0" w:color="auto"/>
            <w:bottom w:val="none" w:sz="0" w:space="0" w:color="auto"/>
            <w:right w:val="none" w:sz="0" w:space="0" w:color="auto"/>
          </w:divBdr>
        </w:div>
        <w:div w:id="1383401349">
          <w:marLeft w:val="0"/>
          <w:marRight w:val="0"/>
          <w:marTop w:val="0"/>
          <w:marBottom w:val="0"/>
          <w:divBdr>
            <w:top w:val="none" w:sz="0" w:space="0" w:color="auto"/>
            <w:left w:val="none" w:sz="0" w:space="0" w:color="auto"/>
            <w:bottom w:val="none" w:sz="0" w:space="0" w:color="auto"/>
            <w:right w:val="none" w:sz="0" w:space="0" w:color="auto"/>
          </w:divBdr>
        </w:div>
      </w:divsChild>
    </w:div>
    <w:div w:id="2039887708">
      <w:marLeft w:val="0"/>
      <w:marRight w:val="0"/>
      <w:marTop w:val="0"/>
      <w:marBottom w:val="0"/>
      <w:divBdr>
        <w:top w:val="none" w:sz="0" w:space="0" w:color="auto"/>
        <w:left w:val="none" w:sz="0" w:space="0" w:color="auto"/>
        <w:bottom w:val="none" w:sz="0" w:space="0" w:color="auto"/>
        <w:right w:val="none" w:sz="0" w:space="0" w:color="auto"/>
      </w:divBdr>
      <w:divsChild>
        <w:div w:id="1024213785">
          <w:marLeft w:val="0"/>
          <w:marRight w:val="0"/>
          <w:marTop w:val="0"/>
          <w:marBottom w:val="0"/>
          <w:divBdr>
            <w:top w:val="none" w:sz="0" w:space="0" w:color="auto"/>
            <w:left w:val="none" w:sz="0" w:space="0" w:color="auto"/>
            <w:bottom w:val="none" w:sz="0" w:space="0" w:color="auto"/>
            <w:right w:val="none" w:sz="0" w:space="0" w:color="auto"/>
          </w:divBdr>
        </w:div>
        <w:div w:id="824201064">
          <w:marLeft w:val="0"/>
          <w:marRight w:val="0"/>
          <w:marTop w:val="0"/>
          <w:marBottom w:val="0"/>
          <w:divBdr>
            <w:top w:val="none" w:sz="0" w:space="0" w:color="auto"/>
            <w:left w:val="none" w:sz="0" w:space="0" w:color="auto"/>
            <w:bottom w:val="none" w:sz="0" w:space="0" w:color="auto"/>
            <w:right w:val="none" w:sz="0" w:space="0" w:color="auto"/>
          </w:divBdr>
        </w:div>
      </w:divsChild>
    </w:div>
    <w:div w:id="2061859740">
      <w:marLeft w:val="0"/>
      <w:marRight w:val="0"/>
      <w:marTop w:val="0"/>
      <w:marBottom w:val="0"/>
      <w:divBdr>
        <w:top w:val="none" w:sz="0" w:space="0" w:color="auto"/>
        <w:left w:val="none" w:sz="0" w:space="0" w:color="auto"/>
        <w:bottom w:val="none" w:sz="0" w:space="0" w:color="auto"/>
        <w:right w:val="none" w:sz="0" w:space="0" w:color="auto"/>
      </w:divBdr>
      <w:divsChild>
        <w:div w:id="1243953381">
          <w:marLeft w:val="0"/>
          <w:marRight w:val="0"/>
          <w:marTop w:val="0"/>
          <w:marBottom w:val="0"/>
          <w:divBdr>
            <w:top w:val="none" w:sz="0" w:space="0" w:color="auto"/>
            <w:left w:val="none" w:sz="0" w:space="0" w:color="auto"/>
            <w:bottom w:val="none" w:sz="0" w:space="0" w:color="auto"/>
            <w:right w:val="none" w:sz="0" w:space="0" w:color="auto"/>
          </w:divBdr>
        </w:div>
        <w:div w:id="853032667">
          <w:marLeft w:val="0"/>
          <w:marRight w:val="0"/>
          <w:marTop w:val="0"/>
          <w:marBottom w:val="0"/>
          <w:divBdr>
            <w:top w:val="none" w:sz="0" w:space="0" w:color="auto"/>
            <w:left w:val="none" w:sz="0" w:space="0" w:color="auto"/>
            <w:bottom w:val="none" w:sz="0" w:space="0" w:color="auto"/>
            <w:right w:val="none" w:sz="0" w:space="0" w:color="auto"/>
          </w:divBdr>
        </w:div>
      </w:divsChild>
    </w:div>
    <w:div w:id="2076583479">
      <w:marLeft w:val="0"/>
      <w:marRight w:val="0"/>
      <w:marTop w:val="0"/>
      <w:marBottom w:val="0"/>
      <w:divBdr>
        <w:top w:val="none" w:sz="0" w:space="0" w:color="auto"/>
        <w:left w:val="none" w:sz="0" w:space="0" w:color="auto"/>
        <w:bottom w:val="none" w:sz="0" w:space="0" w:color="auto"/>
        <w:right w:val="none" w:sz="0" w:space="0" w:color="auto"/>
      </w:divBdr>
      <w:divsChild>
        <w:div w:id="1538617897">
          <w:marLeft w:val="0"/>
          <w:marRight w:val="0"/>
          <w:marTop w:val="0"/>
          <w:marBottom w:val="0"/>
          <w:divBdr>
            <w:top w:val="none" w:sz="0" w:space="0" w:color="auto"/>
            <w:left w:val="none" w:sz="0" w:space="0" w:color="auto"/>
            <w:bottom w:val="none" w:sz="0" w:space="0" w:color="auto"/>
            <w:right w:val="none" w:sz="0" w:space="0" w:color="auto"/>
          </w:divBdr>
        </w:div>
        <w:div w:id="1138759948">
          <w:marLeft w:val="0"/>
          <w:marRight w:val="0"/>
          <w:marTop w:val="0"/>
          <w:marBottom w:val="0"/>
          <w:divBdr>
            <w:top w:val="none" w:sz="0" w:space="0" w:color="auto"/>
            <w:left w:val="none" w:sz="0" w:space="0" w:color="auto"/>
            <w:bottom w:val="none" w:sz="0" w:space="0" w:color="auto"/>
            <w:right w:val="none" w:sz="0" w:space="0" w:color="auto"/>
          </w:divBdr>
        </w:div>
      </w:divsChild>
    </w:div>
    <w:div w:id="2091804455">
      <w:marLeft w:val="0"/>
      <w:marRight w:val="0"/>
      <w:marTop w:val="0"/>
      <w:marBottom w:val="0"/>
      <w:divBdr>
        <w:top w:val="none" w:sz="0" w:space="0" w:color="auto"/>
        <w:left w:val="none" w:sz="0" w:space="0" w:color="auto"/>
        <w:bottom w:val="none" w:sz="0" w:space="0" w:color="auto"/>
        <w:right w:val="none" w:sz="0" w:space="0" w:color="auto"/>
      </w:divBdr>
    </w:div>
    <w:div w:id="2115325382">
      <w:marLeft w:val="0"/>
      <w:marRight w:val="0"/>
      <w:marTop w:val="0"/>
      <w:marBottom w:val="0"/>
      <w:divBdr>
        <w:top w:val="none" w:sz="0" w:space="0" w:color="auto"/>
        <w:left w:val="none" w:sz="0" w:space="0" w:color="auto"/>
        <w:bottom w:val="none" w:sz="0" w:space="0" w:color="auto"/>
        <w:right w:val="none" w:sz="0" w:space="0" w:color="auto"/>
      </w:divBdr>
      <w:divsChild>
        <w:div w:id="1314724210">
          <w:marLeft w:val="0"/>
          <w:marRight w:val="0"/>
          <w:marTop w:val="0"/>
          <w:marBottom w:val="0"/>
          <w:divBdr>
            <w:top w:val="none" w:sz="0" w:space="0" w:color="auto"/>
            <w:left w:val="none" w:sz="0" w:space="0" w:color="auto"/>
            <w:bottom w:val="none" w:sz="0" w:space="0" w:color="auto"/>
            <w:right w:val="none" w:sz="0" w:space="0" w:color="auto"/>
          </w:divBdr>
        </w:div>
        <w:div w:id="791168068">
          <w:marLeft w:val="0"/>
          <w:marRight w:val="0"/>
          <w:marTop w:val="0"/>
          <w:marBottom w:val="0"/>
          <w:divBdr>
            <w:top w:val="none" w:sz="0" w:space="0" w:color="auto"/>
            <w:left w:val="none" w:sz="0" w:space="0" w:color="auto"/>
            <w:bottom w:val="none" w:sz="0" w:space="0" w:color="auto"/>
            <w:right w:val="none" w:sz="0" w:space="0" w:color="auto"/>
          </w:divBdr>
        </w:div>
      </w:divsChild>
    </w:div>
    <w:div w:id="2129278861">
      <w:marLeft w:val="0"/>
      <w:marRight w:val="0"/>
      <w:marTop w:val="0"/>
      <w:marBottom w:val="0"/>
      <w:divBdr>
        <w:top w:val="none" w:sz="0" w:space="0" w:color="auto"/>
        <w:left w:val="none" w:sz="0" w:space="0" w:color="auto"/>
        <w:bottom w:val="none" w:sz="0" w:space="0" w:color="auto"/>
        <w:right w:val="none" w:sz="0" w:space="0" w:color="auto"/>
      </w:divBdr>
      <w:divsChild>
        <w:div w:id="742221554">
          <w:marLeft w:val="0"/>
          <w:marRight w:val="0"/>
          <w:marTop w:val="0"/>
          <w:marBottom w:val="0"/>
          <w:divBdr>
            <w:top w:val="none" w:sz="0" w:space="0" w:color="auto"/>
            <w:left w:val="none" w:sz="0" w:space="0" w:color="auto"/>
            <w:bottom w:val="none" w:sz="0" w:space="0" w:color="auto"/>
            <w:right w:val="none" w:sz="0" w:space="0" w:color="auto"/>
          </w:divBdr>
        </w:div>
      </w:divsChild>
    </w:div>
    <w:div w:id="2130008040">
      <w:marLeft w:val="0"/>
      <w:marRight w:val="0"/>
      <w:marTop w:val="0"/>
      <w:marBottom w:val="0"/>
      <w:divBdr>
        <w:top w:val="none" w:sz="0" w:space="0" w:color="auto"/>
        <w:left w:val="none" w:sz="0" w:space="0" w:color="auto"/>
        <w:bottom w:val="none" w:sz="0" w:space="0" w:color="auto"/>
        <w:right w:val="none" w:sz="0" w:space="0" w:color="auto"/>
      </w:divBdr>
    </w:div>
    <w:div w:id="2134908088">
      <w:marLeft w:val="0"/>
      <w:marRight w:val="0"/>
      <w:marTop w:val="0"/>
      <w:marBottom w:val="0"/>
      <w:divBdr>
        <w:top w:val="none" w:sz="0" w:space="0" w:color="auto"/>
        <w:left w:val="none" w:sz="0" w:space="0" w:color="auto"/>
        <w:bottom w:val="none" w:sz="0" w:space="0" w:color="auto"/>
        <w:right w:val="none" w:sz="0" w:space="0" w:color="auto"/>
      </w:divBdr>
      <w:divsChild>
        <w:div w:id="1533179529">
          <w:marLeft w:val="0"/>
          <w:marRight w:val="0"/>
          <w:marTop w:val="0"/>
          <w:marBottom w:val="0"/>
          <w:divBdr>
            <w:top w:val="none" w:sz="0" w:space="0" w:color="auto"/>
            <w:left w:val="none" w:sz="0" w:space="0" w:color="auto"/>
            <w:bottom w:val="none" w:sz="0" w:space="0" w:color="auto"/>
            <w:right w:val="none" w:sz="0" w:space="0" w:color="auto"/>
          </w:divBdr>
        </w:div>
        <w:div w:id="182286624">
          <w:marLeft w:val="0"/>
          <w:marRight w:val="0"/>
          <w:marTop w:val="0"/>
          <w:marBottom w:val="0"/>
          <w:divBdr>
            <w:top w:val="none" w:sz="0" w:space="0" w:color="auto"/>
            <w:left w:val="none" w:sz="0" w:space="0" w:color="auto"/>
            <w:bottom w:val="none" w:sz="0" w:space="0" w:color="auto"/>
            <w:right w:val="none" w:sz="0" w:space="0" w:color="auto"/>
          </w:divBdr>
        </w:div>
        <w:div w:id="259535645">
          <w:marLeft w:val="0"/>
          <w:marRight w:val="0"/>
          <w:marTop w:val="0"/>
          <w:marBottom w:val="0"/>
          <w:divBdr>
            <w:top w:val="none" w:sz="0" w:space="0" w:color="auto"/>
            <w:left w:val="none" w:sz="0" w:space="0" w:color="auto"/>
            <w:bottom w:val="none" w:sz="0" w:space="0" w:color="auto"/>
            <w:right w:val="none" w:sz="0" w:space="0" w:color="auto"/>
          </w:divBdr>
          <w:divsChild>
            <w:div w:id="1852646199">
              <w:marLeft w:val="0"/>
              <w:marRight w:val="0"/>
              <w:marTop w:val="0"/>
              <w:marBottom w:val="0"/>
              <w:divBdr>
                <w:top w:val="none" w:sz="0" w:space="0" w:color="auto"/>
                <w:left w:val="none" w:sz="0" w:space="0" w:color="auto"/>
                <w:bottom w:val="none" w:sz="0" w:space="0" w:color="auto"/>
                <w:right w:val="none" w:sz="0" w:space="0" w:color="auto"/>
              </w:divBdr>
            </w:div>
          </w:divsChild>
        </w:div>
        <w:div w:id="1921786806">
          <w:marLeft w:val="0"/>
          <w:marRight w:val="0"/>
          <w:marTop w:val="0"/>
          <w:marBottom w:val="0"/>
          <w:divBdr>
            <w:top w:val="none" w:sz="0" w:space="0" w:color="auto"/>
            <w:left w:val="none" w:sz="0" w:space="0" w:color="auto"/>
            <w:bottom w:val="none" w:sz="0" w:space="0" w:color="auto"/>
            <w:right w:val="none" w:sz="0" w:space="0" w:color="auto"/>
          </w:divBdr>
        </w:div>
      </w:divsChild>
    </w:div>
    <w:div w:id="214211295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79101/000120677423000127/kimcorealty4159181-ex31.htm" TargetMode="External"/><Relationship Id="rId18" Type="http://schemas.openxmlformats.org/officeDocument/2006/relationships/hyperlink" Target="http://www.sec.gov/Archives/edgar/data/879101/000095012307006086/y33993exv1w3.htm" TargetMode="External"/><Relationship Id="rId26" Type="http://schemas.openxmlformats.org/officeDocument/2006/relationships/hyperlink" Target="http://www.sec.gov/Archives/edgar/data/828916/0000950129-95-000068.txt" TargetMode="External"/><Relationship Id="rId39" Type="http://schemas.openxmlformats.org/officeDocument/2006/relationships/hyperlink" Target="http://www.sec.gov/Archives/edgar/data/879101/000114036123000046/ny20006479x6_ex10-8.htm" TargetMode="External"/><Relationship Id="rId21" Type="http://schemas.openxmlformats.org/officeDocument/2006/relationships/hyperlink" Target="http://www.sec.gov/Archives/edgar/data/879101/000139843213000412/exh4_1.htm" TargetMode="External"/><Relationship Id="rId34" Type="http://schemas.openxmlformats.org/officeDocument/2006/relationships/hyperlink" Target="http://www.sec.gov/Archives/edgar/data/879101/000114036123000046/ny20006479x6_ex10-7.htm" TargetMode="External"/><Relationship Id="rId42" Type="http://schemas.openxmlformats.org/officeDocument/2006/relationships/hyperlink" Target="http://www.sec.gov/Archives/edgar/data/879101/000143774920017012/ex_194764.htm" TargetMode="External"/><Relationship Id="rId47" Type="http://schemas.openxmlformats.org/officeDocument/2006/relationships/hyperlink" Target="http://www.sec.gov/Archives/edgar/data/879101/000114036123000046/ny20006479x6_ex10-2.htm" TargetMode="External"/><Relationship Id="rId50" Type="http://schemas.openxmlformats.org/officeDocument/2006/relationships/hyperlink" Target="ex_471539.htm" TargetMode="External"/><Relationship Id="rId55" Type="http://schemas.openxmlformats.org/officeDocument/2006/relationships/hyperlink" Target="ex_471552.htm" TargetMode="External"/><Relationship Id="rId7" Type="http://schemas.openxmlformats.org/officeDocument/2006/relationships/image" Target="file:///E:\projects\LLMs\new_data_collection\data_new\htm\KIMCO%20REALTY%20CORP\a04.jpg" TargetMode="External"/><Relationship Id="rId2" Type="http://schemas.openxmlformats.org/officeDocument/2006/relationships/settings" Target="settings.xml"/><Relationship Id="rId16" Type="http://schemas.openxmlformats.org/officeDocument/2006/relationships/hyperlink" Target="http://www.sec.gov/Archives/edgar/data/879101/000114036123000046/ny20006479x6_ex3-5.htm" TargetMode="External"/><Relationship Id="rId29" Type="http://schemas.openxmlformats.org/officeDocument/2006/relationships/hyperlink" Target="http://www.sec.gov/Archives/edgar/data/879101/000114036123000046/ny20006479x6_ex4-2.htm" TargetMode="External"/><Relationship Id="rId11" Type="http://schemas.openxmlformats.org/officeDocument/2006/relationships/hyperlink" Target="http://www.sec.gov/Archives/edgar/data/879101/000114036123000046/ny20006479x6_ex3-1.htm" TargetMode="External"/><Relationship Id="rId24" Type="http://schemas.openxmlformats.org/officeDocument/2006/relationships/hyperlink" Target="http://www.sec.gov/Archives/edgar/data/879101/000114036123000194/ny20006479x1_ex4j.htm" TargetMode="External"/><Relationship Id="rId32" Type="http://schemas.openxmlformats.org/officeDocument/2006/relationships/hyperlink" Target="http://www.sec.gov/Archives/edgar/data/879101/000143774917003269/ex10-6.htm" TargetMode="External"/><Relationship Id="rId37" Type="http://schemas.openxmlformats.org/officeDocument/2006/relationships/hyperlink" Target="http://www.sec.gov/Archives/edgar/data/879101/000143774920003979/ex_174662.htm" TargetMode="External"/><Relationship Id="rId40" Type="http://schemas.openxmlformats.org/officeDocument/2006/relationships/hyperlink" Target="http://www.sec.gov/Archives/edgar/data/879101/000143774920017012/ex_194696.htm" TargetMode="External"/><Relationship Id="rId45" Type="http://schemas.openxmlformats.org/officeDocument/2006/relationships/hyperlink" Target="http://www.sec.gov/Archives/edgar/data/879101/000143774920017012/ex_195426.htm" TargetMode="External"/><Relationship Id="rId53" Type="http://schemas.openxmlformats.org/officeDocument/2006/relationships/hyperlink" Target="ex_471554.htm" TargetMode="External"/><Relationship Id="rId58" Type="http://schemas.openxmlformats.org/officeDocument/2006/relationships/hyperlink" Target="ex_471549.htm" TargetMode="External"/><Relationship Id="rId5" Type="http://schemas.openxmlformats.org/officeDocument/2006/relationships/image" Target="file:///E:\projects\LLMs\new_data_collection\data_new\htm\KIMCO%20REALTY%20CORP\mdapicture3.jpg" TargetMode="External"/><Relationship Id="rId61" Type="http://schemas.openxmlformats.org/officeDocument/2006/relationships/fontTable" Target="fontTable.xml"/><Relationship Id="rId19" Type="http://schemas.openxmlformats.org/officeDocument/2006/relationships/hyperlink" Target="http://www.sec.gov/Archives/edgar/data/879101/000114036123000046/ny20006479x6_ex4-2.htm" TargetMode="External"/><Relationship Id="rId14" Type="http://schemas.openxmlformats.org/officeDocument/2006/relationships/hyperlink" Target="http://www.sec.gov/Archives/edgar/data/879101/000114036123000046/ny20006479x6_ex3-3.htm" TargetMode="External"/><Relationship Id="rId22" Type="http://schemas.openxmlformats.org/officeDocument/2006/relationships/hyperlink" Target="http://www.sec.gov/Archives/edgar/data/879101/000139843214000177/exh4_1.htm" TargetMode="External"/><Relationship Id="rId27" Type="http://schemas.openxmlformats.org/officeDocument/2006/relationships/hyperlink" Target="http://www.sec.gov/Archives/edgar/data/828916/000119312512418408/d422337dex41.htm" TargetMode="External"/><Relationship Id="rId30" Type="http://schemas.openxmlformats.org/officeDocument/2006/relationships/hyperlink" Target="http://www.sec.gov/Archives/edgar/data/879101/000139843209000090/exh10_9.htm" TargetMode="External"/><Relationship Id="rId35" Type="http://schemas.openxmlformats.org/officeDocument/2006/relationships/hyperlink" Target="http://www.sec.gov/Archives/edgar/data/879101/000139843210000184/exh10_8.htm" TargetMode="External"/><Relationship Id="rId43" Type="http://schemas.openxmlformats.org/officeDocument/2006/relationships/hyperlink" Target="http://www.sec.gov/Archives/edgar/data/879101/000114036123000046/ny20006479x6_ex10-1.htm" TargetMode="External"/><Relationship Id="rId48" Type="http://schemas.openxmlformats.org/officeDocument/2006/relationships/hyperlink" Target="ex_479009.htm" TargetMode="External"/><Relationship Id="rId56" Type="http://schemas.openxmlformats.org/officeDocument/2006/relationships/hyperlink" Target="ex_471551.htm" TargetMode="External"/><Relationship Id="rId8" Type="http://schemas.openxmlformats.org/officeDocument/2006/relationships/image" Target="file:///E:\projects\LLMs\new_data_collection\data_new\htm\KIMCO%20REALTY%20CORP\a05.jpg" TargetMode="External"/><Relationship Id="rId51" Type="http://schemas.openxmlformats.org/officeDocument/2006/relationships/hyperlink" Target="ex_471538.htm" TargetMode="External"/><Relationship Id="rId3" Type="http://schemas.openxmlformats.org/officeDocument/2006/relationships/webSettings" Target="webSettings.xml"/><Relationship Id="rId12" Type="http://schemas.openxmlformats.org/officeDocument/2006/relationships/hyperlink" Target="http://www.sec.gov/Archives/edgar/data/879101/000114036123000046/ny20006479x6_ex3-1.htm" TargetMode="External"/><Relationship Id="rId17" Type="http://schemas.openxmlformats.org/officeDocument/2006/relationships/hyperlink" Target="http://www.sec.gov/Archives/edgar/data/879101/000112528206003262/b413601_ex4-3.txt" TargetMode="External"/><Relationship Id="rId25" Type="http://schemas.openxmlformats.org/officeDocument/2006/relationships/hyperlink" Target="http://www.sec.gov/Archives/edgar/data/879101/000143774920003500/ex_173710.htm" TargetMode="External"/><Relationship Id="rId33" Type="http://schemas.openxmlformats.org/officeDocument/2006/relationships/hyperlink" Target="http://www.sec.gov/Archives/edgar/data/879101/000143774918003230/ex_105684.htm" TargetMode="External"/><Relationship Id="rId38" Type="http://schemas.openxmlformats.org/officeDocument/2006/relationships/hyperlink" Target="http://www.sec.gov/Archives/edgar/data/879101/000120677420000839/kim3674811-def14a.htm" TargetMode="External"/><Relationship Id="rId46" Type="http://schemas.openxmlformats.org/officeDocument/2006/relationships/hyperlink" Target="http://www.sec.gov/ix?doc=/Archives/edgar/data/879101/000114036123000046/ny20006479x6_8k12b.htm" TargetMode="External"/><Relationship Id="rId59" Type="http://schemas.openxmlformats.org/officeDocument/2006/relationships/hyperlink" Target="ex_471548.htm" TargetMode="External"/><Relationship Id="rId20" Type="http://schemas.openxmlformats.org/officeDocument/2006/relationships/hyperlink" Target="http://www.sec.gov/Archives/edgar/data/879101/000139843209000364/exh4_1.htm" TargetMode="External"/><Relationship Id="rId41" Type="http://schemas.openxmlformats.org/officeDocument/2006/relationships/hyperlink" Target="http://www.sec.gov/Archives/edgar/data/879101/000143774920017012/ex_194763.htm" TargetMode="External"/><Relationship Id="rId54" Type="http://schemas.openxmlformats.org/officeDocument/2006/relationships/hyperlink" Target="ex_471553.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KIMCO%20REALTY%20CORP\mdapicture4.jpg" TargetMode="External"/><Relationship Id="rId15" Type="http://schemas.openxmlformats.org/officeDocument/2006/relationships/hyperlink" Target="http://www.sec.gov/Archives/edgar/data/879101/000114036123000046/ny20006479x6_ex3-4.htm" TargetMode="External"/><Relationship Id="rId23" Type="http://schemas.openxmlformats.org/officeDocument/2006/relationships/hyperlink" Target="http://www.sec.gov/Archives/edgar/data/879101/000114036123000046/ny20006479x6_ex4-1.htm" TargetMode="External"/><Relationship Id="rId28" Type="http://schemas.openxmlformats.org/officeDocument/2006/relationships/hyperlink" Target="ex_478597.htm" TargetMode="External"/><Relationship Id="rId36" Type="http://schemas.openxmlformats.org/officeDocument/2006/relationships/hyperlink" Target="http://www.sec.gov/Archives/edgar/data/879101/000143774912004817/ex10-3.htm" TargetMode="External"/><Relationship Id="rId49" Type="http://schemas.openxmlformats.org/officeDocument/2006/relationships/hyperlink" Target="ex_479610.htm" TargetMode="External"/><Relationship Id="rId57" Type="http://schemas.openxmlformats.org/officeDocument/2006/relationships/hyperlink" Target="ex_471550.htm" TargetMode="External"/><Relationship Id="rId10" Type="http://schemas.openxmlformats.org/officeDocument/2006/relationships/hyperlink" Target="http://www.sec.gov/Archives/edgar/data/879101/000114036122045681/brhc10045444_ex2-1.htm" TargetMode="External"/><Relationship Id="rId31" Type="http://schemas.openxmlformats.org/officeDocument/2006/relationships/hyperlink" Target="http://www.sec.gov/Archives/edgar/data/879101/000139843210000184/exh10_5.htm" TargetMode="External"/><Relationship Id="rId44" Type="http://schemas.openxmlformats.org/officeDocument/2006/relationships/hyperlink" Target="http://www.sec.gov/Archives/edgar/data/879101/000143774920017012/ex_195425.htm" TargetMode="External"/><Relationship Id="rId52" Type="http://schemas.openxmlformats.org/officeDocument/2006/relationships/hyperlink" Target="ex_471537.htm" TargetMode="External"/><Relationship Id="rId60" Type="http://schemas.openxmlformats.org/officeDocument/2006/relationships/hyperlink" Target="ex_471559.htm" TargetMode="External"/><Relationship Id="rId4" Type="http://schemas.openxmlformats.org/officeDocument/2006/relationships/image" Target="file:///E:\projects\LLMs\new_data_collection\data_new\htm\KIMCO%20REALTY%20CORP\a01.jpg" TargetMode="External"/><Relationship Id="rId9" Type="http://schemas.openxmlformats.org/officeDocument/2006/relationships/hyperlink" Target="http://www.sec.gov/Archives/edgar/data/879101/000114036121012872/nt10023151x1_ex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99522</Words>
  <Characters>567280</Characters>
  <Application>Microsoft Office Word</Application>
  <DocSecurity>0</DocSecurity>
  <Lines>4727</Lines>
  <Paragraphs>1330</Paragraphs>
  <ScaleCrop>false</ScaleCrop>
  <Company/>
  <LinksUpToDate>false</LinksUpToDate>
  <CharactersWithSpaces>665472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kim20221231_10k.htm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