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D26B8">
      <w:pPr>
        <w:divId w:val="1801530283"/>
        <w:rPr>
          <w:rFonts w:eastAsia="Times New Roman"/>
          <w:vanish/>
        </w:rPr>
      </w:pPr>
      <w:r>
        <w:rPr>
          <w:rFonts w:eastAsia="Times New Roman"/>
          <w:vanish/>
        </w:rPr>
        <w:t>0000202058false2020Q3--01-01.001151 year, 3 monthsone year00002020582020-01-042020-10-02xbrli:shares00002020582020-10-30iso4217:USD00002020582020-07-042020-10-0200002020582019-06-292019-09-2700002020582018-12-292019-09-27iso4217:USD</w:t>
      </w:r>
      <w:r>
        <w:rPr>
          <w:rFonts w:eastAsia="Times New Roman"/>
          <w:vanish/>
        </w:rPr>
        <w:t>xbrli:shares00002020582020-10-0200002020582020-01-0300002020582018-12-2800002020582019-09-270000202058us-gaap:CommonStockMember2020-07-030000202058us-gaap:OtherAdditionalCapitalMember2020-07-030000202058us-gaap:RetainedEarningsMember2020-07-030000202058us-</w:t>
      </w:r>
      <w:r>
        <w:rPr>
          <w:rFonts w:eastAsia="Times New Roman"/>
          <w:vanish/>
        </w:rPr>
        <w:t>gaap:AccumulatedOtherComprehensiveIncomeMember2020-07-030000202058us-gaap:NoncontrollingInterestMember2020-07-0300002020582020-07-030000202058us-gaap:RetainedEarningsMember2020-07-042020-10-020000202058us-gaap:NoncontrollingInterestMember2020-07-042020-10-</w:t>
      </w:r>
      <w:r>
        <w:rPr>
          <w:rFonts w:eastAsia="Times New Roman"/>
          <w:vanish/>
        </w:rPr>
        <w:t>020000202058us-gaap:AccumulatedOtherComprehensiveIncomeMember2020-07-042020-10-020000202058us-gaap:OtherAdditionalCapitalMember2020-07-042020-10-020000202058us-gaap:CommonStockMember2020-07-042020-10-020000202058us-gaap:CommonStockMember2020-10-02000020205</w:t>
      </w:r>
      <w:r>
        <w:rPr>
          <w:rFonts w:eastAsia="Times New Roman"/>
          <w:vanish/>
        </w:rPr>
        <w:t>8us-gaap:OtherAdditionalCapitalMember2020-10-020000202058us-gaap:RetainedEarningsMember2020-10-020000202058us-gaap:AccumulatedOtherComprehensiveIncomeMember2020-10-020000202058us-gaap:NoncontrollingInterestMember2020-10-020000202058us-gaap:CommonStockMembe</w:t>
      </w:r>
      <w:r>
        <w:rPr>
          <w:rFonts w:eastAsia="Times New Roman"/>
          <w:vanish/>
        </w:rPr>
        <w:t>r2019-06-280000202058us-gaap:OtherAdditionalCapitalMember2019-06-280000202058us-gaap:RetainedEarningsMember2019-06-280000202058us-gaap:AccumulatedOtherComprehensiveIncomeMember2019-06-280000202058us-gaap:NoncontrollingInterestMember2019-06-2800002020582019</w:t>
      </w:r>
      <w:r>
        <w:rPr>
          <w:rFonts w:eastAsia="Times New Roman"/>
          <w:vanish/>
        </w:rPr>
        <w:t>-06-280000202058us-gaap:RetainedEarningsMember2019-06-292019-09-270000202058us-gaap:NoncontrollingInterestMember2019-06-292019-09-270000202058us-gaap:AccumulatedOtherComprehensiveIncomeMember2019-06-292019-09-270000202058us-gaap:CommonStockMember2019-06-29</w:t>
      </w:r>
      <w:r>
        <w:rPr>
          <w:rFonts w:eastAsia="Times New Roman"/>
          <w:vanish/>
        </w:rPr>
        <w:t>2019-09-270000202058us-gaap:OtherAdditionalCapitalMember2019-06-292019-09-270000202058us-gaap:RetainedEarningsMember2019-06-302019-09-270000202058us-gaap:CommonStockMember2019-09-270000202058us-gaap:OtherAdditionalCapitalMember2019-09-270000202058us-gaap:R</w:t>
      </w:r>
      <w:r>
        <w:rPr>
          <w:rFonts w:eastAsia="Times New Roman"/>
          <w:vanish/>
        </w:rPr>
        <w:t>etainedEarningsMember2019-09-270000202058us-gaap:AccumulatedOtherComprehensiveIncomeMember2019-09-270000202058us-gaap:NoncontrollingInterestMember2019-09-270000202058us-gaap:CommonStockMember2020-01-030000202058us-gaap:OtherAdditionalCapitalMember2020-01-0</w:t>
      </w:r>
      <w:r>
        <w:rPr>
          <w:rFonts w:eastAsia="Times New Roman"/>
          <w:vanish/>
        </w:rPr>
        <w:t>30000202058us-gaap:RetainedEarningsMember2020-01-030000202058us-gaap:AccumulatedOtherComprehensiveIncomeMember2020-01-030000202058us-gaap:NoncontrollingInterestMember2020-01-030000202058us-gaap:RetainedEarningsMember2020-01-042020-10-020000202058us-gaap:No</w:t>
      </w:r>
      <w:r>
        <w:rPr>
          <w:rFonts w:eastAsia="Times New Roman"/>
          <w:vanish/>
        </w:rPr>
        <w:t>ncontrollingInterestMember2020-01-042020-10-020000202058us-gaap:AccumulatedOtherComprehensiveIncomeMember2020-01-042020-10-020000202058us-gaap:CommonStockMember2020-01-042020-10-020000202058us-gaap:OtherAdditionalCapitalMember2020-01-042020-10-020000202058</w:t>
      </w:r>
      <w:r>
        <w:rPr>
          <w:rFonts w:eastAsia="Times New Roman"/>
          <w:vanish/>
        </w:rPr>
        <w:t>us-gaap:CommonStockMember2018-12-280000202058us-gaap:OtherAdditionalCapitalMember2018-12-280000202058us-gaap:RetainedEarningsMember2018-12-280000202058us-gaap:AccumulatedOtherComprehensiveIncomeMember2018-12-280000202058us-gaap:NoncontrollingInterestMember</w:t>
      </w:r>
      <w:r>
        <w:rPr>
          <w:rFonts w:eastAsia="Times New Roman"/>
          <w:vanish/>
        </w:rPr>
        <w:t>2018-12-280000202058us-gaap:RetainedEarningsMember2018-12-292019-09-270000202058us-gaap:NoncontrollingInterestMember2018-12-292019-09-270000202058us-gaap:AccumulatedOtherComprehensiveIncomeMember2018-12-292019-09-270000202058us-gaap:CommonStockMember2018-1</w:t>
      </w:r>
      <w:r>
        <w:rPr>
          <w:rFonts w:eastAsia="Times New Roman"/>
          <w:vanish/>
        </w:rPr>
        <w:t>2-292019-09-270000202058us-gaap:OtherAdditionalCapitalMember2018-12-292019-09-27hrs:business00002020582020-01-042020-04-03xbrli:pure0000202058hrs:L3HarrisTechnologiesInc.Member2019-06-292019-06-290000202058hrs:L3HarrisTechnologiesInc.Memberhrs:FormerHarris</w:t>
      </w:r>
      <w:r>
        <w:rPr>
          <w:rFonts w:eastAsia="Times New Roman"/>
          <w:vanish/>
        </w:rPr>
        <w:t>ShareholdersMember2019-06-290000202058hrs:FormerL3ShareholdersMemberhrs:L3HarrisTechnologiesInc.Member2019-06-29hrs:employee0000202058hrs:L3HarrisTechnologiesInc.Memberhrs:L3TechnologiesInc.Member2019-06-290000202058hrs:L3HarrisTechnologiesInc.Member2019-0</w:t>
      </w:r>
      <w:r>
        <w:rPr>
          <w:rFonts w:eastAsia="Times New Roman"/>
          <w:vanish/>
        </w:rPr>
        <w:t>6-290000202058hrs:L3HarrisTechnologiesInc.Memberhrs:L3TechnologiesInc.Member2019-06-280000202058us-gaap:RestrictedStockUnitsRSUMemberhrs:L3HarrisTechnologiesInc.Memberhrs:L3TechnologiesInc.Member2019-06-292019-06-290000202058hrs:PerformanceStockUnitsMember</w:t>
      </w:r>
      <w:r>
        <w:rPr>
          <w:rFonts w:eastAsia="Times New Roman"/>
          <w:vanish/>
        </w:rPr>
        <w:t>hrs:L3HarrisTechnologiesInc.Memberhrs:L3TechnologiesInc.Member2019-06-292019-06-290000202058hrs:L3HarrisTechnologiesInc.Memberhrs:L3TechnologiesInc.Member2019-06-292019-06-290000202058hrs:L3HarrisTechnologiesInc.Member2019-06-280000202058us-gaap:Restricted</w:t>
      </w:r>
      <w:r>
        <w:rPr>
          <w:rFonts w:eastAsia="Times New Roman"/>
          <w:vanish/>
        </w:rPr>
        <w:t>StockUnitsRSUMemberhrs:L3HarrisTechnologiesInc.Member2019-06-292019-06-290000202058us-gaap:EmployeeStockMemberhrs:L3HarrisTechnologiesInc.Member2019-06-292019-06-290000202058hrs:L3HarrisTechnologiesInc.Member2019-09-270000202058hrs:L3HarrisTechnologiesInc.</w:t>
      </w:r>
      <w:r>
        <w:rPr>
          <w:rFonts w:eastAsia="Times New Roman"/>
          <w:vanish/>
        </w:rPr>
        <w:t>Member2019-09-282020-07-030000202058hrs:L3HarrisTechnologiesInc.Member2020-07-030000202058hrs:L3HarrisTechnologiesInc.Member2020-07-042020-10-020000202058hrs:L3HarrisTechnologiesInc.Member2020-01-042020-10-020000202058hrs:L3HarrisTechnologiesInc.Member2019</w:t>
      </w:r>
      <w:r>
        <w:rPr>
          <w:rFonts w:eastAsia="Times New Roman"/>
          <w:vanish/>
        </w:rPr>
        <w:t>-06-292020-01-030000202058hrs:L3HarrisTechnologiesInc.Member2020-10-020000202058us-gaap:GovernmentContractMemberhrs:L3HarrisTechnologiesInc.Memberus-gaap:CustomerRelationshipsMember2020-01-042020-10-020000202058hrs:L3HarrisTechnologiesInc.Memberhrs:Commerc</w:t>
      </w:r>
      <w:r>
        <w:rPr>
          <w:rFonts w:eastAsia="Times New Roman"/>
          <w:vanish/>
        </w:rPr>
        <w:t>ialContractMemberus-gaap:CustomerRelationshipsMember2020-01-042020-10-020000202058us-gaap:OrderOrProductionBacklogMemberhrs:L3HarrisTechnologiesInc.Member2020-01-042020-10-020000202058us-gaap:TradeNamesMemberhrs:L3HarrisTechnologiesInc.Member2020-01-042020</w:t>
      </w:r>
      <w:r>
        <w:rPr>
          <w:rFonts w:eastAsia="Times New Roman"/>
          <w:vanish/>
        </w:rPr>
        <w:t>-10-020000202058hrs:L3HarrisTechnologiesInc.Memberus-gaap:TechnologyBasedIntangibleAssetsMember2020-01-042020-10-020000202058us-gaap:TradeNamesMemberhrs:L3HarrisTechnologiesInc.Member2020-01-042020-10-020000202058us-gaap:InProcessResearchAndDevelopmentMemb</w:t>
      </w:r>
      <w:r>
        <w:rPr>
          <w:rFonts w:eastAsia="Times New Roman"/>
          <w:vanish/>
        </w:rPr>
        <w:t>erhrs:L3HarrisTechnologiesInc.Member2020-01-042020-10-020000202058hrs:L3HarrisTechnologiesInc.Member2019-06-292019-09-270000202058hrs:L3HarrisTechnologiesInc.Member2018-12-292019-09-270000202058hrs:EOTechBusinessMemberus-gaap:DisposalGroupDisposedOfBySaleN</w:t>
      </w:r>
      <w:r>
        <w:rPr>
          <w:rFonts w:eastAsia="Times New Roman"/>
          <w:vanish/>
        </w:rPr>
        <w:t>otDiscontinuedOperationsMember2020-07-310000202058hrs:EOTechBusinessMemberus-gaap:DisposalGroupDisposedOfBySaleNotDiscontinuedOperationsMember2020-07-312020-07-310000202058hrs:CommunicationSystemsMemberhrs:EOTechBusinessMemberus-gaap:DisposalGroupDisposedO</w:t>
      </w:r>
      <w:r>
        <w:rPr>
          <w:rFonts w:eastAsia="Times New Roman"/>
          <w:vanish/>
        </w:rPr>
        <w:t>fBySaleNotDiscontinuedOperationsMember2020-01-042020-04-030000202058hrs:SpaceandAirborneSystemsMemberhrs:AppliedKilovoltsandAnalyticalInstrumentationBusinessMemberus-gaap:DisposalGroupDisposedOfBySaleNotDiscontinuedOperationsMember2020-05-152020-05-1500002</w:t>
      </w:r>
      <w:r>
        <w:rPr>
          <w:rFonts w:eastAsia="Times New Roman"/>
          <w:vanish/>
        </w:rPr>
        <w:t>02058hrs:SpaceandAirborneSystemsMemberhrs:AppliedKilovoltsandAnalyticalInstrumentationBusinessMemberus-gaap:DisposalGroupDisposedOfBySaleNotDiscontinuedOperationsMember2020-01-042020-04-030000202058hrs:AirportSecurityandAutomationBusinessMemberhrs:Aviation</w:t>
      </w:r>
      <w:r>
        <w:rPr>
          <w:rFonts w:eastAsia="Times New Roman"/>
          <w:vanish/>
        </w:rPr>
        <w:t>SystemsMemberus-gaap:DisposalGroupDisposedOfBySaleNotDiscontinuedOperationsMember2020-05-040000202058hrs:AirportSecurityandAutomationBusinessMemberhrs:AviationSystemsMemberus-gaap:DisposalGroupDisposedOfBySaleNotDiscontinuedOperationsMember2020-05-042020-0</w:t>
      </w:r>
      <w:r>
        <w:rPr>
          <w:rFonts w:eastAsia="Times New Roman"/>
          <w:vanish/>
        </w:rPr>
        <w:t>5-040000202058hrs:AirportSecurityandAutomationBusinessMemberhrs:AviationSystemsMemberus-gaap:DisposalGroupDisposedOfBySaleNotDiscontinuedOperationsMember2020-04-042020-07-030000202058hrs:AirportSecurityandAutomationBusinessMemberhrs:AviationSystemsMemberus</w:t>
      </w:r>
      <w:r>
        <w:rPr>
          <w:rFonts w:eastAsia="Times New Roman"/>
          <w:vanish/>
        </w:rPr>
        <w:t>-gaap:DisposalGroupDisposedOfBySaleNotDiscontinuedOperationsMember2020-07-042020-10-020000202058hrs:AirportSecurityandAutomationBusinessMemberhrs:AviationSystemsMemberus-gaap:DisposalGroupDisposedOfBySaleNotDiscontinuedOperationsMember2020-04-030000202058h</w:t>
      </w:r>
      <w:r>
        <w:rPr>
          <w:rFonts w:eastAsia="Times New Roman"/>
          <w:vanish/>
        </w:rPr>
        <w:t>rs:AviationSystemsMemberhrs:AirportSecurityandAutomationBusinessMemberus-gaap:DisposalGroupDisposedOfBySaleNotDiscontinuedOperationsMember2020-01-042020-04-030000202058hrs:AviationSystemsMemberus-gaap:DisposalGroupHeldforsaleNotDiscontinuedOperationsMember</w:t>
      </w:r>
      <w:r>
        <w:rPr>
          <w:rFonts w:eastAsia="Times New Roman"/>
          <w:vanish/>
        </w:rPr>
        <w:t>hrs:OtherASDisposalGroupsMember2020-07-030000202058hrs:AviationSystemsMemberus-gaap:DisposalGroupHeldforsaleNotDiscontinuedOperationsMemberhrs:OtherASDisposalGroupsMember2020-04-042020-07-030000202058hrs:AviationSystemsMemberus-gaap:DisposalGroupHeldforsal</w:t>
      </w:r>
      <w:r>
        <w:rPr>
          <w:rFonts w:eastAsia="Times New Roman"/>
          <w:vanish/>
        </w:rPr>
        <w:t>eNotDiscontinuedOperationsMemberhrs:OtherASDisposalGroupsMember2020-07-042020-10-020000202058hrs:AviationSystemsMemberus-gaap:DisposalGroupHeldforsaleNotDiscontinuedOperationsMemberhrs:OtherASDisposalGroupsMember2020-10-020000202058hrs:HarrisNightVisionMem</w:t>
      </w:r>
      <w:r>
        <w:rPr>
          <w:rFonts w:eastAsia="Times New Roman"/>
          <w:vanish/>
        </w:rPr>
        <w:t>berhrs:L3HarrisTechnologiesInc.Memberus-gaap:AllOtherSegmentsMemberus-gaap:DisposalGroupDisposedOfBySaleNotDiscontinuedOperationsMember2019-09-130000202058hrs:HarrisNightVisionMemberhrs:L3HarrisTechnologiesInc.Memberus-gaap:DisposalGroupDisposedOfBySaleNot</w:t>
      </w:r>
      <w:r>
        <w:rPr>
          <w:rFonts w:eastAsia="Times New Roman"/>
          <w:vanish/>
        </w:rPr>
        <w:t>DiscontinuedOperationsMember2019-09-132019-09-130000202058hrs:HarrisNightVisionMemberhrs:L3HarrisTechnologiesInc.Memberus-gaap:DisposalGroupDisposedOfBySaleNotDiscontinuedOperationsMember2020-04-042020-07-030000202058hrs:StormscopeMemberus-gaap:DisposalGro</w:t>
      </w:r>
      <w:r>
        <w:rPr>
          <w:rFonts w:eastAsia="Times New Roman"/>
          <w:vanish/>
        </w:rPr>
        <w:t>upDisposedOfBySaleNotDiscontinuedOperationsMember2019-08-302019-08-30hrs:plan0000202058hrs:ShareholderapprovedEmployeeStockIncentivePlansMember2020-10-020000202058hrs:L3HarrisShareholderapprovedEmployeeStockIncentivePlansMember2020-01-042020-10-02000020205</w:t>
      </w:r>
      <w:r>
        <w:rPr>
          <w:rFonts w:eastAsia="Times New Roman"/>
          <w:vanish/>
        </w:rPr>
        <w:t>8hrs:L3HarrisShareholderapprovedEmployeeStockIncentivePlansMember2019-06-292019-09-270000202058hrs:L3HarrisShareholderapprovedEmployeeStockIncentivePlansMember2018-12-292019-09-270000202058hrs:L3HarrisShareholderapprovedEmployeeStockIncentivePlansMemberus-</w:t>
      </w:r>
      <w:r>
        <w:rPr>
          <w:rFonts w:eastAsia="Times New Roman"/>
          <w:vanish/>
        </w:rPr>
        <w:t>gaap:RestrictedStockUnitsRSUMember2020-01-042020-10-020000202058hrs:L3HarrisShareholderapprovedEmployeeStockIncentivePlansMemberus-gaap:EmployeeStockOptionMember2020-01-042020-10-020000202058hrs:L3HarrisShareholderapprovedEmployeeStockIncentivePlansMemberh</w:t>
      </w:r>
      <w:r>
        <w:rPr>
          <w:rFonts w:eastAsia="Times New Roman"/>
          <w:vanish/>
        </w:rPr>
        <w:t>rs:PerformanceStockUnitsMember2020-01-042020-10-020000202058hrs:L3HarrisTechnologiesInc.Member2020-04-042020-07-030000202058hrs:AviationSystemsMemberhrs:EmployeeSeveranceCOVID19RelatedMember2020-07-042020-10-020000202058hrs:AviationSystemsMemberhrs:Employe</w:t>
      </w:r>
      <w:r>
        <w:rPr>
          <w:rFonts w:eastAsia="Times New Roman"/>
          <w:vanish/>
        </w:rPr>
        <w:t>eSeveranceCOVID19RelatedMember2020-01-042020-10-020000202058hrs:CommunicationSystemsMemberhrs:EmployeeSeveranceCOVID19RelatedMember2020-04-042020-07-030000202058hrs:EmployeeSeveranceCOVID19RelatedMember2020-10-020000202058hrs:FacilityClosingandContractTerm</w:t>
      </w:r>
      <w:r>
        <w:rPr>
          <w:rFonts w:eastAsia="Times New Roman"/>
          <w:vanish/>
        </w:rPr>
        <w:t>inationMember2019-06-280000202058hrs:FacilityClosingandContractTerminationMember2020-10-020000202058us-gaap:EmployeeSeveranceMember2020-01-030000202058hrs:FacilityClosingandContractTerminationMember2020-01-030000202058us-gaap:EmployeeSeveranceMember2020-01</w:t>
      </w:r>
      <w:r>
        <w:rPr>
          <w:rFonts w:eastAsia="Times New Roman"/>
          <w:vanish/>
        </w:rPr>
        <w:t>-042020-10-020000202058hrs:FacilityClosingandContractTerminationMember2020-01-042020-10-020000202058us-gaap:EmployeeSeveranceMember2020-10-020000202058us-gaap:AccumulatedTranslationAdjustmentMember2020-01-030000202058us-gaap:AccumulatedGainLossNetCashFlowH</w:t>
      </w:r>
      <w:r>
        <w:rPr>
          <w:rFonts w:eastAsia="Times New Roman"/>
          <w:vanish/>
        </w:rPr>
        <w:t>edgeParentMember2020-01-030000202058us-gaap:AccumulatedDefinedBenefitPlansAdjustmentMember2020-01-030000202058us-gaap:AccumulatedTranslationAdjustmentMember2020-01-042020-10-020000202058us-gaap:AccumulatedGainLossNetCashFlowHedgeParentMember2020-01-042020-</w:t>
      </w:r>
      <w:r>
        <w:rPr>
          <w:rFonts w:eastAsia="Times New Roman"/>
          <w:vanish/>
        </w:rPr>
        <w:t>10-020000202058us-gaap:AccumulatedDefinedBenefitPlansAdjustmentMember2020-01-042020-10-020000202058us-gaap:AccumulatedTranslationAdjustmentMember2020-10-020000202058us-gaap:AccumulatedGainLossNetCashFlowHedgeParentMember2020-10-020000202058us-gaap:Accumula</w:t>
      </w:r>
      <w:r>
        <w:rPr>
          <w:rFonts w:eastAsia="Times New Roman"/>
          <w:vanish/>
        </w:rPr>
        <w:t>tedDefinedBenefitPlansAdjustmentMember2020-10-020000202058us-gaap:AccumulatedTranslationAdjustmentMember2018-12-280000202058us-gaap:AccumulatedGainLossNetCashFlowHedgeParentMember2018-12-280000202058us-gaap:AccumulatedDefinedBenefitPlansAdjustmentMember201</w:t>
      </w:r>
      <w:r>
        <w:rPr>
          <w:rFonts w:eastAsia="Times New Roman"/>
          <w:vanish/>
        </w:rPr>
        <w:t>8-12-280000202058us-gaap:AccumulatedTranslationAdjustmentMember2018-12-292019-09-270000202058us-gaap:AccumulatedGainLossNetCashFlowHedgeParentMember2018-12-292019-09-270000202058us-gaap:AccumulatedDefinedBenefitPlansAdjustmentMember2018-12-292019-09-270000</w:t>
      </w:r>
      <w:r>
        <w:rPr>
          <w:rFonts w:eastAsia="Times New Roman"/>
          <w:vanish/>
        </w:rPr>
        <w:t>202058us-gaap:AccumulatedTranslationAdjustmentMember2019-09-270000202058us-gaap:AccumulatedGainLossNetCashFlowHedgeParentMember2019-09-270000202058us-gaap:AccumulatedDefinedBenefitPlansAdjustmentMember2019-09-270000202058hrs:ReceivableSaleAgreementMember20</w:t>
      </w:r>
      <w:r>
        <w:rPr>
          <w:rFonts w:eastAsia="Times New Roman"/>
          <w:vanish/>
        </w:rPr>
        <w:t>20-10-020000202058hrs:ReceivableSaleAgreementMember2020-01-030000202058hrs:IntegratedMissionSystemsMember2020-01-030000202058hrs:SpaceandAirborneSystemsMember2020-01-030000202058hrs:CommunicationSystemsMember2020-01-030000202058hrs:AviationSystemsMember202</w:t>
      </w:r>
      <w:r>
        <w:rPr>
          <w:rFonts w:eastAsia="Times New Roman"/>
          <w:vanish/>
        </w:rPr>
        <w:t>0-01-030000202058hrs:IntegratedMissionSystemsMember2020-01-042020-10-020000202058hrs:SpaceandAirborneSystemsMember2020-01-042020-10-020000202058hrs:CommunicationSystemsMember2020-01-042020-10-020000202058hrs:AviationSystemsMember2020-01-042020-10-020000202</w:t>
      </w:r>
      <w:r>
        <w:rPr>
          <w:rFonts w:eastAsia="Times New Roman"/>
          <w:vanish/>
        </w:rPr>
        <w:t>058hrs:IntegratedMissionSystemsMember2020-10-020000202058hrs:SpaceandAirborneSystemsMember2020-10-020000202058hrs:CommunicationSystemsMember2020-10-020000202058hrs:AviationSystemsMember2020-10-02hrs:divestiture0000202058hrs:AppliedKilovoltsAndAnalyticalIns</w:t>
      </w:r>
      <w:r>
        <w:rPr>
          <w:rFonts w:eastAsia="Times New Roman"/>
          <w:vanish/>
        </w:rPr>
        <w:t>trumentationAirportSecurityAndAutomationAndEOTechBusinessesMemberus-gaap:DisposalGroupDisposedOfBySaleNotDiscontinuedOperationsMember2020-01-042020-10-020000202058hrs:CommercialAviationSolutionsMemberhrs:COVID19PandemicMember2020-01-042020-04-030000202058h</w:t>
      </w:r>
      <w:r>
        <w:rPr>
          <w:rFonts w:eastAsia="Times New Roman"/>
          <w:vanish/>
        </w:rPr>
        <w:t>rs:CommercialAviationSolutionsMember2020-04-042020-07-030000202058hrs:AviationSystemsMemberus-gaap:DisposalGroupHeldforsaleNotDiscontinuedOperationsMemberhrs:OtherASDisposalGroupsMember2020-01-042020-07-0300002020582020-04-042020-07-030000202058hrs:Commerc</w:t>
      </w:r>
      <w:r>
        <w:rPr>
          <w:rFonts w:eastAsia="Times New Roman"/>
          <w:vanish/>
        </w:rPr>
        <w:t>ialAviationSolutionsMember2020-01-042020-04-030000202058us-gaap:CustomerRelationshipsMember2020-10-020000202058us-gaap:CustomerRelationshipsMember2020-01-030000202058us-gaap:DevelopedTechnologyRightsMember2020-10-020000202058us-gaap:DevelopedTechnologyRigh</w:t>
      </w:r>
      <w:r>
        <w:rPr>
          <w:rFonts w:eastAsia="Times New Roman"/>
          <w:vanish/>
        </w:rPr>
        <w:t>tsMember2020-01-030000202058us-gaap:OrderOrProductionBacklogMember2020-10-020000202058us-gaap:OrderOrProductionBacklogMember2020-01-030000202058us-gaap:TradeNamesMember2020-10-020000202058us-gaap:TradeNamesMember2020-01-030000202058us-gaap:OtherIntangibleA</w:t>
      </w:r>
      <w:r>
        <w:rPr>
          <w:rFonts w:eastAsia="Times New Roman"/>
          <w:vanish/>
        </w:rPr>
        <w:t>ssetsMember2020-10-020000202058us-gaap:OtherIntangibleAssetsMember2020-01-030000202058us-gaap:InProcessResearchAndDevelopmentMember2020-10-020000202058us-gaap:InProcessResearchAndDevelopmentMember2020-01-030000202058us-gaap:TradeNamesMember2020-10-02000020</w:t>
      </w:r>
      <w:r>
        <w:rPr>
          <w:rFonts w:eastAsia="Times New Roman"/>
          <w:vanish/>
        </w:rPr>
        <w:t>2058us-gaap:TradeNamesMember2020-01-030000202058us-gaap:DisposalGroupDisposedOfBySaleNotDiscontinuedOperationsMember2020-01-042020-10-020000202058us-gaap:DisposalGroupHeldforsaleNotDiscontinuedOperationsMember2020-10-020000202058us-gaap:UnsecuredDebtMember</w:t>
      </w:r>
      <w:r>
        <w:rPr>
          <w:rFonts w:eastAsia="Times New Roman"/>
          <w:vanish/>
        </w:rPr>
        <w:t>hrs:Floatingratesnotes2020Member2020-10-020000202058us-gaap:UnsecuredDebtMemberhrs:Floatingratesnotes2020Member2020-01-030000202058hrs:Floatingratesnotes2023Memberus-gaap:UnsecuredDebtMember2020-10-020000202058hrs:Floatingratesnotes2023Memberus-gaap:Unsecu</w:t>
      </w:r>
      <w:r>
        <w:rPr>
          <w:rFonts w:eastAsia="Times New Roman"/>
          <w:vanish/>
        </w:rPr>
        <w:t>redDebtMember2020-01-030000202058us-gaap:UnsecuredDebtMember2020-10-020000202058us-gaap:UnsecuredDebtMember2020-01-030000202058hrs:A4.950SeniorNotesdueFebruary152021Memberus-gaap:LoansPayableMember2020-10-020000202058hrs:A4.950SeniorNotesdueFebruary152021M</w:t>
      </w:r>
      <w:r>
        <w:rPr>
          <w:rFonts w:eastAsia="Times New Roman"/>
          <w:vanish/>
        </w:rPr>
        <w:t>emberus-gaap:LoansPayableMember2020-01-030000202058us-gaap:LoansPayableMemberhrs:A3.850SeniorNotesdueJune152023Member2020-10-020000202058us-gaap:LoansPayableMemberhrs:A3.850SeniorNotesdueJune152023Member2020-01-030000202058us-gaap:LoansPayableMemberhrs:A3.</w:t>
      </w:r>
      <w:r>
        <w:rPr>
          <w:rFonts w:eastAsia="Times New Roman"/>
          <w:vanish/>
        </w:rPr>
        <w:t>950SeniorNotesdueMay282024Member2020-10-020000202058us-gaap:LoansPayableMemberhrs:A3.950SeniorNotesdueMay282024Member2020-01-030000202058us-gaap:LoansPayableMemberhrs:A3.832notesdueApril272025Member2020-10-020000202058us-gaap:LoansPayableMemberhrs:A3.832no</w:t>
      </w:r>
      <w:r>
        <w:rPr>
          <w:rFonts w:eastAsia="Times New Roman"/>
          <w:vanish/>
        </w:rPr>
        <w:t>tesdueApril272025Member2020-01-030000202058us-gaap:LoansPayableMemberhrs:DebentureTwoMember2020-10-020000202058us-gaap:LoansPayableMemberhrs:DebentureTwoMember2020-01-030000202058us-gaap:LoansPayableMemberhrs:A3.850SeniorNotesdueDecember152026Member2020-10</w:t>
      </w:r>
      <w:r>
        <w:rPr>
          <w:rFonts w:eastAsia="Times New Roman"/>
          <w:vanish/>
        </w:rPr>
        <w:t>-020000202058us-gaap:LoansPayableMemberhrs:A3.850SeniorNotesdueDecember152026Member2020-01-030000202058us-gaap:LoansPayableMemberhrs:DebentureOneMember2020-10-020000202058us-gaap:LoansPayableMemberhrs:DebentureOneMember2020-01-030000202058us-gaap:LoansPaya</w:t>
      </w:r>
      <w:r>
        <w:rPr>
          <w:rFonts w:eastAsia="Times New Roman"/>
          <w:vanish/>
        </w:rPr>
        <w:t>bleMemberhrs:A4.400SeniorNotesdueJune152028Member2020-10-020000202058us-gaap:LoansPayableMemberhrs:A4.400SeniorNotesdueJune152028Member2020-01-030000202058us-gaap:LoansPayableMemberhrs:A2.900Notesduedec152029Member2020-10-020000202058us-gaap:LoansPayableMe</w:t>
      </w:r>
      <w:r>
        <w:rPr>
          <w:rFonts w:eastAsia="Times New Roman"/>
          <w:vanish/>
        </w:rPr>
        <w:t>mberhrs:A2.900Notesduedec152029Member2020-01-030000202058us-gaap:LoansPayableMemberhrs:A4.854notesdueApril272035Member2020-10-020000202058us-gaap:LoansPayableMemberhrs:A4.854notesdueApril272035Member2020-01-030000202058us-gaap:LoansPayableMemberhrs:A6.15no</w:t>
      </w:r>
      <w:r>
        <w:rPr>
          <w:rFonts w:eastAsia="Times New Roman"/>
          <w:vanish/>
        </w:rPr>
        <w:t>tesdueDecember152040Member2020-10-020000202058us-gaap:LoansPayableMemberhrs:A6.15notesdueDecember152040Member2020-01-030000202058us-gaap:LoansPayableMemberhrs:A5.054notesdueApril272045Member2020-10-020000202058us-gaap:LoansPayableMemberhrs:A5.054notesdueAp</w:t>
      </w:r>
      <w:r>
        <w:rPr>
          <w:rFonts w:eastAsia="Times New Roman"/>
          <w:vanish/>
        </w:rPr>
        <w:t>ril272045Member2020-01-030000202058us-gaap:LoansPayableMember2020-10-020000202058us-gaap:LoansPayableMember2020-01-030000202058us-gaap:UnsecuredDebtMemberhrs:Floatingratesnotes2020Member2020-04-042020-07-030000202058hrs:Floatingratesnotes2023Memberus-gaap:</w:t>
      </w:r>
      <w:r>
        <w:rPr>
          <w:rFonts w:eastAsia="Times New Roman"/>
          <w:vanish/>
        </w:rPr>
        <w:t>UnsecuredDebtMember2020-04-030000202058us-gaap:LondonInterbankOfferedRateLIBORMemberhrs:Floatingratesnotes2023Memberus-gaap:UnsecuredDebtMember2020-01-042020-04-030000202058hrs:L3HarrisTechnologiesInc.Memberus-gaap:UnsecuredDebtMember2019-07-022019-07-0200</w:t>
      </w:r>
      <w:r>
        <w:rPr>
          <w:rFonts w:eastAsia="Times New Roman"/>
          <w:vanish/>
        </w:rPr>
        <w:t>00202058hrs:A4.950SeniorNotesdueFebruary152021Memberus-gaap:UnsecuredDebtMemberhrs:L3HarrisTechnologiesInc.Member2019-07-022019-07-020000202058hrs:A4.950SeniorNotesdueFebruary152021Memberus-gaap:UnsecuredDebtMemberhrs:L3HarrisTechnologiesInc.Member2019-07-</w:t>
      </w:r>
      <w:r>
        <w:rPr>
          <w:rFonts w:eastAsia="Times New Roman"/>
          <w:vanish/>
        </w:rPr>
        <w:t>012019-07-010000202058hrs:A4.950SeniorNotesdueFebruary152021Memberus-gaap:UnsecuredDebtMemberhrs:L3TechnologiesInc.Member2019-07-012019-07-010000202058hrs:A4.950SeniorNotesdueFebruary152021Memberus-gaap:UnsecuredDebtMemberhrs:L3TechnologiesInc.Member2019-0</w:t>
      </w:r>
      <w:r>
        <w:rPr>
          <w:rFonts w:eastAsia="Times New Roman"/>
          <w:vanish/>
        </w:rPr>
        <w:t>7-020000202058us-gaap:UnsecuredDebtMemberhrs:L3HarrisTechnologiesInc.Memberhrs:A3.850SeniorNotesdueJune152023Member2019-07-012019-07-010000202058us-gaap:UnsecuredDebtMemberhrs:L3HarrisTechnologiesInc.Memberhrs:A3.850SeniorNotesdueJune152023Member2019-07-02</w:t>
      </w:r>
      <w:r>
        <w:rPr>
          <w:rFonts w:eastAsia="Times New Roman"/>
          <w:vanish/>
        </w:rPr>
        <w:t>2019-07-020000202058us-gaap:UnsecuredDebtMemberhrs:L3TechnologiesInc.Memberhrs:A3.850SeniorNotesdueJune152023Member2019-07-012019-07-010000202058us-gaap:UnsecuredDebtMemberhrs:L3TechnologiesInc.Memberhrs:A3.850SeniorNotesdueJune152023Member2019-07-02000020</w:t>
      </w:r>
      <w:r>
        <w:rPr>
          <w:rFonts w:eastAsia="Times New Roman"/>
          <w:vanish/>
        </w:rPr>
        <w:t>2058us-gaap:UnsecuredDebtMemberhrs:L3HarrisTechnologiesInc.Memberhrs:A3.950SeniorNotesdueMay282024Member2019-07-022019-07-020000202058us-gaap:UnsecuredDebtMemberhrs:L3HarrisTechnologiesInc.Memberhrs:A3.950SeniorNotesdueMay282024Member2019-07-012019-07-0100</w:t>
      </w:r>
      <w:r>
        <w:rPr>
          <w:rFonts w:eastAsia="Times New Roman"/>
          <w:vanish/>
        </w:rPr>
        <w:t>00202058us-gaap:UnsecuredDebtMemberhrs:L3TechnologiesInc.Memberhrs:A3.950SeniorNotesdueMay282024Member2019-07-012019-07-010000202058us-gaap:UnsecuredDebtMemberhrs:L3TechnologiesInc.Memberhrs:A3.950SeniorNotesdueMay282024Member2019-07-020000202058us-gaap:Un</w:t>
      </w:r>
      <w:r>
        <w:rPr>
          <w:rFonts w:eastAsia="Times New Roman"/>
          <w:vanish/>
        </w:rPr>
        <w:t>securedDebtMemberhrs:L3HarrisTechnologiesInc.Memberhrs:A3.850SeniorNotesdueDecember152026Member2019-07-012019-07-010000202058us-gaap:UnsecuredDebtMemberhrs:L3HarrisTechnologiesInc.Memberhrs:A3.850SeniorNotesdueDecember152026Member2019-07-022019-07-02000020</w:t>
      </w:r>
      <w:r>
        <w:rPr>
          <w:rFonts w:eastAsia="Times New Roman"/>
          <w:vanish/>
        </w:rPr>
        <w:t>2058us-gaap:UnsecuredDebtMemberhrs:L3TechnologiesInc.Memberhrs:A3.850SeniorNotesdueDecember152026Member2019-07-012019-07-010000202058us-gaap:UnsecuredDebtMemberhrs:L3TechnologiesInc.Memberhrs:A3.850SeniorNotesdueDecember152026Member2019-07-020000202058hrs:</w:t>
      </w:r>
      <w:r>
        <w:rPr>
          <w:rFonts w:eastAsia="Times New Roman"/>
          <w:vanish/>
        </w:rPr>
        <w:t>A4.400SeniorNotesdueJune152028Memberus-gaap:UnsecuredDebtMemberhrs:L3HarrisTechnologiesInc.Member2019-07-012019-07-010000202058hrs:A4.400SeniorNotesdueJune152028Memberus-gaap:UnsecuredDebtMemberhrs:L3HarrisTechnologiesInc.Member2019-07-022019-07-0200002020</w:t>
      </w:r>
      <w:r>
        <w:rPr>
          <w:rFonts w:eastAsia="Times New Roman"/>
          <w:vanish/>
        </w:rPr>
        <w:t>58hrs:A4.400SeniorNotesdueJune152028Memberus-gaap:UnsecuredDebtMemberhrs:L3TechnologiesInc.Member2019-07-012019-07-010000202058hrs:A4.400SeniorNotesdueJune152028Memberus-gaap:UnsecuredDebtMemberhrs:L3TechnologiesInc.Member2019-07-020000202058us-gaap:Unsecu</w:t>
      </w:r>
      <w:r>
        <w:rPr>
          <w:rFonts w:eastAsia="Times New Roman"/>
          <w:vanish/>
        </w:rPr>
        <w:t>redDebtMemberhrs:L3TechnologiesInc.Member2019-07-012019-07-010000202058us-gaap:UnsecuredDebtMemberhrs:L3TechnologiesInc.Member2019-07-020000202058us-gaap:UnsecuredDebtMemberhrs:A3.850SeniorNotesdueJune152023Member2020-05-050000202058hrs:A4.950SeniorNotesdu</w:t>
      </w:r>
      <w:r>
        <w:rPr>
          <w:rFonts w:eastAsia="Times New Roman"/>
          <w:vanish/>
        </w:rPr>
        <w:t>eFebruary152021Memberus-gaap:UnsecuredDebtMember2020-05-050000202058us-gaap:UnsecuredDebtMemberhrs:A3.850SeniorNotesdueDecember152026Member2020-05-050000202058us-gaap:UnsecuredDebtMemberhrs:A3.950SeniorNotesdueMay282024Member2020-05-050000202058hrs:A4.950S</w:t>
      </w:r>
      <w:r>
        <w:rPr>
          <w:rFonts w:eastAsia="Times New Roman"/>
          <w:vanish/>
        </w:rPr>
        <w:t>eniorNotesdueFebruary152021Memberus-gaap:UnsecuredDebtMember2020-05-052020-05-050000202058us-gaap:UnsecuredDebtMemberhrs:A3.850SeniorNotesdueJune152023Member2020-05-052020-05-050000202058us-gaap:UnsecuredDebtMemberhrs:A3.950SeniorNotesdueMay282024Member202</w:t>
      </w:r>
      <w:r>
        <w:rPr>
          <w:rFonts w:eastAsia="Times New Roman"/>
          <w:vanish/>
        </w:rPr>
        <w:t>0-05-052020-05-050000202058us-gaap:UnsecuredDebtMemberhrs:A3.850SeniorNotesdueDecember152026Member2020-05-052020-05-050000202058hrs:A4.400SeniorNotesdueJune152028Memberus-gaap:UnsecuredDebtMember2020-05-050000202058hrs:A4.400SeniorNotesdueJune152028Memberu</w:t>
      </w:r>
      <w:r>
        <w:rPr>
          <w:rFonts w:eastAsia="Times New Roman"/>
          <w:vanish/>
        </w:rPr>
        <w:t>s-gaap:UnsecuredDebtMember2020-05-052020-05-050000202058hrs:L3HarrisTechnologiesInc.Memberus-gaap:UnsecuredDebtMember2019-07-020000202058us-gaap:PensionPlansDefinedBenefitMember2020-07-042020-10-020000202058us-gaap:OtherPostretirementBenefitPlansDefinedBen</w:t>
      </w:r>
      <w:r>
        <w:rPr>
          <w:rFonts w:eastAsia="Times New Roman"/>
          <w:vanish/>
        </w:rPr>
        <w:t>efitMember2020-07-042020-10-020000202058us-gaap:PensionPlansDefinedBenefitMember2020-01-042020-10-020000202058us-gaap:OtherPostretirementBenefitPlansDefinedBenefitMember2020-01-042020-10-020000202058us-gaap:PensionPlansDefinedBenefitMember2019-06-292019-09</w:t>
      </w:r>
      <w:r>
        <w:rPr>
          <w:rFonts w:eastAsia="Times New Roman"/>
          <w:vanish/>
        </w:rPr>
        <w:t>-270000202058us-gaap:OtherPostretirementBenefitPlansDefinedBenefitMember2019-06-292019-09-270000202058us-gaap:PensionPlansDefinedBenefitMember2018-12-292019-09-270000202058us-gaap:OtherPostretirementBenefitPlansDefinedBenefitMember2018-12-292019-09-2700002</w:t>
      </w:r>
      <w:r>
        <w:rPr>
          <w:rFonts w:eastAsia="Times New Roman"/>
          <w:vanish/>
        </w:rPr>
        <w:t>02058country:USus-gaap:PensionPlansDefinedBenefitMember2019-06-292019-09-270000202058country:USus-gaap:PensionPlansDefinedBenefitMember2017-07-012018-06-290000202058country:USus-gaap:PensionPlansDefinedBenefitMember2016-07-022017-06-300000202058country:USu</w:t>
      </w:r>
      <w:r>
        <w:rPr>
          <w:rFonts w:eastAsia="Times New Roman"/>
          <w:vanish/>
        </w:rPr>
        <w:t>s-gaap:PensionPlansDefinedBenefitMember2020-10-020000202058us-gaap:EquitySecuritiesMemberus-gaap:EstimateOfFairValueFairValueDisclosureMember2020-10-020000202058us-gaap:EquitySecuritiesMemberus-gaap:EstimateOfFairValueFairValueDisclosureMemberus-gaap:FairV</w:t>
      </w:r>
      <w:r>
        <w:rPr>
          <w:rFonts w:eastAsia="Times New Roman"/>
          <w:vanish/>
        </w:rPr>
        <w:t>alueInputsLevel1Member2020-10-020000202058us-gaap:FairValueInputsLevel2Memberus-gaap:EquitySecuritiesMemberus-gaap:EstimateOfFairValueFairValueDisclosureMember2020-10-020000202058us-gaap:EquitySecuritiesMemberus-gaap:EstimateOfFairValueFairValueDisclosureM</w:t>
      </w:r>
      <w:r>
        <w:rPr>
          <w:rFonts w:eastAsia="Times New Roman"/>
          <w:vanish/>
        </w:rPr>
        <w:t>ember2020-01-030000202058us-gaap:EquitySecuritiesMemberus-gaap:EstimateOfFairValueFairValueDisclosureMemberus-gaap:FairValueInputsLevel1Member2020-01-030000202058us-gaap:FairValueInputsLevel2Memberus-gaap:EquitySecuritiesMemberus-gaap:EstimateOfFairValueFa</w:t>
      </w:r>
      <w:r>
        <w:rPr>
          <w:rFonts w:eastAsia="Times New Roman"/>
          <w:vanish/>
        </w:rPr>
        <w:t>irValueDisclosureMember2020-01-030000202058us-gaap:EstimateOfFairValueFairValueDisclosureMemberhrs:CorporateownedlifeinsuranceMemberus-gaap:FairValueMeasuredAtNetAssetValuePerShareMember2020-10-020000202058us-gaap:EstimateOfFairValueFairValueDisclosureMemb</w:t>
      </w:r>
      <w:r>
        <w:rPr>
          <w:rFonts w:eastAsia="Times New Roman"/>
          <w:vanish/>
        </w:rPr>
        <w:t>erhrs:CorporateownedlifeinsuranceMemberus-gaap:FairValueMeasuredAtNetAssetValuePerShareMember2020-01-030000202058us-gaap:EstimateOfFairValueFairValueDisclosureMember2020-10-020000202058us-gaap:EstimateOfFairValueFairValueDisclosureMemberus-gaap:FairValueIn</w:t>
      </w:r>
      <w:r>
        <w:rPr>
          <w:rFonts w:eastAsia="Times New Roman"/>
          <w:vanish/>
        </w:rPr>
        <w:t>putsLevel1Member2020-10-020000202058us-gaap:FairValueInputsLevel2Memberus-gaap:EstimateOfFairValueFairValueDisclosureMember2020-10-020000202058us-gaap:EstimateOfFairValueFairValueDisclosureMember2020-01-030000202058us-gaap:EstimateOfFairValueFairValueDiscl</w:t>
      </w:r>
      <w:r>
        <w:rPr>
          <w:rFonts w:eastAsia="Times New Roman"/>
          <w:vanish/>
        </w:rPr>
        <w:t>osureMemberus-gaap:FairValueInputsLevel1Member2020-01-030000202058us-gaap:FairValueInputsLevel2Memberus-gaap:EstimateOfFairValueFairValueDisclosureMember2020-01-030000202058us-gaap:EstimateOfFairValueFairValueDisclosureMemberus-gaap:MutualFundMember2020-10</w:t>
      </w:r>
      <w:r>
        <w:rPr>
          <w:rFonts w:eastAsia="Times New Roman"/>
          <w:vanish/>
        </w:rPr>
        <w:t>-020000202058us-gaap:EstimateOfFairValueFairValueDisclosureMemberus-gaap:MutualFundMemberus-gaap:FairValueInputsLevel1Member2020-10-020000202058us-gaap:FairValueInputsLevel2Memberus-gaap:EstimateOfFairValueFairValueDisclosureMemberus-gaap:MutualFundMember2</w:t>
      </w:r>
      <w:r>
        <w:rPr>
          <w:rFonts w:eastAsia="Times New Roman"/>
          <w:vanish/>
        </w:rPr>
        <w:t>020-10-020000202058us-gaap:EstimateOfFairValueFairValueDisclosureMemberus-gaap:MutualFundMember2020-01-030000202058us-gaap:EstimateOfFairValueFairValueDisclosureMemberus-gaap:MutualFundMemberus-gaap:FairValueInputsLevel1Member2020-01-030000202058us-gaap:Fa</w:t>
      </w:r>
      <w:r>
        <w:rPr>
          <w:rFonts w:eastAsia="Times New Roman"/>
          <w:vanish/>
        </w:rPr>
        <w:t>irValueInputsLevel2Memberus-gaap:EstimateOfFairValueFairValueDisclosureMemberus-gaap:MutualFundMember2020-01-030000202058hrs:CommonCollectiveTrustsandGuaranteedInvestmentProgramMemberus-gaap:EstimateOfFairValueFairValueDisclosureMemberus-gaap:FairValueMeas</w:t>
      </w:r>
      <w:r>
        <w:rPr>
          <w:rFonts w:eastAsia="Times New Roman"/>
          <w:vanish/>
        </w:rPr>
        <w:t>uredAtNetAssetValuePerShareMember2020-10-020000202058hrs:CommonCollectiveTrustsandGuaranteedInvestmentProgramMemberus-gaap:EstimateOfFairValueFairValueDisclosureMemberus-gaap:FairValueMeasuredAtNetAssetValuePerShareMember2020-01-030000202058us-gaap:Carryin</w:t>
      </w:r>
      <w:r>
        <w:rPr>
          <w:rFonts w:eastAsia="Times New Roman"/>
          <w:vanish/>
        </w:rPr>
        <w:t>gReportedAmountFairValueDisclosureMember2020-10-020000202058us-gaap:FairValueInputsLevel2Memberus-gaap:EstimateOfFairValueFairValueDisclosureMemberus-gaap:MarketApproachValuationTechniqueMember2020-10-020000202058us-gaap:CarryingReportedAmountFairValueDisc</w:t>
      </w:r>
      <w:r>
        <w:rPr>
          <w:rFonts w:eastAsia="Times New Roman"/>
          <w:vanish/>
        </w:rPr>
        <w:t>losureMember2020-01-030000202058us-gaap:FairValueInputsLevel2Memberus-gaap:EstimateOfFairValueFairValueDisclosureMemberus-gaap:MarketApproachValuationTechniqueMember2020-01-030000202058us-gaap:ForeignExchangeForwardMemberus-gaap:FairValueHedgingMember2020-</w:t>
      </w:r>
      <w:r>
        <w:rPr>
          <w:rFonts w:eastAsia="Times New Roman"/>
          <w:vanish/>
        </w:rPr>
        <w:t>10-020000202058us-gaap:ForeignExchangeForwardMemberus-gaap:FairValueHedgingMember2020-07-042020-10-020000202058us-gaap:ForeignExchangeForwardMemberus-gaap:FairValueHedgingMember2019-06-292019-09-270000202058us-gaap:ForeignExchangeForwardMemberus-gaap:FairV</w:t>
      </w:r>
      <w:r>
        <w:rPr>
          <w:rFonts w:eastAsia="Times New Roman"/>
          <w:vanish/>
        </w:rPr>
        <w:t>alueHedgingMember2020-01-042020-10-020000202058us-gaap:ForeignExchangeForwardMemberus-gaap:FairValueHedgingMember2018-12-292019-09-270000202058us-gaap:ForeignExchangeForwardMemberus-gaap:CashFlowHedgingMember2020-10-020000202058us-gaap:OtherCurrentAssetsMe</w:t>
      </w:r>
      <w:r>
        <w:rPr>
          <w:rFonts w:eastAsia="Times New Roman"/>
          <w:vanish/>
        </w:rPr>
        <w:t>mberus-gaap:ForeignExchangeForwardMemberus-gaap:DesignatedAsHedgingInstrumentMemberus-gaap:CashFlowHedgingMember2020-10-020000202058us-gaap:OtherCurrentAssetsMemberus-gaap:ForeignExchangeForwardMemberus-gaap:DesignatedAsHedgingInstrumentMemberus-gaap:CashF</w:t>
      </w:r>
      <w:r>
        <w:rPr>
          <w:rFonts w:eastAsia="Times New Roman"/>
          <w:vanish/>
        </w:rPr>
        <w:t>lowHedgingMember2020-01-030000202058us-gaap:ForeignExchangeForwardMemberus-gaap:DesignatedAsHedgingInstrumentMemberus-gaap:OtherNoncurrentAssetsMemberus-gaap:CashFlowHedgingMember2020-10-020000202058us-gaap:ForeignExchangeForwardMemberus-gaap:DesignatedAsH</w:t>
      </w:r>
      <w:r>
        <w:rPr>
          <w:rFonts w:eastAsia="Times New Roman"/>
          <w:vanish/>
        </w:rPr>
        <w:t>edgingInstrumentMemberus-gaap:OtherNoncurrentAssetsMemberus-gaap:CashFlowHedgingMember2020-01-030000202058us-gaap:ForeignExchangeForwardMemberus-gaap:OtherCurrentLiabilitiesMemberus-gaap:DesignatedAsHedgingInstrumentMemberus-gaap:CashFlowHedgingMember2020-</w:t>
      </w:r>
      <w:r>
        <w:rPr>
          <w:rFonts w:eastAsia="Times New Roman"/>
          <w:vanish/>
        </w:rPr>
        <w:t>10-020000202058us-gaap:ForeignExchangeForwardMemberus-gaap:OtherCurrentLiabilitiesMemberus-gaap:DesignatedAsHedgingInstrumentMemberus-gaap:CashFlowHedgingMember2020-01-030000202058us-gaap:ForeignExchangeForwardMemberus-gaap:DesignatedAsHedgingInstrumentMem</w:t>
      </w:r>
      <w:r>
        <w:rPr>
          <w:rFonts w:eastAsia="Times New Roman"/>
          <w:vanish/>
        </w:rPr>
        <w:t>berus-gaap:OtherNoncurrentLiabilitiesMemberus-gaap:CashFlowHedgingMember2020-10-020000202058us-gaap:ForeignExchangeForwardMemberus-gaap:DesignatedAsHedgingInstrumentMemberus-gaap:OtherNoncurrentLiabilitiesMemberus-gaap:CashFlowHedgingMember2020-01-03hrs:co</w:t>
      </w:r>
      <w:r>
        <w:rPr>
          <w:rFonts w:eastAsia="Times New Roman"/>
          <w:vanish/>
        </w:rPr>
        <w:t>ntract0000202058us-gaap:TreasuryLockMemberus-gaap:CashFlowHedgingMember2020-10-020000202058hrs:TreasuryRateMemberhrs:A4.950SeniorNotesdueFebruary152021Member2019-01-310000202058us-gaap:TreasuryLockMemberus-gaap:CashFlowHedgingMember2020-01-030000202058us-g</w:t>
      </w:r>
      <w:r>
        <w:rPr>
          <w:rFonts w:eastAsia="Times New Roman"/>
          <w:vanish/>
        </w:rPr>
        <w:t>aap:ContractsAccountedForUnderPercentageOfCompletionMember2020-07-042020-10-020000202058us-gaap:ContractsAccountedForUnderPercentageOfCompletionMember2019-06-292019-09-270000202058us-gaap:ContractsAccountedForUnderPercentageOfCompletionMember2020-01-042020</w:t>
      </w:r>
      <w:r>
        <w:rPr>
          <w:rFonts w:eastAsia="Times New Roman"/>
          <w:vanish/>
        </w:rPr>
        <w:t>-10-020000202058us-gaap:ContractsAccountedForUnderPercentageOfCompletionMember2018-12-292019-09-2700002020582020-10-032020-10-020000202058hrs:AirportSecurityandAutomationBusinessMemberus-gaap:DisposalGroupDisposedOfBySaleNotDiscontinuedOperationsMember2020</w:t>
      </w:r>
      <w:r>
        <w:rPr>
          <w:rFonts w:eastAsia="Times New Roman"/>
          <w:vanish/>
        </w:rPr>
        <w:t>-01-0300002020582022-01-012020-10-02hrs:segment0000202058us-gaap:OperatingSegmentsMemberhrs:IntegratedMissionSystemsMember2020-07-042020-10-020000202058us-gaap:OperatingSegmentsMemberhrs:IntegratedMissionSystemsMember2019-06-292019-09-270000202058us-gaap:O</w:t>
      </w:r>
      <w:r>
        <w:rPr>
          <w:rFonts w:eastAsia="Times New Roman"/>
          <w:vanish/>
        </w:rPr>
        <w:t>peratingSegmentsMemberhrs:IntegratedMissionSystemsMember2020-01-042020-10-020000202058us-gaap:OperatingSegmentsMemberhrs:IntegratedMissionSystemsMember2018-12-292019-09-270000202058us-gaap:OperatingSegmentsMemberhrs:SpaceandAirborneSystemsMember2020-07-042</w:t>
      </w:r>
      <w:r>
        <w:rPr>
          <w:rFonts w:eastAsia="Times New Roman"/>
          <w:vanish/>
        </w:rPr>
        <w:t>020-10-020000202058us-gaap:OperatingSegmentsMemberhrs:SpaceandAirborneSystemsMember2019-06-292019-09-270000202058us-gaap:OperatingSegmentsMemberhrs:SpaceandAirborneSystemsMember2020-01-042020-10-020000202058us-gaap:OperatingSegmentsMemberhrs:SpaceandAirbor</w:t>
      </w:r>
      <w:r>
        <w:rPr>
          <w:rFonts w:eastAsia="Times New Roman"/>
          <w:vanish/>
        </w:rPr>
        <w:t>neSystemsMember2018-12-292019-09-270000202058us-gaap:OperatingSegmentsMemberhrs:CommunicationSystemsMember2020-07-042020-10-020000202058us-gaap:OperatingSegmentsMemberhrs:CommunicationSystemsMember2019-06-292019-09-270000202058us-gaap:OperatingSegmentsMemb</w:t>
      </w:r>
      <w:r>
        <w:rPr>
          <w:rFonts w:eastAsia="Times New Roman"/>
          <w:vanish/>
        </w:rPr>
        <w:t>erhrs:CommunicationSystemsMember2020-01-042020-10-020000202058us-gaap:OperatingSegmentsMemberhrs:CommunicationSystemsMember2018-12-292019-09-270000202058us-gaap:OperatingSegmentsMemberhrs:AviationSystemsMember2020-07-042020-10-020000202058us-gaap:Operating</w:t>
      </w:r>
      <w:r>
        <w:rPr>
          <w:rFonts w:eastAsia="Times New Roman"/>
          <w:vanish/>
        </w:rPr>
        <w:t>SegmentsMemberhrs:AviationSystemsMember2019-06-292019-09-270000202058us-gaap:OperatingSegmentsMemberhrs:AviationSystemsMember2020-01-042020-10-020000202058us-gaap:OperatingSegmentsMemberhrs:AviationSystemsMember2018-12-292019-09-270000202058us-gaap:Operati</w:t>
      </w:r>
      <w:r>
        <w:rPr>
          <w:rFonts w:eastAsia="Times New Roman"/>
          <w:vanish/>
        </w:rPr>
        <w:t>ngSegmentsMemberus-gaap:AllOtherSegmentsMember2020-07-042020-10-020000202058us-gaap:OperatingSegmentsMemberus-gaap:AllOtherSegmentsMember2019-06-292019-09-270000202058us-gaap:OperatingSegmentsMemberus-gaap:AllOtherSegmentsMember2020-01-042020-10-0200002020</w:t>
      </w:r>
      <w:r>
        <w:rPr>
          <w:rFonts w:eastAsia="Times New Roman"/>
          <w:vanish/>
        </w:rPr>
        <w:t>58us-gaap:OperatingSegmentsMemberus-gaap:AllOtherSegmentsMember2018-12-292019-09-270000202058us-gaap:IntersegmentEliminationMember2020-07-042020-10-020000202058us-gaap:IntersegmentEliminationMember2019-06-292019-09-270000202058us-gaap:IntersegmentEliminati</w:t>
      </w:r>
      <w:r>
        <w:rPr>
          <w:rFonts w:eastAsia="Times New Roman"/>
          <w:vanish/>
        </w:rPr>
        <w:t>onMember2020-01-042020-10-020000202058us-gaap:IntersegmentEliminationMember2018-12-292019-09-270000202058us-gaap:CorporateNonSegmentMember2020-07-042020-10-020000202058us-gaap:CorporateNonSegmentMember2019-06-292019-09-270000202058us-gaap:CorporateNonSegme</w:t>
      </w:r>
      <w:r>
        <w:rPr>
          <w:rFonts w:eastAsia="Times New Roman"/>
          <w:vanish/>
        </w:rPr>
        <w:t>ntMember2020-01-042020-10-020000202058us-gaap:CorporateNonSegmentMember2018-12-292019-09-270000202058hrs:L3HarrisTechnologiesIncAndExelisMember2020-07-042020-10-020000202058hrs:L3HarrisTechnologiesIncAndExelisMember2019-06-292019-09-270000202058hrs:L3Harri</w:t>
      </w:r>
      <w:r>
        <w:rPr>
          <w:rFonts w:eastAsia="Times New Roman"/>
          <w:vanish/>
        </w:rPr>
        <w:t>sTechnologiesIncAndExelisMember2020-01-042020-10-020000202058hrs:L3HarrisTechnologiesIncAndExelisMember2018-12-292019-09-270000202058us-gaap:CorporateNonSegmentMemberhrs:L3HarrisTechnologiesInc.Member2020-01-042020-10-020000202058us-gaap:DisposalGroupHeldf</w:t>
      </w:r>
      <w:r>
        <w:rPr>
          <w:rFonts w:eastAsia="Times New Roman"/>
          <w:vanish/>
        </w:rPr>
        <w:t>orsaleNotDiscontinuedOperationsMemberus-gaap:CorporateNonSegmentMember2020-01-042020-10-020000202058us-gaap:CorporateNonSegmentMemberhrs:AppliedKilovoltsandAnalyticalInstrumentationBusinessMemberus-gaap:DisposalGroupDisposedOfBySaleNotDiscontinuedOperation</w:t>
      </w:r>
      <w:r>
        <w:rPr>
          <w:rFonts w:eastAsia="Times New Roman"/>
          <w:vanish/>
        </w:rPr>
        <w:t>sMember2020-01-042020-10-020000202058us-gaap:CorporateNonSegmentMemberhrs:L3HarrisTechnologiesInc.Member2019-06-292019-09-270000202058us-gaap:CorporateNonSegmentMemberhrs:L3HarrisTechnologiesInc.Member2018-12-292019-09-270000202058us-gaap:CorporateNonSegme</w:t>
      </w:r>
      <w:r>
        <w:rPr>
          <w:rFonts w:eastAsia="Times New Roman"/>
          <w:vanish/>
        </w:rPr>
        <w:t>ntMemberus-gaap:DisposalGroupDisposedOfBySaleNotDiscontinuedOperationsMember2019-06-292019-09-270000202058us-gaap:CorporateNonSegmentMemberus-gaap:DisposalGroupDisposedOfBySaleNotDiscontinuedOperationsMember2018-12-292019-09-270000202058hrs:ExelisMember201</w:t>
      </w:r>
      <w:r>
        <w:rPr>
          <w:rFonts w:eastAsia="Times New Roman"/>
          <w:vanish/>
        </w:rPr>
        <w:t>9-06-292019-09-270000202058hrs:ExelisMember2020-07-042020-10-020000202058hrs:ExelisMember2020-01-042020-10-020000202058hrs:ExelisMember2018-12-292019-09-270000202058hrs:IntegratedMissionSystemsMemberus-gaap:SalesChannelDirectlyToConsumerMemberus-gaap:Trans</w:t>
      </w:r>
      <w:r>
        <w:rPr>
          <w:rFonts w:eastAsia="Times New Roman"/>
          <w:vanish/>
        </w:rPr>
        <w:t>ferredOverTimeMember2020-07-042020-10-020000202058hrs:IntegratedMissionSystemsMemberus-gaap:SalesChannelDirectlyToConsumerMemberus-gaap:TransferredOverTimeMember2019-06-292019-09-270000202058hrs:IntegratedMissionSystemsMemberus-gaap:SalesChannelDirectlyToC</w:t>
      </w:r>
      <w:r>
        <w:rPr>
          <w:rFonts w:eastAsia="Times New Roman"/>
          <w:vanish/>
        </w:rPr>
        <w:t>onsumerMemberus-gaap:TransferredOverTimeMember2020-01-042020-10-020000202058hrs:IntegratedMissionSystemsMemberus-gaap:SalesChannelDirectlyToConsumerMemberus-gaap:TransferredOverTimeMember2018-12-292019-09-270000202058hrs:IntegratedMissionSystemsMemberus-ga</w:t>
      </w:r>
      <w:r>
        <w:rPr>
          <w:rFonts w:eastAsia="Times New Roman"/>
          <w:vanish/>
        </w:rPr>
        <w:t>ap:SalesChannelThroughIntermediaryMemberus-gaap:TransferredOverTimeMember2020-07-042020-10-020000202058hrs:IntegratedMissionSystemsMemberus-gaap:SalesChannelThroughIntermediaryMemberus-gaap:TransferredOverTimeMember2019-06-292019-09-270000202058hrs:Integra</w:t>
      </w:r>
      <w:r>
        <w:rPr>
          <w:rFonts w:eastAsia="Times New Roman"/>
          <w:vanish/>
        </w:rPr>
        <w:t>tedMissionSystemsMemberus-gaap:SalesChannelThroughIntermediaryMemberus-gaap:TransferredOverTimeMember2020-01-042020-10-020000202058hrs:IntegratedMissionSystemsMemberus-gaap:SalesChannelThroughIntermediaryMemberus-gaap:TransferredOverTimeMember2018-12-29201</w:t>
      </w:r>
      <w:r>
        <w:rPr>
          <w:rFonts w:eastAsia="Times New Roman"/>
          <w:vanish/>
        </w:rPr>
        <w:t>9-09-270000202058hrs:IntegratedMissionSystemsMemberus-gaap:TransferredOverTimeMember2020-07-042020-10-020000202058hrs:IntegratedMissionSystemsMemberus-gaap:TransferredOverTimeMember2019-06-292019-09-270000202058hrs:IntegratedMissionSystemsMemberus-gaap:Tra</w:t>
      </w:r>
      <w:r>
        <w:rPr>
          <w:rFonts w:eastAsia="Times New Roman"/>
          <w:vanish/>
        </w:rPr>
        <w:t>nsferredOverTimeMember2020-01-042020-10-020000202058hrs:IntegratedMissionSystemsMemberus-gaap:TransferredOverTimeMember2018-12-292019-09-270000202058hrs:IntegratedMissionSystemsMemberus-gaap:FixedPriceContractMemberus-gaap:TransferredOverTimeMember2020-07-</w:t>
      </w:r>
      <w:r>
        <w:rPr>
          <w:rFonts w:eastAsia="Times New Roman"/>
          <w:vanish/>
        </w:rPr>
        <w:t>042020-10-020000202058hrs:IntegratedMissionSystemsMemberus-gaap:FixedPriceContractMemberus-gaap:TransferredOverTimeMember2019-06-292019-09-270000202058hrs:IntegratedMissionSystemsMemberus-gaap:FixedPriceContractMemberus-gaap:TransferredOverTimeMember2020-0</w:t>
      </w:r>
      <w:r>
        <w:rPr>
          <w:rFonts w:eastAsia="Times New Roman"/>
          <w:vanish/>
        </w:rPr>
        <w:t>1-042020-10-020000202058hrs:IntegratedMissionSystemsMemberus-gaap:FixedPriceContractMemberus-gaap:TransferredOverTimeMember2018-12-292019-09-270000202058hrs:CostreimbursableMemberhrs:IntegratedMissionSystemsMemberus-gaap:TransferredOverTimeMember2020-07-04</w:t>
      </w:r>
      <w:r>
        <w:rPr>
          <w:rFonts w:eastAsia="Times New Roman"/>
          <w:vanish/>
        </w:rPr>
        <w:t>2020-10-020000202058hrs:CostreimbursableMemberhrs:IntegratedMissionSystemsMemberus-gaap:TransferredOverTimeMember2019-06-292019-09-270000202058hrs:CostreimbursableMemberhrs:IntegratedMissionSystemsMemberus-gaap:TransferredOverTimeMember2020-01-042020-10-02</w:t>
      </w:r>
      <w:r>
        <w:rPr>
          <w:rFonts w:eastAsia="Times New Roman"/>
          <w:vanish/>
        </w:rPr>
        <w:t>0000202058hrs:CostreimbursableMemberhrs:IntegratedMissionSystemsMemberus-gaap:TransferredOverTimeMember2018-12-292019-09-270000202058hrs:IntegratedMissionSystemsMembercountry:USus-gaap:TransferredOverTimeMember2020-07-042020-10-020000202058hrs:IntegratedMi</w:t>
      </w:r>
      <w:r>
        <w:rPr>
          <w:rFonts w:eastAsia="Times New Roman"/>
          <w:vanish/>
        </w:rPr>
        <w:t>ssionSystemsMembercountry:USus-gaap:TransferredOverTimeMember2019-06-292019-09-270000202058hrs:IntegratedMissionSystemsMembercountry:USus-gaap:TransferredOverTimeMember2020-01-042020-10-020000202058hrs:IntegratedMissionSystemsMembercountry:USus-gaap:Transf</w:t>
      </w:r>
      <w:r>
        <w:rPr>
          <w:rFonts w:eastAsia="Times New Roman"/>
          <w:vanish/>
        </w:rPr>
        <w:t>erredOverTimeMember2018-12-292019-09-270000202058us-gaap:NonUsMemberhrs:IntegratedMissionSystemsMemberus-gaap:TransferredOverTimeMember2020-07-042020-10-020000202058us-gaap:NonUsMemberhrs:IntegratedMissionSystemsMemberus-gaap:TransferredOverTimeMember2019-</w:t>
      </w:r>
      <w:r>
        <w:rPr>
          <w:rFonts w:eastAsia="Times New Roman"/>
          <w:vanish/>
        </w:rPr>
        <w:t>06-292019-09-270000202058us-gaap:NonUsMemberhrs:IntegratedMissionSystemsMemberus-gaap:TransferredOverTimeMember2020-01-042020-10-020000202058us-gaap:NonUsMemberhrs:IntegratedMissionSystemsMemberus-gaap:TransferredOverTimeMember2018-12-292019-09-27000020205</w:t>
      </w:r>
      <w:r>
        <w:rPr>
          <w:rFonts w:eastAsia="Times New Roman"/>
          <w:vanish/>
        </w:rPr>
        <w:t>8hrs:SpaceandAirborneSystemsMemberus-gaap:SalesChannelDirectlyToConsumerMemberus-gaap:TransferredOverTimeMember2020-07-042020-10-020000202058hrs:SpaceandAirborneSystemsMemberus-gaap:SalesChannelDirectlyToConsumerMemberus-gaap:TransferredOverTimeMember2019-</w:t>
      </w:r>
      <w:r>
        <w:rPr>
          <w:rFonts w:eastAsia="Times New Roman"/>
          <w:vanish/>
        </w:rPr>
        <w:t>06-292019-09-270000202058hrs:SpaceandAirborneSystemsMemberus-gaap:SalesChannelDirectlyToConsumerMemberus-gaap:TransferredOverTimeMember2020-01-042020-10-020000202058hrs:SpaceandAirborneSystemsMemberus-gaap:SalesChannelDirectlyToConsumerMemberus-gaap:Transf</w:t>
      </w:r>
      <w:r>
        <w:rPr>
          <w:rFonts w:eastAsia="Times New Roman"/>
          <w:vanish/>
        </w:rPr>
        <w:t>erredOverTimeMember2018-12-292019-09-270000202058hrs:SpaceandAirborneSystemsMemberus-gaap:SalesChannelThroughIntermediaryMemberus-gaap:TransferredOverTimeMember2020-07-042020-10-020000202058hrs:SpaceandAirborneSystemsMemberus-gaap:SalesChannelThroughInterm</w:t>
      </w:r>
      <w:r>
        <w:rPr>
          <w:rFonts w:eastAsia="Times New Roman"/>
          <w:vanish/>
        </w:rPr>
        <w:t>ediaryMemberus-gaap:TransferredOverTimeMember2019-06-292019-09-270000202058hrs:SpaceandAirborneSystemsMemberus-gaap:SalesChannelThroughIntermediaryMemberus-gaap:TransferredOverTimeMember2020-01-042020-10-020000202058hrs:SpaceandAirborneSystemsMemberus-gaap</w:t>
      </w:r>
      <w:r>
        <w:rPr>
          <w:rFonts w:eastAsia="Times New Roman"/>
          <w:vanish/>
        </w:rPr>
        <w:t>:SalesChannelThroughIntermediaryMemberus-gaap:TransferredOverTimeMember2018-12-292019-09-270000202058hrs:SpaceandAirborneSystemsMemberus-gaap:TransferredOverTimeMember2020-07-042020-10-020000202058hrs:SpaceandAirborneSystemsMemberus-gaap:TransferredOverTim</w:t>
      </w:r>
      <w:r>
        <w:rPr>
          <w:rFonts w:eastAsia="Times New Roman"/>
          <w:vanish/>
        </w:rPr>
        <w:t>eMember2019-06-292019-09-270000202058hrs:SpaceandAirborneSystemsMemberus-gaap:TransferredOverTimeMember2020-01-042020-10-020000202058hrs:SpaceandAirborneSystemsMemberus-gaap:TransferredOverTimeMember2018-12-292019-09-270000202058hrs:SpaceandAirborneSystems</w:t>
      </w:r>
      <w:r>
        <w:rPr>
          <w:rFonts w:eastAsia="Times New Roman"/>
          <w:vanish/>
        </w:rPr>
        <w:t>Memberus-gaap:FixedPriceContractMemberus-gaap:TransferredOverTimeMember2020-07-042020-10-020000202058hrs:SpaceandAirborneSystemsMemberus-gaap:FixedPriceContractMemberus-gaap:TransferredOverTimeMember2019-06-292019-09-270000202058hrs:SpaceandAirborneSystems</w:t>
      </w:r>
      <w:r>
        <w:rPr>
          <w:rFonts w:eastAsia="Times New Roman"/>
          <w:vanish/>
        </w:rPr>
        <w:t>Memberus-gaap:FixedPriceContractMemberus-gaap:TransferredOverTimeMember2020-01-042020-10-020000202058hrs:SpaceandAirborneSystemsMemberus-gaap:FixedPriceContractMemberus-gaap:TransferredOverTimeMember2018-12-292019-09-270000202058hrs:CostreimbursableMemberh</w:t>
      </w:r>
      <w:r>
        <w:rPr>
          <w:rFonts w:eastAsia="Times New Roman"/>
          <w:vanish/>
        </w:rPr>
        <w:t>rs:SpaceandAirborneSystemsMemberus-gaap:TransferredOverTimeMember2020-07-042020-10-020000202058hrs:CostreimbursableMemberhrs:SpaceandAirborneSystemsMemberus-gaap:TransferredOverTimeMember2019-06-292019-09-270000202058hrs:CostreimbursableMemberhrs:SpaceandA</w:t>
      </w:r>
      <w:r>
        <w:rPr>
          <w:rFonts w:eastAsia="Times New Roman"/>
          <w:vanish/>
        </w:rPr>
        <w:t>irborneSystemsMemberus-gaap:TransferredOverTimeMember2020-01-042020-10-020000202058hrs:CostreimbursableMemberhrs:SpaceandAirborneSystemsMemberus-gaap:TransferredOverTimeMember2018-12-292019-09-270000202058hrs:SpaceandAirborneSystemsMembercountry:USus-gaap:</w:t>
      </w:r>
      <w:r>
        <w:rPr>
          <w:rFonts w:eastAsia="Times New Roman"/>
          <w:vanish/>
        </w:rPr>
        <w:t>TransferredOverTimeMember2020-07-042020-10-020000202058hrs:SpaceandAirborneSystemsMembercountry:USus-gaap:TransferredOverTimeMember2019-06-292019-09-270000202058hrs:SpaceandAirborneSystemsMembercountry:USus-gaap:TransferredOverTimeMember2020-01-042020-10-0</w:t>
      </w:r>
      <w:r>
        <w:rPr>
          <w:rFonts w:eastAsia="Times New Roman"/>
          <w:vanish/>
        </w:rPr>
        <w:t>20000202058hrs:SpaceandAirborneSystemsMembercountry:USus-gaap:TransferredOverTimeMember2018-12-292019-09-270000202058us-gaap:NonUsMemberhrs:SpaceandAirborneSystemsMemberus-gaap:TransferredOverTimeMember2020-07-042020-10-020000202058us-gaap:NonUsMemberhrs:S</w:t>
      </w:r>
      <w:r>
        <w:rPr>
          <w:rFonts w:eastAsia="Times New Roman"/>
          <w:vanish/>
        </w:rPr>
        <w:t>paceandAirborneSystemsMemberus-gaap:TransferredOverTimeMember2019-06-292019-09-270000202058us-gaap:NonUsMemberhrs:SpaceandAirborneSystemsMemberus-gaap:TransferredOverTimeMember2020-01-042020-10-020000202058us-gaap:NonUsMemberhrs:SpaceandAirborneSystemsMemb</w:t>
      </w:r>
      <w:r>
        <w:rPr>
          <w:rFonts w:eastAsia="Times New Roman"/>
          <w:vanish/>
        </w:rPr>
        <w:t>erus-gaap:TransferredOverTimeMember2018-12-292019-09-270000202058hrs:CommunicationSystemsMemberus-gaap:SalesChannelDirectlyToConsumerMemberhrs:TransferredAtPointInTimeAndOverTimeMember2020-07-042020-10-020000202058hrs:CommunicationSystemsMemberus-gaap:Sale</w:t>
      </w:r>
      <w:r>
        <w:rPr>
          <w:rFonts w:eastAsia="Times New Roman"/>
          <w:vanish/>
        </w:rPr>
        <w:t>sChannelDirectlyToConsumerMemberhrs:TransferredAtPointInTimeAndOverTimeMember2019-06-292019-09-270000202058hrs:CommunicationSystemsMemberus-gaap:SalesChannelDirectlyToConsumerMemberhrs:TransferredAtPointInTimeAndOverTimeMember2020-01-042020-10-020000202058</w:t>
      </w:r>
      <w:r>
        <w:rPr>
          <w:rFonts w:eastAsia="Times New Roman"/>
          <w:vanish/>
        </w:rPr>
        <w:t>hrs:CommunicationSystemsMemberus-gaap:SalesChannelThroughIntermediaryMemberhrs:TransferredAtPointInTimeAndOverTimeMember2020-07-042020-10-020000202058hrs:CommunicationSystemsMemberus-gaap:SalesChannelThroughIntermediaryMemberhrs:TransferredAtPointInTimeAnd</w:t>
      </w:r>
      <w:r>
        <w:rPr>
          <w:rFonts w:eastAsia="Times New Roman"/>
          <w:vanish/>
        </w:rPr>
        <w:t>OverTimeMember2019-06-292019-09-270000202058hrs:CommunicationSystemsMemberus-gaap:SalesChannelThroughIntermediaryMemberhrs:TransferredAtPointInTimeAndOverTimeMember2020-01-042020-10-020000202058hrs:CommunicationSystemsMemberhrs:TransferredAtPointInTimeAndO</w:t>
      </w:r>
      <w:r>
        <w:rPr>
          <w:rFonts w:eastAsia="Times New Roman"/>
          <w:vanish/>
        </w:rPr>
        <w:t>verTimeMember2020-07-042020-10-020000202058hrs:CommunicationSystemsMemberhrs:TransferredAtPointInTimeAndOverTimeMember2019-06-292019-09-270000202058hrs:CommunicationSystemsMemberhrs:TransferredAtPointInTimeAndOverTimeMember2020-01-042020-10-020000202058hrs</w:t>
      </w:r>
      <w:r>
        <w:rPr>
          <w:rFonts w:eastAsia="Times New Roman"/>
          <w:vanish/>
        </w:rPr>
        <w:t>:CommunicationSystemsMemberus-gaap:FixedPriceContractMemberhrs:TransferredAtPointInTimeAndOverTimeMember2020-07-042020-10-020000202058hrs:CommunicationSystemsMemberus-gaap:FixedPriceContractMemberhrs:TransferredAtPointInTimeAndOverTimeMember2019-06-292019-</w:t>
      </w:r>
      <w:r>
        <w:rPr>
          <w:rFonts w:eastAsia="Times New Roman"/>
          <w:vanish/>
        </w:rPr>
        <w:t>09-270000202058hrs:CommunicationSystemsMemberus-gaap:FixedPriceContractMemberhrs:TransferredAtPointInTimeAndOverTimeMember2020-01-042020-10-020000202058hrs:CostreimbursableMemberhrs:CommunicationSystemsMemberhrs:TransferredAtPointInTimeAndOverTimeMember202</w:t>
      </w:r>
      <w:r>
        <w:rPr>
          <w:rFonts w:eastAsia="Times New Roman"/>
          <w:vanish/>
        </w:rPr>
        <w:t>0-07-042020-10-020000202058hrs:CostreimbursableMemberhrs:CommunicationSystemsMemberhrs:TransferredAtPointInTimeAndOverTimeMember2019-06-292019-09-270000202058hrs:CostreimbursableMemberhrs:CommunicationSystemsMemberhrs:TransferredAtPointInTimeAndOverTimeMem</w:t>
      </w:r>
      <w:r>
        <w:rPr>
          <w:rFonts w:eastAsia="Times New Roman"/>
          <w:vanish/>
        </w:rPr>
        <w:t>ber2020-01-042020-10-020000202058hrs:CommunicationSystemsMembercountry:UShrs:TransferredAtPointInTimeAndOverTimeMember2020-07-042020-10-020000202058hrs:CommunicationSystemsMembercountry:UShrs:TransferredAtPointInTimeAndOverTimeMember2019-06-292019-09-27000</w:t>
      </w:r>
      <w:r>
        <w:rPr>
          <w:rFonts w:eastAsia="Times New Roman"/>
          <w:vanish/>
        </w:rPr>
        <w:t>0202058hrs:CommunicationSystemsMembercountry:UShrs:TransferredAtPointInTimeAndOverTimeMember2020-01-042020-10-020000202058hrs:CommunicationSystemsMembercountry:UShrs:TransferredAtPointInTimeAndOverTimeMember2018-12-292019-09-270000202058us-gaap:NonUsMember</w:t>
      </w:r>
      <w:r>
        <w:rPr>
          <w:rFonts w:eastAsia="Times New Roman"/>
          <w:vanish/>
        </w:rPr>
        <w:t>hrs:CommunicationSystemsMemberhrs:TransferredAtPointInTimeAndOverTimeMember2020-07-042020-10-020000202058us-gaap:NonUsMemberhrs:CommunicationSystemsMemberhrs:TransferredAtPointInTimeAndOverTimeMember2019-06-292019-09-270000202058us-gaap:NonUsMemberhrs:Comm</w:t>
      </w:r>
      <w:r>
        <w:rPr>
          <w:rFonts w:eastAsia="Times New Roman"/>
          <w:vanish/>
        </w:rPr>
        <w:t>unicationSystemsMemberhrs:TransferredAtPointInTimeAndOverTimeMember2020-01-042020-10-020000202058us-gaap:NonUsMemberhrs:CommunicationSystemsMemberhrs:TransferredAtPointInTimeAndOverTimeMember2018-12-292019-09-270000202058hrs:CommunicationSystemsMemberhrs:T</w:t>
      </w:r>
      <w:r>
        <w:rPr>
          <w:rFonts w:eastAsia="Times New Roman"/>
          <w:vanish/>
        </w:rPr>
        <w:t>ransferredAtPointInTimeAndOverTimeMember2018-12-292019-09-270000202058hrs:AviationSystemsMemberus-gaap:SalesChannelDirectlyToConsumerMemberhrs:TransferredAtPointInTimeAndOverTimeMember2020-07-042020-10-020000202058hrs:AviationSystemsMemberus-gaap:SalesChan</w:t>
      </w:r>
      <w:r>
        <w:rPr>
          <w:rFonts w:eastAsia="Times New Roman"/>
          <w:vanish/>
        </w:rPr>
        <w:t>nelDirectlyToConsumerMemberhrs:TransferredAtPointInTimeAndOverTimeMember2019-06-292019-09-270000202058hrs:AviationSystemsMemberus-gaap:SalesChannelDirectlyToConsumerMemberhrs:TransferredAtPointInTimeAndOverTimeMember2020-01-042020-10-020000202058hrs:Aviati</w:t>
      </w:r>
      <w:r>
        <w:rPr>
          <w:rFonts w:eastAsia="Times New Roman"/>
          <w:vanish/>
        </w:rPr>
        <w:t>onSystemsMemberus-gaap:SalesChannelDirectlyToConsumerMemberhrs:TransferredAtPointInTimeAndOverTimeMember2018-12-292019-09-270000202058hrs:AviationSystemsMemberus-gaap:SalesChannelThroughIntermediaryMemberhrs:TransferredAtPointInTimeAndOverTimeMember2020-07</w:t>
      </w:r>
      <w:r>
        <w:rPr>
          <w:rFonts w:eastAsia="Times New Roman"/>
          <w:vanish/>
        </w:rPr>
        <w:t>-042020-10-020000202058hrs:AviationSystemsMemberus-gaap:SalesChannelThroughIntermediaryMemberhrs:TransferredAtPointInTimeAndOverTimeMember2019-06-292019-09-270000202058hrs:AviationSystemsMemberus-gaap:SalesChannelThroughIntermediaryMemberhrs:TransferredAtP</w:t>
      </w:r>
      <w:r>
        <w:rPr>
          <w:rFonts w:eastAsia="Times New Roman"/>
          <w:vanish/>
        </w:rPr>
        <w:t>ointInTimeAndOverTimeMember2020-01-042020-10-020000202058hrs:AviationSystemsMemberus-gaap:SalesChannelThroughIntermediaryMemberhrs:TransferredAtPointInTimeAndOverTimeMember2018-12-292019-09-270000202058hrs:AviationSystemsMemberhrs:TransferredAtPointInTimeA</w:t>
      </w:r>
      <w:r>
        <w:rPr>
          <w:rFonts w:eastAsia="Times New Roman"/>
          <w:vanish/>
        </w:rPr>
        <w:t>ndOverTimeMember2020-07-042020-10-020000202058hrs:AviationSystemsMemberhrs:TransferredAtPointInTimeAndOverTimeMember2019-06-292019-09-270000202058hrs:AviationSystemsMemberhrs:TransferredAtPointInTimeAndOverTimeMember2020-01-042020-10-020000202058hrs:Aviati</w:t>
      </w:r>
      <w:r>
        <w:rPr>
          <w:rFonts w:eastAsia="Times New Roman"/>
          <w:vanish/>
        </w:rPr>
        <w:t>onSystemsMemberhrs:TransferredAtPointInTimeAndOverTimeMember2018-12-292019-09-270000202058hrs:AviationSystemsMemberus-gaap:FixedPriceContractMemberhrs:TransferredAtPointInTimeAndOverTimeMember2020-07-042020-10-020000202058hrs:AviationSystemsMemberus-gaap:F</w:t>
      </w:r>
      <w:r>
        <w:rPr>
          <w:rFonts w:eastAsia="Times New Roman"/>
          <w:vanish/>
        </w:rPr>
        <w:t>ixedPriceContractMemberhrs:TransferredAtPointInTimeAndOverTimeMember2019-06-292019-09-270000202058hrs:AviationSystemsMemberus-gaap:FixedPriceContractMemberhrs:TransferredAtPointInTimeAndOverTimeMember2020-01-042020-10-020000202058hrs:AviationSystemsMemberu</w:t>
      </w:r>
      <w:r>
        <w:rPr>
          <w:rFonts w:eastAsia="Times New Roman"/>
          <w:vanish/>
        </w:rPr>
        <w:t>s-gaap:FixedPriceContractMemberhrs:TransferredAtPointInTimeAndOverTimeMember2018-12-292019-09-270000202058hrs:CostreimbursableMemberhrs:AviationSystemsMemberhrs:TransferredAtPointInTimeAndOverTimeMember2020-07-042020-10-020000202058hrs:CostreimbursableMemb</w:t>
      </w:r>
      <w:r>
        <w:rPr>
          <w:rFonts w:eastAsia="Times New Roman"/>
          <w:vanish/>
        </w:rPr>
        <w:t>erhrs:AviationSystemsMemberhrs:TransferredAtPointInTimeAndOverTimeMember2019-06-292019-09-270000202058hrs:CostreimbursableMemberhrs:AviationSystemsMemberhrs:TransferredAtPointInTimeAndOverTimeMember2020-01-042020-10-020000202058hrs:CostreimbursableMemberhr</w:t>
      </w:r>
      <w:r>
        <w:rPr>
          <w:rFonts w:eastAsia="Times New Roman"/>
          <w:vanish/>
        </w:rPr>
        <w:t>s:AviationSystemsMemberhrs:TransferredAtPointInTimeAndOverTimeMember2018-12-292019-09-270000202058hrs:AviationSystemsMembercountry:UShrs:TransferredAtPointInTimeAndOverTimeMember2020-07-042020-10-020000202058hrs:AviationSystemsMembercountry:UShrs:Transferr</w:t>
      </w:r>
      <w:r>
        <w:rPr>
          <w:rFonts w:eastAsia="Times New Roman"/>
          <w:vanish/>
        </w:rPr>
        <w:t>edAtPointInTimeAndOverTimeMember2019-06-292019-09-270000202058hrs:AviationSystemsMembercountry:UShrs:TransferredAtPointInTimeAndOverTimeMember2020-01-042020-10-020000202058hrs:AviationSystemsMembercountry:UShrs:TransferredAtPointInTimeAndOverTimeMember2018</w:t>
      </w:r>
      <w:r>
        <w:rPr>
          <w:rFonts w:eastAsia="Times New Roman"/>
          <w:vanish/>
        </w:rPr>
        <w:t>-12-292019-09-270000202058us-gaap:NonUsMemberhrs:AviationSystemsMemberhrs:TransferredAtPointInTimeAndOverTimeMember2020-07-042020-10-020000202058us-gaap:NonUsMemberhrs:AviationSystemsMemberhrs:TransferredAtPointInTimeAndOverTimeMember2019-06-292019-09-2700</w:t>
      </w:r>
      <w:r>
        <w:rPr>
          <w:rFonts w:eastAsia="Times New Roman"/>
          <w:vanish/>
        </w:rPr>
        <w:t>00202058us-gaap:NonUsMemberhrs:AviationSystemsMemberhrs:TransferredAtPointInTimeAndOverTimeMember2020-01-042020-10-020000202058us-gaap:NonUsMemberhrs:AviationSystemsMemberhrs:TransferredAtPointInTimeAndOverTimeMember2018-12-292019-09-270000202058us-gaap:Op</w:t>
      </w:r>
      <w:r>
        <w:rPr>
          <w:rFonts w:eastAsia="Times New Roman"/>
          <w:vanish/>
        </w:rPr>
        <w:t>eratingSegmentsMemberhrs:IntegratedMissionSystemsMember2020-10-020000202058us-gaap:OperatingSegmentsMemberhrs:IntegratedMissionSystemsMember2020-01-030000202058us-gaap:OperatingSegmentsMemberhrs:SpaceandAirborneSystemsMember2020-10-020000202058us-gaap:Oper</w:t>
      </w:r>
      <w:r>
        <w:rPr>
          <w:rFonts w:eastAsia="Times New Roman"/>
          <w:vanish/>
        </w:rPr>
        <w:t>atingSegmentsMemberhrs:SpaceandAirborneSystemsMember2020-01-030000202058us-gaap:OperatingSegmentsMemberhrs:CommunicationSystemsMember2020-10-020000202058us-gaap:OperatingSegmentsMemberhrs:CommunicationSystemsMember2020-01-030000202058us-gaap:OperatingSegme</w:t>
      </w:r>
      <w:r>
        <w:rPr>
          <w:rFonts w:eastAsia="Times New Roman"/>
          <w:vanish/>
        </w:rPr>
        <w:t>ntsMemberhrs:AviationSystemsMember2020-10-020000202058us-gaap:OperatingSegmentsMemberhrs:AviationSystemsMember2020-01-030000202058us-gaap:CorporateNonSegmentMember2020-10-020000202058us-gaap:CorporateNonSegmentMember2020-01-030000202058us-gaap:CorporateNon</w:t>
      </w:r>
      <w:r>
        <w:rPr>
          <w:rFonts w:eastAsia="Times New Roman"/>
          <w:vanish/>
        </w:rPr>
        <w:t>SegmentMemberhrs:ExelisMember2020-10-020000202058us-gaap:CorporateNonSegmentMemberhrs:ExelisMember2020-01-03hrs:responsible_party0000202058hrs:PassaicRiverAlaskaMemberhrs:ExelisMember2016-03-012016-03-310000202058hrs:PassaicRiverAlaskaMemberhrs:ExelisMembe</w:t>
      </w:r>
      <w:r>
        <w:rPr>
          <w:rFonts w:eastAsia="Times New Roman"/>
          <w:vanish/>
        </w:rPr>
        <w:t>r2020-01-042020-10-02</w:t>
      </w:r>
    </w:p>
    <w:p w:rsidR="00000000" w:rsidRDefault="005D26B8">
      <w:pPr>
        <w:jc w:val="right"/>
        <w:divId w:val="1199120044"/>
        <w:rPr>
          <w:rFonts w:eastAsia="Times New Roman"/>
        </w:rPr>
      </w:pPr>
    </w:p>
    <w:p w:rsidR="00000000" w:rsidRDefault="005D26B8">
      <w:pPr>
        <w:jc w:val="center"/>
        <w:divId w:val="1199120044"/>
        <w:rPr>
          <w:rFonts w:eastAsia="Times New Roman"/>
        </w:rPr>
      </w:pPr>
    </w:p>
    <w:p w:rsidR="00000000" w:rsidRDefault="005D26B8">
      <w:pPr>
        <w:jc w:val="center"/>
        <w:divId w:val="1199120044"/>
        <w:rPr>
          <w:rFonts w:eastAsia="Times New Roman"/>
        </w:rPr>
      </w:pPr>
    </w:p>
    <w:p w:rsidR="00000000" w:rsidRDefault="005D26B8">
      <w:pPr>
        <w:jc w:val="center"/>
        <w:divId w:val="1199120044"/>
        <w:rPr>
          <w:rFonts w:eastAsia="Times New Roman"/>
        </w:rPr>
      </w:pPr>
    </w:p>
    <w:p w:rsidR="00000000" w:rsidRDefault="005D26B8">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D26B8">
      <w:pPr>
        <w:jc w:val="center"/>
        <w:rPr>
          <w:rFonts w:eastAsia="Times New Roman"/>
        </w:rPr>
      </w:pPr>
      <w:r>
        <w:rPr>
          <w:rFonts w:eastAsia="Times New Roman"/>
          <w:b/>
          <w:bCs/>
          <w:color w:val="000000"/>
          <w:sz w:val="32"/>
          <w:szCs w:val="32"/>
        </w:rPr>
        <w:t>UNITED STATES</w:t>
      </w:r>
    </w:p>
    <w:p w:rsidR="00000000" w:rsidRDefault="005D26B8">
      <w:pPr>
        <w:jc w:val="center"/>
        <w:rPr>
          <w:rFonts w:eastAsia="Times New Roman"/>
        </w:rPr>
      </w:pPr>
      <w:r>
        <w:rPr>
          <w:rFonts w:eastAsia="Times New Roman"/>
          <w:b/>
          <w:bCs/>
          <w:color w:val="000000"/>
          <w:sz w:val="32"/>
          <w:szCs w:val="32"/>
        </w:rPr>
        <w:t>SECURITIES AND EXCHANGE COMMISSION</w:t>
      </w:r>
    </w:p>
    <w:p w:rsidR="00000000" w:rsidRDefault="005D26B8">
      <w:pPr>
        <w:jc w:val="center"/>
        <w:rPr>
          <w:rFonts w:eastAsia="Times New Roman"/>
        </w:rPr>
      </w:pPr>
      <w:r>
        <w:rPr>
          <w:rFonts w:eastAsia="Times New Roman"/>
          <w:b/>
          <w:bCs/>
          <w:color w:val="000000"/>
        </w:rPr>
        <w:t>Washington, D.C. 20549</w:t>
      </w:r>
    </w:p>
    <w:p w:rsidR="00000000" w:rsidRDefault="005D26B8">
      <w:pPr>
        <w:jc w:val="center"/>
        <w:rPr>
          <w:rFonts w:eastAsia="Times New Roman"/>
        </w:rPr>
      </w:pPr>
      <w:r>
        <w:rPr>
          <w:rFonts w:eastAsia="Times New Roman"/>
          <w:b/>
          <w:bCs/>
          <w:color w:val="000000"/>
          <w:sz w:val="32"/>
          <w:szCs w:val="32"/>
        </w:rPr>
        <w:t>FORM 10</w:t>
      </w:r>
      <w:r>
        <w:rPr>
          <w:rFonts w:eastAsia="Times New Roman"/>
          <w:b/>
          <w:bCs/>
          <w:color w:val="000000"/>
          <w:sz w:val="32"/>
          <w:szCs w:val="32"/>
        </w:rPr>
        <w:t xml:space="preserve">-Q </w:t>
      </w:r>
    </w:p>
    <w:p w:rsidR="00000000" w:rsidRDefault="005D26B8">
      <w:pPr>
        <w:divId w:val="1317759462"/>
        <w:rPr>
          <w:rFonts w:eastAsia="Times New Roman"/>
        </w:rPr>
      </w:pPr>
      <w:r>
        <w:rPr>
          <w:rFonts w:eastAsia="Times New Roman"/>
          <w:b/>
          <w:bCs/>
          <w:color w:val="000000"/>
          <w:sz w:val="16"/>
          <w:szCs w:val="16"/>
        </w:rPr>
        <w:t>(Mark One)</w:t>
      </w:r>
    </w:p>
    <w:tbl>
      <w:tblPr>
        <w:tblW w:w="4992" w:type="pct"/>
        <w:tblCellMar>
          <w:top w:w="15" w:type="dxa"/>
          <w:left w:w="15" w:type="dxa"/>
          <w:bottom w:w="15" w:type="dxa"/>
          <w:right w:w="15" w:type="dxa"/>
        </w:tblCellMar>
        <w:tblLook w:val="04A0" w:firstRow="1" w:lastRow="0" w:firstColumn="1" w:lastColumn="0" w:noHBand="0" w:noVBand="1"/>
      </w:tblPr>
      <w:tblGrid>
        <w:gridCol w:w="94"/>
        <w:gridCol w:w="267"/>
        <w:gridCol w:w="36"/>
        <w:gridCol w:w="37"/>
        <w:gridCol w:w="7823"/>
        <w:gridCol w:w="36"/>
      </w:tblGrid>
      <w:tr w:rsidR="00000000">
        <w:trPr>
          <w:divId w:val="531965429"/>
        </w:trPr>
        <w:tc>
          <w:tcPr>
            <w:tcW w:w="50" w:type="pct"/>
            <w:vAlign w:val="center"/>
            <w:hideMark/>
          </w:tcPr>
          <w:p w:rsidR="00000000" w:rsidRDefault="005D26B8">
            <w:pPr>
              <w:rPr>
                <w:rFonts w:eastAsia="Times New Roman"/>
              </w:rPr>
            </w:pPr>
          </w:p>
        </w:tc>
        <w:tc>
          <w:tcPr>
            <w:tcW w:w="14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4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531965429"/>
        </w:trPr>
        <w:tc>
          <w:tcPr>
            <w:tcW w:w="0" w:type="auto"/>
            <w:gridSpan w:val="3"/>
            <w:tcMar>
              <w:top w:w="30" w:type="dxa"/>
              <w:left w:w="20" w:type="dxa"/>
              <w:bottom w:w="30" w:type="dxa"/>
              <w:right w:w="20" w:type="dxa"/>
            </w:tcMar>
            <w:hideMark/>
          </w:tcPr>
          <w:p w:rsidR="00000000" w:rsidRDefault="005D26B8">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QUARTERLY REPORT PURSUANT TO SECTION 13 OR 15(d) OF THE SECURITIES EXCHANGE ACT OF 1934</w:t>
            </w:r>
          </w:p>
        </w:tc>
      </w:tr>
      <w:tr w:rsidR="00000000">
        <w:trPr>
          <w:divId w:val="531965429"/>
        </w:trPr>
        <w:tc>
          <w:tcPr>
            <w:tcW w:w="0" w:type="auto"/>
            <w:gridSpan w:val="6"/>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20"/>
                <w:szCs w:val="20"/>
              </w:rPr>
              <w:t>For the quarterly period ended October 2, 2020</w:t>
            </w:r>
          </w:p>
        </w:tc>
      </w:tr>
    </w:tbl>
    <w:p w:rsidR="00000000" w:rsidRDefault="005D26B8">
      <w:pPr>
        <w:jc w:val="center"/>
        <w:rPr>
          <w:rFonts w:eastAsia="Times New Roman"/>
        </w:rPr>
      </w:pPr>
      <w:r>
        <w:rPr>
          <w:rFonts w:eastAsia="Times New Roman"/>
          <w:b/>
          <w:bCs/>
          <w:color w:val="000000"/>
          <w:sz w:val="20"/>
          <w:szCs w:val="20"/>
        </w:rPr>
        <w:t>or</w:t>
      </w:r>
    </w:p>
    <w:tbl>
      <w:tblPr>
        <w:tblW w:w="4992" w:type="pct"/>
        <w:tblCellMar>
          <w:top w:w="15" w:type="dxa"/>
          <w:left w:w="15" w:type="dxa"/>
          <w:bottom w:w="15" w:type="dxa"/>
          <w:right w:w="15" w:type="dxa"/>
        </w:tblCellMar>
        <w:tblLook w:val="04A0" w:firstRow="1" w:lastRow="0" w:firstColumn="1" w:lastColumn="0" w:noHBand="0" w:noVBand="1"/>
      </w:tblPr>
      <w:tblGrid>
        <w:gridCol w:w="68"/>
        <w:gridCol w:w="222"/>
        <w:gridCol w:w="36"/>
        <w:gridCol w:w="69"/>
        <w:gridCol w:w="7861"/>
        <w:gridCol w:w="37"/>
      </w:tblGrid>
      <w:tr w:rsidR="00000000">
        <w:trPr>
          <w:divId w:val="620645225"/>
        </w:trPr>
        <w:tc>
          <w:tcPr>
            <w:tcW w:w="50" w:type="pct"/>
            <w:vAlign w:val="center"/>
            <w:hideMark/>
          </w:tcPr>
          <w:p w:rsidR="00000000" w:rsidRDefault="005D26B8">
            <w:pPr>
              <w:jc w:val="center"/>
              <w:rPr>
                <w:rFonts w:eastAsia="Times New Roman"/>
              </w:rPr>
            </w:pPr>
          </w:p>
        </w:tc>
        <w:tc>
          <w:tcPr>
            <w:tcW w:w="14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4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620645225"/>
        </w:trPr>
        <w:tc>
          <w:tcPr>
            <w:tcW w:w="0" w:type="auto"/>
            <w:gridSpan w:val="3"/>
            <w:tcMar>
              <w:top w:w="30" w:type="dxa"/>
              <w:left w:w="20" w:type="dxa"/>
              <w:bottom w:w="30" w:type="dxa"/>
              <w:right w:w="20" w:type="dxa"/>
            </w:tcMar>
            <w:hideMark/>
          </w:tcPr>
          <w:p w:rsidR="00000000" w:rsidRDefault="005D26B8">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TRANSITION REPORT PURSUANT TO SECTION 13 OR 15(d) OF THE SECURITIES EXCHANGE ACT OF 1934</w:t>
            </w:r>
          </w:p>
        </w:tc>
      </w:tr>
      <w:tr w:rsidR="00000000">
        <w:trPr>
          <w:divId w:val="620645225"/>
        </w:trPr>
        <w:tc>
          <w:tcPr>
            <w:tcW w:w="0" w:type="auto"/>
            <w:gridSpan w:val="6"/>
            <w:tcMar>
              <w:top w:w="30" w:type="dxa"/>
              <w:left w:w="20" w:type="dxa"/>
              <w:bottom w:w="30" w:type="dxa"/>
              <w:right w:w="20" w:type="dxa"/>
            </w:tcMar>
            <w:hideMark/>
          </w:tcPr>
          <w:p w:rsidR="00000000" w:rsidRDefault="005D26B8">
            <w:pPr>
              <w:jc w:val="center"/>
              <w:divId w:val="1019358939"/>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_</w:t>
            </w:r>
          </w:p>
        </w:tc>
      </w:tr>
    </w:tbl>
    <w:p w:rsidR="00000000" w:rsidRDefault="005D26B8">
      <w:pPr>
        <w:jc w:val="center"/>
        <w:rPr>
          <w:rFonts w:eastAsia="Times New Roman"/>
        </w:rPr>
      </w:pPr>
      <w:r>
        <w:rPr>
          <w:rFonts w:eastAsia="Times New Roman"/>
          <w:color w:val="000000"/>
          <w:sz w:val="20"/>
          <w:szCs w:val="20"/>
        </w:rPr>
        <w:t xml:space="preserve">Commission File Number: 1-3863 </w:t>
      </w:r>
    </w:p>
    <w:p w:rsidR="00000000" w:rsidRDefault="005D26B8">
      <w:pPr>
        <w:jc w:val="center"/>
        <w:rPr>
          <w:rFonts w:eastAsia="Times New Roman"/>
        </w:rPr>
      </w:pPr>
      <w:r>
        <w:rPr>
          <w:rFonts w:ascii="Arial" w:eastAsia="Times New Roman" w:hAnsi="Arial" w:cs="Arial"/>
          <w:b/>
          <w:bCs/>
          <w:color w:val="000000"/>
          <w:sz w:val="44"/>
          <w:szCs w:val="44"/>
        </w:rPr>
        <w:t xml:space="preserve">L3HARRIS TECHNOLOGIES, INC. </w:t>
      </w:r>
    </w:p>
    <w:p w:rsidR="00000000" w:rsidRDefault="005D26B8">
      <w:pPr>
        <w:jc w:val="center"/>
        <w:rPr>
          <w:rFonts w:eastAsia="Times New Roman"/>
        </w:rPr>
      </w:pPr>
      <w:r>
        <w:rPr>
          <w:rFonts w:eastAsia="Times New Roman"/>
          <w:color w:val="000000"/>
          <w:sz w:val="18"/>
          <w:szCs w:val="18"/>
        </w:rPr>
        <w:t>(Exact name of registrant as specified in its charter)</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3038"/>
        <w:gridCol w:w="38"/>
        <w:gridCol w:w="69"/>
        <w:gridCol w:w="660"/>
        <w:gridCol w:w="36"/>
        <w:gridCol w:w="69"/>
        <w:gridCol w:w="1170"/>
        <w:gridCol w:w="36"/>
        <w:gridCol w:w="69"/>
        <w:gridCol w:w="2966"/>
        <w:gridCol w:w="37"/>
      </w:tblGrid>
      <w:tr w:rsidR="00000000">
        <w:trPr>
          <w:divId w:val="1729723483"/>
          <w:jc w:val="center"/>
        </w:trPr>
        <w:tc>
          <w:tcPr>
            <w:tcW w:w="50" w:type="pct"/>
            <w:vAlign w:val="center"/>
            <w:hideMark/>
          </w:tcPr>
          <w:p w:rsidR="00000000" w:rsidRDefault="005D26B8">
            <w:pPr>
              <w:jc w:val="center"/>
              <w:rPr>
                <w:rFonts w:eastAsia="Times New Roman"/>
              </w:rPr>
            </w:pPr>
          </w:p>
        </w:tc>
        <w:tc>
          <w:tcPr>
            <w:tcW w:w="184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0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1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80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729723483"/>
          <w:jc w:val="center"/>
        </w:trPr>
        <w:tc>
          <w:tcPr>
            <w:tcW w:w="0" w:type="auto"/>
            <w:gridSpan w:val="6"/>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18"/>
                <w:szCs w:val="18"/>
              </w:rPr>
              <w:t>34-0276860</w:t>
            </w:r>
          </w:p>
        </w:tc>
      </w:tr>
      <w:tr w:rsidR="00000000">
        <w:trPr>
          <w:divId w:val="1729723483"/>
          <w:jc w:val="center"/>
        </w:trPr>
        <w:tc>
          <w:tcPr>
            <w:tcW w:w="0" w:type="auto"/>
            <w:gridSpan w:val="6"/>
            <w:tcMar>
              <w:top w:w="30" w:type="dxa"/>
              <w:left w:w="20" w:type="dxa"/>
              <w:bottom w:w="30" w:type="dxa"/>
              <w:right w:w="20" w:type="dxa"/>
            </w:tcMar>
            <w:hideMark/>
          </w:tcPr>
          <w:p w:rsidR="00000000" w:rsidRDefault="005D26B8">
            <w:pPr>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jc w:val="center"/>
              <w:rPr>
                <w:rFonts w:eastAsia="Times New Roman"/>
              </w:rPr>
            </w:pPr>
            <w:r>
              <w:rPr>
                <w:rFonts w:eastAsia="Times New Roman"/>
                <w:color w:val="000000"/>
                <w:sz w:val="16"/>
                <w:szCs w:val="16"/>
              </w:rPr>
              <w:t>(I.R.S. Employer Identification No.)</w:t>
            </w:r>
          </w:p>
        </w:tc>
      </w:tr>
    </w:tbl>
    <w:tbl>
      <w:tblPr>
        <w:tblW w:w="4963" w:type="pct"/>
        <w:jc w:val="center"/>
        <w:tblCellMar>
          <w:top w:w="15" w:type="dxa"/>
          <w:left w:w="15" w:type="dxa"/>
          <w:bottom w:w="15" w:type="dxa"/>
          <w:right w:w="15" w:type="dxa"/>
        </w:tblCellMar>
        <w:tblLook w:val="04A0" w:firstRow="1" w:lastRow="0" w:firstColumn="1" w:lastColumn="0" w:noHBand="0" w:noVBand="1"/>
      </w:tblPr>
      <w:tblGrid>
        <w:gridCol w:w="62"/>
        <w:gridCol w:w="1735"/>
        <w:gridCol w:w="38"/>
        <w:gridCol w:w="85"/>
        <w:gridCol w:w="517"/>
        <w:gridCol w:w="37"/>
        <w:gridCol w:w="62"/>
        <w:gridCol w:w="1104"/>
        <w:gridCol w:w="36"/>
        <w:gridCol w:w="63"/>
        <w:gridCol w:w="1407"/>
        <w:gridCol w:w="36"/>
        <w:gridCol w:w="63"/>
        <w:gridCol w:w="2964"/>
        <w:gridCol w:w="36"/>
      </w:tblGrid>
      <w:tr w:rsidR="00000000">
        <w:trPr>
          <w:jc w:val="center"/>
        </w:trPr>
        <w:tc>
          <w:tcPr>
            <w:tcW w:w="50" w:type="pct"/>
            <w:vAlign w:val="center"/>
            <w:hideMark/>
          </w:tcPr>
          <w:p w:rsidR="00000000" w:rsidRDefault="005D26B8">
            <w:pPr>
              <w:jc w:val="center"/>
              <w:rPr>
                <w:rFonts w:eastAsia="Times New Roman"/>
              </w:rPr>
            </w:pPr>
          </w:p>
        </w:tc>
        <w:tc>
          <w:tcPr>
            <w:tcW w:w="106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0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86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80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8"/>
                <w:szCs w:val="18"/>
              </w:rPr>
              <w:t>32919</w:t>
            </w:r>
          </w:p>
        </w:tc>
      </w:tr>
      <w:tr w:rsidR="00000000">
        <w:trPr>
          <w:jc w:val="center"/>
        </w:trPr>
        <w:tc>
          <w:tcPr>
            <w:tcW w:w="0" w:type="auto"/>
            <w:gridSpan w:val="9"/>
            <w:tcMar>
              <w:top w:w="30" w:type="dxa"/>
              <w:left w:w="20" w:type="dxa"/>
              <w:bottom w:w="30" w:type="dxa"/>
              <w:right w:w="20" w:type="dxa"/>
            </w:tcMar>
            <w:hideMark/>
          </w:tcPr>
          <w:p w:rsidR="00000000" w:rsidRDefault="005D26B8">
            <w:pPr>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hideMark/>
          </w:tcPr>
          <w:p w:rsidR="00000000" w:rsidRDefault="005D26B8">
            <w:pPr>
              <w:jc w:val="center"/>
              <w:rPr>
                <w:rFonts w:eastAsia="Times New Roman"/>
              </w:rPr>
            </w:pPr>
            <w:r>
              <w:rPr>
                <w:rFonts w:eastAsia="Times New Roman"/>
                <w:color w:val="000000"/>
                <w:sz w:val="16"/>
                <w:szCs w:val="16"/>
              </w:rPr>
              <w:t>(Zip Code)</w:t>
            </w:r>
          </w:p>
        </w:tc>
      </w:tr>
    </w:tbl>
    <w:p w:rsidR="00000000" w:rsidRDefault="005D26B8">
      <w:pPr>
        <w:jc w:val="center"/>
        <w:rPr>
          <w:rFonts w:eastAsia="Times New Roman"/>
        </w:rPr>
      </w:pPr>
      <w:r>
        <w:rPr>
          <w:rFonts w:eastAsia="Times New Roman"/>
          <w:b/>
          <w:bCs/>
          <w:color w:val="000000"/>
          <w:sz w:val="18"/>
          <w:szCs w:val="18"/>
        </w:rPr>
        <w:t>Registrant’</w:t>
      </w:r>
      <w:r>
        <w:rPr>
          <w:rFonts w:eastAsia="Times New Roman"/>
          <w:b/>
          <w:bCs/>
          <w:color w:val="000000"/>
          <w:sz w:val="18"/>
          <w:szCs w:val="18"/>
        </w:rPr>
        <w:t xml:space="preserve">s telephone number, including area code: (321) 727-9100 </w:t>
      </w:r>
    </w:p>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2894"/>
        <w:gridCol w:w="39"/>
        <w:gridCol w:w="68"/>
        <w:gridCol w:w="221"/>
        <w:gridCol w:w="37"/>
        <w:gridCol w:w="68"/>
        <w:gridCol w:w="1509"/>
        <w:gridCol w:w="37"/>
        <w:gridCol w:w="69"/>
        <w:gridCol w:w="222"/>
        <w:gridCol w:w="36"/>
        <w:gridCol w:w="69"/>
        <w:gridCol w:w="2895"/>
        <w:gridCol w:w="37"/>
      </w:tblGrid>
      <w:tr w:rsidR="00000000">
        <w:trPr>
          <w:divId w:val="1501118144"/>
          <w:jc w:val="center"/>
        </w:trPr>
        <w:tc>
          <w:tcPr>
            <w:tcW w:w="50" w:type="pct"/>
            <w:vAlign w:val="center"/>
            <w:hideMark/>
          </w:tcPr>
          <w:p w:rsidR="00000000" w:rsidRDefault="005D26B8">
            <w:pPr>
              <w:jc w:val="center"/>
              <w:rPr>
                <w:rFonts w:eastAsia="Times New Roman"/>
              </w:rPr>
            </w:pPr>
          </w:p>
        </w:tc>
        <w:tc>
          <w:tcPr>
            <w:tcW w:w="175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4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92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4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75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501118144"/>
          <w:jc w:val="center"/>
        </w:trPr>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Securities registered pursuant to Section 12(b) of the Act:</w:t>
            </w:r>
          </w:p>
        </w:tc>
      </w:tr>
      <w:tr w:rsidR="00000000">
        <w:trPr>
          <w:divId w:val="1501118144"/>
          <w:jc w:val="center"/>
        </w:trPr>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Name of each exchange on which registered</w:t>
            </w:r>
          </w:p>
        </w:tc>
      </w:tr>
      <w:tr w:rsidR="00000000">
        <w:trPr>
          <w:divId w:val="1501118144"/>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16"/>
                <w:szCs w:val="16"/>
              </w:rPr>
              <w:t>New York Stock Exchange</w:t>
            </w:r>
          </w:p>
        </w:tc>
      </w:tr>
    </w:tbl>
    <w:p w:rsidR="00000000" w:rsidRDefault="005D26B8">
      <w:pPr>
        <w:divId w:val="1472748493"/>
        <w:rPr>
          <w:rFonts w:eastAsia="Times New Roman"/>
        </w:rPr>
      </w:pPr>
      <w:r>
        <w:rPr>
          <w:rFonts w:eastAsia="Times New Roman"/>
          <w:color w:val="000000"/>
          <w:sz w:val="18"/>
          <w:szCs w:val="18"/>
        </w:rPr>
        <w:t>Indicate by check mark whether the registrant (l)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rsidR="00000000" w:rsidRDefault="005D26B8">
      <w:pPr>
        <w:divId w:val="1595699672"/>
        <w:rPr>
          <w:rFonts w:eastAsia="Times New Roman"/>
        </w:rPr>
      </w:pPr>
      <w:r>
        <w:rPr>
          <w:rFonts w:eastAsia="Times New Roman"/>
          <w:color w:val="000000"/>
          <w:sz w:val="18"/>
          <w:szCs w:val="18"/>
        </w:rPr>
        <w:t xml:space="preserve">Indicate by check mark whether the registrant has submitted electronically every Interactive Data File required to be submitted </w:t>
      </w:r>
      <w:r>
        <w:rPr>
          <w:rFonts w:eastAsia="Times New Roman"/>
          <w:color w:val="000000"/>
          <w:sz w:val="18"/>
          <w:szCs w:val="18"/>
        </w:rPr>
        <w:t>pursuant to Rule 405 of Regulation S-T during the preceding 12 months (or for such shorter period that the registrant was required to submit such files).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rsidR="00000000" w:rsidRDefault="005D26B8">
      <w:pPr>
        <w:divId w:val="267155257"/>
        <w:rPr>
          <w:rFonts w:eastAsia="Times New Roman"/>
        </w:rPr>
      </w:pPr>
      <w:r>
        <w:rPr>
          <w:rFonts w:eastAsia="Times New Roman"/>
          <w:color w:val="000000"/>
          <w:sz w:val="18"/>
          <w:szCs w:val="18"/>
        </w:rPr>
        <w:t>Indicate by check mark whether the</w:t>
      </w:r>
      <w:r>
        <w:rPr>
          <w:rFonts w:eastAsia="Times New Roman"/>
          <w:color w:val="000000"/>
          <w:sz w:val="18"/>
          <w:szCs w:val="18"/>
        </w:rPr>
        <w:t xml:space="preserve"> registrant is a large accelerated filer, an accelerated filer, a non-accelerated filer, a smaller reporting company, or an emerging growth company. See the definitions of “large accelerated filer,” “accelerated filer,” “smaller reporting company” and “eme</w:t>
      </w:r>
      <w:r>
        <w:rPr>
          <w:rFonts w:eastAsia="Times New Roman"/>
          <w:color w:val="000000"/>
          <w:sz w:val="18"/>
          <w:szCs w:val="18"/>
        </w:rPr>
        <w:t>rging growth company” in Rule 12b-2 of the Exchange Act.</w:t>
      </w:r>
    </w:p>
    <w:tbl>
      <w:tblPr>
        <w:tblW w:w="4883" w:type="pct"/>
        <w:tblCellMar>
          <w:top w:w="15" w:type="dxa"/>
          <w:left w:w="15" w:type="dxa"/>
          <w:bottom w:w="15" w:type="dxa"/>
          <w:right w:w="15" w:type="dxa"/>
        </w:tblCellMar>
        <w:tblLook w:val="04A0" w:firstRow="1" w:lastRow="0" w:firstColumn="1" w:lastColumn="0" w:noHBand="0" w:noVBand="1"/>
      </w:tblPr>
      <w:tblGrid>
        <w:gridCol w:w="37"/>
        <w:gridCol w:w="1747"/>
        <w:gridCol w:w="36"/>
        <w:gridCol w:w="36"/>
        <w:gridCol w:w="110"/>
        <w:gridCol w:w="36"/>
        <w:gridCol w:w="37"/>
        <w:gridCol w:w="188"/>
        <w:gridCol w:w="36"/>
        <w:gridCol w:w="37"/>
        <w:gridCol w:w="119"/>
        <w:gridCol w:w="36"/>
        <w:gridCol w:w="36"/>
        <w:gridCol w:w="3287"/>
        <w:gridCol w:w="36"/>
        <w:gridCol w:w="93"/>
        <w:gridCol w:w="1908"/>
        <w:gridCol w:w="36"/>
        <w:gridCol w:w="37"/>
        <w:gridCol w:w="188"/>
        <w:gridCol w:w="36"/>
      </w:tblGrid>
      <w:tr w:rsidR="00000000">
        <w:trPr>
          <w:divId w:val="2038894504"/>
        </w:trPr>
        <w:tc>
          <w:tcPr>
            <w:tcW w:w="50" w:type="pct"/>
            <w:vAlign w:val="center"/>
            <w:hideMark/>
          </w:tcPr>
          <w:p w:rsidR="00000000" w:rsidRDefault="005D26B8">
            <w:pPr>
              <w:rPr>
                <w:rFonts w:eastAsia="Times New Roman"/>
              </w:rPr>
            </w:pPr>
          </w:p>
        </w:tc>
        <w:tc>
          <w:tcPr>
            <w:tcW w:w="114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1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1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210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03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03889450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ascii="Wingdings" w:eastAsia="Times New Roman" w:hAnsi="Wingdings"/>
                <w:color w:val="000000"/>
                <w:sz w:val="18"/>
                <w:szCs w:val="18"/>
              </w:rPr>
              <w:t>o</w:t>
            </w:r>
          </w:p>
        </w:tc>
      </w:tr>
      <w:tr w:rsidR="00000000">
        <w:trPr>
          <w:divId w:val="203889450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ascii="Wingdings" w:eastAsia="Times New Roman" w:hAnsi="Wingdings"/>
                <w:color w:val="000000"/>
                <w:sz w:val="18"/>
                <w:szCs w:val="18"/>
              </w:rPr>
              <w:t>☐</w:t>
            </w:r>
          </w:p>
        </w:tc>
      </w:tr>
      <w:tr w:rsidR="00000000">
        <w:trPr>
          <w:divId w:val="203889450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ascii="Wingdings" w:eastAsia="Times New Roman" w:hAnsi="Wingdings"/>
                <w:color w:val="000000"/>
                <w:sz w:val="18"/>
                <w:szCs w:val="18"/>
              </w:rPr>
              <w:t>☐</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r>
    </w:tbl>
    <w:p w:rsidR="00000000" w:rsidRDefault="005D26B8">
      <w:pPr>
        <w:divId w:val="440102871"/>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o</w:t>
      </w:r>
    </w:p>
    <w:p w:rsidR="00000000" w:rsidRDefault="005D26B8">
      <w:pPr>
        <w:divId w:val="1105147676"/>
        <w:rPr>
          <w:rFonts w:eastAsia="Times New Roman"/>
        </w:rPr>
      </w:pPr>
      <w:r>
        <w:rPr>
          <w:rFonts w:eastAsia="Times New Roman"/>
          <w:color w:val="000000"/>
          <w:sz w:val="18"/>
          <w:szCs w:val="18"/>
        </w:rPr>
        <w:lastRenderedPageBreak/>
        <w:t>Ind</w:t>
      </w:r>
      <w:r>
        <w:rPr>
          <w:rFonts w:eastAsia="Times New Roman"/>
          <w:color w:val="000000"/>
          <w:sz w:val="18"/>
          <w:szCs w:val="18"/>
        </w:rPr>
        <w:t>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Yes    </w:t>
      </w:r>
      <w:r>
        <w:rPr>
          <w:rFonts w:ascii="Wingdings" w:eastAsia="Times New Roman" w:hAnsi="Wingdings"/>
          <w:color w:val="000000"/>
          <w:sz w:val="18"/>
          <w:szCs w:val="18"/>
        </w:rPr>
        <w:t>þ</w:t>
      </w:r>
      <w:r>
        <w:rPr>
          <w:rFonts w:eastAsia="Times New Roman"/>
          <w:color w:val="000000"/>
          <w:sz w:val="18"/>
          <w:szCs w:val="18"/>
        </w:rPr>
        <w:t>  No</w:t>
      </w:r>
    </w:p>
    <w:p w:rsidR="00000000" w:rsidRDefault="005D26B8">
      <w:pPr>
        <w:divId w:val="905648851"/>
        <w:rPr>
          <w:rFonts w:eastAsia="Times New Roman"/>
        </w:rPr>
      </w:pPr>
      <w:r>
        <w:rPr>
          <w:rFonts w:eastAsia="Times New Roman"/>
          <w:color w:val="000000"/>
          <w:sz w:val="18"/>
          <w:szCs w:val="18"/>
        </w:rPr>
        <w:t xml:space="preserve">The number of shares outstanding of the registrant’s common stock as of October 30, 2020 was 210,112,037 shares. </w:t>
      </w:r>
    </w:p>
    <w:p w:rsidR="00000000" w:rsidRDefault="005D26B8">
      <w:pPr>
        <w:divId w:val="330839504"/>
        <w:rPr>
          <w:rFonts w:eastAsia="Times New Roman"/>
        </w:rPr>
      </w:pPr>
    </w:p>
    <w:p w:rsidR="00000000" w:rsidRDefault="005D26B8">
      <w:pPr>
        <w:rPr>
          <w:rFonts w:eastAsia="Times New Roman"/>
        </w:rPr>
      </w:pPr>
      <w:r>
        <w:rPr>
          <w:rFonts w:eastAsia="Times New Roman"/>
        </w:rPr>
        <w:pict>
          <v:rect id="_x0000_i1026" style="width:0;height:1.5pt" o:hralign="center" o:hrstd="t" o:hr="t" fillcolor="#a0a0a0" stroked="f"/>
        </w:pict>
      </w:r>
    </w:p>
    <w:p w:rsidR="00000000" w:rsidRDefault="005D26B8">
      <w:pPr>
        <w:divId w:val="1498498683"/>
        <w:rPr>
          <w:rFonts w:eastAsia="Times New Roman"/>
        </w:rPr>
      </w:pPr>
    </w:p>
    <w:p w:rsidR="00000000" w:rsidRDefault="005D26B8">
      <w:pPr>
        <w:jc w:val="center"/>
        <w:rPr>
          <w:rFonts w:eastAsia="Times New Roman"/>
        </w:rPr>
      </w:pPr>
      <w:r>
        <w:rPr>
          <w:rFonts w:eastAsia="Times New Roman"/>
          <w:b/>
          <w:bCs/>
          <w:color w:val="000000"/>
          <w:sz w:val="20"/>
          <w:szCs w:val="20"/>
        </w:rPr>
        <w:t>L3HARRIS TECHNOLOGIES, INC.</w:t>
      </w:r>
    </w:p>
    <w:p w:rsidR="00000000" w:rsidRDefault="005D26B8">
      <w:pPr>
        <w:jc w:val="center"/>
        <w:divId w:val="1221140022"/>
        <w:rPr>
          <w:rFonts w:eastAsia="Times New Roman"/>
        </w:rPr>
      </w:pPr>
      <w:r>
        <w:rPr>
          <w:rFonts w:eastAsia="Times New Roman"/>
          <w:b/>
          <w:bCs/>
          <w:color w:val="000000"/>
          <w:sz w:val="20"/>
          <w:szCs w:val="20"/>
        </w:rPr>
        <w:t>FORM 10-Q</w:t>
      </w:r>
    </w:p>
    <w:p w:rsidR="00000000" w:rsidRDefault="005D26B8">
      <w:pPr>
        <w:jc w:val="center"/>
        <w:divId w:val="507791185"/>
        <w:rPr>
          <w:rFonts w:eastAsia="Times New Roman"/>
        </w:rPr>
      </w:pPr>
      <w:r>
        <w:rPr>
          <w:rFonts w:eastAsia="Times New Roman"/>
          <w:b/>
          <w:bCs/>
          <w:color w:val="000000"/>
          <w:sz w:val="20"/>
          <w:szCs w:val="20"/>
        </w:rPr>
        <w:t xml:space="preserve">For the Quarter Ended October 2, 2020 </w:t>
      </w:r>
    </w:p>
    <w:p w:rsidR="00000000" w:rsidRDefault="005D26B8">
      <w:pPr>
        <w:jc w:val="center"/>
        <w:divId w:val="185677420"/>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569"/>
        <w:gridCol w:w="37"/>
        <w:gridCol w:w="69"/>
        <w:gridCol w:w="526"/>
        <w:gridCol w:w="36"/>
      </w:tblGrid>
      <w:tr w:rsidR="00000000">
        <w:trPr>
          <w:divId w:val="1267733050"/>
          <w:jc w:val="center"/>
        </w:trPr>
        <w:tc>
          <w:tcPr>
            <w:tcW w:w="50" w:type="pct"/>
            <w:vAlign w:val="center"/>
            <w:hideMark/>
          </w:tcPr>
          <w:p w:rsidR="00000000" w:rsidRDefault="005D26B8">
            <w:pPr>
              <w:jc w:val="center"/>
              <w:rPr>
                <w:rFonts w:eastAsia="Times New Roman"/>
              </w:rPr>
            </w:pPr>
          </w:p>
        </w:tc>
        <w:tc>
          <w:tcPr>
            <w:tcW w:w="456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267733050"/>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8"/>
                <w:szCs w:val="18"/>
              </w:rPr>
              <w:t>Page</w:t>
            </w:r>
            <w:r>
              <w:rPr>
                <w:rFonts w:eastAsia="Times New Roman"/>
                <w:b/>
                <w:bCs/>
                <w:color w:val="000000"/>
                <w:sz w:val="18"/>
                <w:szCs w:val="18"/>
              </w:rPr>
              <w:br/>
              <w:t>No.</w:t>
            </w:r>
          </w:p>
        </w:tc>
      </w:tr>
      <w:tr w:rsidR="00000000">
        <w:trPr>
          <w:divId w:val="1267733050"/>
          <w:jc w:val="center"/>
        </w:trPr>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b/>
                <w:bCs/>
                <w:color w:val="000000"/>
                <w:sz w:val="18"/>
                <w:szCs w:val="18"/>
              </w:rPr>
              <w:t>Part I. Financial Information:</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w:t>
            </w:r>
            <w:r>
              <w:rPr>
                <w:rFonts w:eastAsia="Times New Roman"/>
                <w:color w:val="000000"/>
                <w:sz w:val="18"/>
                <w:szCs w:val="18"/>
              </w:rPr>
              <w:t>1. Financial Statements (Unaudited):</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r>
      <w:tr w:rsidR="00000000">
        <w:trPr>
          <w:divId w:val="1267733050"/>
          <w:jc w:val="center"/>
        </w:trPr>
        <w:tc>
          <w:tcPr>
            <w:tcW w:w="0" w:type="auto"/>
            <w:gridSpan w:val="3"/>
            <w:tcMar>
              <w:top w:w="30" w:type="dxa"/>
              <w:left w:w="20" w:type="dxa"/>
              <w:bottom w:w="30" w:type="dxa"/>
              <w:right w:w="20" w:type="dxa"/>
            </w:tcMar>
            <w:hideMark/>
          </w:tcPr>
          <w:p w:rsidR="00000000" w:rsidRDefault="005D26B8">
            <w:pPr>
              <w:divId w:val="1687899369"/>
              <w:rPr>
                <w:rFonts w:eastAsia="Times New Roman"/>
              </w:rPr>
            </w:pPr>
            <w:r>
              <w:rPr>
                <w:rFonts w:eastAsia="Times New Roman"/>
                <w:color w:val="000000"/>
                <w:sz w:val="18"/>
                <w:szCs w:val="18"/>
              </w:rPr>
              <w:t>Condensed Consolidated Statement of Income for the Quarter and Three Quarters Ended October 2, 2020 and September 27, 2019</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6" w:history="1">
              <w:r>
                <w:rPr>
                  <w:rStyle w:val="a3"/>
                  <w:rFonts w:eastAsia="Times New Roman"/>
                  <w:color w:val="000000"/>
                  <w:sz w:val="18"/>
                  <w:szCs w:val="18"/>
                  <w:u w:val="none"/>
                </w:rPr>
                <w:t>1</w:t>
              </w:r>
            </w:hyperlink>
          </w:p>
        </w:tc>
      </w:tr>
      <w:tr w:rsidR="00000000">
        <w:trPr>
          <w:divId w:val="1267733050"/>
          <w:jc w:val="center"/>
        </w:trPr>
        <w:tc>
          <w:tcPr>
            <w:tcW w:w="0" w:type="auto"/>
            <w:gridSpan w:val="3"/>
            <w:tcMar>
              <w:top w:w="30" w:type="dxa"/>
              <w:left w:w="20" w:type="dxa"/>
              <w:bottom w:w="30" w:type="dxa"/>
              <w:right w:w="20" w:type="dxa"/>
            </w:tcMar>
            <w:hideMark/>
          </w:tcPr>
          <w:p w:rsidR="00000000" w:rsidRDefault="005D26B8">
            <w:pPr>
              <w:divId w:val="662470479"/>
              <w:rPr>
                <w:rFonts w:eastAsia="Times New Roman"/>
              </w:rPr>
            </w:pPr>
            <w:r>
              <w:rPr>
                <w:rFonts w:eastAsia="Times New Roman"/>
                <w:color w:val="000000"/>
                <w:sz w:val="18"/>
                <w:szCs w:val="18"/>
              </w:rPr>
              <w:t>Condensed Consolidated Statement of Comprehensive Income for the Qu</w:t>
            </w:r>
            <w:r>
              <w:rPr>
                <w:rFonts w:eastAsia="Times New Roman"/>
                <w:color w:val="000000"/>
                <w:sz w:val="18"/>
                <w:szCs w:val="18"/>
              </w:rPr>
              <w:t>arter and Three Quarters Ended October 2, 2020 and September 27, 2019</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hyperlink w:anchor="i861963377eaf4ff4bee376a48af44a0f_19" w:history="1">
              <w:r>
                <w:rPr>
                  <w:rStyle w:val="a3"/>
                  <w:rFonts w:eastAsia="Times New Roman"/>
                  <w:color w:val="000000"/>
                  <w:sz w:val="18"/>
                  <w:szCs w:val="18"/>
                  <w:u w:val="none"/>
                </w:rPr>
                <w:t>2</w:t>
              </w:r>
            </w:hyperlink>
          </w:p>
        </w:tc>
      </w:tr>
      <w:tr w:rsidR="00000000">
        <w:trPr>
          <w:divId w:val="1267733050"/>
          <w:jc w:val="center"/>
        </w:trPr>
        <w:tc>
          <w:tcPr>
            <w:tcW w:w="0" w:type="auto"/>
            <w:gridSpan w:val="3"/>
            <w:tcMar>
              <w:top w:w="30" w:type="dxa"/>
              <w:left w:w="20" w:type="dxa"/>
              <w:bottom w:w="30" w:type="dxa"/>
              <w:right w:w="20" w:type="dxa"/>
            </w:tcMar>
            <w:hideMark/>
          </w:tcPr>
          <w:p w:rsidR="00000000" w:rsidRDefault="005D26B8">
            <w:pPr>
              <w:divId w:val="385842224"/>
              <w:rPr>
                <w:rFonts w:eastAsia="Times New Roman"/>
              </w:rPr>
            </w:pPr>
            <w:r>
              <w:rPr>
                <w:rFonts w:eastAsia="Times New Roman"/>
                <w:color w:val="000000"/>
                <w:sz w:val="18"/>
                <w:szCs w:val="18"/>
              </w:rPr>
              <w:t>Condensed Consolidated Balance Sheet at October 2, 2020 and January 3, 2020</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22" w:history="1">
              <w:r>
                <w:rPr>
                  <w:rStyle w:val="a3"/>
                  <w:rFonts w:eastAsia="Times New Roman"/>
                  <w:color w:val="000000"/>
                  <w:sz w:val="18"/>
                  <w:szCs w:val="18"/>
                  <w:u w:val="none"/>
                </w:rPr>
                <w:t>3</w:t>
              </w:r>
            </w:hyperlink>
          </w:p>
        </w:tc>
      </w:tr>
      <w:tr w:rsidR="00000000">
        <w:trPr>
          <w:divId w:val="1267733050"/>
          <w:jc w:val="center"/>
        </w:trPr>
        <w:tc>
          <w:tcPr>
            <w:tcW w:w="0" w:type="auto"/>
            <w:gridSpan w:val="3"/>
            <w:tcMar>
              <w:top w:w="30" w:type="dxa"/>
              <w:left w:w="20" w:type="dxa"/>
              <w:bottom w:w="30" w:type="dxa"/>
              <w:right w:w="20" w:type="dxa"/>
            </w:tcMar>
            <w:hideMark/>
          </w:tcPr>
          <w:p w:rsidR="00000000" w:rsidRDefault="005D26B8">
            <w:pPr>
              <w:divId w:val="2072538749"/>
              <w:rPr>
                <w:rFonts w:eastAsia="Times New Roman"/>
              </w:rPr>
            </w:pPr>
            <w:r>
              <w:rPr>
                <w:rFonts w:eastAsia="Times New Roman"/>
                <w:color w:val="000000"/>
                <w:sz w:val="18"/>
                <w:szCs w:val="18"/>
              </w:rPr>
              <w:t>Condensed Consolidated Statement of Cash Flows for the Three Quarters Ended October 2, 2020 and September 27, 2019</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25" w:history="1">
              <w:r>
                <w:rPr>
                  <w:rStyle w:val="a3"/>
                  <w:rFonts w:eastAsia="Times New Roman"/>
                  <w:color w:val="000000"/>
                  <w:sz w:val="18"/>
                  <w:szCs w:val="18"/>
                  <w:u w:val="none"/>
                </w:rPr>
                <w:t>4</w:t>
              </w:r>
            </w:hyperlink>
          </w:p>
        </w:tc>
      </w:tr>
      <w:tr w:rsidR="00000000">
        <w:trPr>
          <w:divId w:val="1267733050"/>
          <w:jc w:val="center"/>
        </w:trPr>
        <w:tc>
          <w:tcPr>
            <w:tcW w:w="0" w:type="auto"/>
            <w:gridSpan w:val="3"/>
            <w:tcMar>
              <w:top w:w="30" w:type="dxa"/>
              <w:left w:w="20" w:type="dxa"/>
              <w:bottom w:w="30" w:type="dxa"/>
              <w:right w:w="20" w:type="dxa"/>
            </w:tcMar>
            <w:hideMark/>
          </w:tcPr>
          <w:p w:rsidR="00000000" w:rsidRDefault="005D26B8">
            <w:pPr>
              <w:divId w:val="1648320901"/>
              <w:rPr>
                <w:rFonts w:eastAsia="Times New Roman"/>
              </w:rPr>
            </w:pPr>
            <w:r>
              <w:rPr>
                <w:rFonts w:eastAsia="Times New Roman"/>
                <w:color w:val="000000"/>
                <w:sz w:val="18"/>
                <w:szCs w:val="18"/>
              </w:rPr>
              <w:t>Condensed Consolidated Statement of Equity for the Quarter and the Three Quarters Ended October 2, 2020 and September 27, 2019</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hyperlink w:anchor="i861963377eaf4ff4bee376a48af44a0f_28" w:history="1">
              <w:r>
                <w:rPr>
                  <w:rStyle w:val="a3"/>
                  <w:rFonts w:eastAsia="Times New Roman"/>
                  <w:color w:val="000000"/>
                  <w:sz w:val="18"/>
                  <w:szCs w:val="18"/>
                  <w:u w:val="none"/>
                </w:rPr>
                <w:t>5</w:t>
              </w:r>
            </w:hyperlink>
          </w:p>
        </w:tc>
      </w:tr>
      <w:tr w:rsidR="00000000">
        <w:trPr>
          <w:divId w:val="1267733050"/>
          <w:jc w:val="center"/>
        </w:trPr>
        <w:tc>
          <w:tcPr>
            <w:tcW w:w="0" w:type="auto"/>
            <w:gridSpan w:val="3"/>
            <w:tcMar>
              <w:top w:w="30" w:type="dxa"/>
              <w:left w:w="225" w:type="dxa"/>
              <w:bottom w:w="30" w:type="dxa"/>
              <w:right w:w="20" w:type="dxa"/>
            </w:tcMar>
            <w:hideMark/>
          </w:tcPr>
          <w:p w:rsidR="00000000" w:rsidRDefault="005D26B8">
            <w:pPr>
              <w:rPr>
                <w:rFonts w:eastAsia="Times New Roman"/>
              </w:rPr>
            </w:pPr>
            <w:r>
              <w:rPr>
                <w:rFonts w:eastAsia="Times New Roman"/>
                <w:color w:val="000000"/>
                <w:sz w:val="18"/>
                <w:szCs w:val="18"/>
              </w:rPr>
              <w:t>Notes to Condensed Consolidated Financial Statements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31" w:history="1">
              <w:r>
                <w:rPr>
                  <w:rStyle w:val="a3"/>
                  <w:rFonts w:eastAsia="Times New Roman"/>
                  <w:color w:val="000000"/>
                  <w:sz w:val="18"/>
                  <w:szCs w:val="18"/>
                  <w:u w:val="none"/>
                </w:rPr>
                <w:t>6</w:t>
              </w:r>
            </w:hyperlink>
          </w:p>
        </w:tc>
      </w:tr>
      <w:tr w:rsidR="00000000">
        <w:trPr>
          <w:divId w:val="1267733050"/>
          <w:jc w:val="center"/>
        </w:trPr>
        <w:tc>
          <w:tcPr>
            <w:tcW w:w="0" w:type="auto"/>
            <w:gridSpan w:val="3"/>
            <w:tcMar>
              <w:top w:w="30" w:type="dxa"/>
              <w:left w:w="225" w:type="dxa"/>
              <w:bottom w:w="30" w:type="dxa"/>
              <w:right w:w="20" w:type="dxa"/>
            </w:tcMar>
            <w:hideMark/>
          </w:tcPr>
          <w:p w:rsidR="00000000" w:rsidRDefault="005D26B8">
            <w:pPr>
              <w:rPr>
                <w:rFonts w:eastAsia="Times New Roman"/>
              </w:rPr>
            </w:pPr>
            <w:r>
              <w:rPr>
                <w:rFonts w:eastAsia="Times New Roman"/>
                <w:color w:val="000000"/>
                <w:sz w:val="18"/>
                <w:szCs w:val="18"/>
              </w:rPr>
              <w:t>Report of Independent Registered Public Accounting Firm</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21" w:history="1">
              <w:r>
                <w:rPr>
                  <w:rStyle w:val="a3"/>
                  <w:rFonts w:eastAsia="Times New Roman"/>
                  <w:color w:val="000000"/>
                  <w:sz w:val="18"/>
                  <w:szCs w:val="18"/>
                  <w:u w:val="none"/>
                </w:rPr>
                <w:t>30</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w:t>
            </w:r>
            <w:r>
              <w:rPr>
                <w:rFonts w:eastAsia="Times New Roman"/>
                <w:color w:val="000000"/>
                <w:sz w:val="18"/>
                <w:szCs w:val="18"/>
              </w:rPr>
              <w:t>2. Management’s Discussion and Analysis of Financial Condition and Results of Operations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24" w:history="1">
              <w:r>
                <w:rPr>
                  <w:rStyle w:val="a3"/>
                  <w:rFonts w:eastAsia="Times New Roman"/>
                  <w:color w:val="000000"/>
                  <w:sz w:val="18"/>
                  <w:szCs w:val="18"/>
                  <w:u w:val="none"/>
                </w:rPr>
                <w:t>31</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3. Quantitative and Qualitative Disclosures About Market Risk</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42" w:history="1">
              <w:r>
                <w:rPr>
                  <w:rStyle w:val="a3"/>
                  <w:rFonts w:eastAsia="Times New Roman"/>
                  <w:color w:val="000000"/>
                  <w:sz w:val="18"/>
                  <w:szCs w:val="18"/>
                  <w:u w:val="none"/>
                </w:rPr>
                <w:t>55</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4. Controls and Procedures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45" w:history="1">
              <w:r>
                <w:rPr>
                  <w:rStyle w:val="a3"/>
                  <w:rFonts w:eastAsia="Times New Roman"/>
                  <w:color w:val="000000"/>
                  <w:sz w:val="18"/>
                  <w:szCs w:val="18"/>
                  <w:u w:val="none"/>
                </w:rPr>
                <w:t>56</w:t>
              </w:r>
            </w:hyperlink>
          </w:p>
        </w:tc>
      </w:tr>
      <w:tr w:rsidR="00000000">
        <w:trPr>
          <w:divId w:val="1267733050"/>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267733050"/>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8"/>
                <w:szCs w:val="18"/>
              </w:rPr>
              <w:t>Part II. Other Information:</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1. Legal Proceedings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51" w:history="1">
              <w:r>
                <w:rPr>
                  <w:rStyle w:val="a3"/>
                  <w:rFonts w:eastAsia="Times New Roman"/>
                  <w:color w:val="000000"/>
                  <w:sz w:val="18"/>
                  <w:szCs w:val="18"/>
                  <w:u w:val="none"/>
                </w:rPr>
                <w:t>57</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1A. Risk Factors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54" w:history="1">
              <w:r>
                <w:rPr>
                  <w:rStyle w:val="a3"/>
                  <w:rFonts w:eastAsia="Times New Roman"/>
                  <w:color w:val="000000"/>
                  <w:sz w:val="18"/>
                  <w:szCs w:val="18"/>
                  <w:u w:val="none"/>
                </w:rPr>
                <w:t>57</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w:t>
            </w:r>
            <w:r>
              <w:rPr>
                <w:rFonts w:eastAsia="Times New Roman"/>
                <w:color w:val="000000"/>
                <w:sz w:val="18"/>
                <w:szCs w:val="18"/>
              </w:rPr>
              <w:t>2. Unregistered Sales of Equity Securities and Use of Proceeds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57" w:history="1">
              <w:r>
                <w:rPr>
                  <w:rStyle w:val="a3"/>
                  <w:rFonts w:eastAsia="Times New Roman"/>
                  <w:color w:val="000000"/>
                  <w:sz w:val="18"/>
                  <w:szCs w:val="18"/>
                  <w:u w:val="none"/>
                </w:rPr>
                <w:t>58</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3. Defaults Upon Senior Securities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60" w:history="1">
              <w:r>
                <w:rPr>
                  <w:rStyle w:val="a3"/>
                  <w:rFonts w:eastAsia="Times New Roman"/>
                  <w:color w:val="000000"/>
                  <w:sz w:val="18"/>
                  <w:szCs w:val="18"/>
                  <w:u w:val="none"/>
                </w:rPr>
                <w:t>59</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4. Mine Safe</w:t>
            </w:r>
            <w:r>
              <w:rPr>
                <w:rFonts w:eastAsia="Times New Roman"/>
                <w:color w:val="000000"/>
                <w:sz w:val="18"/>
                <w:szCs w:val="18"/>
              </w:rPr>
              <w:t>ty Disclosures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63" w:history="1">
              <w:r>
                <w:rPr>
                  <w:rStyle w:val="a3"/>
                  <w:rFonts w:eastAsia="Times New Roman"/>
                  <w:color w:val="000000"/>
                  <w:sz w:val="18"/>
                  <w:szCs w:val="18"/>
                  <w:u w:val="none"/>
                </w:rPr>
                <w:t>59</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5. Other Information</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66" w:history="1">
              <w:r>
                <w:rPr>
                  <w:rStyle w:val="a3"/>
                  <w:rFonts w:eastAsia="Times New Roman"/>
                  <w:color w:val="000000"/>
                  <w:sz w:val="18"/>
                  <w:szCs w:val="18"/>
                  <w:u w:val="none"/>
                </w:rPr>
                <w:t>59</w:t>
              </w:r>
            </w:hyperlink>
          </w:p>
        </w:tc>
      </w:tr>
      <w:tr w:rsidR="00000000">
        <w:trPr>
          <w:divId w:val="1267733050"/>
          <w:jc w:val="center"/>
        </w:trPr>
        <w:tc>
          <w:tcPr>
            <w:tcW w:w="0" w:type="auto"/>
            <w:gridSpan w:val="3"/>
            <w:tcMar>
              <w:top w:w="30" w:type="dxa"/>
              <w:left w:w="135" w:type="dxa"/>
              <w:bottom w:w="30" w:type="dxa"/>
              <w:right w:w="20" w:type="dxa"/>
            </w:tcMar>
            <w:hideMark/>
          </w:tcPr>
          <w:p w:rsidR="00000000" w:rsidRDefault="005D26B8">
            <w:pPr>
              <w:rPr>
                <w:rFonts w:eastAsia="Times New Roman"/>
              </w:rPr>
            </w:pPr>
            <w:r>
              <w:rPr>
                <w:rFonts w:eastAsia="Times New Roman"/>
                <w:color w:val="000000"/>
                <w:sz w:val="18"/>
                <w:szCs w:val="18"/>
              </w:rPr>
              <w:t>Item 6. Exhibits</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69" w:history="1">
              <w:r>
                <w:rPr>
                  <w:rStyle w:val="a3"/>
                  <w:rFonts w:eastAsia="Times New Roman"/>
                  <w:color w:val="000000"/>
                  <w:sz w:val="18"/>
                  <w:szCs w:val="18"/>
                  <w:u w:val="none"/>
                </w:rPr>
                <w:t>60</w:t>
              </w:r>
            </w:hyperlink>
          </w:p>
        </w:tc>
      </w:tr>
      <w:tr w:rsidR="00000000">
        <w:trPr>
          <w:divId w:val="1267733050"/>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267733050"/>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8"/>
                <w:szCs w:val="18"/>
              </w:rPr>
              <w:t>Signature</w:t>
            </w:r>
          </w:p>
        </w:tc>
        <w:tc>
          <w:tcPr>
            <w:tcW w:w="0" w:type="auto"/>
            <w:gridSpan w:val="3"/>
            <w:tcMar>
              <w:top w:w="30" w:type="dxa"/>
              <w:left w:w="20" w:type="dxa"/>
              <w:bottom w:w="30" w:type="dxa"/>
              <w:right w:w="20" w:type="dxa"/>
            </w:tcMar>
            <w:hideMark/>
          </w:tcPr>
          <w:p w:rsidR="00000000" w:rsidRDefault="005D26B8">
            <w:pPr>
              <w:jc w:val="center"/>
              <w:rPr>
                <w:rFonts w:eastAsia="Times New Roman"/>
              </w:rPr>
            </w:pPr>
            <w:hyperlink w:anchor="i861963377eaf4ff4bee376a48af44a0f_172" w:history="1">
              <w:r>
                <w:rPr>
                  <w:rStyle w:val="a3"/>
                  <w:rFonts w:eastAsia="Times New Roman"/>
                  <w:color w:val="000000"/>
                  <w:sz w:val="18"/>
                  <w:szCs w:val="18"/>
                  <w:u w:val="none"/>
                </w:rPr>
                <w:t>61</w:t>
              </w:r>
            </w:hyperlink>
          </w:p>
        </w:tc>
      </w:tr>
    </w:tbl>
    <w:p w:rsidR="00000000" w:rsidRDefault="005D26B8">
      <w:pPr>
        <w:divId w:val="943533570"/>
        <w:rPr>
          <w:rFonts w:eastAsia="Times New Roman"/>
        </w:rPr>
      </w:pPr>
      <w:r>
        <w:rPr>
          <w:rFonts w:eastAsia="Times New Roman"/>
          <w:color w:val="000000"/>
          <w:sz w:val="18"/>
          <w:szCs w:val="18"/>
        </w:rPr>
        <w:t xml:space="preserve">This Report contains trademarks, service marks and registered marks of L3Harris Technologies, Inc. and its subsidiaries. All other trademarks are the property of their respective owners. </w:t>
      </w:r>
    </w:p>
    <w:p w:rsidR="00000000" w:rsidRDefault="005D26B8">
      <w:pPr>
        <w:divId w:val="548759340"/>
        <w:rPr>
          <w:rFonts w:eastAsia="Times New Roman"/>
        </w:rPr>
      </w:pPr>
    </w:p>
    <w:p w:rsidR="00000000" w:rsidRDefault="005D26B8">
      <w:pPr>
        <w:divId w:val="462042100"/>
        <w:rPr>
          <w:rFonts w:eastAsia="Times New Roman"/>
        </w:rPr>
      </w:pPr>
    </w:p>
    <w:p w:rsidR="00000000" w:rsidRDefault="005D26B8">
      <w:pPr>
        <w:jc w:val="center"/>
        <w:divId w:val="1107505483"/>
        <w:rPr>
          <w:rFonts w:eastAsia="Times New Roman"/>
        </w:rPr>
      </w:pPr>
    </w:p>
    <w:p w:rsidR="00000000" w:rsidRDefault="005D26B8">
      <w:pPr>
        <w:rPr>
          <w:rFonts w:eastAsia="Times New Roman"/>
        </w:rPr>
      </w:pPr>
      <w:r>
        <w:rPr>
          <w:rFonts w:eastAsia="Times New Roman"/>
        </w:rPr>
        <w:pict>
          <v:rect id="_x0000_i1027" style="width:0;height:1.5pt" o:hralign="center" o:hrstd="t" o:hr="t" fillcolor="#a0a0a0" stroked="f"/>
        </w:pict>
      </w:r>
    </w:p>
    <w:p w:rsidR="00000000" w:rsidRDefault="005D26B8">
      <w:pPr>
        <w:divId w:val="2127044376"/>
        <w:rPr>
          <w:rFonts w:eastAsia="Times New Roman"/>
        </w:rPr>
      </w:pPr>
    </w:p>
    <w:p w:rsidR="00000000" w:rsidRDefault="005D26B8">
      <w:pPr>
        <w:jc w:val="center"/>
        <w:divId w:val="776025192"/>
        <w:rPr>
          <w:rFonts w:eastAsia="Times New Roman"/>
        </w:rPr>
      </w:pPr>
      <w:r>
        <w:rPr>
          <w:rFonts w:eastAsia="Times New Roman"/>
          <w:b/>
          <w:bCs/>
          <w:color w:val="000000"/>
          <w:sz w:val="20"/>
          <w:szCs w:val="20"/>
        </w:rPr>
        <w:t>PART I. FINANCIAL INFORM</w:t>
      </w:r>
      <w:r>
        <w:rPr>
          <w:rFonts w:eastAsia="Times New Roman"/>
          <w:b/>
          <w:bCs/>
          <w:color w:val="000000"/>
          <w:sz w:val="20"/>
          <w:szCs w:val="20"/>
        </w:rPr>
        <w:t>ATION</w:t>
      </w:r>
    </w:p>
    <w:p w:rsidR="00000000" w:rsidRDefault="005D26B8">
      <w:pPr>
        <w:divId w:val="226111393"/>
        <w:rPr>
          <w:rFonts w:eastAsia="Times New Roman"/>
        </w:rPr>
      </w:pPr>
      <w:r>
        <w:rPr>
          <w:rFonts w:eastAsia="Times New Roman"/>
          <w:b/>
          <w:bCs/>
          <w:color w:val="000000"/>
          <w:sz w:val="20"/>
          <w:szCs w:val="20"/>
        </w:rPr>
        <w:t>Item 1. Financial Statements.</w:t>
      </w:r>
    </w:p>
    <w:p w:rsidR="00000000" w:rsidRDefault="005D26B8">
      <w:pPr>
        <w:jc w:val="center"/>
        <w:rPr>
          <w:rFonts w:eastAsia="Times New Roman"/>
        </w:rPr>
      </w:pPr>
      <w:r>
        <w:rPr>
          <w:rFonts w:eastAsia="Times New Roman"/>
          <w:b/>
          <w:bCs/>
          <w:color w:val="000000"/>
          <w:sz w:val="20"/>
          <w:szCs w:val="20"/>
        </w:rPr>
        <w:t>L3HARRIS TECHNOLOGIES, INC. AND SUBSIDIARIES</w:t>
      </w:r>
    </w:p>
    <w:p w:rsidR="00000000" w:rsidRDefault="005D26B8">
      <w:pPr>
        <w:jc w:val="center"/>
        <w:rPr>
          <w:rFonts w:eastAsia="Times New Roman"/>
        </w:rPr>
      </w:pPr>
      <w:r>
        <w:rPr>
          <w:rFonts w:eastAsia="Times New Roman"/>
          <w:b/>
          <w:bCs/>
          <w:color w:val="000000"/>
          <w:sz w:val="20"/>
          <w:szCs w:val="20"/>
        </w:rPr>
        <w:t>CONDENSED CONSOLIDATED STATEMENT OF INCOME</w:t>
      </w:r>
    </w:p>
    <w:p w:rsidR="00000000" w:rsidRDefault="005D26B8">
      <w:pPr>
        <w:jc w:val="center"/>
        <w:rPr>
          <w:rFonts w:eastAsia="Times New Roman"/>
        </w:rPr>
      </w:pPr>
      <w:r>
        <w:rPr>
          <w:rFonts w:eastAsia="Times New Roman"/>
          <w:b/>
          <w:bCs/>
          <w:color w:val="000000"/>
          <w:sz w:val="20"/>
          <w:szCs w:val="20"/>
        </w:rPr>
        <w:t>(Unaudited)</w:t>
      </w:r>
    </w:p>
    <w:tbl>
      <w:tblPr>
        <w:tblW w:w="4970" w:type="pct"/>
        <w:tblCellMar>
          <w:top w:w="15" w:type="dxa"/>
          <w:left w:w="15" w:type="dxa"/>
          <w:bottom w:w="15" w:type="dxa"/>
          <w:right w:w="15" w:type="dxa"/>
        </w:tblCellMar>
        <w:tblLook w:val="04A0" w:firstRow="1" w:lastRow="0" w:firstColumn="1" w:lastColumn="0" w:noHBand="0" w:noVBand="1"/>
      </w:tblPr>
      <w:tblGrid>
        <w:gridCol w:w="40"/>
        <w:gridCol w:w="4381"/>
        <w:gridCol w:w="39"/>
        <w:gridCol w:w="120"/>
        <w:gridCol w:w="744"/>
        <w:gridCol w:w="36"/>
        <w:gridCol w:w="36"/>
        <w:gridCol w:w="36"/>
        <w:gridCol w:w="36"/>
        <w:gridCol w:w="121"/>
        <w:gridCol w:w="700"/>
        <w:gridCol w:w="36"/>
        <w:gridCol w:w="36"/>
        <w:gridCol w:w="36"/>
        <w:gridCol w:w="36"/>
        <w:gridCol w:w="120"/>
        <w:gridCol w:w="701"/>
        <w:gridCol w:w="36"/>
        <w:gridCol w:w="36"/>
        <w:gridCol w:w="36"/>
        <w:gridCol w:w="36"/>
        <w:gridCol w:w="121"/>
        <w:gridCol w:w="701"/>
        <w:gridCol w:w="36"/>
      </w:tblGrid>
      <w:tr w:rsidR="00000000">
        <w:trPr>
          <w:divId w:val="1471557155"/>
        </w:trPr>
        <w:tc>
          <w:tcPr>
            <w:tcW w:w="50" w:type="pct"/>
            <w:vAlign w:val="center"/>
            <w:hideMark/>
          </w:tcPr>
          <w:p w:rsidR="00000000" w:rsidRDefault="005D26B8">
            <w:pPr>
              <w:jc w:val="center"/>
              <w:rPr>
                <w:rFonts w:eastAsia="Times New Roman"/>
              </w:rPr>
            </w:pPr>
          </w:p>
        </w:tc>
        <w:tc>
          <w:tcPr>
            <w:tcW w:w="268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471557155"/>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lastRenderedPageBreak/>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471557155"/>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r>
      <w:tr w:rsidR="00000000">
        <w:trPr>
          <w:divId w:val="1471557155"/>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4,463 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13,534 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(3,152)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(3,242)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(9,625)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(5,604)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(999)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(2,484)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(1,658)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Height w:val="300"/>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557155"/>
        </w:trPr>
        <w:tc>
          <w:tcPr>
            <w:tcW w:w="0" w:type="auto"/>
            <w:gridSpan w:val="24"/>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Amounts attributable to L3Harris Technologies, Inc. common shareholders</w:t>
            </w: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Height w:val="300"/>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557155"/>
        </w:trPr>
        <w:tc>
          <w:tcPr>
            <w:tcW w:w="0" w:type="auto"/>
            <w:gridSpan w:val="24"/>
            <w:shd w:val="clear" w:color="auto" w:fill="FFFFFF"/>
            <w:tcMar>
              <w:top w:w="30" w:type="dxa"/>
              <w:left w:w="3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Net income per common share attributable to L3Harris Technologies, Inc. common shareholders</w:t>
            </w:r>
          </w:p>
        </w:tc>
      </w:tr>
      <w:tr w:rsidR="00000000">
        <w:trPr>
          <w:divId w:val="1471557155"/>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557155"/>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557155"/>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Height w:val="300"/>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557155"/>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47155715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Basic weighted 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213.4 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215.5 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7155715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Diluted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215.1 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153.5 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11496447"/>
        <w:rPr>
          <w:rFonts w:eastAsia="Times New Roman"/>
        </w:rPr>
      </w:pPr>
      <w:r>
        <w:rPr>
          <w:rFonts w:eastAsia="Times New Roman"/>
          <w:color w:val="000000"/>
          <w:sz w:val="20"/>
          <w:szCs w:val="20"/>
        </w:rPr>
        <w:t>See accompanying Notes to Condensed Consolidated Financial Statements (Unaudited).</w:t>
      </w:r>
    </w:p>
    <w:p w:rsidR="00000000" w:rsidRDefault="005D26B8">
      <w:pPr>
        <w:jc w:val="center"/>
        <w:divId w:val="1141311047"/>
        <w:rPr>
          <w:rFonts w:eastAsia="Times New Roman"/>
        </w:rPr>
      </w:pPr>
      <w:r>
        <w:rPr>
          <w:rFonts w:eastAsia="Times New Roman"/>
          <w:color w:val="000000"/>
          <w:sz w:val="20"/>
          <w:szCs w:val="20"/>
        </w:rPr>
        <w:t>1</w:t>
      </w:r>
    </w:p>
    <w:p w:rsidR="00000000" w:rsidRDefault="005D26B8">
      <w:pPr>
        <w:rPr>
          <w:rFonts w:eastAsia="Times New Roman"/>
        </w:rPr>
      </w:pPr>
      <w:r>
        <w:rPr>
          <w:rFonts w:eastAsia="Times New Roman"/>
        </w:rPr>
        <w:pict>
          <v:rect id="_x0000_i1028" style="width:0;height:1.5pt" o:hralign="center" o:hrstd="t" o:hr="t" fillcolor="#a0a0a0" stroked="f"/>
        </w:pict>
      </w:r>
    </w:p>
    <w:p w:rsidR="00000000" w:rsidRDefault="005D26B8">
      <w:pPr>
        <w:divId w:val="420371458"/>
        <w:rPr>
          <w:rFonts w:eastAsia="Times New Roman"/>
        </w:rPr>
      </w:pPr>
    </w:p>
    <w:p w:rsidR="00000000" w:rsidRDefault="005D26B8">
      <w:pPr>
        <w:jc w:val="center"/>
        <w:rPr>
          <w:rFonts w:eastAsia="Times New Roman"/>
        </w:rPr>
      </w:pPr>
      <w:r>
        <w:rPr>
          <w:rFonts w:eastAsia="Times New Roman"/>
          <w:b/>
          <w:bCs/>
          <w:color w:val="000000"/>
          <w:sz w:val="20"/>
          <w:szCs w:val="20"/>
        </w:rPr>
        <w:t>L3HARRIS TECHNOLOGIES, INC. AND SUBSIDIARIES</w:t>
      </w:r>
    </w:p>
    <w:p w:rsidR="00000000" w:rsidRDefault="005D26B8">
      <w:pPr>
        <w:ind w:firstLine="135"/>
        <w:jc w:val="center"/>
        <w:rPr>
          <w:rFonts w:eastAsia="Times New Roman"/>
        </w:rPr>
      </w:pPr>
      <w:r>
        <w:rPr>
          <w:rFonts w:eastAsia="Times New Roman"/>
          <w:b/>
          <w:bCs/>
          <w:color w:val="000000"/>
          <w:sz w:val="20"/>
          <w:szCs w:val="20"/>
        </w:rPr>
        <w:t>CONDENSED CONSOLIDATED STATEMENT OF COMPREHENSIVE INCOME</w:t>
      </w:r>
    </w:p>
    <w:p w:rsidR="00000000" w:rsidRDefault="005D26B8">
      <w:pPr>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4430"/>
        <w:gridCol w:w="39"/>
        <w:gridCol w:w="121"/>
        <w:gridCol w:w="743"/>
        <w:gridCol w:w="36"/>
        <w:gridCol w:w="36"/>
        <w:gridCol w:w="36"/>
        <w:gridCol w:w="36"/>
        <w:gridCol w:w="121"/>
        <w:gridCol w:w="699"/>
        <w:gridCol w:w="36"/>
        <w:gridCol w:w="36"/>
        <w:gridCol w:w="36"/>
        <w:gridCol w:w="36"/>
        <w:gridCol w:w="121"/>
        <w:gridCol w:w="700"/>
        <w:gridCol w:w="37"/>
        <w:gridCol w:w="36"/>
        <w:gridCol w:w="36"/>
        <w:gridCol w:w="36"/>
        <w:gridCol w:w="121"/>
        <w:gridCol w:w="701"/>
        <w:gridCol w:w="36"/>
      </w:tblGrid>
      <w:tr w:rsidR="00000000">
        <w:trPr>
          <w:divId w:val="1819179926"/>
        </w:trPr>
        <w:tc>
          <w:tcPr>
            <w:tcW w:w="50" w:type="pct"/>
            <w:vAlign w:val="center"/>
            <w:hideMark/>
          </w:tcPr>
          <w:p w:rsidR="00000000" w:rsidRDefault="005D26B8">
            <w:pPr>
              <w:jc w:val="center"/>
              <w:rPr>
                <w:rFonts w:eastAsia="Times New Roman"/>
              </w:rPr>
            </w:pPr>
          </w:p>
        </w:tc>
        <w:tc>
          <w:tcPr>
            <w:tcW w:w="270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819179926"/>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819179926"/>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lastRenderedPageBreak/>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r>
      <w:tr w:rsidR="00000000">
        <w:trPr>
          <w:divId w:val="1819179926"/>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19179926"/>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19179926"/>
        </w:trPr>
        <w:tc>
          <w:tcPr>
            <w:tcW w:w="0" w:type="auto"/>
            <w:gridSpan w:val="3"/>
            <w:shd w:val="clear" w:color="auto" w:fill="CCEE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Foreign currency translation gain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FFFF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Net unrealized gain (loss)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CCEE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Net unrecognized loss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(478)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income (loss)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CCEE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Less: reclassification adjustments for (gains) losses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FFFFFF"/>
            <w:tcMar>
              <w:top w:w="30" w:type="dxa"/>
              <w:left w:w="3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CCEEFF"/>
            <w:tcMar>
              <w:top w:w="30" w:type="dxa"/>
              <w:left w:w="3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Comprehensive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19179926"/>
        </w:trPr>
        <w:tc>
          <w:tcPr>
            <w:tcW w:w="0" w:type="auto"/>
            <w:gridSpan w:val="3"/>
            <w:shd w:val="clear" w:color="auto" w:fill="CCEEFF"/>
            <w:tcMar>
              <w:top w:w="30" w:type="dxa"/>
              <w:left w:w="28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1751543237"/>
        <w:rPr>
          <w:rFonts w:eastAsia="Times New Roman"/>
        </w:rPr>
      </w:pPr>
      <w:r>
        <w:rPr>
          <w:rFonts w:eastAsia="Times New Roman"/>
          <w:color w:val="000000"/>
          <w:sz w:val="20"/>
          <w:szCs w:val="20"/>
        </w:rPr>
        <w:t>See accompanying Notes to Condensed Consolidated Financial Statements (Unaudited).</w:t>
      </w:r>
    </w:p>
    <w:p w:rsidR="00000000" w:rsidRDefault="005D26B8">
      <w:pPr>
        <w:jc w:val="center"/>
        <w:divId w:val="1126122879"/>
        <w:rPr>
          <w:rFonts w:eastAsia="Times New Roman"/>
        </w:rPr>
      </w:pPr>
      <w:r>
        <w:rPr>
          <w:rFonts w:eastAsia="Times New Roman"/>
          <w:color w:val="000000"/>
          <w:sz w:val="20"/>
          <w:szCs w:val="20"/>
        </w:rPr>
        <w:t>2</w:t>
      </w:r>
    </w:p>
    <w:p w:rsidR="00000000" w:rsidRDefault="005D26B8">
      <w:pPr>
        <w:rPr>
          <w:rFonts w:eastAsia="Times New Roman"/>
        </w:rPr>
      </w:pPr>
      <w:r>
        <w:rPr>
          <w:rFonts w:eastAsia="Times New Roman"/>
        </w:rPr>
        <w:pict>
          <v:rect id="_x0000_i1029" style="width:0;height:1.5pt" o:hralign="center" o:hrstd="t" o:hr="t" fillcolor="#a0a0a0" stroked="f"/>
        </w:pict>
      </w:r>
    </w:p>
    <w:p w:rsidR="00000000" w:rsidRDefault="005D26B8">
      <w:pPr>
        <w:divId w:val="424376512"/>
        <w:rPr>
          <w:rFonts w:eastAsia="Times New Roman"/>
        </w:rPr>
      </w:pPr>
    </w:p>
    <w:p w:rsidR="00000000" w:rsidRDefault="005D26B8">
      <w:pPr>
        <w:jc w:val="center"/>
        <w:rPr>
          <w:rFonts w:eastAsia="Times New Roman"/>
        </w:rPr>
      </w:pPr>
      <w:r>
        <w:rPr>
          <w:rFonts w:eastAsia="Times New Roman"/>
          <w:b/>
          <w:bCs/>
          <w:color w:val="000000"/>
          <w:sz w:val="20"/>
          <w:szCs w:val="20"/>
        </w:rPr>
        <w:t>L3HARRIS TECHNOLOGIES, INC. AND SUBSIDIARIES</w:t>
      </w:r>
    </w:p>
    <w:p w:rsidR="00000000" w:rsidRDefault="005D26B8">
      <w:pPr>
        <w:jc w:val="center"/>
        <w:rPr>
          <w:rFonts w:eastAsia="Times New Roman"/>
        </w:rPr>
      </w:pPr>
      <w:r>
        <w:rPr>
          <w:rFonts w:eastAsia="Times New Roman"/>
          <w:b/>
          <w:bCs/>
          <w:color w:val="000000"/>
          <w:sz w:val="20"/>
          <w:szCs w:val="20"/>
        </w:rPr>
        <w:t xml:space="preserve">CONDENSED CONSOLIDATED BALANCE SHEET </w:t>
      </w:r>
    </w:p>
    <w:p w:rsidR="00000000" w:rsidRDefault="005D26B8">
      <w:pPr>
        <w:jc w:val="center"/>
        <w:rPr>
          <w:rFonts w:eastAsia="Times New Roman"/>
        </w:rPr>
      </w:pPr>
      <w:r>
        <w:rPr>
          <w:rFonts w:eastAsia="Times New Roman"/>
          <w:b/>
          <w:bCs/>
          <w:color w:val="000000"/>
          <w:sz w:val="20"/>
          <w:szCs w:val="20"/>
        </w:rPr>
        <w:t>(Unaudited)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5611"/>
        <w:gridCol w:w="36"/>
        <w:gridCol w:w="120"/>
        <w:gridCol w:w="1081"/>
        <w:gridCol w:w="36"/>
        <w:gridCol w:w="36"/>
        <w:gridCol w:w="36"/>
        <w:gridCol w:w="36"/>
        <w:gridCol w:w="120"/>
        <w:gridCol w:w="1046"/>
        <w:gridCol w:w="36"/>
      </w:tblGrid>
      <w:tr w:rsidR="00000000">
        <w:trPr>
          <w:divId w:val="1669286297"/>
          <w:jc w:val="center"/>
        </w:trPr>
        <w:tc>
          <w:tcPr>
            <w:tcW w:w="50" w:type="pct"/>
            <w:vAlign w:val="center"/>
            <w:hideMark/>
          </w:tcPr>
          <w:p w:rsidR="00000000" w:rsidRDefault="005D26B8">
            <w:pPr>
              <w:jc w:val="center"/>
              <w:rPr>
                <w:rFonts w:eastAsia="Times New Roman"/>
              </w:rPr>
            </w:pPr>
          </w:p>
        </w:tc>
        <w:tc>
          <w:tcPr>
            <w:tcW w:w="343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669286297"/>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sha</w:t>
            </w:r>
            <w:r>
              <w:rPr>
                <w:rFonts w:eastAsia="Times New Roman"/>
                <w:b/>
                <w:bCs/>
                <w:color w:val="000000"/>
                <w:sz w:val="16"/>
                <w:szCs w:val="16"/>
              </w:rPr>
              <w:t>res)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1669286297"/>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1,341 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Receivables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1,128 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2,416 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2,459 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 xml:space="preserve">Assets of disposal group held for sale </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2,047 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837 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18,992 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20,001 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8,172 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8,458 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30,752 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32,024 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Short-term debt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1,261 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1,089 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 xml:space="preserve">Liabilities of disposal group held for sale </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1,583 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1,819 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Long-term debt, net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6,261 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6,694 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1,402 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1,481 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11,040 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66928629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divId w:val="1853566077"/>
              <w:rPr>
                <w:rFonts w:eastAsia="Times New Roman"/>
              </w:rPr>
            </w:pPr>
            <w:r>
              <w:rPr>
                <w:rFonts w:eastAsia="Times New Roman"/>
                <w:color w:val="000000"/>
                <w:sz w:val="20"/>
                <w:szCs w:val="20"/>
              </w:rPr>
              <w:t xml:space="preserve">Preferred stock, without par value; 1,000,000 shares authorized; none issued </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ind w:hanging="270"/>
              <w:divId w:val="1481843869"/>
              <w:rPr>
                <w:rFonts w:eastAsia="Times New Roman"/>
              </w:rPr>
            </w:pPr>
            <w:r>
              <w:rPr>
                <w:rFonts w:eastAsia="Times New Roman"/>
                <w:color w:val="000000"/>
                <w:sz w:val="20"/>
                <w:szCs w:val="20"/>
              </w:rPr>
              <w:t xml:space="preserve">Common stock, $1.00 par value; 500,000,000 </w:t>
            </w:r>
            <w:r>
              <w:rPr>
                <w:rFonts w:eastAsia="Times New Roman"/>
                <w:color w:val="000000"/>
                <w:sz w:val="20"/>
                <w:szCs w:val="20"/>
              </w:rPr>
              <w:t>shares authorized; issued and outstanding 210,004,233 shares at October 2, 2020 and 218,226,614 shares at January 3, 2020</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capital</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19,310 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20,694 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2,383 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2,183 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66928629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37,145 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315382931"/>
        <w:rPr>
          <w:rFonts w:eastAsia="Times New Roman"/>
        </w:rPr>
      </w:pPr>
      <w:r>
        <w:rPr>
          <w:rFonts w:eastAsia="Times New Roman"/>
          <w:color w:val="000000"/>
          <w:sz w:val="18"/>
          <w:szCs w:val="18"/>
        </w:rPr>
        <w:t>See accompanying Notes to Condensed Consolidated Financial Statements (Unaudited).</w:t>
      </w:r>
    </w:p>
    <w:p w:rsidR="00000000" w:rsidRDefault="005D26B8">
      <w:pPr>
        <w:jc w:val="center"/>
        <w:divId w:val="106580807"/>
        <w:rPr>
          <w:rFonts w:eastAsia="Times New Roman"/>
        </w:rPr>
      </w:pPr>
      <w:r>
        <w:rPr>
          <w:rFonts w:eastAsia="Times New Roman"/>
          <w:color w:val="000000"/>
          <w:sz w:val="20"/>
          <w:szCs w:val="20"/>
        </w:rPr>
        <w:t>3</w:t>
      </w:r>
    </w:p>
    <w:p w:rsidR="00000000" w:rsidRDefault="005D26B8">
      <w:pPr>
        <w:rPr>
          <w:rFonts w:eastAsia="Times New Roman"/>
        </w:rPr>
      </w:pPr>
      <w:r>
        <w:rPr>
          <w:rFonts w:eastAsia="Times New Roman"/>
        </w:rPr>
        <w:pict>
          <v:rect id="_x0000_i1030" style="width:0;height:1.5pt" o:hralign="center" o:hrstd="t" o:hr="t" fillcolor="#a0a0a0" stroked="f"/>
        </w:pict>
      </w:r>
    </w:p>
    <w:p w:rsidR="00000000" w:rsidRDefault="005D26B8">
      <w:pPr>
        <w:divId w:val="616449047"/>
        <w:rPr>
          <w:rFonts w:eastAsia="Times New Roman"/>
        </w:rPr>
      </w:pPr>
    </w:p>
    <w:p w:rsidR="00000000" w:rsidRDefault="005D26B8">
      <w:pPr>
        <w:jc w:val="center"/>
        <w:rPr>
          <w:rFonts w:eastAsia="Times New Roman"/>
        </w:rPr>
      </w:pPr>
      <w:r>
        <w:rPr>
          <w:rFonts w:eastAsia="Times New Roman"/>
          <w:b/>
          <w:bCs/>
          <w:color w:val="000000"/>
          <w:sz w:val="20"/>
          <w:szCs w:val="20"/>
        </w:rPr>
        <w:t>L3HARRIS TECHNOLOGIES, INC. AND SUBSIDIARIES</w:t>
      </w:r>
    </w:p>
    <w:p w:rsidR="00000000" w:rsidRDefault="005D26B8">
      <w:pPr>
        <w:jc w:val="center"/>
        <w:rPr>
          <w:rFonts w:eastAsia="Times New Roman"/>
        </w:rPr>
      </w:pPr>
      <w:r>
        <w:rPr>
          <w:rFonts w:eastAsia="Times New Roman"/>
          <w:b/>
          <w:bCs/>
          <w:color w:val="000000"/>
          <w:sz w:val="20"/>
          <w:szCs w:val="20"/>
        </w:rPr>
        <w:t>CONDENSED CONSOLIDATED STATEMENT OF CASH FLOWS</w:t>
      </w:r>
    </w:p>
    <w:p w:rsidR="00000000" w:rsidRDefault="005D26B8">
      <w:pPr>
        <w:jc w:val="center"/>
        <w:rPr>
          <w:rFonts w:eastAsia="Times New Roman"/>
        </w:rPr>
      </w:pPr>
      <w:r>
        <w:rPr>
          <w:rFonts w:eastAsia="Times New Roman"/>
          <w:b/>
          <w:bCs/>
          <w:color w:val="000000"/>
          <w:sz w:val="20"/>
          <w:szCs w:val="20"/>
        </w:rPr>
        <w:t>(Unaudited)</w:t>
      </w:r>
    </w:p>
    <w:tbl>
      <w:tblPr>
        <w:tblW w:w="4956" w:type="pct"/>
        <w:tblCellMar>
          <w:top w:w="15" w:type="dxa"/>
          <w:left w:w="15" w:type="dxa"/>
          <w:bottom w:w="15" w:type="dxa"/>
          <w:right w:w="15" w:type="dxa"/>
        </w:tblCellMar>
        <w:tblLook w:val="04A0" w:firstRow="1" w:lastRow="0" w:firstColumn="1" w:lastColumn="0" w:noHBand="0" w:noVBand="1"/>
      </w:tblPr>
      <w:tblGrid>
        <w:gridCol w:w="42"/>
        <w:gridCol w:w="5606"/>
        <w:gridCol w:w="40"/>
        <w:gridCol w:w="120"/>
        <w:gridCol w:w="1080"/>
        <w:gridCol w:w="36"/>
        <w:gridCol w:w="36"/>
        <w:gridCol w:w="36"/>
        <w:gridCol w:w="36"/>
        <w:gridCol w:w="121"/>
        <w:gridCol w:w="1044"/>
        <w:gridCol w:w="36"/>
      </w:tblGrid>
      <w:tr w:rsidR="00000000">
        <w:trPr>
          <w:divId w:val="1148477112"/>
        </w:trPr>
        <w:tc>
          <w:tcPr>
            <w:tcW w:w="50" w:type="pct"/>
            <w:vAlign w:val="center"/>
            <w:hideMark/>
          </w:tcPr>
          <w:p w:rsidR="00000000" w:rsidRDefault="005D26B8">
            <w:pPr>
              <w:jc w:val="center"/>
              <w:rPr>
                <w:rFonts w:eastAsia="Times New Roman"/>
              </w:rPr>
            </w:pPr>
          </w:p>
        </w:tc>
        <w:tc>
          <w:tcPr>
            <w:tcW w:w="343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148477112"/>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148477112"/>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148477112"/>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lastRenderedPageBreak/>
              <w:t>Share-based compensation</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Qualified pension plan contributions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Gain on sale of asset group</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FFFF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FFFF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58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additions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xml:space="preserve">Proceeds from sales of businesses, net </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acquired in L3Harris Merger</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1,132 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Proceeds from sale of asset group</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148477112"/>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Tax withholding payments associated with vested share-based awards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Net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4847711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Cash and cash equivalents, end of quarter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1799059047"/>
        <w:rPr>
          <w:rFonts w:eastAsia="Times New Roman"/>
        </w:rPr>
      </w:pPr>
      <w:r>
        <w:rPr>
          <w:rFonts w:eastAsia="Times New Roman"/>
          <w:color w:val="000000"/>
          <w:sz w:val="20"/>
          <w:szCs w:val="20"/>
        </w:rPr>
        <w:t>See accompanying Notes to Condensed Consolidated Financial Statements (Unaudited).</w:t>
      </w:r>
    </w:p>
    <w:p w:rsidR="00000000" w:rsidRDefault="005D26B8">
      <w:pPr>
        <w:jc w:val="center"/>
        <w:divId w:val="155996730"/>
        <w:rPr>
          <w:rFonts w:eastAsia="Times New Roman"/>
        </w:rPr>
      </w:pPr>
      <w:r>
        <w:rPr>
          <w:rFonts w:eastAsia="Times New Roman"/>
          <w:color w:val="000000"/>
          <w:sz w:val="20"/>
          <w:szCs w:val="20"/>
        </w:rPr>
        <w:t>4</w:t>
      </w:r>
    </w:p>
    <w:p w:rsidR="00000000" w:rsidRDefault="005D26B8">
      <w:pPr>
        <w:rPr>
          <w:rFonts w:eastAsia="Times New Roman"/>
        </w:rPr>
      </w:pPr>
      <w:r>
        <w:rPr>
          <w:rFonts w:eastAsia="Times New Roman"/>
        </w:rPr>
        <w:pict>
          <v:rect id="_x0000_i1031" style="width:0;height:1.5pt" o:hralign="center" o:hrstd="t" o:hr="t" fillcolor="#a0a0a0" stroked="f"/>
        </w:pict>
      </w:r>
    </w:p>
    <w:p w:rsidR="00000000" w:rsidRDefault="005D26B8">
      <w:pPr>
        <w:divId w:val="804664519"/>
        <w:rPr>
          <w:rFonts w:eastAsia="Times New Roman"/>
        </w:rPr>
      </w:pPr>
    </w:p>
    <w:p w:rsidR="00000000" w:rsidRDefault="005D26B8">
      <w:pPr>
        <w:jc w:val="center"/>
        <w:rPr>
          <w:rFonts w:eastAsia="Times New Roman"/>
        </w:rPr>
      </w:pPr>
      <w:r>
        <w:rPr>
          <w:rFonts w:eastAsia="Times New Roman"/>
          <w:b/>
          <w:bCs/>
          <w:color w:val="000000"/>
          <w:sz w:val="20"/>
          <w:szCs w:val="20"/>
        </w:rPr>
        <w:t>L3HARRIS TECHNOLOGIES, INC. AND SUBSIDIARIES</w:t>
      </w:r>
    </w:p>
    <w:p w:rsidR="00000000" w:rsidRDefault="005D26B8">
      <w:pPr>
        <w:jc w:val="center"/>
        <w:rPr>
          <w:rFonts w:eastAsia="Times New Roman"/>
        </w:rPr>
      </w:pPr>
      <w:r>
        <w:rPr>
          <w:rFonts w:eastAsia="Times New Roman"/>
          <w:b/>
          <w:bCs/>
          <w:color w:val="000000"/>
          <w:sz w:val="20"/>
          <w:szCs w:val="20"/>
        </w:rPr>
        <w:t>CONDENSED CONSOLIDATED STATEMENT OF EQUITY</w:t>
      </w:r>
    </w:p>
    <w:p w:rsidR="00000000" w:rsidRDefault="005D26B8">
      <w:pPr>
        <w:jc w:val="center"/>
        <w:rPr>
          <w:rFonts w:eastAsia="Times New Roman"/>
        </w:rPr>
      </w:pPr>
      <w:r>
        <w:rPr>
          <w:rFonts w:eastAsia="Times New Roman"/>
          <w:b/>
          <w:bCs/>
          <w:color w:val="000000"/>
          <w:sz w:val="20"/>
          <w:szCs w:val="20"/>
        </w:rPr>
        <w:t xml:space="preserve">(Unaudited)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846"/>
        <w:gridCol w:w="38"/>
        <w:gridCol w:w="111"/>
        <w:gridCol w:w="589"/>
        <w:gridCol w:w="36"/>
        <w:gridCol w:w="36"/>
        <w:gridCol w:w="36"/>
        <w:gridCol w:w="36"/>
        <w:gridCol w:w="110"/>
        <w:gridCol w:w="540"/>
        <w:gridCol w:w="36"/>
        <w:gridCol w:w="36"/>
        <w:gridCol w:w="36"/>
        <w:gridCol w:w="36"/>
        <w:gridCol w:w="111"/>
        <w:gridCol w:w="581"/>
        <w:gridCol w:w="36"/>
        <w:gridCol w:w="36"/>
        <w:gridCol w:w="36"/>
        <w:gridCol w:w="36"/>
        <w:gridCol w:w="111"/>
        <w:gridCol w:w="1022"/>
        <w:gridCol w:w="36"/>
        <w:gridCol w:w="36"/>
        <w:gridCol w:w="36"/>
        <w:gridCol w:w="36"/>
        <w:gridCol w:w="111"/>
        <w:gridCol w:w="690"/>
        <w:gridCol w:w="36"/>
        <w:gridCol w:w="36"/>
        <w:gridCol w:w="36"/>
        <w:gridCol w:w="36"/>
        <w:gridCol w:w="110"/>
        <w:gridCol w:w="540"/>
        <w:gridCol w:w="36"/>
      </w:tblGrid>
      <w:tr w:rsidR="00000000">
        <w:trPr>
          <w:divId w:val="1871452917"/>
          <w:jc w:val="center"/>
        </w:trPr>
        <w:tc>
          <w:tcPr>
            <w:tcW w:w="50" w:type="pct"/>
            <w:vAlign w:val="center"/>
            <w:hideMark/>
          </w:tcPr>
          <w:p w:rsidR="00000000" w:rsidRDefault="005D26B8">
            <w:pPr>
              <w:jc w:val="center"/>
              <w:rPr>
                <w:rFonts w:eastAsia="Times New Roman"/>
              </w:rPr>
            </w:pPr>
          </w:p>
        </w:tc>
        <w:tc>
          <w:tcPr>
            <w:tcW w:w="18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5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871452917"/>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1871452917"/>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July 3, 2020</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20,260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(624)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426 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Other comprehensive gain</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(1,028)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(115)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(1,150)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divId w:val="1056857093"/>
              <w:rPr>
                <w:rFonts w:eastAsia="Times New Roman"/>
              </w:rPr>
            </w:pPr>
            <w:r>
              <w:rPr>
                <w:rFonts w:eastAsia="Times New Roman"/>
                <w:color w:val="000000"/>
                <w:sz w:val="18"/>
                <w:szCs w:val="18"/>
              </w:rPr>
              <w:t>Cash dividends ($.85 per share)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w:t>
            </w:r>
            <w:r>
              <w:rPr>
                <w:rFonts w:eastAsia="Times New Roman"/>
                <w:color w:val="000000"/>
                <w:sz w:val="18"/>
                <w:szCs w:val="18"/>
              </w:rPr>
              <w:t>179)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(179)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405" w:type="dxa"/>
              <w:bottom w:w="30" w:type="dxa"/>
              <w:right w:w="20" w:type="dxa"/>
            </w:tcMar>
            <w:vAlign w:val="center"/>
            <w:hideMark/>
          </w:tcPr>
          <w:p w:rsidR="00000000" w:rsidRDefault="005D26B8">
            <w:pPr>
              <w:ind w:hanging="270"/>
              <w:rPr>
                <w:rFonts w:eastAsia="Times New Roman"/>
              </w:rPr>
            </w:pPr>
            <w:r>
              <w:rPr>
                <w:rFonts w:eastAsia="Times New Roman"/>
                <w:color w:val="000000"/>
                <w:sz w:val="18"/>
                <w:szCs w:val="18"/>
              </w:rPr>
              <w:t>Other, including 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October 2,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19,310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2,383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(590)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21,439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June 28, 2019</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1,778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(707)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3,363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for L3Harris Merger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19,696 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19,800 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(336)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(411)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divId w:val="1580869911"/>
              <w:rPr>
                <w:rFonts w:eastAsia="Times New Roman"/>
              </w:rPr>
            </w:pPr>
            <w:r>
              <w:rPr>
                <w:rFonts w:eastAsia="Times New Roman"/>
                <w:color w:val="000000"/>
                <w:sz w:val="18"/>
                <w:szCs w:val="18"/>
              </w:rPr>
              <w:t>Cash dividends ($.75 per share)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(172)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(172)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405" w:type="dxa"/>
              <w:bottom w:w="30" w:type="dxa"/>
              <w:right w:w="20" w:type="dxa"/>
            </w:tcMar>
            <w:vAlign w:val="center"/>
            <w:hideMark/>
          </w:tcPr>
          <w:p w:rsidR="00000000" w:rsidRDefault="005D26B8">
            <w:pPr>
              <w:ind w:hanging="270"/>
              <w:rPr>
                <w:rFonts w:eastAsia="Times New Roman"/>
              </w:rPr>
            </w:pPr>
            <w:r>
              <w:rPr>
                <w:rFonts w:eastAsia="Times New Roman"/>
                <w:color w:val="000000"/>
                <w:sz w:val="18"/>
                <w:szCs w:val="18"/>
              </w:rPr>
              <w:t>Fair value of noncontrolling interests recognized in purchase accounting</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405" w:type="dxa"/>
              <w:bottom w:w="30" w:type="dxa"/>
              <w:right w:w="20" w:type="dxa"/>
            </w:tcMar>
            <w:vAlign w:val="center"/>
            <w:hideMark/>
          </w:tcPr>
          <w:p w:rsidR="00000000" w:rsidRDefault="005D26B8">
            <w:pPr>
              <w:ind w:hanging="270"/>
              <w:rPr>
                <w:rFonts w:eastAsia="Times New Roman"/>
              </w:rPr>
            </w:pPr>
            <w:r>
              <w:rPr>
                <w:rFonts w:eastAsia="Times New Roman"/>
                <w:color w:val="000000"/>
                <w:sz w:val="18"/>
                <w:szCs w:val="18"/>
              </w:rPr>
              <w:t>Other, including distributions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September 27,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21,288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2,019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(756)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22,925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trHeight w:val="100"/>
          <w:jc w:val="center"/>
        </w:trPr>
        <w:tc>
          <w:tcPr>
            <w:tcW w:w="0" w:type="auto"/>
            <w:gridSpan w:val="3"/>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January 3, 2020</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20,694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(508)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926 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(82)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(82)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(1,659)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(181)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(1,850)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divId w:val="2120640547"/>
              <w:rPr>
                <w:rFonts w:eastAsia="Times New Roman"/>
              </w:rPr>
            </w:pPr>
            <w:r>
              <w:rPr>
                <w:rFonts w:eastAsia="Times New Roman"/>
                <w:color w:val="000000"/>
                <w:sz w:val="18"/>
                <w:szCs w:val="18"/>
              </w:rPr>
              <w:t>Cash dividends ($2.55 per share)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w:t>
            </w:r>
            <w:r>
              <w:rPr>
                <w:rFonts w:eastAsia="Times New Roman"/>
                <w:color w:val="000000"/>
                <w:sz w:val="18"/>
                <w:szCs w:val="18"/>
              </w:rPr>
              <w:t>546)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(546)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405" w:type="dxa"/>
              <w:bottom w:w="30" w:type="dxa"/>
              <w:right w:w="20" w:type="dxa"/>
            </w:tcMar>
            <w:vAlign w:val="center"/>
            <w:hideMark/>
          </w:tcPr>
          <w:p w:rsidR="00000000" w:rsidRDefault="005D26B8">
            <w:pPr>
              <w:ind w:hanging="270"/>
              <w:rPr>
                <w:rFonts w:eastAsia="Times New Roman"/>
              </w:rPr>
            </w:pPr>
            <w:r>
              <w:rPr>
                <w:rFonts w:eastAsia="Times New Roman"/>
                <w:color w:val="000000"/>
                <w:sz w:val="18"/>
                <w:szCs w:val="18"/>
              </w:rPr>
              <w:t>Other, including 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October 2,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19,310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2,383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(590)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21,439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December 28, 2018</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1,824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3,412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940 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946 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(545)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(545)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for L3Harris Merger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19,696 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19,800 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CCEE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(88)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(88)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150" w:type="dxa"/>
              <w:bottom w:w="30" w:type="dxa"/>
              <w:right w:w="20" w:type="dxa"/>
            </w:tcMar>
            <w:vAlign w:val="center"/>
            <w:hideMark/>
          </w:tcPr>
          <w:p w:rsidR="00000000" w:rsidRDefault="005D26B8">
            <w:pPr>
              <w:rPr>
                <w:rFonts w:eastAsia="Times New Roman"/>
              </w:rPr>
            </w:pPr>
            <w:r>
              <w:rPr>
                <w:rFonts w:eastAsia="Times New Roman"/>
                <w:color w:val="000000"/>
                <w:sz w:val="18"/>
                <w:szCs w:val="18"/>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(336)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(411)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divId w:val="818378135"/>
              <w:rPr>
                <w:rFonts w:eastAsia="Times New Roman"/>
              </w:rPr>
            </w:pPr>
            <w:r>
              <w:rPr>
                <w:rFonts w:eastAsia="Times New Roman"/>
                <w:color w:val="000000"/>
                <w:sz w:val="18"/>
                <w:szCs w:val="18"/>
              </w:rPr>
              <w:t>Cash dividends ($2.12 per share)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(334)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(334)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FFFFFF"/>
            <w:tcMar>
              <w:top w:w="30" w:type="dxa"/>
              <w:left w:w="405" w:type="dxa"/>
              <w:bottom w:w="30" w:type="dxa"/>
              <w:right w:w="20" w:type="dxa"/>
            </w:tcMar>
            <w:vAlign w:val="center"/>
            <w:hideMark/>
          </w:tcPr>
          <w:p w:rsidR="00000000" w:rsidRDefault="005D26B8">
            <w:pPr>
              <w:ind w:hanging="270"/>
              <w:rPr>
                <w:rFonts w:eastAsia="Times New Roman"/>
              </w:rPr>
            </w:pPr>
            <w:r>
              <w:rPr>
                <w:rFonts w:eastAsia="Times New Roman"/>
                <w:color w:val="000000"/>
                <w:sz w:val="18"/>
                <w:szCs w:val="18"/>
              </w:rPr>
              <w:t>Fair value of noncontrolling interests recognized in purchase accounting</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71452917"/>
          <w:jc w:val="center"/>
        </w:trPr>
        <w:tc>
          <w:tcPr>
            <w:tcW w:w="0" w:type="auto"/>
            <w:gridSpan w:val="3"/>
            <w:shd w:val="clear" w:color="auto" w:fill="CCEEFF"/>
            <w:tcMar>
              <w:top w:w="30" w:type="dxa"/>
              <w:left w:w="405" w:type="dxa"/>
              <w:bottom w:w="30" w:type="dxa"/>
              <w:right w:w="20" w:type="dxa"/>
            </w:tcMar>
            <w:vAlign w:val="center"/>
            <w:hideMark/>
          </w:tcPr>
          <w:p w:rsidR="00000000" w:rsidRDefault="005D26B8">
            <w:pPr>
              <w:ind w:hanging="270"/>
              <w:rPr>
                <w:rFonts w:eastAsia="Times New Roman"/>
              </w:rPr>
            </w:pPr>
            <w:r>
              <w:rPr>
                <w:rFonts w:eastAsia="Times New Roman"/>
                <w:color w:val="000000"/>
                <w:sz w:val="18"/>
                <w:szCs w:val="18"/>
              </w:rPr>
              <w:t>Other, including distributions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71452917"/>
          <w:jc w:val="center"/>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b/>
                <w:bCs/>
                <w:color w:val="000000"/>
                <w:sz w:val="18"/>
                <w:szCs w:val="18"/>
              </w:rPr>
              <w:t>Balance at September 27,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21,288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2,019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(756)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b/>
                <w:bCs/>
                <w:color w:val="000000"/>
                <w:sz w:val="18"/>
                <w:szCs w:val="18"/>
              </w:rPr>
              <w:t>22,925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929779223"/>
        <w:rPr>
          <w:rFonts w:eastAsia="Times New Roman"/>
        </w:rPr>
      </w:pPr>
      <w:r>
        <w:rPr>
          <w:rFonts w:eastAsia="Times New Roman"/>
          <w:color w:val="000000"/>
          <w:sz w:val="20"/>
          <w:szCs w:val="20"/>
        </w:rPr>
        <w:t>See accompanying Notes to Condensed Consolidated Financial Statements (Unaudited).</w:t>
      </w:r>
    </w:p>
    <w:p w:rsidR="00000000" w:rsidRDefault="005D26B8">
      <w:pPr>
        <w:jc w:val="center"/>
        <w:divId w:val="1722753976"/>
        <w:rPr>
          <w:rFonts w:eastAsia="Times New Roman"/>
        </w:rPr>
      </w:pPr>
      <w:r>
        <w:rPr>
          <w:rFonts w:eastAsia="Times New Roman"/>
          <w:color w:val="000000"/>
          <w:sz w:val="20"/>
          <w:szCs w:val="20"/>
        </w:rPr>
        <w:t>5</w:t>
      </w:r>
    </w:p>
    <w:p w:rsidR="00000000" w:rsidRDefault="005D26B8">
      <w:pPr>
        <w:rPr>
          <w:rFonts w:eastAsia="Times New Roman"/>
        </w:rPr>
      </w:pPr>
      <w:r>
        <w:rPr>
          <w:rFonts w:eastAsia="Times New Roman"/>
        </w:rPr>
        <w:pict>
          <v:rect id="_x0000_i1032" style="width:0;height:1.5pt" o:hralign="center" o:hrstd="t" o:hr="t" fillcolor="#a0a0a0" stroked="f"/>
        </w:pict>
      </w:r>
    </w:p>
    <w:p w:rsidR="00000000" w:rsidRDefault="005D26B8">
      <w:pPr>
        <w:divId w:val="223025489"/>
        <w:rPr>
          <w:rFonts w:eastAsia="Times New Roman"/>
        </w:rPr>
      </w:pPr>
    </w:p>
    <w:p w:rsidR="00000000" w:rsidRDefault="005D26B8">
      <w:pPr>
        <w:ind w:firstLine="720"/>
        <w:divId w:val="1225218751"/>
        <w:rPr>
          <w:rFonts w:eastAsia="Times New Roman"/>
        </w:rPr>
      </w:pPr>
      <w:r>
        <w:rPr>
          <w:rFonts w:eastAsia="Times New Roman"/>
          <w:b/>
          <w:bCs/>
          <w:color w:val="000000"/>
          <w:sz w:val="20"/>
          <w:szCs w:val="20"/>
        </w:rPr>
        <w:t>NOTES TO CONDENSED CONSOLIDATED FINANCIAL STATEMENTS (UNAUDITED)</w:t>
      </w:r>
    </w:p>
    <w:p w:rsidR="00000000" w:rsidRDefault="005D26B8">
      <w:pPr>
        <w:divId w:val="1824198755"/>
        <w:rPr>
          <w:rFonts w:eastAsia="Times New Roman"/>
        </w:rPr>
      </w:pPr>
      <w:r>
        <w:rPr>
          <w:rFonts w:eastAsia="Times New Roman"/>
          <w:b/>
          <w:bCs/>
          <w:color w:val="000000"/>
          <w:sz w:val="20"/>
          <w:szCs w:val="20"/>
        </w:rPr>
        <w:t xml:space="preserve">Note A — </w:t>
      </w:r>
      <w:r>
        <w:rPr>
          <w:rFonts w:eastAsia="Times New Roman"/>
          <w:b/>
          <w:bCs/>
          <w:color w:val="000000"/>
          <w:sz w:val="20"/>
          <w:szCs w:val="20"/>
        </w:rPr>
        <w:t>Significant Accounting Policies and Recent Accounting Standards</w:t>
      </w:r>
      <w:r>
        <w:rPr>
          <w:rFonts w:eastAsia="Times New Roman"/>
          <w:color w:val="000000"/>
          <w:sz w:val="20"/>
          <w:szCs w:val="20"/>
        </w:rPr>
        <w:t xml:space="preserve"> </w:t>
      </w:r>
    </w:p>
    <w:p w:rsidR="00000000" w:rsidRDefault="005D26B8">
      <w:pPr>
        <w:divId w:val="672874888"/>
        <w:rPr>
          <w:rFonts w:eastAsia="Times New Roman"/>
        </w:rPr>
      </w:pPr>
      <w:r>
        <w:rPr>
          <w:rFonts w:eastAsia="Times New Roman"/>
          <w:b/>
          <w:bCs/>
          <w:color w:val="000000"/>
          <w:sz w:val="20"/>
          <w:szCs w:val="20"/>
        </w:rPr>
        <w:t>Basis of Presentation</w:t>
      </w:r>
    </w:p>
    <w:p w:rsidR="00000000" w:rsidRDefault="005D26B8">
      <w:pPr>
        <w:ind w:firstLine="450"/>
        <w:divId w:val="713390561"/>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w:t>
      </w:r>
      <w:r>
        <w:rPr>
          <w:rFonts w:eastAsia="Times New Roman"/>
          <w:color w:val="000000"/>
          <w:sz w:val="20"/>
          <w:szCs w:val="20"/>
        </w:rPr>
        <w:t>n these Notes to Condensed Consolidated Financial Statements (Unaudited) (these “Notes”), the terms “L3Harris,” “Company,” “we,” “our” and “us” refer to L3Harris Technologies, Inc. and its consolidated subsidiaries. Intracompany transactions and accounts h</w:t>
      </w:r>
      <w:r>
        <w:rPr>
          <w:rFonts w:eastAsia="Times New Roman"/>
          <w:color w:val="000000"/>
          <w:sz w:val="20"/>
          <w:szCs w:val="20"/>
        </w:rPr>
        <w:t>ave been eliminated in consolidation. The accompanying Condensed Consolidated Financial Statements (Unaudited) have been prepared by L3Harris, without an audit, in accordance with U.S. generally accepted accounting principles (“GAAP”) for interim financial</w:t>
      </w:r>
      <w:r>
        <w:rPr>
          <w:rFonts w:eastAsia="Times New Roman"/>
          <w:color w:val="000000"/>
          <w:sz w:val="20"/>
          <w:szCs w:val="20"/>
        </w:rPr>
        <w:t xml:space="preserve"> information and with the rules and regulations of the Securities and Exchange Commission (“SEC”). Accordingly, such interim financial statements do not include all information and footnotes necessary for a complete presentation of financial condition, res</w:t>
      </w:r>
      <w:r>
        <w:rPr>
          <w:rFonts w:eastAsia="Times New Roman"/>
          <w:color w:val="000000"/>
          <w:sz w:val="20"/>
          <w:szCs w:val="20"/>
        </w:rPr>
        <w:t>ults of operations, cash flows and equity in conformity with GAAP for annual financial statements. In the opinion of management, such interim financial statements reflect all adjustments (consisting of normal recurring adjustments) considered necessary for</w:t>
      </w:r>
      <w:r>
        <w:rPr>
          <w:rFonts w:eastAsia="Times New Roman"/>
          <w:color w:val="000000"/>
          <w:sz w:val="20"/>
          <w:szCs w:val="20"/>
        </w:rPr>
        <w:t xml:space="preserve"> a fair presentation of our financial condition, results of operations, cash flows and equity for the periods presented therein. The results for the quarter and three quarters ended October 2, 2020 are not necessarily indicative of the results that may be </w:t>
      </w:r>
      <w:r>
        <w:rPr>
          <w:rFonts w:eastAsia="Times New Roman"/>
          <w:color w:val="000000"/>
          <w:sz w:val="20"/>
          <w:szCs w:val="20"/>
        </w:rPr>
        <w:t>expected for the full fiscal year or any subsequent period. The balance sheet at January 3, 2020 has been derived from our audited financial statements, but does not include all of the information and footnotes required by GAAP for annual financial stateme</w:t>
      </w:r>
      <w:r>
        <w:rPr>
          <w:rFonts w:eastAsia="Times New Roman"/>
          <w:color w:val="000000"/>
          <w:sz w:val="20"/>
          <w:szCs w:val="20"/>
        </w:rPr>
        <w:t>nts. We provide complete, audited financial statements in our Transition Report on Form 10-KT for the fiscal transition period from June 29, 2019 to January 3, 2020 (our “Fiscal Transition Period Form 10-KT”), which includes information and footnotes requi</w:t>
      </w:r>
      <w:r>
        <w:rPr>
          <w:rFonts w:eastAsia="Times New Roman"/>
          <w:color w:val="000000"/>
          <w:sz w:val="20"/>
          <w:szCs w:val="20"/>
        </w:rPr>
        <w:t>red by the rules and regulations of the SEC. The information included in this Quarterly Report on Form 10-Q (this “Report”) should be read in conjunction with the Management’s Discussion and Analysis of Financial Condition and Results of Operations and the</w:t>
      </w:r>
      <w:r>
        <w:rPr>
          <w:rFonts w:eastAsia="Times New Roman"/>
          <w:color w:val="000000"/>
          <w:sz w:val="20"/>
          <w:szCs w:val="20"/>
        </w:rPr>
        <w:t xml:space="preserve"> Consolidated Financial Statements and accompanying Notes to Consolidated Financial Statements included in our Fiscal Transition Period Form 10-KT. </w:t>
      </w:r>
    </w:p>
    <w:p w:rsidR="00000000" w:rsidRDefault="005D26B8">
      <w:pPr>
        <w:ind w:firstLine="450"/>
        <w:divId w:val="1283345564"/>
        <w:rPr>
          <w:rFonts w:eastAsia="Times New Roman"/>
        </w:rPr>
      </w:pPr>
      <w:r>
        <w:rPr>
          <w:rFonts w:eastAsia="Times New Roman"/>
          <w:color w:val="000000"/>
          <w:sz w:val="20"/>
          <w:szCs w:val="20"/>
        </w:rPr>
        <w:t>Amounts contained in this Report may not always add to totals due to rounding.</w:t>
      </w:r>
    </w:p>
    <w:p w:rsidR="00000000" w:rsidRDefault="005D26B8">
      <w:pPr>
        <w:divId w:val="195239857"/>
        <w:rPr>
          <w:rFonts w:eastAsia="Times New Roman"/>
        </w:rPr>
      </w:pPr>
      <w:r>
        <w:rPr>
          <w:rFonts w:eastAsia="Times New Roman"/>
          <w:b/>
          <w:bCs/>
          <w:color w:val="000000"/>
          <w:sz w:val="20"/>
          <w:szCs w:val="20"/>
        </w:rPr>
        <w:t>L3Harris Merger</w:t>
      </w:r>
    </w:p>
    <w:p w:rsidR="00000000" w:rsidRDefault="005D26B8">
      <w:pPr>
        <w:ind w:firstLine="450"/>
        <w:divId w:val="1277174149"/>
        <w:rPr>
          <w:rFonts w:eastAsia="Times New Roman"/>
        </w:rPr>
      </w:pPr>
      <w:r>
        <w:rPr>
          <w:rFonts w:eastAsia="Times New Roman"/>
          <w:color w:val="000000"/>
          <w:sz w:val="20"/>
          <w:szCs w:val="20"/>
        </w:rPr>
        <w:t xml:space="preserve">See </w:t>
      </w:r>
      <w:r>
        <w:rPr>
          <w:rFonts w:eastAsia="Times New Roman"/>
          <w:i/>
          <w:iCs/>
          <w:color w:val="000000"/>
          <w:sz w:val="20"/>
          <w:szCs w:val="20"/>
        </w:rPr>
        <w:t>Note B —</w:t>
      </w:r>
      <w:r>
        <w:rPr>
          <w:rFonts w:eastAsia="Times New Roman"/>
          <w:i/>
          <w:iCs/>
          <w:color w:val="000000"/>
          <w:sz w:val="20"/>
          <w:szCs w:val="20"/>
        </w:rPr>
        <w:t xml:space="preserve"> Business Combination</w:t>
      </w:r>
      <w:r>
        <w:rPr>
          <w:rFonts w:eastAsia="Times New Roman"/>
          <w:color w:val="000000"/>
          <w:sz w:val="20"/>
          <w:szCs w:val="20"/>
        </w:rPr>
        <w:t xml:space="preserve"> in these Notes for information related to the business combination in which Harris Corporation (“Harris”) and L3 Technologies, Inc. (“L3”) combined their respective businesses in an all-stock merger that resulted in our combined Compa</w:t>
      </w:r>
      <w:r>
        <w:rPr>
          <w:rFonts w:eastAsia="Times New Roman"/>
          <w:color w:val="000000"/>
          <w:sz w:val="20"/>
          <w:szCs w:val="20"/>
        </w:rPr>
        <w:t xml:space="preserve">ny, L3Harris Technologies, Inc. </w:t>
      </w:r>
    </w:p>
    <w:p w:rsidR="00000000" w:rsidRDefault="005D26B8">
      <w:pPr>
        <w:ind w:firstLine="450"/>
        <w:divId w:val="250429302"/>
        <w:rPr>
          <w:rFonts w:eastAsia="Times New Roman"/>
        </w:rPr>
      </w:pPr>
      <w:r>
        <w:rPr>
          <w:rFonts w:eastAsia="Times New Roman"/>
          <w:color w:val="000000"/>
          <w:sz w:val="20"/>
          <w:szCs w:val="20"/>
        </w:rPr>
        <w:t xml:space="preserve">Due to the L3Harris Merger (as defined in </w:t>
      </w:r>
      <w:r>
        <w:rPr>
          <w:rFonts w:eastAsia="Times New Roman"/>
          <w:i/>
          <w:iCs/>
          <w:color w:val="000000"/>
          <w:sz w:val="20"/>
          <w:szCs w:val="20"/>
        </w:rPr>
        <w:t>Note B — Business Combination</w:t>
      </w:r>
      <w:r>
        <w:rPr>
          <w:rFonts w:eastAsia="Times New Roman"/>
          <w:color w:val="000000"/>
          <w:sz w:val="20"/>
          <w:szCs w:val="20"/>
        </w:rPr>
        <w:t xml:space="preserve"> in these Notes), the three quarters ended October 2, 2020 reflect the results of the combined Company, while the three quarters ended September 27, 201</w:t>
      </w:r>
      <w:r>
        <w:rPr>
          <w:rFonts w:eastAsia="Times New Roman"/>
          <w:color w:val="000000"/>
          <w:sz w:val="20"/>
          <w:szCs w:val="20"/>
        </w:rPr>
        <w:t>9 reflect the results of only Harris operating businesses for the two quarters ended June 28, 2019 and the results of the combined Company for the quarter ended September 27, 2019.</w:t>
      </w:r>
    </w:p>
    <w:p w:rsidR="00000000" w:rsidRDefault="005D26B8">
      <w:pPr>
        <w:divId w:val="507869803"/>
        <w:rPr>
          <w:rFonts w:eastAsia="Times New Roman"/>
        </w:rPr>
      </w:pPr>
      <w:r>
        <w:rPr>
          <w:rFonts w:eastAsia="Times New Roman"/>
          <w:b/>
          <w:bCs/>
          <w:color w:val="000000"/>
          <w:sz w:val="20"/>
          <w:szCs w:val="20"/>
        </w:rPr>
        <w:t>Organizational Structure</w:t>
      </w:r>
    </w:p>
    <w:p w:rsidR="00000000" w:rsidRDefault="005D26B8">
      <w:pPr>
        <w:ind w:firstLine="450"/>
        <w:divId w:val="105739768"/>
        <w:rPr>
          <w:rFonts w:eastAsia="Times New Roman"/>
        </w:rPr>
      </w:pPr>
      <w:r>
        <w:rPr>
          <w:rFonts w:eastAsia="Times New Roman"/>
          <w:color w:val="000000"/>
          <w:sz w:val="20"/>
          <w:szCs w:val="20"/>
        </w:rPr>
        <w:t>We implemented a new organizational structure effective on June 29, 2019, which resulted in changes to our operating segments, which are also reportable segments and referred to as our business segments. During the quarter ended April 3, 2020, we further a</w:t>
      </w:r>
      <w:r>
        <w:rPr>
          <w:rFonts w:eastAsia="Times New Roman"/>
          <w:color w:val="000000"/>
          <w:sz w:val="20"/>
          <w:szCs w:val="20"/>
        </w:rPr>
        <w:t xml:space="preserve">djusted our segment reporting to better align our businesses and transferred two businesses between our Integrated Mission Systems and Space and Airborne Systems segments. The historical results, discussion and presentation of our business segments as set </w:t>
      </w:r>
      <w:r>
        <w:rPr>
          <w:rFonts w:eastAsia="Times New Roman"/>
          <w:color w:val="000000"/>
          <w:sz w:val="20"/>
          <w:szCs w:val="20"/>
        </w:rPr>
        <w:t>forth in the accompanying Condensed Consolidated Financial Statements (Unaudited) and these Notes reflect the impact of these changes for all periods presented in order to present segment information on a comparable basis. There is no impact on our previou</w:t>
      </w:r>
      <w:r>
        <w:rPr>
          <w:rFonts w:eastAsia="Times New Roman"/>
          <w:color w:val="000000"/>
          <w:sz w:val="20"/>
          <w:szCs w:val="20"/>
        </w:rPr>
        <w:t xml:space="preserve">sly reported consolidated statements of income, balance sheets, statements of cash flows or statements of equity resulting from these changes. </w:t>
      </w:r>
    </w:p>
    <w:p w:rsidR="00000000" w:rsidRDefault="005D26B8">
      <w:pPr>
        <w:divId w:val="1542208686"/>
        <w:rPr>
          <w:rFonts w:eastAsia="Times New Roman"/>
        </w:rPr>
      </w:pPr>
      <w:r>
        <w:rPr>
          <w:rFonts w:eastAsia="Times New Roman"/>
          <w:b/>
          <w:bCs/>
          <w:color w:val="000000"/>
          <w:sz w:val="20"/>
          <w:szCs w:val="20"/>
        </w:rPr>
        <w:t>Divestitures</w:t>
      </w:r>
    </w:p>
    <w:p w:rsidR="00000000" w:rsidRDefault="005D26B8">
      <w:pPr>
        <w:ind w:firstLine="450"/>
        <w:divId w:val="2009206724"/>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C — Business Divestitures and Assets Sales </w:t>
      </w:r>
      <w:r>
        <w:rPr>
          <w:rFonts w:eastAsia="Times New Roman"/>
          <w:color w:val="000000"/>
          <w:sz w:val="20"/>
          <w:szCs w:val="20"/>
        </w:rPr>
        <w:t>in these Notes for information regarding the fo</w:t>
      </w:r>
      <w:r>
        <w:rPr>
          <w:rFonts w:eastAsia="Times New Roman"/>
          <w:color w:val="000000"/>
          <w:sz w:val="20"/>
          <w:szCs w:val="20"/>
        </w:rPr>
        <w:t>llowing and other divestitures by us in 2019 and 2020: the divestiture of the Harris Night Vision business completed on September 13, 2019; the divestiture of the Security &amp; Detection Systems and MacDonald Humfrey Automation solutions business completed on</w:t>
      </w:r>
      <w:r>
        <w:rPr>
          <w:rFonts w:eastAsia="Times New Roman"/>
          <w:color w:val="000000"/>
          <w:sz w:val="20"/>
          <w:szCs w:val="20"/>
        </w:rPr>
        <w:t xml:space="preserve"> May 4, 2020; the divestiture of the Applied Kilovolts and Analytical Instrumentation business completed on May 15, 2020; and the divestiture of the EOTech business completed on July 31, 2020. </w:t>
      </w:r>
    </w:p>
    <w:p w:rsidR="00000000" w:rsidRDefault="005D26B8">
      <w:pPr>
        <w:divId w:val="1727098339"/>
        <w:rPr>
          <w:rFonts w:eastAsia="Times New Roman"/>
        </w:rPr>
      </w:pPr>
      <w:r>
        <w:rPr>
          <w:rFonts w:eastAsia="Times New Roman"/>
          <w:b/>
          <w:bCs/>
          <w:color w:val="000000"/>
          <w:sz w:val="20"/>
          <w:szCs w:val="20"/>
        </w:rPr>
        <w:t>Use of Estimates</w:t>
      </w:r>
    </w:p>
    <w:p w:rsidR="00000000" w:rsidRDefault="005D26B8">
      <w:pPr>
        <w:ind w:firstLine="450"/>
        <w:divId w:val="1143691466"/>
        <w:rPr>
          <w:rFonts w:eastAsia="Times New Roman"/>
        </w:rPr>
      </w:pPr>
      <w:r>
        <w:rPr>
          <w:rFonts w:eastAsia="Times New Roman"/>
          <w:color w:val="000000"/>
          <w:sz w:val="20"/>
          <w:szCs w:val="20"/>
        </w:rPr>
        <w:t>The preparation of financial statements in ac</w:t>
      </w:r>
      <w:r>
        <w:rPr>
          <w:rFonts w:eastAsia="Times New Roman"/>
          <w:color w:val="000000"/>
          <w:sz w:val="20"/>
          <w:szCs w:val="20"/>
        </w:rPr>
        <w:t>cordance with GAAP requires us to make estimates and assumptions that affect the amounts reported in the accompanying Condensed Consolidated Financial Statements (Unaudited) and these Notes and related disclosures. These estimates and assumptions are based</w:t>
      </w:r>
      <w:r>
        <w:rPr>
          <w:rFonts w:eastAsia="Times New Roman"/>
          <w:color w:val="000000"/>
          <w:sz w:val="20"/>
          <w:szCs w:val="20"/>
        </w:rPr>
        <w:t xml:space="preserve"> on experience and other information available prior to </w:t>
      </w:r>
    </w:p>
    <w:p w:rsidR="00000000" w:rsidRDefault="005D26B8">
      <w:pPr>
        <w:jc w:val="center"/>
        <w:divId w:val="1409035429"/>
        <w:rPr>
          <w:rFonts w:eastAsia="Times New Roman"/>
        </w:rPr>
      </w:pPr>
      <w:r>
        <w:rPr>
          <w:rFonts w:eastAsia="Times New Roman"/>
          <w:color w:val="000000"/>
          <w:sz w:val="20"/>
          <w:szCs w:val="20"/>
        </w:rPr>
        <w:t>6</w:t>
      </w:r>
    </w:p>
    <w:p w:rsidR="00000000" w:rsidRDefault="005D26B8">
      <w:pPr>
        <w:rPr>
          <w:rFonts w:eastAsia="Times New Roman"/>
        </w:rPr>
      </w:pPr>
      <w:r>
        <w:rPr>
          <w:rFonts w:eastAsia="Times New Roman"/>
        </w:rPr>
        <w:pict>
          <v:rect id="_x0000_i1033" style="width:0;height:1.5pt" o:hralign="center" o:hrstd="t" o:hr="t" fillcolor="#a0a0a0" stroked="f"/>
        </w:pict>
      </w:r>
    </w:p>
    <w:p w:rsidR="00000000" w:rsidRDefault="005D26B8">
      <w:pPr>
        <w:divId w:val="147291169"/>
        <w:rPr>
          <w:rFonts w:eastAsia="Times New Roman"/>
        </w:rPr>
      </w:pPr>
    </w:p>
    <w:p w:rsidR="00000000" w:rsidRDefault="005D26B8">
      <w:pPr>
        <w:divId w:val="723063065"/>
        <w:rPr>
          <w:rFonts w:eastAsia="Times New Roman"/>
        </w:rPr>
      </w:pPr>
      <w:r>
        <w:rPr>
          <w:rFonts w:eastAsia="Times New Roman"/>
          <w:color w:val="000000"/>
          <w:sz w:val="20"/>
          <w:szCs w:val="20"/>
        </w:rPr>
        <w:t xml:space="preserve">issuance of the accompanying Condensed Consolidated Financial Statements (Unaudited) and these Notes. Materially different results can occur as circumstances </w:t>
      </w:r>
      <w:r>
        <w:rPr>
          <w:rFonts w:eastAsia="Times New Roman"/>
          <w:color w:val="000000"/>
          <w:sz w:val="20"/>
          <w:szCs w:val="20"/>
        </w:rPr>
        <w:t xml:space="preserve">change and additional information becomes known. </w:t>
      </w:r>
    </w:p>
    <w:p w:rsidR="00000000" w:rsidRDefault="005D26B8">
      <w:pPr>
        <w:divId w:val="2042049921"/>
        <w:rPr>
          <w:rFonts w:eastAsia="Times New Roman"/>
        </w:rPr>
      </w:pPr>
      <w:r>
        <w:rPr>
          <w:rFonts w:eastAsia="Times New Roman"/>
          <w:b/>
          <w:bCs/>
          <w:color w:val="000000"/>
          <w:sz w:val="20"/>
          <w:szCs w:val="20"/>
        </w:rPr>
        <w:t>Significant Accounting Policies Update</w:t>
      </w:r>
    </w:p>
    <w:p w:rsidR="00000000" w:rsidRDefault="005D26B8">
      <w:pPr>
        <w:ind w:firstLine="450"/>
        <w:divId w:val="639531389"/>
        <w:rPr>
          <w:rFonts w:eastAsia="Times New Roman"/>
        </w:rPr>
      </w:pPr>
      <w:r>
        <w:rPr>
          <w:rFonts w:eastAsia="Times New Roman"/>
          <w:color w:val="000000"/>
          <w:sz w:val="20"/>
          <w:szCs w:val="20"/>
        </w:rPr>
        <w:t>There have been no material changes to our significant accounting policies described in our Fiscal Transition Period Form 10-KT, except as described in “Adoption of Ne</w:t>
      </w:r>
      <w:r>
        <w:rPr>
          <w:rFonts w:eastAsia="Times New Roman"/>
          <w:color w:val="000000"/>
          <w:sz w:val="20"/>
          <w:szCs w:val="20"/>
        </w:rPr>
        <w:t>w Accounting Standards” below.</w:t>
      </w:r>
    </w:p>
    <w:p w:rsidR="00000000" w:rsidRDefault="005D26B8">
      <w:pPr>
        <w:divId w:val="1249773461"/>
        <w:rPr>
          <w:rFonts w:eastAsia="Times New Roman"/>
        </w:rPr>
      </w:pPr>
      <w:r>
        <w:rPr>
          <w:rFonts w:eastAsia="Times New Roman"/>
          <w:b/>
          <w:bCs/>
          <w:color w:val="000000"/>
          <w:sz w:val="20"/>
          <w:szCs w:val="20"/>
        </w:rPr>
        <w:t xml:space="preserve">Adoption of New Accounting Standards </w:t>
      </w:r>
    </w:p>
    <w:p w:rsidR="00000000" w:rsidRDefault="005D26B8">
      <w:pPr>
        <w:ind w:firstLine="450"/>
        <w:divId w:val="1455365069"/>
        <w:rPr>
          <w:rFonts w:eastAsia="Times New Roman"/>
        </w:rPr>
      </w:pPr>
      <w:r>
        <w:rPr>
          <w:rFonts w:eastAsia="Times New Roman"/>
          <w:color w:val="000000"/>
          <w:sz w:val="20"/>
          <w:szCs w:val="20"/>
        </w:rPr>
        <w:t xml:space="preserve">Effective January 3, 2020, we adopted Accounting Standards Update 2016-13, </w:t>
      </w:r>
      <w:r>
        <w:rPr>
          <w:rFonts w:eastAsia="Times New Roman"/>
          <w:i/>
          <w:iCs/>
          <w:color w:val="000000"/>
          <w:sz w:val="20"/>
          <w:szCs w:val="20"/>
        </w:rPr>
        <w:t xml:space="preserve">Financial Instruments—Credit Losses (Topic 326): Measurement of Credit Losses on Financial Instruments </w:t>
      </w:r>
      <w:r>
        <w:rPr>
          <w:rFonts w:eastAsia="Times New Roman"/>
          <w:color w:val="000000"/>
          <w:sz w:val="20"/>
          <w:szCs w:val="20"/>
        </w:rPr>
        <w:t>on a modi</w:t>
      </w:r>
      <w:r>
        <w:rPr>
          <w:rFonts w:eastAsia="Times New Roman"/>
          <w:color w:val="000000"/>
          <w:sz w:val="20"/>
          <w:szCs w:val="20"/>
        </w:rPr>
        <w:t>fied retrospective basis</w:t>
      </w:r>
      <w:r>
        <w:rPr>
          <w:rFonts w:eastAsia="Times New Roman"/>
          <w:i/>
          <w:iCs/>
          <w:color w:val="000000"/>
          <w:sz w:val="20"/>
          <w:szCs w:val="20"/>
        </w:rPr>
        <w:t xml:space="preserve">. </w:t>
      </w:r>
      <w:r>
        <w:rPr>
          <w:rFonts w:eastAsia="Times New Roman"/>
          <w:color w:val="000000"/>
          <w:sz w:val="20"/>
          <w:szCs w:val="20"/>
        </w:rPr>
        <w:t>The new standard</w:t>
      </w:r>
      <w:r>
        <w:rPr>
          <w:rFonts w:eastAsia="Times New Roman"/>
          <w:i/>
          <w:iCs/>
          <w:color w:val="000000"/>
          <w:sz w:val="20"/>
          <w:szCs w:val="20"/>
        </w:rPr>
        <w:t xml:space="preserve"> </w:t>
      </w:r>
      <w:r>
        <w:rPr>
          <w:rFonts w:eastAsia="Times New Roman"/>
          <w:color w:val="000000"/>
          <w:sz w:val="20"/>
          <w:szCs w:val="20"/>
        </w:rPr>
        <w:t>replaces the existing impairment model, under which impairment of financial instruments, including accounts receivable and contract assets, is recognized when it becomes probable a loss has been incurred, with a m</w:t>
      </w:r>
      <w:r>
        <w:rPr>
          <w:rFonts w:eastAsia="Times New Roman"/>
          <w:color w:val="000000"/>
          <w:sz w:val="20"/>
          <w:szCs w:val="20"/>
        </w:rPr>
        <w:t>odel that requires recognition of expected credit losses over the estimated life of an asset at inception and requires consideration of a broader range of reasonable and supportable information to inform credit loss estimates. Adopting this standard did no</w:t>
      </w:r>
      <w:r>
        <w:rPr>
          <w:rFonts w:eastAsia="Times New Roman"/>
          <w:color w:val="000000"/>
          <w:sz w:val="20"/>
          <w:szCs w:val="20"/>
        </w:rPr>
        <w:t>t have a material impact on our financial condition, results of operations, cash flows or equity.</w:t>
      </w:r>
    </w:p>
    <w:p w:rsidR="00000000" w:rsidRDefault="005D26B8">
      <w:pPr>
        <w:divId w:val="515077288"/>
        <w:rPr>
          <w:rFonts w:eastAsia="Times New Roman"/>
        </w:rPr>
      </w:pPr>
      <w:r>
        <w:rPr>
          <w:rFonts w:eastAsia="Times New Roman"/>
          <w:b/>
          <w:bCs/>
          <w:color w:val="000000"/>
          <w:sz w:val="20"/>
          <w:szCs w:val="20"/>
        </w:rPr>
        <w:t xml:space="preserve">Note B — Business Combination </w:t>
      </w:r>
    </w:p>
    <w:p w:rsidR="00000000" w:rsidRDefault="005D26B8">
      <w:pPr>
        <w:ind w:firstLine="450"/>
        <w:divId w:val="1827160741"/>
        <w:rPr>
          <w:rFonts w:eastAsia="Times New Roman"/>
        </w:rPr>
      </w:pPr>
      <w:r>
        <w:rPr>
          <w:rFonts w:eastAsia="Times New Roman"/>
          <w:color w:val="000000"/>
          <w:sz w:val="20"/>
          <w:szCs w:val="20"/>
        </w:rPr>
        <w:t>On October 12, 2018, Harris Corporation, a Delaware corporation, entered into an Agreement and Plan of Merger (the “Merger Agre</w:t>
      </w:r>
      <w:r>
        <w:rPr>
          <w:rFonts w:eastAsia="Times New Roman"/>
          <w:color w:val="000000"/>
          <w:sz w:val="20"/>
          <w:szCs w:val="20"/>
        </w:rPr>
        <w:t xml:space="preserve">ement”) with L3 Technologies, Inc., a Delaware corporation, and Leopard Merger Sub Inc., a Delaware corporation and a newly formed, direct wholly owned subsidiary of Harris (“Merger Sub”), pursuant to which Harris and L3 agreed to combine their respective </w:t>
      </w:r>
      <w:r>
        <w:rPr>
          <w:rFonts w:eastAsia="Times New Roman"/>
          <w:color w:val="000000"/>
          <w:sz w:val="20"/>
          <w:szCs w:val="20"/>
        </w:rPr>
        <w:t xml:space="preserve">businesses in an all-stock merger, at the closing of which Merger Sub would merge with and into L3, with L3 continuing as the surviving corporation and a direct wholly owned subsidiary of Harris (the “L3Harris Merger”). </w:t>
      </w:r>
    </w:p>
    <w:p w:rsidR="00000000" w:rsidRDefault="005D26B8">
      <w:pPr>
        <w:ind w:firstLine="450"/>
        <w:divId w:val="1025445807"/>
        <w:rPr>
          <w:rFonts w:eastAsia="Times New Roman"/>
        </w:rPr>
      </w:pPr>
      <w:r>
        <w:rPr>
          <w:rFonts w:eastAsia="Times New Roman"/>
          <w:color w:val="000000"/>
          <w:sz w:val="20"/>
          <w:szCs w:val="20"/>
        </w:rPr>
        <w:t xml:space="preserve">The closing of the L3Harris Merger </w:t>
      </w:r>
      <w:r>
        <w:rPr>
          <w:rFonts w:eastAsia="Times New Roman"/>
          <w:color w:val="000000"/>
          <w:sz w:val="20"/>
          <w:szCs w:val="20"/>
        </w:rPr>
        <w:t>occurred on June 29, 2019 (the “Closing Date”), the day after Harris’ fiscal 2019 ended and the first day of the fiscal transition period ended January 3, 2020 (the “Fiscal Transition Period”). Upon completion of the L3Harris Merger, Harris was renamed “L3</w:t>
      </w:r>
      <w:r>
        <w:rPr>
          <w:rFonts w:eastAsia="Times New Roman"/>
          <w:color w:val="000000"/>
          <w:sz w:val="20"/>
          <w:szCs w:val="20"/>
        </w:rPr>
        <w:t>Harris Technologies, Inc.” and each share of L3 common stock converted into the right to receive 1.30 shares (“Exchange Ratio”) of L3Harris common stock. Shares of L3Harris common stock, which previously traded under ticker symbol “HRS” on the New York Sto</w:t>
      </w:r>
      <w:r>
        <w:rPr>
          <w:rFonts w:eastAsia="Times New Roman"/>
          <w:color w:val="000000"/>
          <w:sz w:val="20"/>
          <w:szCs w:val="20"/>
        </w:rPr>
        <w:t>ck Exchange prior to completion of the L3Harris Merger, are traded under ticker symbol “LHX” following completion of the L3Harris Merger. L3Harris was owned on a fully diluted basis approximately 54 percent by Harris shareholders and 46 percent by L3 share</w:t>
      </w:r>
      <w:r>
        <w:rPr>
          <w:rFonts w:eastAsia="Times New Roman"/>
          <w:color w:val="000000"/>
          <w:sz w:val="20"/>
          <w:szCs w:val="20"/>
        </w:rPr>
        <w:t>holders immediately following the completion of the L3Harris Merger.</w:t>
      </w:r>
    </w:p>
    <w:p w:rsidR="00000000" w:rsidRDefault="005D26B8">
      <w:pPr>
        <w:ind w:firstLine="450"/>
        <w:divId w:val="1082676138"/>
        <w:rPr>
          <w:rFonts w:eastAsia="Times New Roman"/>
        </w:rPr>
      </w:pPr>
      <w:r>
        <w:rPr>
          <w:rFonts w:eastAsia="Times New Roman"/>
          <w:color w:val="000000"/>
          <w:sz w:val="20"/>
          <w:szCs w:val="20"/>
        </w:rPr>
        <w:t>L3 was a prime contractor in intelligence, surveillance and reconnaissance (“ISR”) systems, aircraft sustainment (including modifications and fleet management of special mission aircraft)</w:t>
      </w:r>
      <w:r>
        <w:rPr>
          <w:rFonts w:eastAsia="Times New Roman"/>
          <w:color w:val="000000"/>
          <w:sz w:val="20"/>
          <w:szCs w:val="20"/>
        </w:rPr>
        <w:t>, simulation and training, night vision and image intensification equipment, and security and detection systems. L3 also was a leading provider of a broad range of communication, electronic and sensor systems used on military, homeland security and commerc</w:t>
      </w:r>
      <w:r>
        <w:rPr>
          <w:rFonts w:eastAsia="Times New Roman"/>
          <w:color w:val="000000"/>
          <w:sz w:val="20"/>
          <w:szCs w:val="20"/>
        </w:rPr>
        <w:t>ial platforms. L3 employed approximately 31,000 employees and its customers included the U.S. Department of Defense and its prime contractors, the U.S. Intelligence Community, the U.S. Department of Homeland Security, foreign governments and domestic and f</w:t>
      </w:r>
      <w:r>
        <w:rPr>
          <w:rFonts w:eastAsia="Times New Roman"/>
          <w:color w:val="000000"/>
          <w:sz w:val="20"/>
          <w:szCs w:val="20"/>
        </w:rPr>
        <w:t xml:space="preserve">oreign commercial customers. </w:t>
      </w:r>
    </w:p>
    <w:p w:rsidR="00000000" w:rsidRDefault="005D26B8">
      <w:pPr>
        <w:ind w:firstLine="450"/>
        <w:divId w:val="1148979430"/>
        <w:rPr>
          <w:rFonts w:eastAsia="Times New Roman"/>
        </w:rPr>
      </w:pPr>
      <w:r>
        <w:rPr>
          <w:rFonts w:eastAsia="Times New Roman"/>
          <w:color w:val="000000"/>
          <w:sz w:val="20"/>
          <w:szCs w:val="20"/>
        </w:rPr>
        <w:t>In connection with completion of the L3Harris Merger, we issued to L3 shareholders 104 million shares of L3Harris common stock, the trading price of which was $189.13 per share as of the Closing Date. In addition, we issued L3</w:t>
      </w:r>
      <w:r>
        <w:rPr>
          <w:rFonts w:eastAsia="Times New Roman"/>
          <w:color w:val="000000"/>
          <w:sz w:val="20"/>
          <w:szCs w:val="20"/>
        </w:rPr>
        <w:t>Harris share-based awards in replacement of certain outstanding L3 share-based awards held by employees.</w:t>
      </w:r>
    </w:p>
    <w:p w:rsidR="00000000" w:rsidRDefault="005D26B8">
      <w:pPr>
        <w:ind w:firstLine="450"/>
        <w:divId w:val="1749037663"/>
        <w:rPr>
          <w:rFonts w:eastAsia="Times New Roman"/>
        </w:rPr>
      </w:pPr>
      <w:r>
        <w:rPr>
          <w:rFonts w:eastAsia="Times New Roman"/>
          <w:color w:val="000000"/>
          <w:sz w:val="20"/>
          <w:szCs w:val="20"/>
        </w:rPr>
        <w:t>We accounted for the L3Harris Merger under the acquisition method of accounting, which required us to measure identifiable assets acquired, liabilities</w:t>
      </w:r>
      <w:r>
        <w:rPr>
          <w:rFonts w:eastAsia="Times New Roman"/>
          <w:color w:val="000000"/>
          <w:sz w:val="20"/>
          <w:szCs w:val="20"/>
        </w:rPr>
        <w:t xml:space="preserve"> assumed and any noncontrolling interests in the acquiree at their fair values as of the Closing Date, with the excess of the consideration transferred over those fair values recorded as goodwill. </w:t>
      </w:r>
    </w:p>
    <w:p w:rsidR="00000000" w:rsidRDefault="005D26B8">
      <w:pPr>
        <w:ind w:firstLine="450"/>
        <w:divId w:val="214241689"/>
        <w:rPr>
          <w:rFonts w:eastAsia="Times New Roman"/>
        </w:rPr>
      </w:pPr>
    </w:p>
    <w:p w:rsidR="00000000" w:rsidRDefault="005D26B8">
      <w:pPr>
        <w:jc w:val="center"/>
        <w:divId w:val="441846026"/>
        <w:rPr>
          <w:rFonts w:eastAsia="Times New Roman"/>
        </w:rPr>
      </w:pPr>
      <w:r>
        <w:rPr>
          <w:rFonts w:eastAsia="Times New Roman"/>
          <w:color w:val="000000"/>
          <w:sz w:val="20"/>
          <w:szCs w:val="20"/>
        </w:rPr>
        <w:t>7</w:t>
      </w:r>
    </w:p>
    <w:p w:rsidR="00000000" w:rsidRDefault="005D26B8">
      <w:pPr>
        <w:rPr>
          <w:rFonts w:eastAsia="Times New Roman"/>
        </w:rPr>
      </w:pPr>
      <w:r>
        <w:rPr>
          <w:rFonts w:eastAsia="Times New Roman"/>
        </w:rPr>
        <w:pict>
          <v:rect id="_x0000_i1034" style="width:0;height:1.5pt" o:hralign="center" o:hrstd="t" o:hr="t" fillcolor="#a0a0a0" stroked="f"/>
        </w:pict>
      </w:r>
    </w:p>
    <w:p w:rsidR="00000000" w:rsidRDefault="005D26B8">
      <w:pPr>
        <w:divId w:val="1959294048"/>
        <w:rPr>
          <w:rFonts w:eastAsia="Times New Roman"/>
        </w:rPr>
      </w:pPr>
    </w:p>
    <w:p w:rsidR="00000000" w:rsidRDefault="005D26B8">
      <w:pPr>
        <w:ind w:firstLine="450"/>
        <w:divId w:val="461308341"/>
        <w:rPr>
          <w:rFonts w:eastAsia="Times New Roman"/>
        </w:rPr>
      </w:pPr>
      <w:r>
        <w:rPr>
          <w:rFonts w:eastAsia="Times New Roman"/>
          <w:color w:val="000000"/>
          <w:sz w:val="20"/>
          <w:szCs w:val="20"/>
        </w:rPr>
        <w:t xml:space="preserve">Our calculation </w:t>
      </w:r>
      <w:r>
        <w:rPr>
          <w:rFonts w:eastAsia="Times New Roman"/>
          <w:color w:val="000000"/>
          <w:sz w:val="20"/>
          <w:szCs w:val="20"/>
        </w:rPr>
        <w:t xml:space="preserve">of consideration transferred is summarized below: </w:t>
      </w:r>
    </w:p>
    <w:tbl>
      <w:tblPr>
        <w:tblW w:w="4853" w:type="pct"/>
        <w:tblCellMar>
          <w:top w:w="15" w:type="dxa"/>
          <w:left w:w="15" w:type="dxa"/>
          <w:bottom w:w="15" w:type="dxa"/>
          <w:right w:w="15" w:type="dxa"/>
        </w:tblCellMar>
        <w:tblLook w:val="04A0" w:firstRow="1" w:lastRow="0" w:firstColumn="1" w:lastColumn="0" w:noHBand="0" w:noVBand="1"/>
      </w:tblPr>
      <w:tblGrid>
        <w:gridCol w:w="48"/>
        <w:gridCol w:w="6496"/>
        <w:gridCol w:w="39"/>
        <w:gridCol w:w="120"/>
        <w:gridCol w:w="1323"/>
        <w:gridCol w:w="36"/>
      </w:tblGrid>
      <w:tr w:rsidR="00000000">
        <w:trPr>
          <w:divId w:val="1837190773"/>
        </w:trPr>
        <w:tc>
          <w:tcPr>
            <w:tcW w:w="50" w:type="pct"/>
            <w:vAlign w:val="center"/>
            <w:hideMark/>
          </w:tcPr>
          <w:p w:rsidR="00000000" w:rsidRDefault="005D26B8">
            <w:pPr>
              <w:ind w:firstLine="450"/>
              <w:rPr>
                <w:rFonts w:eastAsia="Times New Roman"/>
              </w:rPr>
            </w:pPr>
          </w:p>
        </w:tc>
        <w:tc>
          <w:tcPr>
            <w:tcW w:w="404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84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837190773"/>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exchange ratio and per share amounts)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June 29, 2019</w:t>
            </w:r>
          </w:p>
        </w:tc>
      </w:tr>
      <w:tr w:rsidR="00000000">
        <w:trPr>
          <w:divId w:val="1837190773"/>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3719077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Outstanding shares of L3 common stock as of June 28, 2019</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79.63 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L3 restricted stock unit awards settled in shares of L3Harris common stock</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L3 performance unit awards settled in shares of L3Harris common stock</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Exchange Ratio</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Shares of L3Harris common stock issued for L3 outstanding common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Price per share of L3Harris common stock as of June 28, 2019</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189.13 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30" w:type="dxa"/>
              <w:left w:w="240" w:type="dxa"/>
              <w:bottom w:w="30" w:type="dxa"/>
              <w:right w:w="20" w:type="dxa"/>
            </w:tcMar>
            <w:vAlign w:val="bottom"/>
            <w:hideMark/>
          </w:tcPr>
          <w:p w:rsidR="00000000" w:rsidRDefault="005D26B8">
            <w:pPr>
              <w:rPr>
                <w:rFonts w:eastAsia="Times New Roman"/>
              </w:rPr>
            </w:pPr>
            <w:r>
              <w:rPr>
                <w:rFonts w:eastAsia="Times New Roman"/>
                <w:color w:val="000000"/>
                <w:sz w:val="20"/>
                <w:szCs w:val="20"/>
              </w:rPr>
              <w:t>Fair value of L3Harris common stock issued for L3 outstanding common stock</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19,689 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40" w:type="dxa"/>
              <w:bottom w:w="30" w:type="dxa"/>
              <w:right w:w="20" w:type="dxa"/>
            </w:tcMar>
            <w:vAlign w:val="bottom"/>
            <w:hideMark/>
          </w:tcPr>
          <w:p w:rsidR="00000000" w:rsidRDefault="005D26B8">
            <w:pPr>
              <w:rPr>
                <w:rFonts w:eastAsia="Times New Roman"/>
              </w:rPr>
            </w:pPr>
            <w:r>
              <w:rPr>
                <w:rFonts w:eastAsia="Times New Roman"/>
                <w:color w:val="000000"/>
                <w:sz w:val="20"/>
                <w:szCs w:val="20"/>
              </w:rPr>
              <w:t>Fair value of replacement restricted stock units attributable to merger consideration</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30" w:type="dxa"/>
              <w:left w:w="240" w:type="dxa"/>
              <w:bottom w:w="30" w:type="dxa"/>
              <w:right w:w="20" w:type="dxa"/>
            </w:tcMar>
            <w:vAlign w:val="bottom"/>
            <w:hideMark/>
          </w:tcPr>
          <w:p w:rsidR="00000000" w:rsidRDefault="005D26B8">
            <w:pPr>
              <w:rPr>
                <w:rFonts w:eastAsia="Times New Roman"/>
              </w:rPr>
            </w:pPr>
            <w:r>
              <w:rPr>
                <w:rFonts w:eastAsia="Times New Roman"/>
                <w:color w:val="000000"/>
                <w:sz w:val="20"/>
                <w:szCs w:val="20"/>
              </w:rPr>
              <w:t>Fair value of L3Harris stock options issued to replace L3 outstanding stock options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40" w:type="dxa"/>
              <w:bottom w:w="30" w:type="dxa"/>
              <w:right w:w="20" w:type="dxa"/>
            </w:tcMar>
            <w:vAlign w:val="bottom"/>
            <w:hideMark/>
          </w:tcPr>
          <w:p w:rsidR="00000000" w:rsidRDefault="005D26B8">
            <w:pPr>
              <w:rPr>
                <w:rFonts w:eastAsia="Times New Roman"/>
              </w:rPr>
            </w:pPr>
            <w:r>
              <w:rPr>
                <w:rFonts w:eastAsia="Times New Roman"/>
                <w:color w:val="000000"/>
                <w:sz w:val="20"/>
                <w:szCs w:val="20"/>
              </w:rPr>
              <w:t>Withholding tax liability incurred for converted L3 share-based awa</w:t>
            </w:r>
            <w:r>
              <w:rPr>
                <w:rFonts w:eastAsia="Times New Roman"/>
                <w:color w:val="000000"/>
                <w:sz w:val="20"/>
                <w:szCs w:val="20"/>
              </w:rPr>
              <w:t>rds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Fair value of replacement award consideration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Fair value of total consideration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Less cash acquired</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(1,195)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3719077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net consideration transferred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1998723004"/>
        <w:rPr>
          <w:rFonts w:eastAsia="Times New Roman"/>
        </w:rPr>
      </w:pPr>
      <w:r>
        <w:rPr>
          <w:rFonts w:eastAsia="Times New Roman"/>
          <w:color w:val="000000"/>
          <w:sz w:val="20"/>
          <w:szCs w:val="20"/>
        </w:rPr>
        <w:t>Our preliminary fair value estimates and assumptions to measure the assets acquired, liabilities assumed and noncontrolling interests in L3 were subject to change as we obtained additional information during the measurement period. We completed our account</w:t>
      </w:r>
      <w:r>
        <w:rPr>
          <w:rFonts w:eastAsia="Times New Roman"/>
          <w:color w:val="000000"/>
          <w:sz w:val="20"/>
          <w:szCs w:val="20"/>
        </w:rPr>
        <w:t xml:space="preserve">ing for the L3Harris Merger during the quarter ended July 3, 2020. The following table summarizes the fair value amounts recognized as of the Closing Date for each major class of asset acquired or liability assumed and noncontrolling interests, as well as </w:t>
      </w:r>
      <w:r>
        <w:rPr>
          <w:rFonts w:eastAsia="Times New Roman"/>
          <w:color w:val="000000"/>
          <w:sz w:val="20"/>
          <w:szCs w:val="20"/>
        </w:rPr>
        <w:t>adjustments made during the measurement period:</w:t>
      </w:r>
    </w:p>
    <w:tbl>
      <w:tblPr>
        <w:tblW w:w="4890" w:type="pct"/>
        <w:tblCellMar>
          <w:top w:w="15" w:type="dxa"/>
          <w:left w:w="15" w:type="dxa"/>
          <w:bottom w:w="15" w:type="dxa"/>
          <w:right w:w="15" w:type="dxa"/>
        </w:tblCellMar>
        <w:tblLook w:val="04A0" w:firstRow="1" w:lastRow="0" w:firstColumn="1" w:lastColumn="0" w:noHBand="0" w:noVBand="1"/>
      </w:tblPr>
      <w:tblGrid>
        <w:gridCol w:w="39"/>
        <w:gridCol w:w="4215"/>
        <w:gridCol w:w="37"/>
        <w:gridCol w:w="121"/>
        <w:gridCol w:w="1075"/>
        <w:gridCol w:w="36"/>
        <w:gridCol w:w="36"/>
        <w:gridCol w:w="36"/>
        <w:gridCol w:w="36"/>
        <w:gridCol w:w="121"/>
        <w:gridCol w:w="1035"/>
        <w:gridCol w:w="36"/>
        <w:gridCol w:w="36"/>
        <w:gridCol w:w="36"/>
        <w:gridCol w:w="36"/>
        <w:gridCol w:w="120"/>
        <w:gridCol w:w="1036"/>
        <w:gridCol w:w="36"/>
      </w:tblGrid>
      <w:tr w:rsidR="00000000">
        <w:trPr>
          <w:divId w:val="473524530"/>
        </w:trPr>
        <w:tc>
          <w:tcPr>
            <w:tcW w:w="50" w:type="pct"/>
            <w:vAlign w:val="center"/>
            <w:hideMark/>
          </w:tcPr>
          <w:p w:rsidR="00000000" w:rsidRDefault="005D26B8">
            <w:pPr>
              <w:ind w:firstLine="450"/>
              <w:rPr>
                <w:rFonts w:eastAsia="Times New Roman"/>
              </w:rPr>
            </w:pPr>
          </w:p>
        </w:tc>
        <w:tc>
          <w:tcPr>
            <w:tcW w:w="262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9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9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9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473524530"/>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Preliminary Fair Value as of 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Measurement Period Adjustments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Adjusted Fair Value as of July 3, 2020</w:t>
            </w:r>
          </w:p>
        </w:tc>
      </w:tr>
      <w:tr w:rsidR="00000000">
        <w:trPr>
          <w:divId w:val="473524530"/>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Receivables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1,708 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1,651 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983 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704 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15,423 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14,582 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6,768 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1,690 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8,458 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Height w:val="280"/>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898 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772 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1,661 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480 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assets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3524530"/>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1440950730"/>
        <w:rPr>
          <w:rFonts w:eastAsia="Times New Roman"/>
        </w:rPr>
      </w:pPr>
      <w:r>
        <w:rPr>
          <w:rFonts w:eastAsia="Times New Roman"/>
          <w:color w:val="000000"/>
          <w:sz w:val="20"/>
          <w:szCs w:val="20"/>
        </w:rPr>
        <w:t>8</w:t>
      </w:r>
    </w:p>
    <w:p w:rsidR="00000000" w:rsidRDefault="005D26B8">
      <w:pPr>
        <w:rPr>
          <w:rFonts w:eastAsia="Times New Roman"/>
        </w:rPr>
      </w:pPr>
      <w:r>
        <w:rPr>
          <w:rFonts w:eastAsia="Times New Roman"/>
        </w:rPr>
        <w:pict>
          <v:rect id="_x0000_i1035" style="width:0;height:1.5pt" o:hralign="center" o:hrstd="t" o:hr="t" fillcolor="#a0a0a0" stroked="f"/>
        </w:pict>
      </w:r>
    </w:p>
    <w:p w:rsidR="00000000" w:rsidRDefault="005D26B8">
      <w:pPr>
        <w:divId w:val="1227376334"/>
        <w:rPr>
          <w:rFonts w:eastAsia="Times New Roman"/>
        </w:rPr>
      </w:pPr>
    </w:p>
    <w:p w:rsidR="00000000" w:rsidRDefault="005D26B8">
      <w:pPr>
        <w:ind w:firstLine="450"/>
        <w:divId w:val="1409422034"/>
        <w:rPr>
          <w:rFonts w:eastAsia="Times New Roman"/>
        </w:rPr>
      </w:pPr>
      <w:r>
        <w:rPr>
          <w:rFonts w:eastAsia="Times New Roman"/>
          <w:color w:val="000000"/>
          <w:sz w:val="20"/>
          <w:szCs w:val="20"/>
        </w:rPr>
        <w:t xml:space="preserve">Additionally, we acquired certain off-market customer contracts in connection with the L3Harris Merger, and we have recorded liabilities as well as separate identifiable intangible assets for the acquisition-date fair </w:t>
      </w:r>
      <w:r>
        <w:rPr>
          <w:rFonts w:eastAsia="Times New Roman"/>
          <w:color w:val="000000"/>
          <w:sz w:val="20"/>
          <w:szCs w:val="20"/>
        </w:rPr>
        <w:t>value of the off-market components of these customer contracts. In aggregate, the acquisition-date fair value of the off-market components was a net liability of $139 million. We measured the fair value of these components as the present value of the amoun</w:t>
      </w:r>
      <w:r>
        <w:rPr>
          <w:rFonts w:eastAsia="Times New Roman"/>
          <w:color w:val="000000"/>
          <w:sz w:val="20"/>
          <w:szCs w:val="20"/>
        </w:rPr>
        <w:t>t by which the terms of the contract with the customer deviated from the terms that a market participant could have achieved at the Closing Date. The off-market components of these contracts will be recognized as an increase to, or reduction of, revenue as</w:t>
      </w:r>
      <w:r>
        <w:rPr>
          <w:rFonts w:eastAsia="Times New Roman"/>
          <w:color w:val="000000"/>
          <w:sz w:val="20"/>
          <w:szCs w:val="20"/>
        </w:rPr>
        <w:t xml:space="preserve"> we incur costs to satisfy the associated performance obligations. We recognized $11 million and $51 million of revenue in the quarter and three quarters ended October 2, 2020, respectively, for amortization of net off-market contract liabilities (includin</w:t>
      </w:r>
      <w:r>
        <w:rPr>
          <w:rFonts w:eastAsia="Times New Roman"/>
          <w:color w:val="000000"/>
          <w:sz w:val="20"/>
          <w:szCs w:val="20"/>
        </w:rPr>
        <w:t xml:space="preserve">g, for three quarters ended October 2, 2020, the cumulative effect of amortization that would have been recognized in the Fiscal Transition Period). We recognized $13 million for amortization of net off-market contract liabilities in the Fiscal Transition </w:t>
      </w:r>
      <w:r>
        <w:rPr>
          <w:rFonts w:eastAsia="Times New Roman"/>
          <w:color w:val="000000"/>
          <w:sz w:val="20"/>
          <w:szCs w:val="20"/>
        </w:rPr>
        <w:t>Period. Future estimated revenue from the amortization of net off-market contract liabilities (based on the estimated pattern of cash flows to be incurred to satisfy associated performance obligations) is as follows: $7 million in the remainder of 2020, $2</w:t>
      </w:r>
      <w:r>
        <w:rPr>
          <w:rFonts w:eastAsia="Times New Roman"/>
          <w:color w:val="000000"/>
          <w:sz w:val="20"/>
          <w:szCs w:val="20"/>
        </w:rPr>
        <w:t xml:space="preserve">0 million in 2021, $15 million in 2022, $10 million in 2023 and $23 million thereafter. </w:t>
      </w:r>
    </w:p>
    <w:p w:rsidR="00000000" w:rsidRDefault="005D26B8">
      <w:pPr>
        <w:ind w:firstLine="450"/>
        <w:divId w:val="177276536"/>
        <w:rPr>
          <w:rFonts w:eastAsia="Times New Roman"/>
        </w:rPr>
      </w:pPr>
      <w:r>
        <w:rPr>
          <w:rFonts w:eastAsia="Times New Roman"/>
          <w:color w:val="000000"/>
          <w:sz w:val="20"/>
          <w:szCs w:val="20"/>
        </w:rPr>
        <w:t>The goodwill resulting from the L3Harris Merger is primarily associated with L3’s market presence and leading positions, growth opportunities in the markets in which L</w:t>
      </w:r>
      <w:r>
        <w:rPr>
          <w:rFonts w:eastAsia="Times New Roman"/>
          <w:color w:val="000000"/>
          <w:sz w:val="20"/>
          <w:szCs w:val="20"/>
        </w:rPr>
        <w:t xml:space="preserve">3 businesses operate, experienced work force and established operating infrastructures. Most of the goodwill related to the L3Harris Merger is nondeductible for tax purposes. </w:t>
      </w:r>
    </w:p>
    <w:p w:rsidR="00000000" w:rsidRDefault="005D26B8">
      <w:pPr>
        <w:ind w:firstLine="450"/>
        <w:divId w:val="1124690227"/>
        <w:rPr>
          <w:rFonts w:eastAsia="Times New Roman"/>
        </w:rPr>
      </w:pPr>
      <w:r>
        <w:rPr>
          <w:rFonts w:eastAsia="Times New Roman"/>
          <w:color w:val="000000"/>
          <w:sz w:val="20"/>
          <w:szCs w:val="20"/>
        </w:rPr>
        <w:t xml:space="preserve">See </w:t>
      </w:r>
      <w:r>
        <w:rPr>
          <w:rFonts w:eastAsia="Times New Roman"/>
          <w:i/>
          <w:iCs/>
          <w:color w:val="000000"/>
          <w:sz w:val="20"/>
          <w:szCs w:val="20"/>
        </w:rPr>
        <w:t>Note K — Goodwill and Other Intangible Assets</w:t>
      </w:r>
      <w:r>
        <w:rPr>
          <w:rFonts w:eastAsia="Times New Roman"/>
          <w:color w:val="000000"/>
          <w:sz w:val="20"/>
          <w:szCs w:val="20"/>
        </w:rPr>
        <w:t xml:space="preserve"> in these Notes for more inform</w:t>
      </w:r>
      <w:r>
        <w:rPr>
          <w:rFonts w:eastAsia="Times New Roman"/>
          <w:color w:val="000000"/>
          <w:sz w:val="20"/>
          <w:szCs w:val="20"/>
        </w:rPr>
        <w:t>ation regarding the allocation of goodwill by business segment.</w:t>
      </w:r>
    </w:p>
    <w:p w:rsidR="00000000" w:rsidRDefault="005D26B8">
      <w:pPr>
        <w:ind w:firstLine="450"/>
        <w:divId w:val="1689717318"/>
        <w:rPr>
          <w:rFonts w:eastAsia="Times New Roman"/>
        </w:rPr>
      </w:pPr>
      <w:r>
        <w:rPr>
          <w:rFonts w:eastAsia="Times New Roman"/>
          <w:color w:val="000000"/>
          <w:sz w:val="20"/>
          <w:szCs w:val="20"/>
        </w:rPr>
        <w:t>The following table provides further detail of the fair value and weighted-average amortization period of identifiable intangible assets acquired by major intangible asset class:</w:t>
      </w:r>
    </w:p>
    <w:tbl>
      <w:tblPr>
        <w:tblW w:w="4963" w:type="pct"/>
        <w:tblCellMar>
          <w:top w:w="15" w:type="dxa"/>
          <w:left w:w="15" w:type="dxa"/>
          <w:bottom w:w="15" w:type="dxa"/>
          <w:right w:w="15" w:type="dxa"/>
        </w:tblCellMar>
        <w:tblLook w:val="04A0" w:firstRow="1" w:lastRow="0" w:firstColumn="1" w:lastColumn="0" w:noHBand="0" w:noVBand="1"/>
      </w:tblPr>
      <w:tblGrid>
        <w:gridCol w:w="52"/>
        <w:gridCol w:w="5649"/>
        <w:gridCol w:w="37"/>
        <w:gridCol w:w="66"/>
        <w:gridCol w:w="1069"/>
        <w:gridCol w:w="36"/>
        <w:gridCol w:w="36"/>
        <w:gridCol w:w="36"/>
        <w:gridCol w:w="36"/>
        <w:gridCol w:w="120"/>
        <w:gridCol w:w="1072"/>
        <w:gridCol w:w="36"/>
      </w:tblGrid>
      <w:tr w:rsidR="00000000">
        <w:trPr>
          <w:divId w:val="1296132415"/>
        </w:trPr>
        <w:tc>
          <w:tcPr>
            <w:tcW w:w="50" w:type="pct"/>
            <w:vAlign w:val="center"/>
            <w:hideMark/>
          </w:tcPr>
          <w:p w:rsidR="00000000" w:rsidRDefault="005D26B8">
            <w:pPr>
              <w:ind w:firstLine="450"/>
              <w:rPr>
                <w:rFonts w:eastAsia="Times New Roman"/>
              </w:rPr>
            </w:pPr>
          </w:p>
        </w:tc>
        <w:tc>
          <w:tcPr>
            <w:tcW w:w="344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296132415"/>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Weighted Average Amortization Period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w:t>
            </w:r>
          </w:p>
        </w:tc>
      </w:tr>
      <w:tr w:rsidR="00000000">
        <w:trPr>
          <w:divId w:val="1296132415"/>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16"/>
                <w:szCs w:val="16"/>
              </w:rPr>
              <w:t>(In millions)</w:t>
            </w:r>
          </w:p>
        </w:tc>
      </w:tr>
      <w:tr w:rsidR="00000000">
        <w:trPr>
          <w:divId w:val="1296132415"/>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2961324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Identifiable intangible assets acquired:</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296132415"/>
        </w:trPr>
        <w:tc>
          <w:tcPr>
            <w:tcW w:w="0" w:type="auto"/>
            <w:gridSpan w:val="3"/>
            <w:shd w:val="clear" w:color="auto" w:fill="FFFFFF"/>
            <w:tcMar>
              <w:top w:w="30" w:type="dxa"/>
              <w:left w:w="22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Customer relationships (Government)</w:t>
            </w: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5,082 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CCEEFF"/>
            <w:tcMar>
              <w:top w:w="30" w:type="dxa"/>
              <w:left w:w="22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Customer relationships (Commercial)</w:t>
            </w: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860 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FFFFFF"/>
            <w:tcMar>
              <w:top w:w="30" w:type="dxa"/>
              <w:left w:w="225"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backlog</w:t>
            </w: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CCEEFF"/>
            <w:tcMar>
              <w:top w:w="30" w:type="dxa"/>
              <w:left w:w="225" w:type="dxa"/>
              <w:bottom w:w="30" w:type="dxa"/>
              <w:right w:w="20" w:type="dxa"/>
            </w:tcMar>
            <w:vAlign w:val="bottom"/>
            <w:hideMark/>
          </w:tcPr>
          <w:p w:rsidR="00000000" w:rsidRDefault="005D26B8">
            <w:pPr>
              <w:rPr>
                <w:rFonts w:eastAsia="Times New Roman"/>
              </w:rPr>
            </w:pPr>
            <w:r>
              <w:rPr>
                <w:rFonts w:eastAsia="Times New Roman"/>
                <w:color w:val="000000"/>
                <w:sz w:val="20"/>
                <w:szCs w:val="20"/>
              </w:rPr>
              <w:t>Trade names — divisions</w:t>
            </w: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9</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FFFFFF"/>
            <w:tcMar>
              <w:top w:w="30" w:type="dxa"/>
              <w:left w:w="225"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Developed technologies</w:t>
            </w: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identifiable intangible assets subject to amortization</w:t>
            </w:r>
          </w:p>
        </w:tc>
        <w:tc>
          <w:tcPr>
            <w:tcW w:w="0" w:type="auto"/>
            <w:gridSpan w:val="3"/>
            <w:shd w:val="clear" w:color="auto" w:fill="CCEEFF"/>
            <w:tcMar>
              <w:top w:w="30" w:type="dxa"/>
              <w:left w:w="20" w:type="dxa"/>
              <w:bottom w:w="30" w:type="dxa"/>
              <w:right w:w="20" w:type="dxa"/>
            </w:tcMar>
            <w:hideMark/>
          </w:tcPr>
          <w:p w:rsidR="00000000" w:rsidRDefault="005D26B8">
            <w:pPr>
              <w:jc w:val="center"/>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6,634 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5D26B8">
            <w:pPr>
              <w:jc w:val="right"/>
              <w:rPr>
                <w:rFonts w:eastAsia="Times New Roman"/>
              </w:rPr>
            </w:pPr>
          </w:p>
        </w:tc>
      </w:tr>
      <w:tr w:rsidR="00000000">
        <w:trPr>
          <w:divId w:val="1296132415"/>
        </w:trPr>
        <w:tc>
          <w:tcPr>
            <w:tcW w:w="0" w:type="auto"/>
            <w:gridSpan w:val="3"/>
            <w:shd w:val="clear" w:color="auto" w:fill="FFFFFF"/>
            <w:tcMar>
              <w:top w:w="30" w:type="dxa"/>
              <w:left w:w="20" w:type="dxa"/>
              <w:bottom w:w="30" w:type="dxa"/>
              <w:right w:w="20" w:type="dxa"/>
            </w:tcMar>
            <w:vAlign w:val="bottom"/>
            <w:hideMark/>
          </w:tcPr>
          <w:p w:rsidR="00000000" w:rsidRDefault="005D26B8">
            <w:pPr>
              <w:divId w:val="643315233"/>
              <w:rPr>
                <w:rFonts w:eastAsia="Times New Roman"/>
              </w:rPr>
            </w:pPr>
            <w:r>
              <w:rPr>
                <w:rFonts w:eastAsia="Times New Roman"/>
                <w:color w:val="000000"/>
                <w:sz w:val="20"/>
                <w:szCs w:val="20"/>
              </w:rPr>
              <w:t xml:space="preserve">Trade names </w:t>
            </w:r>
            <w:r>
              <w:rPr>
                <w:rFonts w:eastAsia="Times New Roman"/>
                <w:b/>
                <w:bCs/>
                <w:i/>
                <w:iCs/>
                <w:color w:val="000000"/>
                <w:sz w:val="20"/>
                <w:szCs w:val="20"/>
              </w:rPr>
              <w:t>—</w:t>
            </w:r>
            <w:r>
              <w:rPr>
                <w:rFonts w:eastAsia="Times New Roman"/>
                <w:color w:val="000000"/>
                <w:sz w:val="20"/>
                <w:szCs w:val="20"/>
              </w:rPr>
              <w:t xml:space="preserve"> corporate</w:t>
            </w: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indefinite</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In-process research and development</w:t>
            </w: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29613241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974217045"/>
        <w:rPr>
          <w:rFonts w:eastAsia="Times New Roman"/>
        </w:rPr>
      </w:pPr>
      <w:r>
        <w:rPr>
          <w:rFonts w:eastAsia="Times New Roman"/>
          <w:color w:val="000000"/>
          <w:sz w:val="20"/>
          <w:szCs w:val="20"/>
        </w:rPr>
        <w:t>L3Harris Merger-related charges were as follows:</w:t>
      </w:r>
    </w:p>
    <w:tbl>
      <w:tblPr>
        <w:tblW w:w="4978" w:type="pct"/>
        <w:tblCellMar>
          <w:top w:w="15" w:type="dxa"/>
          <w:left w:w="15" w:type="dxa"/>
          <w:bottom w:w="15" w:type="dxa"/>
          <w:right w:w="15" w:type="dxa"/>
        </w:tblCellMar>
        <w:tblLook w:val="04A0" w:firstRow="1" w:lastRow="0" w:firstColumn="1" w:lastColumn="0" w:noHBand="0" w:noVBand="1"/>
      </w:tblPr>
      <w:tblGrid>
        <w:gridCol w:w="39"/>
        <w:gridCol w:w="3063"/>
        <w:gridCol w:w="37"/>
        <w:gridCol w:w="121"/>
        <w:gridCol w:w="1044"/>
        <w:gridCol w:w="36"/>
        <w:gridCol w:w="36"/>
        <w:gridCol w:w="36"/>
        <w:gridCol w:w="36"/>
        <w:gridCol w:w="121"/>
        <w:gridCol w:w="1044"/>
        <w:gridCol w:w="36"/>
        <w:gridCol w:w="36"/>
        <w:gridCol w:w="36"/>
        <w:gridCol w:w="36"/>
        <w:gridCol w:w="121"/>
        <w:gridCol w:w="1044"/>
        <w:gridCol w:w="37"/>
        <w:gridCol w:w="36"/>
        <w:gridCol w:w="36"/>
        <w:gridCol w:w="36"/>
        <w:gridCol w:w="121"/>
        <w:gridCol w:w="1045"/>
        <w:gridCol w:w="36"/>
      </w:tblGrid>
      <w:tr w:rsidR="00000000">
        <w:trPr>
          <w:divId w:val="1541241123"/>
        </w:trPr>
        <w:tc>
          <w:tcPr>
            <w:tcW w:w="50" w:type="pct"/>
            <w:vAlign w:val="center"/>
            <w:hideMark/>
          </w:tcPr>
          <w:p w:rsidR="00000000" w:rsidRDefault="005D26B8">
            <w:pPr>
              <w:ind w:firstLine="450"/>
              <w:rPr>
                <w:rFonts w:eastAsia="Times New Roman"/>
              </w:rPr>
            </w:pPr>
          </w:p>
        </w:tc>
        <w:tc>
          <w:tcPr>
            <w:tcW w:w="192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541241123"/>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54124112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541241123"/>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541241123"/>
        </w:trPr>
        <w:tc>
          <w:tcPr>
            <w:tcW w:w="0" w:type="auto"/>
            <w:gridSpan w:val="3"/>
            <w:shd w:val="clear" w:color="auto" w:fill="CCEEFF"/>
            <w:tcMar>
              <w:top w:w="30" w:type="dxa"/>
              <w:left w:w="20" w:type="dxa"/>
              <w:bottom w:w="30" w:type="dxa"/>
              <w:right w:w="20" w:type="dxa"/>
            </w:tcMar>
            <w:vAlign w:val="bottom"/>
            <w:hideMark/>
          </w:tcPr>
          <w:p w:rsidR="00000000" w:rsidRDefault="005D26B8">
            <w:pPr>
              <w:ind w:hanging="90"/>
              <w:divId w:val="1523856615"/>
              <w:rPr>
                <w:rFonts w:eastAsia="Times New Roman"/>
              </w:rPr>
            </w:pPr>
            <w:r>
              <w:rPr>
                <w:rFonts w:eastAsia="Times New Roman"/>
                <w:color w:val="000000"/>
                <w:sz w:val="20"/>
                <w:szCs w:val="20"/>
              </w:rPr>
              <w:t>Equity award acceleration charges, recognized upon change in control</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4124112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Transaction costs,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41241123"/>
        </w:trPr>
        <w:tc>
          <w:tcPr>
            <w:tcW w:w="0" w:type="auto"/>
            <w:gridSpan w:val="3"/>
            <w:shd w:val="clear" w:color="auto" w:fill="CCEEFF"/>
            <w:tcMar>
              <w:top w:w="30" w:type="dxa"/>
              <w:left w:w="90" w:type="dxa"/>
              <w:bottom w:w="30" w:type="dxa"/>
              <w:right w:w="20" w:type="dxa"/>
            </w:tcMar>
            <w:vAlign w:val="bottom"/>
            <w:hideMark/>
          </w:tcPr>
          <w:p w:rsidR="00000000" w:rsidRDefault="005D26B8">
            <w:pPr>
              <w:ind w:hanging="90"/>
              <w:rPr>
                <w:rFonts w:eastAsia="Times New Roman"/>
              </w:rPr>
            </w:pPr>
            <w:r>
              <w:rPr>
                <w:rFonts w:eastAsia="Times New Roman"/>
                <w:color w:val="000000"/>
                <w:sz w:val="20"/>
                <w:szCs w:val="20"/>
              </w:rPr>
              <w:t>Additional cost of sales related to the fair value step-up in inventory sold</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4124112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4124112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Integration costs, recognized as incurred</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4124112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L3Harris Merger-related charges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1809589397"/>
        <w:rPr>
          <w:rFonts w:eastAsia="Times New Roman"/>
        </w:rPr>
      </w:pPr>
      <w:r>
        <w:rPr>
          <w:rFonts w:eastAsia="Times New Roman"/>
          <w:color w:val="000000"/>
          <w:sz w:val="20"/>
          <w:szCs w:val="20"/>
        </w:rPr>
        <w:t>Because the L3Harris Merger benefited the entir</w:t>
      </w:r>
      <w:r>
        <w:rPr>
          <w:rFonts w:eastAsia="Times New Roman"/>
          <w:color w:val="000000"/>
          <w:sz w:val="20"/>
          <w:szCs w:val="20"/>
        </w:rPr>
        <w:t>e Company as opposed to any individual business segment, the above costs were not allocated to any business segment. All of the above costs were recorded in the “Engineering, selling and administrative expenses” line item in our Condensed Consolidated Stat</w:t>
      </w:r>
      <w:r>
        <w:rPr>
          <w:rFonts w:eastAsia="Times New Roman"/>
          <w:color w:val="000000"/>
          <w:sz w:val="20"/>
          <w:szCs w:val="20"/>
        </w:rPr>
        <w:t>ement of Income (Unaudited), except for the additional cost of sales related to the fair value step-up in inventory sold.</w:t>
      </w:r>
    </w:p>
    <w:p w:rsidR="00000000" w:rsidRDefault="005D26B8">
      <w:pPr>
        <w:jc w:val="center"/>
        <w:divId w:val="132530263"/>
        <w:rPr>
          <w:rFonts w:eastAsia="Times New Roman"/>
        </w:rPr>
      </w:pPr>
      <w:r>
        <w:rPr>
          <w:rFonts w:eastAsia="Times New Roman"/>
          <w:color w:val="000000"/>
          <w:sz w:val="20"/>
          <w:szCs w:val="20"/>
        </w:rPr>
        <w:t>9</w:t>
      </w:r>
    </w:p>
    <w:p w:rsidR="00000000" w:rsidRDefault="005D26B8">
      <w:pPr>
        <w:rPr>
          <w:rFonts w:eastAsia="Times New Roman"/>
        </w:rPr>
      </w:pPr>
      <w:r>
        <w:rPr>
          <w:rFonts w:eastAsia="Times New Roman"/>
        </w:rPr>
        <w:pict>
          <v:rect id="_x0000_i1036" style="width:0;height:1.5pt" o:hralign="center" o:hrstd="t" o:hr="t" fillcolor="#a0a0a0" stroked="f"/>
        </w:pict>
      </w:r>
    </w:p>
    <w:p w:rsidR="00000000" w:rsidRDefault="005D26B8">
      <w:pPr>
        <w:divId w:val="165944088"/>
        <w:rPr>
          <w:rFonts w:eastAsia="Times New Roman"/>
        </w:rPr>
      </w:pPr>
    </w:p>
    <w:p w:rsidR="00000000" w:rsidRDefault="005D26B8">
      <w:pPr>
        <w:divId w:val="682517158"/>
        <w:rPr>
          <w:rFonts w:eastAsia="Times New Roman"/>
        </w:rPr>
      </w:pPr>
      <w:r>
        <w:rPr>
          <w:rFonts w:eastAsia="Times New Roman"/>
          <w:b/>
          <w:bCs/>
          <w:color w:val="000000"/>
          <w:sz w:val="20"/>
          <w:szCs w:val="20"/>
        </w:rPr>
        <w:t>Pro Forma Results</w:t>
      </w:r>
      <w:r>
        <w:rPr>
          <w:rFonts w:eastAsia="Times New Roman"/>
          <w:b/>
          <w:bCs/>
          <w:i/>
          <w:iCs/>
          <w:color w:val="000000"/>
          <w:sz w:val="20"/>
          <w:szCs w:val="20"/>
        </w:rPr>
        <w:t xml:space="preserve"> </w:t>
      </w:r>
    </w:p>
    <w:p w:rsidR="00000000" w:rsidRDefault="005D26B8">
      <w:pPr>
        <w:ind w:firstLine="450"/>
        <w:divId w:val="595021154"/>
        <w:rPr>
          <w:rFonts w:eastAsia="Times New Roman"/>
        </w:rPr>
      </w:pPr>
      <w:r>
        <w:rPr>
          <w:rFonts w:eastAsia="Times New Roman"/>
          <w:color w:val="000000"/>
          <w:sz w:val="20"/>
          <w:szCs w:val="20"/>
        </w:rPr>
        <w:t>The following unaudited consolidated pro forma results of operations for th</w:t>
      </w:r>
      <w:r>
        <w:rPr>
          <w:rFonts w:eastAsia="Times New Roman"/>
          <w:color w:val="000000"/>
          <w:sz w:val="20"/>
          <w:szCs w:val="20"/>
        </w:rPr>
        <w:t>e three quarters ended September 27, 2019 combines reported results for the quarter ended September 27, 2019 with the pro forma results for the two quarters ended June 28, 2019. The pro forma results for the two quarters ended June 28, 2019 were prepared o</w:t>
      </w:r>
      <w:r>
        <w:rPr>
          <w:rFonts w:eastAsia="Times New Roman"/>
          <w:color w:val="000000"/>
          <w:sz w:val="20"/>
          <w:szCs w:val="20"/>
        </w:rPr>
        <w:t>n a pro forma basis, as if the L3Harris Merger had been completed as of June 30, 2018, the first day of Harris’ fiscal 2019, after including any post-acquisition adjustments directly attributable to the acquisition, such as the sale of Harris’ Night Vision</w:t>
      </w:r>
      <w:r>
        <w:rPr>
          <w:rFonts w:eastAsia="Times New Roman"/>
          <w:color w:val="000000"/>
          <w:sz w:val="20"/>
          <w:szCs w:val="20"/>
        </w:rPr>
        <w:t xml:space="preserve"> business, and after including the impact of pro forma adjustments such as amortization of identifiable intangible assets as well as the related income tax effects. This pro forma presentation does not include any impact of transaction synergies. The pro f</w:t>
      </w:r>
      <w:r>
        <w:rPr>
          <w:rFonts w:eastAsia="Times New Roman"/>
          <w:color w:val="000000"/>
          <w:sz w:val="20"/>
          <w:szCs w:val="20"/>
        </w:rPr>
        <w:t>orma results are not necessarily indicative of our results of operations that actually would have been obtained had the combination of Harris and L3 been completed on the assumed date or for the period presented, or which may be realized in the future.</w:t>
      </w:r>
    </w:p>
    <w:tbl>
      <w:tblPr>
        <w:tblW w:w="4956" w:type="pct"/>
        <w:tblCellMar>
          <w:top w:w="15" w:type="dxa"/>
          <w:left w:w="15" w:type="dxa"/>
          <w:bottom w:w="15" w:type="dxa"/>
          <w:right w:w="15" w:type="dxa"/>
        </w:tblCellMar>
        <w:tblLook w:val="04A0" w:firstRow="1" w:lastRow="0" w:firstColumn="1" w:lastColumn="0" w:noHBand="0" w:noVBand="1"/>
      </w:tblPr>
      <w:tblGrid>
        <w:gridCol w:w="50"/>
        <w:gridCol w:w="6423"/>
        <w:gridCol w:w="38"/>
        <w:gridCol w:w="121"/>
        <w:gridCol w:w="1565"/>
        <w:gridCol w:w="36"/>
      </w:tblGrid>
      <w:tr w:rsidR="00000000">
        <w:trPr>
          <w:divId w:val="1764186742"/>
        </w:trPr>
        <w:tc>
          <w:tcPr>
            <w:tcW w:w="50" w:type="pct"/>
            <w:vAlign w:val="center"/>
            <w:hideMark/>
          </w:tcPr>
          <w:p w:rsidR="00000000" w:rsidRDefault="005D26B8">
            <w:pPr>
              <w:ind w:firstLine="450"/>
              <w:rPr>
                <w:rFonts w:eastAsia="Times New Roman"/>
              </w:rPr>
            </w:pPr>
          </w:p>
        </w:tc>
        <w:tc>
          <w:tcPr>
            <w:tcW w:w="39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97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764186742"/>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 September 27, 2019</w:t>
            </w:r>
          </w:p>
        </w:tc>
      </w:tr>
      <w:tr w:rsidR="00000000">
        <w:trPr>
          <w:divId w:val="1764186742"/>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6418674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 from product sales and services — as reported</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6418674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 from product sales and services — pro forma</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13,265 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6418674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 — as reported</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6418674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 — pro forma</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1,252 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286812583"/>
        <w:rPr>
          <w:rFonts w:eastAsia="Times New Roman"/>
        </w:rPr>
      </w:pPr>
      <w:r>
        <w:rPr>
          <w:rFonts w:eastAsia="Times New Roman"/>
          <w:b/>
          <w:bCs/>
          <w:color w:val="000000"/>
          <w:sz w:val="20"/>
          <w:szCs w:val="20"/>
        </w:rPr>
        <w:t xml:space="preserve">Note C — Business Divestitures and Assets Sales </w:t>
      </w:r>
    </w:p>
    <w:p w:rsidR="00000000" w:rsidRDefault="005D26B8">
      <w:pPr>
        <w:ind w:firstLine="450"/>
        <w:divId w:val="1326472464"/>
        <w:rPr>
          <w:rFonts w:eastAsia="Times New Roman"/>
        </w:rPr>
      </w:pPr>
      <w:r>
        <w:rPr>
          <w:rFonts w:eastAsia="Times New Roman"/>
          <w:i/>
          <w:iCs/>
          <w:color w:val="000000"/>
          <w:sz w:val="20"/>
          <w:szCs w:val="20"/>
        </w:rPr>
        <w:t xml:space="preserve">EOTech business. </w:t>
      </w:r>
      <w:r>
        <w:rPr>
          <w:rFonts w:eastAsia="Times New Roman"/>
          <w:color w:val="000000"/>
          <w:sz w:val="20"/>
          <w:szCs w:val="20"/>
        </w:rPr>
        <w:t>On July 31, 2020, we completed the divestiture of our EOTech business for $42 million (net cash proceeds of $40 million after selling costs and estimated purchase price adjustments), subject to final customary purchase price adjustments as set forth in the</w:t>
      </w:r>
      <w:r>
        <w:rPr>
          <w:rFonts w:eastAsia="Times New Roman"/>
          <w:color w:val="000000"/>
          <w:sz w:val="20"/>
          <w:szCs w:val="20"/>
        </w:rPr>
        <w:t xml:space="preserve"> definitive sale agreement, and recognized a pre-tax gain of $2 million, which is included in the “Business divestiture-related (losses) gains” line item in our Condensed Consolidated Statement of Income (Unaudited) for the quarter and three quarters ended</w:t>
      </w:r>
      <w:r>
        <w:rPr>
          <w:rFonts w:eastAsia="Times New Roman"/>
          <w:color w:val="000000"/>
          <w:sz w:val="20"/>
          <w:szCs w:val="20"/>
        </w:rPr>
        <w:t xml:space="preserve"> October 2, 2020. The EOTech business manufactures holographic sighting systems, magnified field optics and accessories for military, law enforcement and commercial markets around the world. The operating results of the EOTech business through the date of </w:t>
      </w:r>
      <w:r>
        <w:rPr>
          <w:rFonts w:eastAsia="Times New Roman"/>
          <w:color w:val="000000"/>
          <w:sz w:val="20"/>
          <w:szCs w:val="20"/>
        </w:rPr>
        <w:t>divestiture are reported as part of our Communication Systems segment. Income before income taxes of the EOTech business through the date of divestiture was not material for the quarter or three quarters ended October 2, 2020 or the quarter or three quarte</w:t>
      </w:r>
      <w:r>
        <w:rPr>
          <w:rFonts w:eastAsia="Times New Roman"/>
          <w:color w:val="000000"/>
          <w:sz w:val="20"/>
          <w:szCs w:val="20"/>
        </w:rPr>
        <w:t>rs ended September 27, 2019.</w:t>
      </w:r>
    </w:p>
    <w:p w:rsidR="00000000" w:rsidRDefault="005D26B8">
      <w:pPr>
        <w:ind w:firstLine="450"/>
        <w:divId w:val="1501893020"/>
        <w:rPr>
          <w:rFonts w:eastAsia="Times New Roman"/>
        </w:rPr>
      </w:pPr>
      <w:r>
        <w:rPr>
          <w:rFonts w:eastAsia="Times New Roman"/>
          <w:color w:val="000000"/>
          <w:sz w:val="20"/>
          <w:szCs w:val="20"/>
        </w:rPr>
        <w:t>In connection with the preparation of our financial statements for the quarter ended April 3, 2020, we tested goodwill assigned to the EOTech business disposal group and goodwill assigned to the retained businesses of the repor</w:t>
      </w:r>
      <w:r>
        <w:rPr>
          <w:rFonts w:eastAsia="Times New Roman"/>
          <w:color w:val="000000"/>
          <w:sz w:val="20"/>
          <w:szCs w:val="20"/>
        </w:rPr>
        <w:t>ting unit for impairment and concluded that no goodwill impairment existed at the time the held for sale criteria were met.</w:t>
      </w:r>
    </w:p>
    <w:p w:rsidR="00000000" w:rsidRDefault="005D26B8">
      <w:pPr>
        <w:ind w:firstLine="450"/>
        <w:divId w:val="453600454"/>
        <w:rPr>
          <w:rFonts w:eastAsia="Times New Roman"/>
        </w:rPr>
      </w:pPr>
      <w:r>
        <w:rPr>
          <w:rFonts w:eastAsia="Times New Roman"/>
          <w:i/>
          <w:iCs/>
          <w:color w:val="000000"/>
          <w:sz w:val="20"/>
          <w:szCs w:val="20"/>
        </w:rPr>
        <w:t xml:space="preserve">Applied Kilovolts and Analytical Instrumentation business. </w:t>
      </w:r>
      <w:r>
        <w:rPr>
          <w:rFonts w:eastAsia="Times New Roman"/>
          <w:color w:val="000000"/>
          <w:sz w:val="20"/>
          <w:szCs w:val="20"/>
        </w:rPr>
        <w:t>On May 15, 2020, we completed the divestiture of our Applied Kilovolts and Analytical Instrumentation business for net cash proceeds of $12 million, after selling costs and estimated purchase price adjustments, subject to final customary purchase price adj</w:t>
      </w:r>
      <w:r>
        <w:rPr>
          <w:rFonts w:eastAsia="Times New Roman"/>
          <w:color w:val="000000"/>
          <w:sz w:val="20"/>
          <w:szCs w:val="20"/>
        </w:rPr>
        <w:t>ustments as set forth in the definitive sale agreement. The operating results of the Applied Kilovolts and Analytical Instrumentation business through the date of divestiture are reported as part of our Space and Airborne Systems segment. Income before inc</w:t>
      </w:r>
      <w:r>
        <w:rPr>
          <w:rFonts w:eastAsia="Times New Roman"/>
          <w:color w:val="000000"/>
          <w:sz w:val="20"/>
          <w:szCs w:val="20"/>
        </w:rPr>
        <w:t xml:space="preserve">ome taxes of the Applied Kilovolts and Analytical Instrumentation business through the date of divestiture was not material for the three quarters ended October 2, 2020 or the quarter or three quarters ended September 27, 2019. </w:t>
      </w:r>
    </w:p>
    <w:p w:rsidR="00000000" w:rsidRDefault="005D26B8">
      <w:pPr>
        <w:ind w:firstLine="450"/>
        <w:divId w:val="369259931"/>
        <w:rPr>
          <w:rFonts w:eastAsia="Times New Roman"/>
        </w:rPr>
      </w:pPr>
      <w:r>
        <w:rPr>
          <w:rFonts w:eastAsia="Times New Roman"/>
          <w:color w:val="000000"/>
          <w:sz w:val="20"/>
          <w:szCs w:val="20"/>
        </w:rPr>
        <w:t>In connection with the prep</w:t>
      </w:r>
      <w:r>
        <w:rPr>
          <w:rFonts w:eastAsia="Times New Roman"/>
          <w:color w:val="000000"/>
          <w:sz w:val="20"/>
          <w:szCs w:val="20"/>
        </w:rPr>
        <w:t xml:space="preserve">aration of our financial statements for the quarter ended April 3, 2020, we tested goodwill assigned to the Applied Kilovolts and Analytical Instrumentation business disposal group and goodwill assigned to the retained businesses of the reporting unit for </w:t>
      </w:r>
      <w:r>
        <w:rPr>
          <w:rFonts w:eastAsia="Times New Roman"/>
          <w:color w:val="000000"/>
          <w:sz w:val="20"/>
          <w:szCs w:val="20"/>
        </w:rPr>
        <w:t>impairment and concluded that goodwill related to the disposal group was impaired. As a result, we recorded a non-cash impairment charge of $5 million, which is included in the “Impairment of goodwill and other assets” line item in our Condensed Consolidat</w:t>
      </w:r>
      <w:r>
        <w:rPr>
          <w:rFonts w:eastAsia="Times New Roman"/>
          <w:color w:val="000000"/>
          <w:sz w:val="20"/>
          <w:szCs w:val="20"/>
        </w:rPr>
        <w:t>ed Statement of Income (Unaudited) for the three quarters ended October 2, 2020.</w:t>
      </w:r>
    </w:p>
    <w:p w:rsidR="00000000" w:rsidRDefault="005D26B8">
      <w:pPr>
        <w:ind w:firstLine="450"/>
        <w:divId w:val="1910727138"/>
        <w:rPr>
          <w:rFonts w:eastAsia="Times New Roman"/>
        </w:rPr>
      </w:pPr>
      <w:r>
        <w:rPr>
          <w:rFonts w:eastAsia="Times New Roman"/>
          <w:i/>
          <w:iCs/>
          <w:color w:val="000000"/>
          <w:sz w:val="20"/>
          <w:szCs w:val="20"/>
        </w:rPr>
        <w:t xml:space="preserve">Airport security and automation business. </w:t>
      </w:r>
      <w:r>
        <w:rPr>
          <w:rFonts w:eastAsia="Times New Roman"/>
          <w:color w:val="000000"/>
          <w:sz w:val="20"/>
          <w:szCs w:val="20"/>
        </w:rPr>
        <w:t xml:space="preserve">On May 4, 2020, we completed the divestiture of the Security &amp; Detection Systems and MacDonald Humfrey Automation solutions business </w:t>
      </w:r>
      <w:r>
        <w:rPr>
          <w:rFonts w:eastAsia="Times New Roman"/>
          <w:color w:val="000000"/>
          <w:sz w:val="20"/>
          <w:szCs w:val="20"/>
        </w:rPr>
        <w:t>(“airport security and automation business”) to Leidos, Inc. for $1 billion (net cash proceeds of $950 million after selling costs and estimated purchase price adjustments), subject to final customary purchase price adjustments as set forth in the definiti</w:t>
      </w:r>
      <w:r>
        <w:rPr>
          <w:rFonts w:eastAsia="Times New Roman"/>
          <w:color w:val="000000"/>
          <w:sz w:val="20"/>
          <w:szCs w:val="20"/>
        </w:rPr>
        <w:t xml:space="preserve">ve sale agreement, and recognized a pre-tax loss of $26 million during the quarter ended July 3, 2020. During the quarter ended October 2, 2020, we recognized a $2 million adjustment related to selling costs, which increased the loss initially recognized. </w:t>
      </w:r>
      <w:r>
        <w:rPr>
          <w:rFonts w:eastAsia="Times New Roman"/>
          <w:color w:val="000000"/>
          <w:sz w:val="20"/>
          <w:szCs w:val="20"/>
        </w:rPr>
        <w:t>These charges are included in the “Business divestiture-related (losses) gains” line item in our Condensed Consolidated Statement of Income (Unaudited) for the quarter and three quarters ended October 2, 2020. The airport security and automation business p</w:t>
      </w:r>
      <w:r>
        <w:rPr>
          <w:rFonts w:eastAsia="Times New Roman"/>
          <w:color w:val="000000"/>
          <w:sz w:val="20"/>
          <w:szCs w:val="20"/>
        </w:rPr>
        <w:t>rovides solutions used by the aviation and transportation industries, regulatory and customs authorities, government and law enforcement agencies and commercial and other high-security facilities. The operating results of the airport security and automatio</w:t>
      </w:r>
      <w:r>
        <w:rPr>
          <w:rFonts w:eastAsia="Times New Roman"/>
          <w:color w:val="000000"/>
          <w:sz w:val="20"/>
          <w:szCs w:val="20"/>
        </w:rPr>
        <w:t>n business through the date of divestiture are reported as part of our Aviation Systems segment. Income before income taxes of the airport security and automation business through the date of divestiture was not material for the three quarters ended Octobe</w:t>
      </w:r>
      <w:r>
        <w:rPr>
          <w:rFonts w:eastAsia="Times New Roman"/>
          <w:color w:val="000000"/>
          <w:sz w:val="20"/>
          <w:szCs w:val="20"/>
        </w:rPr>
        <w:t xml:space="preserve">r 2, 2020 or the quarter or three quarters ended September 27, 2019. </w:t>
      </w:r>
    </w:p>
    <w:p w:rsidR="00000000" w:rsidRDefault="005D26B8">
      <w:pPr>
        <w:jc w:val="center"/>
        <w:divId w:val="1228876806"/>
        <w:rPr>
          <w:rFonts w:eastAsia="Times New Roman"/>
        </w:rPr>
      </w:pPr>
      <w:r>
        <w:rPr>
          <w:rFonts w:eastAsia="Times New Roman"/>
          <w:color w:val="000000"/>
          <w:sz w:val="20"/>
          <w:szCs w:val="20"/>
        </w:rPr>
        <w:t>10</w:t>
      </w:r>
    </w:p>
    <w:p w:rsidR="00000000" w:rsidRDefault="005D26B8">
      <w:pPr>
        <w:rPr>
          <w:rFonts w:eastAsia="Times New Roman"/>
        </w:rPr>
      </w:pPr>
      <w:r>
        <w:rPr>
          <w:rFonts w:eastAsia="Times New Roman"/>
        </w:rPr>
        <w:pict>
          <v:rect id="_x0000_i1037" style="width:0;height:1.5pt" o:hralign="center" o:hrstd="t" o:hr="t" fillcolor="#a0a0a0" stroked="f"/>
        </w:pict>
      </w:r>
    </w:p>
    <w:p w:rsidR="00000000" w:rsidRDefault="005D26B8">
      <w:pPr>
        <w:divId w:val="1702900157"/>
        <w:rPr>
          <w:rFonts w:eastAsia="Times New Roman"/>
        </w:rPr>
      </w:pPr>
    </w:p>
    <w:p w:rsidR="00000000" w:rsidRDefault="005D26B8">
      <w:pPr>
        <w:ind w:firstLine="450"/>
        <w:divId w:val="24453188"/>
        <w:rPr>
          <w:rFonts w:eastAsia="Times New Roman"/>
        </w:rPr>
      </w:pPr>
      <w:r>
        <w:rPr>
          <w:rFonts w:eastAsia="Times New Roman"/>
          <w:color w:val="000000"/>
          <w:sz w:val="20"/>
          <w:szCs w:val="20"/>
        </w:rPr>
        <w:t>Because the then-pending divestiture of the airport security and automation business would represent the disposal of a portion of a reporting un</w:t>
      </w:r>
      <w:r>
        <w:rPr>
          <w:rFonts w:eastAsia="Times New Roman"/>
          <w:color w:val="000000"/>
          <w:sz w:val="20"/>
          <w:szCs w:val="20"/>
        </w:rPr>
        <w:t xml:space="preserve">it within our Aviation Systems segment, we assigned $531 million of goodwill to the airport security and automation business disposal group on a relative fair value basis during the quarter ended April 3, 2020, when the held for sale criteria were met. In </w:t>
      </w:r>
      <w:r>
        <w:rPr>
          <w:rFonts w:eastAsia="Times New Roman"/>
          <w:color w:val="000000"/>
          <w:sz w:val="20"/>
          <w:szCs w:val="20"/>
        </w:rPr>
        <w:t>connection with the preparation of our financial statements for the quarter ended April 3, 2020, we tested goodwill assigned to the disposal group and goodwill assigned to the retained businesses of the reporting unit for impairment and concluded that no g</w:t>
      </w:r>
      <w:r>
        <w:rPr>
          <w:rFonts w:eastAsia="Times New Roman"/>
          <w:color w:val="000000"/>
          <w:sz w:val="20"/>
          <w:szCs w:val="20"/>
        </w:rPr>
        <w:t>oodwill impairment existed at the time the held for sale criteria were met in late January 2020. However, indicators of potential impairment of goodwill related to the retained businesses of the reporting unit were present at April 3, 2020 and July 3, 2020</w:t>
      </w:r>
      <w:r>
        <w:rPr>
          <w:rFonts w:eastAsia="Times New Roman"/>
          <w:color w:val="000000"/>
          <w:sz w:val="20"/>
          <w:szCs w:val="20"/>
        </w:rPr>
        <w:t xml:space="preserve"> due to the downturn in the commercial aviation market that resulted from the novel COVID-19 strain of coronavirus (“COVID-19”) pandemic and its impact on global air traffic and customer demand. See </w:t>
      </w:r>
      <w:r>
        <w:rPr>
          <w:rFonts w:eastAsia="Times New Roman"/>
          <w:i/>
          <w:iCs/>
          <w:color w:val="000000"/>
          <w:sz w:val="20"/>
          <w:szCs w:val="20"/>
        </w:rPr>
        <w:t>Note K — Goodwill and Other Intangible Assets</w:t>
      </w:r>
      <w:r>
        <w:rPr>
          <w:rFonts w:eastAsia="Times New Roman"/>
          <w:color w:val="000000"/>
          <w:sz w:val="20"/>
          <w:szCs w:val="20"/>
        </w:rPr>
        <w:t xml:space="preserve"> in these No</w:t>
      </w:r>
      <w:r>
        <w:rPr>
          <w:rFonts w:eastAsia="Times New Roman"/>
          <w:color w:val="000000"/>
          <w:sz w:val="20"/>
          <w:szCs w:val="20"/>
        </w:rPr>
        <w:t>tes for additional information regarding goodwill impairment.</w:t>
      </w:r>
    </w:p>
    <w:p w:rsidR="00000000" w:rsidRDefault="005D26B8">
      <w:pPr>
        <w:ind w:firstLine="450"/>
        <w:divId w:val="1820538114"/>
        <w:rPr>
          <w:rFonts w:eastAsia="Times New Roman"/>
        </w:rPr>
      </w:pPr>
      <w:r>
        <w:rPr>
          <w:rFonts w:eastAsia="Times New Roman"/>
          <w:i/>
          <w:iCs/>
          <w:color w:val="000000"/>
          <w:sz w:val="20"/>
          <w:szCs w:val="20"/>
        </w:rPr>
        <w:t xml:space="preserve">Other AS Disposal Group. </w:t>
      </w:r>
      <w:r>
        <w:rPr>
          <w:rFonts w:eastAsia="Times New Roman"/>
          <w:color w:val="000000"/>
          <w:sz w:val="20"/>
          <w:szCs w:val="20"/>
        </w:rPr>
        <w:t>During the quarter ended July 3, 2020, we determined the criteria to be classified as held for sale were met with respect to another business within our Aviation Systems</w:t>
      </w:r>
      <w:r>
        <w:rPr>
          <w:rFonts w:eastAsia="Times New Roman"/>
          <w:color w:val="000000"/>
          <w:sz w:val="20"/>
          <w:szCs w:val="20"/>
        </w:rPr>
        <w:t xml:space="preserve"> segment (“other AS disposal group”); consequently, the assets and liabilities of the other AS disposal group are classified as held for sale in our Condensed Consolidated Balance Sheet (Unaudited) as of October 2, 2020. Income before income taxes of the o</w:t>
      </w:r>
      <w:r>
        <w:rPr>
          <w:rFonts w:eastAsia="Times New Roman"/>
          <w:color w:val="000000"/>
          <w:sz w:val="20"/>
          <w:szCs w:val="20"/>
        </w:rPr>
        <w:t>ther AS disposal group was not material for the quarter or three quarters ended October 2, 2020 or the quarter or three quarters ended September 27, 2019.</w:t>
      </w:r>
    </w:p>
    <w:p w:rsidR="00000000" w:rsidRDefault="005D26B8">
      <w:pPr>
        <w:ind w:firstLine="450"/>
        <w:divId w:val="586771716"/>
        <w:rPr>
          <w:rFonts w:eastAsia="Times New Roman"/>
        </w:rPr>
      </w:pPr>
      <w:r>
        <w:rPr>
          <w:rFonts w:eastAsia="Times New Roman"/>
          <w:color w:val="000000"/>
          <w:sz w:val="20"/>
          <w:szCs w:val="20"/>
        </w:rPr>
        <w:t>Because the potential divestiture of the other AS disposal group would represent the disposal of a po</w:t>
      </w:r>
      <w:r>
        <w:rPr>
          <w:rFonts w:eastAsia="Times New Roman"/>
          <w:color w:val="000000"/>
          <w:sz w:val="20"/>
          <w:szCs w:val="20"/>
        </w:rPr>
        <w:t xml:space="preserve">rtion of a reporting unit within our Aviation Systems segment, we assigned $14 million of goodwill to the other AS disposal group on a relative fair value basis during the quarter ended July 3, 2020, when the held for sale criteria were met. In connection </w:t>
      </w:r>
      <w:r>
        <w:rPr>
          <w:rFonts w:eastAsia="Times New Roman"/>
          <w:color w:val="000000"/>
          <w:sz w:val="20"/>
          <w:szCs w:val="20"/>
        </w:rPr>
        <w:t>with the preparation of our financial statements for the quarter ended July 3, 2020, we recognized a $28 million loss to reduce the assets of the other AS disposal group to fair value, which included a non-cash goodwill impairment charge of $14 million (ba</w:t>
      </w:r>
      <w:r>
        <w:rPr>
          <w:rFonts w:eastAsia="Times New Roman"/>
          <w:color w:val="000000"/>
          <w:sz w:val="20"/>
          <w:szCs w:val="20"/>
        </w:rPr>
        <w:t>sed on the excess of the carrying value of the business over estimated net cash proceeds, after estimated purchase price adjustments) and a $14 million non-cash remeasurement loss to reduce the remaining assets to fair value. In connection with the prepara</w:t>
      </w:r>
      <w:r>
        <w:rPr>
          <w:rFonts w:eastAsia="Times New Roman"/>
          <w:color w:val="000000"/>
          <w:sz w:val="20"/>
          <w:szCs w:val="20"/>
        </w:rPr>
        <w:t xml:space="preserve">tion of our financial statements for the quarter ended October 2, 2020, we recognized an additional non-cash remeasurement loss of $10 million to reduce the assets of the other AS disposal group to fair value. These charges are included in the “Impairment </w:t>
      </w:r>
      <w:r>
        <w:rPr>
          <w:rFonts w:eastAsia="Times New Roman"/>
          <w:color w:val="000000"/>
          <w:sz w:val="20"/>
          <w:szCs w:val="20"/>
        </w:rPr>
        <w:t>of goodwill and other assets” and “Business divestiture-related (losses) gains” line items in our Condensed Consolidated Statement of Income (Unaudited) for the quarter and three quarters ended October 2, 2020. The carrying amounts of assets and liabilitie</w:t>
      </w:r>
      <w:r>
        <w:rPr>
          <w:rFonts w:eastAsia="Times New Roman"/>
          <w:color w:val="000000"/>
          <w:sz w:val="20"/>
          <w:szCs w:val="20"/>
        </w:rPr>
        <w:t xml:space="preserve">s of the other AS disposal group that were classified as held for sale in our Condensed Consolidated Balance Sheet (Unaudited) at October 2, 2020 were $34 million and $15 million, respectively. We expect to complete the sale of the other AS disposal group </w:t>
      </w:r>
      <w:r>
        <w:rPr>
          <w:rFonts w:eastAsia="Times New Roman"/>
          <w:color w:val="000000"/>
          <w:sz w:val="20"/>
          <w:szCs w:val="20"/>
        </w:rPr>
        <w:t xml:space="preserve">by the end of the first quarter of 2021. </w:t>
      </w:r>
    </w:p>
    <w:p w:rsidR="00000000" w:rsidRDefault="005D26B8">
      <w:pPr>
        <w:ind w:firstLine="450"/>
        <w:divId w:val="1727799638"/>
        <w:rPr>
          <w:rFonts w:eastAsia="Times New Roman"/>
        </w:rPr>
      </w:pPr>
      <w:r>
        <w:rPr>
          <w:rFonts w:eastAsia="Times New Roman"/>
          <w:i/>
          <w:iCs/>
          <w:color w:val="000000"/>
          <w:sz w:val="20"/>
          <w:szCs w:val="20"/>
        </w:rPr>
        <w:t xml:space="preserve">Harris Night Vision. </w:t>
      </w:r>
      <w:r>
        <w:rPr>
          <w:rFonts w:eastAsia="Times New Roman"/>
          <w:color w:val="000000"/>
          <w:sz w:val="20"/>
          <w:szCs w:val="20"/>
        </w:rPr>
        <w:t>On September 13, 2019, we completed the sale of the Harris Night Vision business, a global supplier of high-performance, vision-enhancing products for U.S. and allied military and security forc</w:t>
      </w:r>
      <w:r>
        <w:rPr>
          <w:rFonts w:eastAsia="Times New Roman"/>
          <w:color w:val="000000"/>
          <w:sz w:val="20"/>
          <w:szCs w:val="20"/>
        </w:rPr>
        <w:t xml:space="preserve">es and commercial customers, for $350 million (net cash proceeds of $343 million after selling costs and purchase price adjustments), subject to final customary purchase price adjustments pursuant to a definitive agreement we entered into on April 4, 2019 </w:t>
      </w:r>
      <w:r>
        <w:rPr>
          <w:rFonts w:eastAsia="Times New Roman"/>
          <w:color w:val="000000"/>
          <w:sz w:val="20"/>
          <w:szCs w:val="20"/>
        </w:rPr>
        <w:t xml:space="preserve">as part of the regulatory process in connection with the L3Harris Merger, and recognized a pre-tax gain of $229 million in the “Business divestiture-related (losses) gains” line item in our Condensed Consolidated Statement of Income (Unaudited) during the </w:t>
      </w:r>
      <w:r>
        <w:rPr>
          <w:rFonts w:eastAsia="Times New Roman"/>
          <w:color w:val="000000"/>
          <w:sz w:val="20"/>
          <w:szCs w:val="20"/>
        </w:rPr>
        <w:t xml:space="preserve">quarter ended September 27, 2019. During the quarter ended July 3, 2020, we finalized the purchase price adjustments and recognized a $12 million non-cash adjustment related to working capital, which decreased the gain initially recognized and is included </w:t>
      </w:r>
      <w:r>
        <w:rPr>
          <w:rFonts w:eastAsia="Times New Roman"/>
          <w:color w:val="000000"/>
          <w:sz w:val="20"/>
          <w:szCs w:val="20"/>
        </w:rPr>
        <w:t>in the “Business divestiture-related (losses) gains” line item in our Condensed Consolidated Statement of Income (Unaudited) for the three quarters ended October 2, 2020.</w:t>
      </w:r>
    </w:p>
    <w:p w:rsidR="00000000" w:rsidRDefault="005D26B8">
      <w:pPr>
        <w:ind w:firstLine="450"/>
        <w:divId w:val="1632786006"/>
        <w:rPr>
          <w:rFonts w:eastAsia="Times New Roman"/>
        </w:rPr>
      </w:pPr>
      <w:r>
        <w:rPr>
          <w:rFonts w:eastAsia="Times New Roman"/>
          <w:color w:val="000000"/>
          <w:sz w:val="20"/>
          <w:szCs w:val="20"/>
        </w:rPr>
        <w:t>Through fiscal 2019, the Harris Night Vision business was reported as part of our for</w:t>
      </w:r>
      <w:r>
        <w:rPr>
          <w:rFonts w:eastAsia="Times New Roman"/>
          <w:color w:val="000000"/>
          <w:sz w:val="20"/>
          <w:szCs w:val="20"/>
        </w:rPr>
        <w:t>mer Communication Systems segment. As a result of the then-pending divestiture, the Harris Night Vision business was not included in any of our new business segments and, consequently, the operating results of the business are included in “Other non-report</w:t>
      </w:r>
      <w:r>
        <w:rPr>
          <w:rFonts w:eastAsia="Times New Roman"/>
          <w:color w:val="000000"/>
          <w:sz w:val="20"/>
          <w:szCs w:val="20"/>
        </w:rPr>
        <w:t xml:space="preserve">able business segments” for the quarter and three quarters ended September 27, 2019 in this Report. See </w:t>
      </w:r>
      <w:r>
        <w:rPr>
          <w:rFonts w:eastAsia="Times New Roman"/>
          <w:i/>
          <w:iCs/>
          <w:color w:val="000000"/>
          <w:sz w:val="20"/>
          <w:szCs w:val="20"/>
        </w:rPr>
        <w:t>Note V — Business Segment Information</w:t>
      </w:r>
      <w:r>
        <w:rPr>
          <w:rFonts w:eastAsia="Times New Roman"/>
          <w:color w:val="000000"/>
          <w:sz w:val="20"/>
          <w:szCs w:val="20"/>
        </w:rPr>
        <w:t xml:space="preserve"> in these Notes for additional information.</w:t>
      </w:r>
    </w:p>
    <w:p w:rsidR="00000000" w:rsidRDefault="005D26B8">
      <w:pPr>
        <w:ind w:firstLine="450"/>
        <w:divId w:val="1184519797"/>
        <w:rPr>
          <w:rFonts w:eastAsia="Times New Roman"/>
        </w:rPr>
      </w:pPr>
      <w:r>
        <w:rPr>
          <w:rFonts w:eastAsia="Times New Roman"/>
          <w:color w:val="000000"/>
          <w:sz w:val="20"/>
          <w:szCs w:val="20"/>
        </w:rPr>
        <w:t>For purposes of allocating goodwill to the disposal groups above, we de</w:t>
      </w:r>
      <w:r>
        <w:rPr>
          <w:rFonts w:eastAsia="Times New Roman"/>
          <w:color w:val="000000"/>
          <w:sz w:val="20"/>
          <w:szCs w:val="20"/>
        </w:rPr>
        <w:t>termined the fair value of each disposal group based on the respective negotiated selling price (or estimated net cash proceeds, in the case of no negotiated selling price), and the fair value of the retained businesses of the respective reporting unit bas</w:t>
      </w:r>
      <w:r>
        <w:rPr>
          <w:rFonts w:eastAsia="Times New Roman"/>
          <w:color w:val="000000"/>
          <w:sz w:val="20"/>
          <w:szCs w:val="20"/>
        </w:rPr>
        <w:t>ed on a combination of market-based valuation techniques, utilizing quoted market prices and comparable publicly reported transactions, and projected discounted cash flows. These fair value determinations are categorized as Level 3 in the fair value hierar</w:t>
      </w:r>
      <w:r>
        <w:rPr>
          <w:rFonts w:eastAsia="Times New Roman"/>
          <w:color w:val="000000"/>
          <w:sz w:val="20"/>
          <w:szCs w:val="20"/>
        </w:rPr>
        <w:t xml:space="preserve">chy due to their use of internal projections and unobservable measurement inputs. See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Transition Period Form 10-KT for additional information regardin</w:t>
      </w:r>
      <w:r>
        <w:rPr>
          <w:rFonts w:eastAsia="Times New Roman"/>
          <w:color w:val="000000"/>
          <w:sz w:val="20"/>
          <w:szCs w:val="20"/>
        </w:rPr>
        <w:t xml:space="preserve">g the fair value hierarchy. </w:t>
      </w:r>
    </w:p>
    <w:p w:rsidR="00000000" w:rsidRDefault="005D26B8">
      <w:pPr>
        <w:ind w:firstLine="450"/>
        <w:divId w:val="1476413648"/>
        <w:rPr>
          <w:rFonts w:eastAsia="Times New Roman"/>
        </w:rPr>
      </w:pPr>
      <w:r>
        <w:rPr>
          <w:rFonts w:eastAsia="Times New Roman"/>
          <w:i/>
          <w:iCs/>
          <w:color w:val="000000"/>
          <w:sz w:val="20"/>
          <w:szCs w:val="20"/>
        </w:rPr>
        <w:t>Stormscope</w:t>
      </w:r>
      <w:r>
        <w:rPr>
          <w:rFonts w:eastAsia="Times New Roman"/>
          <w:color w:val="000000"/>
          <w:sz w:val="20"/>
          <w:szCs w:val="20"/>
        </w:rPr>
        <w:t xml:space="preserve">. On August 30, 2019, we completed the sale of the Stormscope product line for $20 million in cash and recorded a pre-tax gain of $12 million in the “Engineering, selling and administrative expenses” line item of our </w:t>
      </w:r>
      <w:r>
        <w:rPr>
          <w:rFonts w:eastAsia="Times New Roman"/>
          <w:color w:val="000000"/>
          <w:sz w:val="20"/>
          <w:szCs w:val="20"/>
        </w:rPr>
        <w:t>Condensed Consolidated Statement of Income (Unaudited) during the quarter ended September 27, 2019.</w:t>
      </w:r>
    </w:p>
    <w:p w:rsidR="00000000" w:rsidRDefault="005D26B8">
      <w:pPr>
        <w:jc w:val="center"/>
        <w:divId w:val="2083290504"/>
        <w:rPr>
          <w:rFonts w:eastAsia="Times New Roman"/>
        </w:rPr>
      </w:pPr>
      <w:r>
        <w:rPr>
          <w:rFonts w:eastAsia="Times New Roman"/>
          <w:color w:val="000000"/>
          <w:sz w:val="20"/>
          <w:szCs w:val="20"/>
        </w:rPr>
        <w:t>11</w:t>
      </w:r>
    </w:p>
    <w:p w:rsidR="00000000" w:rsidRDefault="005D26B8">
      <w:pPr>
        <w:rPr>
          <w:rFonts w:eastAsia="Times New Roman"/>
        </w:rPr>
      </w:pPr>
      <w:r>
        <w:rPr>
          <w:rFonts w:eastAsia="Times New Roman"/>
        </w:rPr>
        <w:pict>
          <v:rect id="_x0000_i1038" style="width:0;height:1.5pt" o:hralign="center" o:hrstd="t" o:hr="t" fillcolor="#a0a0a0" stroked="f"/>
        </w:pict>
      </w:r>
    </w:p>
    <w:p w:rsidR="00000000" w:rsidRDefault="005D26B8">
      <w:pPr>
        <w:divId w:val="1157112128"/>
        <w:rPr>
          <w:rFonts w:eastAsia="Times New Roman"/>
        </w:rPr>
      </w:pPr>
    </w:p>
    <w:p w:rsidR="00000000" w:rsidRDefault="005D26B8">
      <w:pPr>
        <w:divId w:val="1567493971"/>
        <w:rPr>
          <w:rFonts w:eastAsia="Times New Roman"/>
        </w:rPr>
      </w:pPr>
      <w:r>
        <w:rPr>
          <w:rFonts w:eastAsia="Times New Roman"/>
          <w:b/>
          <w:bCs/>
          <w:color w:val="000000"/>
          <w:sz w:val="20"/>
          <w:szCs w:val="20"/>
        </w:rPr>
        <w:t xml:space="preserve">Note D — Stock Options and Other Share-Based Compensation </w:t>
      </w:r>
    </w:p>
    <w:p w:rsidR="00000000" w:rsidRDefault="005D26B8">
      <w:pPr>
        <w:ind w:firstLine="450"/>
        <w:divId w:val="1921211318"/>
        <w:rPr>
          <w:rFonts w:eastAsia="Times New Roman"/>
        </w:rPr>
      </w:pPr>
      <w:r>
        <w:rPr>
          <w:rFonts w:eastAsia="Times New Roman"/>
          <w:color w:val="000000"/>
          <w:sz w:val="20"/>
          <w:szCs w:val="20"/>
        </w:rPr>
        <w:t>As of October 2, 2020, we had options or other share-ba</w:t>
      </w:r>
      <w:r>
        <w:rPr>
          <w:rFonts w:eastAsia="Times New Roman"/>
          <w:color w:val="000000"/>
          <w:sz w:val="20"/>
          <w:szCs w:val="20"/>
        </w:rPr>
        <w:t>sed compensation outstanding under two Harris shareholder-approved stock incentive plans, the Harris Corporation 2005 Equity Incentive Plan (As Amended and Restated Effective August 27, 2010) and the Harris Corporation 2015 Equity Incentive Plan (As Amende</w:t>
      </w:r>
      <w:r>
        <w:rPr>
          <w:rFonts w:eastAsia="Times New Roman"/>
          <w:color w:val="000000"/>
          <w:sz w:val="20"/>
          <w:szCs w:val="20"/>
        </w:rPr>
        <w:t xml:space="preserve">d and Restated Effective as of August 28, 2020), as well as under employee stock incentive plans of L3 assumed by L3Harris (collectively, “L3Harris SIPs”). </w:t>
      </w:r>
    </w:p>
    <w:p w:rsidR="00000000" w:rsidRDefault="005D26B8">
      <w:pPr>
        <w:ind w:firstLine="450"/>
        <w:divId w:val="2045397356"/>
        <w:rPr>
          <w:rFonts w:eastAsia="Times New Roman"/>
        </w:rPr>
      </w:pPr>
      <w:r>
        <w:rPr>
          <w:rFonts w:eastAsia="Times New Roman"/>
          <w:color w:val="000000"/>
          <w:sz w:val="20"/>
          <w:szCs w:val="20"/>
        </w:rPr>
        <w:t>The compensation cost related to our share-based awards that was charged against income was $31 mil</w:t>
      </w:r>
      <w:r>
        <w:rPr>
          <w:rFonts w:eastAsia="Times New Roman"/>
          <w:color w:val="000000"/>
          <w:sz w:val="20"/>
          <w:szCs w:val="20"/>
        </w:rPr>
        <w:t>lion and $71 million, respectively, for the quarter and three quarters ended October 2, 2020, and $95 million and $124 million, respectively, for the quarter and three quarters ended September 27, 2019, including acceleration expense recognized in connecti</w:t>
      </w:r>
      <w:r>
        <w:rPr>
          <w:rFonts w:eastAsia="Times New Roman"/>
          <w:color w:val="000000"/>
          <w:sz w:val="20"/>
          <w:szCs w:val="20"/>
        </w:rPr>
        <w:t>on with the L3Harris Merger. The aggregate number of shares of our common stock that we issued under the terms of L3Harris SIPs, net of shares withheld for tax purposes, was not material for the quarter ended October 2, 2020 and was 0.5 million for the thr</w:t>
      </w:r>
      <w:r>
        <w:rPr>
          <w:rFonts w:eastAsia="Times New Roman"/>
          <w:color w:val="000000"/>
          <w:sz w:val="20"/>
          <w:szCs w:val="20"/>
        </w:rPr>
        <w:t xml:space="preserve">ee quarters ended October 2, 2020, and 2.8 million and 3.4 million for the quarter and three quarters ended September 27, 2019, respectively, including shares issued as merger consideration to settle pre-merger L3 share-based awards. </w:t>
      </w:r>
    </w:p>
    <w:p w:rsidR="00000000" w:rsidRDefault="005D26B8">
      <w:pPr>
        <w:ind w:firstLine="450"/>
        <w:divId w:val="1451509135"/>
        <w:rPr>
          <w:rFonts w:eastAsia="Times New Roman"/>
        </w:rPr>
      </w:pPr>
      <w:r>
        <w:rPr>
          <w:rFonts w:eastAsia="Times New Roman"/>
          <w:color w:val="000000"/>
          <w:sz w:val="20"/>
          <w:szCs w:val="20"/>
        </w:rPr>
        <w:t>Awards granted to par</w:t>
      </w:r>
      <w:r>
        <w:rPr>
          <w:rFonts w:eastAsia="Times New Roman"/>
          <w:color w:val="000000"/>
          <w:sz w:val="20"/>
          <w:szCs w:val="20"/>
        </w:rPr>
        <w:t xml:space="preserve">ticipants under L3Harris SIPs during the quarter ended October 2, 2020 were not material. Awards granted to participants under L3Harris SIPs during the three quarters ended October 2, 2020 consisted of 0.3 million restricted stock units, 0.6 million stock </w:t>
      </w:r>
      <w:r>
        <w:rPr>
          <w:rFonts w:eastAsia="Times New Roman"/>
          <w:color w:val="000000"/>
          <w:sz w:val="20"/>
          <w:szCs w:val="20"/>
        </w:rPr>
        <w:t>options and 0.2 million performance stock units. The fair value as of the grant date of each stock option award was determined using the Black-Scholes-Merton option-pricing model and the following assumptions: expected dividend yield of 1.55 percent; expec</w:t>
      </w:r>
      <w:r>
        <w:rPr>
          <w:rFonts w:eastAsia="Times New Roman"/>
          <w:color w:val="000000"/>
          <w:sz w:val="20"/>
          <w:szCs w:val="20"/>
        </w:rPr>
        <w:t>ted volatility of 22.74 percent; risk-free interest rates averaging 0.89 percent; and expected term of 5.04 years. The fair value as of the grant date of each restricted stock unit award was based on the closing price of our common stock on the grant date.</w:t>
      </w:r>
      <w:r>
        <w:rPr>
          <w:rFonts w:eastAsia="Times New Roman"/>
          <w:color w:val="000000"/>
          <w:sz w:val="20"/>
          <w:szCs w:val="20"/>
        </w:rPr>
        <w:t xml:space="preserve"> The fair value as of the grant date of each performance stock unit award was determined based on the fair value from a multifactor Monte Carlo valuation model that simulates our stock price and total shareholder return (“TSR”) relative to companies in our</w:t>
      </w:r>
      <w:r>
        <w:rPr>
          <w:rFonts w:eastAsia="Times New Roman"/>
          <w:color w:val="000000"/>
          <w:sz w:val="20"/>
          <w:szCs w:val="20"/>
        </w:rPr>
        <w:t xml:space="preserve"> TSR peer group.</w:t>
      </w:r>
    </w:p>
    <w:p w:rsidR="00000000" w:rsidRDefault="005D26B8">
      <w:pPr>
        <w:jc w:val="both"/>
        <w:divId w:val="211577340"/>
        <w:rPr>
          <w:rFonts w:eastAsia="Times New Roman"/>
        </w:rPr>
      </w:pPr>
      <w:r>
        <w:rPr>
          <w:rFonts w:eastAsia="Times New Roman"/>
          <w:b/>
          <w:bCs/>
          <w:color w:val="000000"/>
          <w:sz w:val="20"/>
          <w:szCs w:val="20"/>
        </w:rPr>
        <w:t xml:space="preserve">Note E — Restructuring and Other Exit Costs </w:t>
      </w:r>
    </w:p>
    <w:p w:rsidR="00000000" w:rsidRDefault="005D26B8">
      <w:pPr>
        <w:ind w:firstLine="450"/>
        <w:divId w:val="545029272"/>
        <w:rPr>
          <w:rFonts w:eastAsia="Times New Roman"/>
        </w:rPr>
      </w:pPr>
      <w:r>
        <w:rPr>
          <w:rFonts w:eastAsia="Times New Roman"/>
          <w:color w:val="000000"/>
          <w:sz w:val="20"/>
          <w:szCs w:val="20"/>
        </w:rPr>
        <w:t>We record charges for restructuring and other exit activities related to sales or terminations of product lines, closures or relocations of business activities, changes in management structure a</w:t>
      </w:r>
      <w:r>
        <w:rPr>
          <w:rFonts w:eastAsia="Times New Roman"/>
          <w:color w:val="000000"/>
          <w:sz w:val="20"/>
          <w:szCs w:val="20"/>
        </w:rPr>
        <w:t>nd fundamental reorganizations that affect the nature and focus of operations. Such charges include termination benefits, contract termination costs and costs to consolidate facilities or relocate employees. We record these charges at their fair value when</w:t>
      </w:r>
      <w:r>
        <w:rPr>
          <w:rFonts w:eastAsia="Times New Roman"/>
          <w:color w:val="000000"/>
          <w:sz w:val="20"/>
          <w:szCs w:val="20"/>
        </w:rPr>
        <w:t xml:space="preserve"> incurred. In cases where employees are required to render service until they are terminated in order to receive the termination benefits and will be retained beyond the minimum retention period, we record the expense ratably over the future service period</w:t>
      </w:r>
      <w:r>
        <w:rPr>
          <w:rFonts w:eastAsia="Times New Roman"/>
          <w:color w:val="000000"/>
          <w:sz w:val="20"/>
          <w:szCs w:val="20"/>
        </w:rPr>
        <w:t>. These charges are included as a component of the “Engineering, selling and administrative expenses” line item in our Condensed Consolidated Statement of Income (Unaudited).</w:t>
      </w:r>
    </w:p>
    <w:p w:rsidR="00000000" w:rsidRDefault="005D26B8">
      <w:pPr>
        <w:ind w:firstLine="450"/>
        <w:divId w:val="265968721"/>
        <w:rPr>
          <w:rFonts w:eastAsia="Times New Roman"/>
        </w:rPr>
      </w:pPr>
      <w:r>
        <w:rPr>
          <w:rFonts w:eastAsia="Times New Roman"/>
          <w:i/>
          <w:iCs/>
          <w:color w:val="000000"/>
          <w:sz w:val="20"/>
          <w:szCs w:val="20"/>
        </w:rPr>
        <w:t xml:space="preserve">L3Harris Merger-Related Restructuring Costs. </w:t>
      </w:r>
      <w:r>
        <w:rPr>
          <w:rFonts w:eastAsia="Times New Roman"/>
          <w:color w:val="000000"/>
          <w:sz w:val="20"/>
          <w:szCs w:val="20"/>
        </w:rPr>
        <w:t>We recorded restructuring charges of</w:t>
      </w:r>
      <w:r>
        <w:rPr>
          <w:rFonts w:eastAsia="Times New Roman"/>
          <w:color w:val="000000"/>
          <w:sz w:val="20"/>
          <w:szCs w:val="20"/>
        </w:rPr>
        <w:t xml:space="preserve"> $7 million during the quarter ended July 3, 2020 and $111 million during the quarter ended September 27, 2019 in connection with the L3Harris Merger. At October 2, 2020, we had liabilities of $24 million associated with these L3Harris Merger-related restr</w:t>
      </w:r>
      <w:r>
        <w:rPr>
          <w:rFonts w:eastAsia="Times New Roman"/>
          <w:color w:val="000000"/>
          <w:sz w:val="20"/>
          <w:szCs w:val="20"/>
        </w:rPr>
        <w:t xml:space="preserve">ucturing actions, of which substantially all will be paid in the next twelve months. </w:t>
      </w:r>
    </w:p>
    <w:p w:rsidR="00000000" w:rsidRDefault="005D26B8">
      <w:pPr>
        <w:ind w:firstLine="450"/>
        <w:divId w:val="972295674"/>
        <w:rPr>
          <w:rFonts w:eastAsia="Times New Roman"/>
        </w:rPr>
      </w:pPr>
      <w:r>
        <w:rPr>
          <w:rFonts w:eastAsia="Times New Roman"/>
          <w:i/>
          <w:iCs/>
          <w:color w:val="000000"/>
          <w:sz w:val="20"/>
          <w:szCs w:val="20"/>
        </w:rPr>
        <w:t xml:space="preserve">COVID-19-Related Restructuring Costs. </w:t>
      </w:r>
      <w:r>
        <w:rPr>
          <w:rFonts w:eastAsia="Times New Roman"/>
          <w:color w:val="000000"/>
          <w:sz w:val="20"/>
          <w:szCs w:val="20"/>
        </w:rPr>
        <w:t xml:space="preserve">During the quarter and three quarters ended October 2, 2020, we recorded $2 million and $16 million, respectively, of restructuring </w:t>
      </w:r>
      <w:r>
        <w:rPr>
          <w:rFonts w:eastAsia="Times New Roman"/>
          <w:color w:val="000000"/>
          <w:sz w:val="20"/>
          <w:szCs w:val="20"/>
        </w:rPr>
        <w:t>charges, including workforce reductions and other exit costs within our Aviation Systems segment associated with the COVID-19-related downturn in our Commercial Aviation Solutions sector and its impact on global air traffic and customer operations. In addi</w:t>
      </w:r>
      <w:r>
        <w:rPr>
          <w:rFonts w:eastAsia="Times New Roman"/>
          <w:color w:val="000000"/>
          <w:sz w:val="20"/>
          <w:szCs w:val="20"/>
        </w:rPr>
        <w:t>tion, during the quarter ended July 3, 2020, we recorded $1 million of restructuring charges for workforce reductions in our Communication Systems segment associated with the COVID-19 impact to local and state government customers of our Public Safety sect</w:t>
      </w:r>
      <w:r>
        <w:rPr>
          <w:rFonts w:eastAsia="Times New Roman"/>
          <w:color w:val="000000"/>
          <w:sz w:val="20"/>
          <w:szCs w:val="20"/>
        </w:rPr>
        <w:t>or. At October 2, 2020, we had liabilities of $10 million associated with COVID-19-related restructuring actions, of which substantially all will be paid in the next twelve months.</w:t>
      </w:r>
    </w:p>
    <w:p w:rsidR="00000000" w:rsidRDefault="005D26B8">
      <w:pPr>
        <w:ind w:firstLine="450"/>
        <w:divId w:val="1292785010"/>
        <w:rPr>
          <w:rFonts w:eastAsia="Times New Roman"/>
        </w:rPr>
      </w:pPr>
      <w:r>
        <w:rPr>
          <w:rFonts w:eastAsia="Times New Roman"/>
          <w:i/>
          <w:iCs/>
          <w:color w:val="000000"/>
          <w:sz w:val="20"/>
          <w:szCs w:val="20"/>
        </w:rPr>
        <w:t xml:space="preserve">Other Restructuring and Exit Costs. </w:t>
      </w:r>
      <w:r>
        <w:rPr>
          <w:rFonts w:eastAsia="Times New Roman"/>
          <w:color w:val="000000"/>
          <w:sz w:val="20"/>
          <w:szCs w:val="20"/>
        </w:rPr>
        <w:t>Prior to the L3Harris Merger, we had li</w:t>
      </w:r>
      <w:r>
        <w:rPr>
          <w:rFonts w:eastAsia="Times New Roman"/>
          <w:color w:val="000000"/>
          <w:sz w:val="20"/>
          <w:szCs w:val="20"/>
        </w:rPr>
        <w:t>abilities for lease obligations associated with exited facilities with remaining terms of three years or less, of which $6 million remained outstanding at October 2, 2020.</w:t>
      </w:r>
    </w:p>
    <w:p w:rsidR="00000000" w:rsidRDefault="005D26B8">
      <w:pPr>
        <w:jc w:val="center"/>
        <w:divId w:val="674575043"/>
        <w:rPr>
          <w:rFonts w:eastAsia="Times New Roman"/>
        </w:rPr>
      </w:pPr>
      <w:r>
        <w:rPr>
          <w:rFonts w:eastAsia="Times New Roman"/>
          <w:color w:val="000000"/>
          <w:sz w:val="20"/>
          <w:szCs w:val="20"/>
        </w:rPr>
        <w:t>12</w:t>
      </w:r>
    </w:p>
    <w:p w:rsidR="00000000" w:rsidRDefault="005D26B8">
      <w:pPr>
        <w:rPr>
          <w:rFonts w:eastAsia="Times New Roman"/>
        </w:rPr>
      </w:pPr>
      <w:r>
        <w:rPr>
          <w:rFonts w:eastAsia="Times New Roman"/>
        </w:rPr>
        <w:pict>
          <v:rect id="_x0000_i1039" style="width:0;height:1.5pt" o:hralign="center" o:hrstd="t" o:hr="t" fillcolor="#a0a0a0" stroked="f"/>
        </w:pict>
      </w:r>
    </w:p>
    <w:p w:rsidR="00000000" w:rsidRDefault="005D26B8">
      <w:pPr>
        <w:divId w:val="734164065"/>
        <w:rPr>
          <w:rFonts w:eastAsia="Times New Roman"/>
        </w:rPr>
      </w:pPr>
    </w:p>
    <w:p w:rsidR="00000000" w:rsidRDefault="005D26B8">
      <w:pPr>
        <w:ind w:firstLine="450"/>
        <w:divId w:val="51076245"/>
        <w:rPr>
          <w:rFonts w:eastAsia="Times New Roman"/>
        </w:rPr>
      </w:pPr>
      <w:r>
        <w:rPr>
          <w:rFonts w:eastAsia="Times New Roman"/>
          <w:color w:val="000000"/>
          <w:sz w:val="20"/>
          <w:szCs w:val="20"/>
        </w:rPr>
        <w:t>Our liabilities for restructuring and other exit costs are included in the “Other accrued items” and “Other long-term liabilities” line items in our Condensed Consolidated Balance Sheet (Unaudited). Changes to our liabilities for restructuring and other ex</w:t>
      </w:r>
      <w:r>
        <w:rPr>
          <w:rFonts w:eastAsia="Times New Roman"/>
          <w:color w:val="000000"/>
          <w:sz w:val="20"/>
          <w:szCs w:val="20"/>
        </w:rPr>
        <w:t xml:space="preserve">it costs during the three quarters ended October 2, 2020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4212"/>
        <w:gridCol w:w="38"/>
        <w:gridCol w:w="121"/>
        <w:gridCol w:w="1089"/>
        <w:gridCol w:w="36"/>
        <w:gridCol w:w="36"/>
        <w:gridCol w:w="36"/>
        <w:gridCol w:w="36"/>
        <w:gridCol w:w="36"/>
        <w:gridCol w:w="36"/>
        <w:gridCol w:w="36"/>
        <w:gridCol w:w="36"/>
        <w:gridCol w:w="121"/>
        <w:gridCol w:w="1047"/>
        <w:gridCol w:w="36"/>
        <w:gridCol w:w="36"/>
        <w:gridCol w:w="36"/>
        <w:gridCol w:w="36"/>
        <w:gridCol w:w="120"/>
        <w:gridCol w:w="1051"/>
        <w:gridCol w:w="36"/>
      </w:tblGrid>
      <w:tr w:rsidR="00000000">
        <w:trPr>
          <w:divId w:val="902302258"/>
        </w:trPr>
        <w:tc>
          <w:tcPr>
            <w:tcW w:w="50" w:type="pct"/>
            <w:vAlign w:val="center"/>
            <w:hideMark/>
          </w:tcPr>
          <w:p w:rsidR="00000000" w:rsidRDefault="005D26B8">
            <w:pPr>
              <w:ind w:firstLine="450"/>
              <w:rPr>
                <w:rFonts w:eastAsia="Times New Roman"/>
              </w:rPr>
            </w:pPr>
          </w:p>
        </w:tc>
        <w:tc>
          <w:tcPr>
            <w:tcW w:w="261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9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9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9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902302258"/>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90230225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Employee severance-related costs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Facilities consolidation and other exit costs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w:t>
            </w:r>
          </w:p>
        </w:tc>
      </w:tr>
      <w:tr w:rsidR="00000000">
        <w:trPr>
          <w:divId w:val="902302258"/>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90230225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90230225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Additional provisions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90230225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90230225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90230225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changes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90230225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Balance at October 2,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927694308"/>
        <w:rPr>
          <w:rFonts w:eastAsia="Times New Roman"/>
        </w:rPr>
      </w:pPr>
      <w:r>
        <w:rPr>
          <w:rFonts w:eastAsia="Times New Roman"/>
          <w:b/>
          <w:bCs/>
          <w:color w:val="000000"/>
          <w:sz w:val="20"/>
          <w:szCs w:val="20"/>
        </w:rPr>
        <w:t>Note F — Accumulated Other Comprehensive Income (L</w:t>
      </w:r>
      <w:r>
        <w:rPr>
          <w:rFonts w:eastAsia="Times New Roman"/>
          <w:b/>
          <w:bCs/>
          <w:color w:val="000000"/>
          <w:sz w:val="20"/>
          <w:szCs w:val="20"/>
        </w:rPr>
        <w:t xml:space="preserve">oss) ("AOCI") </w:t>
      </w:r>
    </w:p>
    <w:p w:rsidR="00000000" w:rsidRDefault="005D26B8">
      <w:pPr>
        <w:ind w:firstLine="450"/>
        <w:divId w:val="848107749"/>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4254"/>
        <w:gridCol w:w="39"/>
        <w:gridCol w:w="121"/>
        <w:gridCol w:w="728"/>
        <w:gridCol w:w="36"/>
        <w:gridCol w:w="36"/>
        <w:gridCol w:w="36"/>
        <w:gridCol w:w="36"/>
        <w:gridCol w:w="121"/>
        <w:gridCol w:w="731"/>
        <w:gridCol w:w="36"/>
        <w:gridCol w:w="36"/>
        <w:gridCol w:w="36"/>
        <w:gridCol w:w="36"/>
        <w:gridCol w:w="121"/>
        <w:gridCol w:w="953"/>
        <w:gridCol w:w="36"/>
        <w:gridCol w:w="36"/>
        <w:gridCol w:w="36"/>
        <w:gridCol w:w="36"/>
        <w:gridCol w:w="120"/>
        <w:gridCol w:w="610"/>
        <w:gridCol w:w="36"/>
      </w:tblGrid>
      <w:tr w:rsidR="00000000">
        <w:trPr>
          <w:divId w:val="681474853"/>
        </w:trPr>
        <w:tc>
          <w:tcPr>
            <w:tcW w:w="50" w:type="pct"/>
            <w:vAlign w:val="center"/>
            <w:hideMark/>
          </w:tcPr>
          <w:p w:rsidR="00000000" w:rsidRDefault="005D26B8">
            <w:pPr>
              <w:ind w:firstLine="450"/>
              <w:rPr>
                <w:rFonts w:eastAsia="Times New Roman"/>
              </w:rPr>
            </w:pPr>
          </w:p>
        </w:tc>
        <w:tc>
          <w:tcPr>
            <w:tcW w:w="261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1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681474853"/>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 AOCI</w:t>
            </w:r>
          </w:p>
        </w:tc>
      </w:tr>
      <w:tr w:rsidR="00000000">
        <w:trPr>
          <w:divId w:val="681474853"/>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8147485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20" w:type="dxa"/>
              <w:bottom w:w="30" w:type="dxa"/>
              <w:right w:w="20" w:type="dxa"/>
            </w:tcMar>
            <w:vAlign w:val="bottom"/>
            <w:hideMark/>
          </w:tcPr>
          <w:p w:rsidR="00000000" w:rsidRDefault="005D26B8">
            <w:pPr>
              <w:ind w:hanging="270"/>
              <w:divId w:val="704600675"/>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loss, net of income taxes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Balance at October 2,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Height w:val="300"/>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8147485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Balance at December 28, 2018</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(730)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20" w:type="dxa"/>
              <w:bottom w:w="30" w:type="dxa"/>
              <w:right w:w="20" w:type="dxa"/>
            </w:tcMar>
            <w:vAlign w:val="bottom"/>
            <w:hideMark/>
          </w:tcPr>
          <w:p w:rsidR="00000000" w:rsidRDefault="005D26B8">
            <w:pPr>
              <w:ind w:hanging="270"/>
              <w:divId w:val="581381113"/>
              <w:rPr>
                <w:rFonts w:eastAsia="Times New Roman"/>
              </w:rPr>
            </w:pPr>
            <w:r>
              <w:rPr>
                <w:rFonts w:eastAsia="Times New Roman"/>
                <w:color w:val="000000"/>
                <w:sz w:val="20"/>
                <w:szCs w:val="20"/>
              </w:rPr>
              <w:t>Losses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Losses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comprehensive loss, net of income taxes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81474853"/>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Balance at September 27, 2019</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both"/>
        <w:divId w:val="1778597281"/>
        <w:rPr>
          <w:rFonts w:eastAsia="Times New Roman"/>
        </w:rPr>
      </w:pPr>
      <w:r>
        <w:rPr>
          <w:rFonts w:eastAsia="Times New Roman"/>
          <w:color w:val="000000"/>
          <w:sz w:val="16"/>
          <w:szCs w:val="16"/>
        </w:rPr>
        <w:t>_______________</w:t>
      </w:r>
    </w:p>
    <w:p w:rsidR="00000000" w:rsidRDefault="005D26B8">
      <w:pPr>
        <w:ind w:hanging="360"/>
        <w:divId w:val="1469977237"/>
        <w:rPr>
          <w:rFonts w:eastAsia="Times New Roman"/>
        </w:rPr>
      </w:pPr>
      <w:r>
        <w:rPr>
          <w:rFonts w:eastAsia="Times New Roman"/>
          <w:color w:val="000000"/>
          <w:sz w:val="16"/>
          <w:szCs w:val="16"/>
        </w:rPr>
        <w:t xml:space="preserve">(1)Losses (gains) reclassified to earnings are included in the “Revenue </w:t>
      </w:r>
      <w:r>
        <w:rPr>
          <w:rFonts w:eastAsia="Times New Roman"/>
          <w:color w:val="000000"/>
          <w:sz w:val="16"/>
          <w:szCs w:val="16"/>
        </w:rPr>
        <w:t>from product sales and services,” “Business divestiture-related (losses) gains,” “Interest expense” and “Non-operating income</w:t>
      </w:r>
      <w:r>
        <w:rPr>
          <w:rFonts w:eastAsia="Times New Roman"/>
          <w:color w:val="000000"/>
          <w:sz w:val="20"/>
          <w:szCs w:val="20"/>
        </w:rPr>
        <w:t>”</w:t>
      </w:r>
      <w:r>
        <w:rPr>
          <w:rFonts w:eastAsia="Times New Roman"/>
          <w:color w:val="000000"/>
          <w:sz w:val="16"/>
          <w:szCs w:val="16"/>
        </w:rPr>
        <w:t xml:space="preserve"> line items in our Condensed Consolidated Statement of Income (Unaudited).</w:t>
      </w:r>
    </w:p>
    <w:p w:rsidR="00000000" w:rsidRDefault="005D26B8">
      <w:pPr>
        <w:jc w:val="both"/>
        <w:divId w:val="2007130835"/>
        <w:rPr>
          <w:rFonts w:eastAsia="Times New Roman"/>
        </w:rPr>
      </w:pPr>
      <w:r>
        <w:rPr>
          <w:rFonts w:eastAsia="Times New Roman"/>
          <w:b/>
          <w:bCs/>
          <w:color w:val="000000"/>
          <w:sz w:val="20"/>
          <w:szCs w:val="20"/>
        </w:rPr>
        <w:t xml:space="preserve">Note G — Receivables </w:t>
      </w:r>
    </w:p>
    <w:p w:rsidR="00000000" w:rsidRDefault="005D26B8">
      <w:pPr>
        <w:ind w:firstLine="450"/>
        <w:jc w:val="both"/>
        <w:divId w:val="1781485529"/>
        <w:rPr>
          <w:rFonts w:eastAsia="Times New Roman"/>
        </w:rPr>
      </w:pPr>
      <w:r>
        <w:rPr>
          <w:rFonts w:eastAsia="Times New Roman"/>
          <w:color w:val="000000"/>
          <w:sz w:val="20"/>
          <w:szCs w:val="20"/>
        </w:rPr>
        <w:t>Receivables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trPr>
          <w:divId w:val="1915045058"/>
        </w:trPr>
        <w:tc>
          <w:tcPr>
            <w:tcW w:w="50" w:type="pct"/>
            <w:vAlign w:val="center"/>
            <w:hideMark/>
          </w:tcPr>
          <w:p w:rsidR="00000000" w:rsidRDefault="005D26B8">
            <w:pPr>
              <w:ind w:firstLine="450"/>
              <w:jc w:val="both"/>
              <w:rPr>
                <w:rFonts w:eastAsia="Times New Roman"/>
              </w:rPr>
            </w:pPr>
          </w:p>
        </w:tc>
        <w:tc>
          <w:tcPr>
            <w:tcW w:w="344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91504505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1915045058"/>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1504505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1,154 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1,228 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15045058"/>
        </w:trPr>
        <w:tc>
          <w:tcPr>
            <w:tcW w:w="0" w:type="auto"/>
            <w:gridSpan w:val="3"/>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Less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w:t>
            </w:r>
          </w:p>
        </w:tc>
        <w:tc>
          <w:tcPr>
            <w:tcW w:w="0" w:type="auto"/>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15045058"/>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1663854406"/>
        <w:rPr>
          <w:rFonts w:eastAsia="Times New Roman"/>
        </w:rPr>
      </w:pPr>
      <w:r>
        <w:rPr>
          <w:rFonts w:eastAsia="Times New Roman"/>
          <w:color w:val="000000"/>
          <w:sz w:val="20"/>
          <w:szCs w:val="20"/>
        </w:rPr>
        <w:t>13</w:t>
      </w:r>
    </w:p>
    <w:p w:rsidR="00000000" w:rsidRDefault="005D26B8">
      <w:pPr>
        <w:rPr>
          <w:rFonts w:eastAsia="Times New Roman"/>
        </w:rPr>
      </w:pPr>
      <w:r>
        <w:rPr>
          <w:rFonts w:eastAsia="Times New Roman"/>
        </w:rPr>
        <w:pict>
          <v:rect id="_x0000_i1040" style="width:0;height:1.5pt" o:hralign="center" o:hrstd="t" o:hr="t" fillcolor="#a0a0a0" stroked="f"/>
        </w:pict>
      </w:r>
    </w:p>
    <w:p w:rsidR="00000000" w:rsidRDefault="005D26B8">
      <w:pPr>
        <w:divId w:val="435754206"/>
        <w:rPr>
          <w:rFonts w:eastAsia="Times New Roman"/>
        </w:rPr>
      </w:pPr>
    </w:p>
    <w:p w:rsidR="00000000" w:rsidRDefault="005D26B8">
      <w:pPr>
        <w:ind w:firstLine="450"/>
        <w:divId w:val="820847422"/>
        <w:rPr>
          <w:rFonts w:eastAsia="Times New Roman"/>
        </w:rPr>
      </w:pPr>
      <w:r>
        <w:rPr>
          <w:rFonts w:eastAsia="Times New Roman"/>
          <w:color w:val="000000"/>
          <w:sz w:val="20"/>
          <w:szCs w:val="20"/>
        </w:rPr>
        <w:t>We have a receivables sale agreement (“RSA”</w:t>
      </w:r>
      <w:r>
        <w:rPr>
          <w:rFonts w:eastAsia="Times New Roman"/>
          <w:color w:val="000000"/>
          <w:sz w:val="20"/>
          <w:szCs w:val="20"/>
        </w:rPr>
        <w:t>) with a third-party financial institution that permits us to sell, on a non-recourse basis, up to $100 million of outstanding receivables at any given time. From time to time, we have sold certain customer receivables under the RSA, which we continue to s</w:t>
      </w:r>
      <w:r>
        <w:rPr>
          <w:rFonts w:eastAsia="Times New Roman"/>
          <w:color w:val="000000"/>
          <w:sz w:val="20"/>
          <w:szCs w:val="20"/>
        </w:rPr>
        <w:t xml:space="preserve">ervice and collect on behalf of the third-party financial institution and which we account for as sales of receivables with sale proceeds included in net cash from operating activities. We had no outstanding accounts receivable sold pursuant to the RSA at </w:t>
      </w:r>
      <w:r>
        <w:rPr>
          <w:rFonts w:eastAsia="Times New Roman"/>
          <w:color w:val="000000"/>
          <w:sz w:val="20"/>
          <w:szCs w:val="20"/>
        </w:rPr>
        <w:t>October 2, 2020 or January 3, 2020.     </w:t>
      </w:r>
    </w:p>
    <w:p w:rsidR="00000000" w:rsidRDefault="005D26B8">
      <w:pPr>
        <w:jc w:val="both"/>
        <w:divId w:val="234779307"/>
        <w:rPr>
          <w:rFonts w:eastAsia="Times New Roman"/>
        </w:rPr>
      </w:pPr>
      <w:r>
        <w:rPr>
          <w:rFonts w:eastAsia="Times New Roman"/>
          <w:b/>
          <w:bCs/>
          <w:color w:val="000000"/>
          <w:sz w:val="20"/>
          <w:szCs w:val="20"/>
        </w:rPr>
        <w:t xml:space="preserve">Note H — Contract Assets and Contract Liabilities </w:t>
      </w:r>
    </w:p>
    <w:p w:rsidR="00000000" w:rsidRDefault="005D26B8">
      <w:pPr>
        <w:ind w:firstLine="450"/>
        <w:divId w:val="1175799732"/>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percentage of completion (“POC”) cost-to-cost revenue recognition method. We bill customers as work progr</w:t>
      </w:r>
      <w:r>
        <w:rPr>
          <w:rFonts w:eastAsia="Times New Roman"/>
          <w:color w:val="000000"/>
          <w:sz w:val="20"/>
          <w:szCs w:val="20"/>
        </w:rPr>
        <w:t>esses in accordance with agreed-upon contractual terms, either at periodic intervals, upon achievement of contractual milestones or upon deliveries and, in certain arrangements, the customer may withhold payment of a small portion of the contract price unt</w:t>
      </w:r>
      <w:r>
        <w:rPr>
          <w:rFonts w:eastAsia="Times New Roman"/>
          <w:color w:val="000000"/>
          <w:sz w:val="20"/>
          <w:szCs w:val="20"/>
        </w:rPr>
        <w:t>il contract completion. Contract liabilities include advance payments and billings in excess of revenue recognized, including deferred revenue associated with extended product warranties. Contract assets and liabilities are reported on a contract-by-contra</w:t>
      </w:r>
      <w:r>
        <w:rPr>
          <w:rFonts w:eastAsia="Times New Roman"/>
          <w:color w:val="000000"/>
          <w:sz w:val="20"/>
          <w:szCs w:val="20"/>
        </w:rPr>
        <w:t xml:space="preserve">ct basis at the end of each reporting period. </w:t>
      </w:r>
    </w:p>
    <w:p w:rsidR="00000000" w:rsidRDefault="005D26B8">
      <w:pPr>
        <w:ind w:firstLine="450"/>
        <w:divId w:val="1908027505"/>
        <w:rPr>
          <w:rFonts w:eastAsia="Times New Roman"/>
        </w:rPr>
      </w:pPr>
      <w:r>
        <w:rPr>
          <w:rFonts w:eastAsia="Times New Roman"/>
          <w:color w:val="000000"/>
          <w:sz w:val="20"/>
          <w:szCs w:val="20"/>
        </w:rPr>
        <w:t>Contract assets and liabilities in the three quarters ended October 2, 2020 were impacted primarily by divestitures, reclassifications to assets and liabilities of disposal group held for sale, accelerated pro</w:t>
      </w:r>
      <w:r>
        <w:rPr>
          <w:rFonts w:eastAsia="Times New Roman"/>
          <w:color w:val="000000"/>
          <w:sz w:val="20"/>
          <w:szCs w:val="20"/>
        </w:rPr>
        <w:t xml:space="preserve">gress payments due to the U.S. Government's increase in the progress payment rate from 80 percent to 90 percent and the timing of contractual billing milestones. See </w:t>
      </w:r>
      <w:r>
        <w:rPr>
          <w:rFonts w:eastAsia="Times New Roman"/>
          <w:i/>
          <w:iCs/>
          <w:color w:val="000000"/>
          <w:sz w:val="20"/>
          <w:szCs w:val="20"/>
        </w:rPr>
        <w:t>Note C — Business Divestitures and Assets Sales</w:t>
      </w:r>
      <w:r>
        <w:rPr>
          <w:rFonts w:eastAsia="Times New Roman"/>
          <w:color w:val="000000"/>
          <w:sz w:val="20"/>
          <w:szCs w:val="20"/>
        </w:rPr>
        <w:t xml:space="preserve"> in these Notes for additional information </w:t>
      </w:r>
      <w:r>
        <w:rPr>
          <w:rFonts w:eastAsia="Times New Roman"/>
          <w:color w:val="000000"/>
          <w:sz w:val="20"/>
          <w:szCs w:val="20"/>
        </w:rPr>
        <w:t xml:space="preserve">regarding assets and liabilities held for sale. </w:t>
      </w:r>
    </w:p>
    <w:p w:rsidR="00000000" w:rsidRDefault="005D26B8">
      <w:pPr>
        <w:ind w:firstLine="450"/>
        <w:jc w:val="both"/>
        <w:divId w:val="2059550737"/>
        <w:rPr>
          <w:rFonts w:eastAsia="Times New Roman"/>
        </w:rPr>
      </w:pPr>
      <w:r>
        <w:rPr>
          <w:rFonts w:eastAsia="Times New Roman"/>
          <w:color w:val="000000"/>
          <w:sz w:val="20"/>
          <w:szCs w:val="20"/>
        </w:rPr>
        <w:t>Contract assets and contract liabilities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1"/>
        <w:gridCol w:w="36"/>
        <w:gridCol w:w="36"/>
        <w:gridCol w:w="36"/>
        <w:gridCol w:w="36"/>
        <w:gridCol w:w="120"/>
        <w:gridCol w:w="1046"/>
        <w:gridCol w:w="36"/>
      </w:tblGrid>
      <w:tr w:rsidR="00000000">
        <w:trPr>
          <w:divId w:val="1739328415"/>
        </w:trPr>
        <w:tc>
          <w:tcPr>
            <w:tcW w:w="50" w:type="pct"/>
            <w:vAlign w:val="center"/>
            <w:hideMark/>
          </w:tcPr>
          <w:p w:rsidR="00000000" w:rsidRDefault="005D26B8">
            <w:pPr>
              <w:ind w:firstLine="450"/>
              <w:jc w:val="both"/>
              <w:rPr>
                <w:rFonts w:eastAsia="Times New Roman"/>
              </w:rPr>
            </w:pPr>
          </w:p>
        </w:tc>
        <w:tc>
          <w:tcPr>
            <w:tcW w:w="34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739328415"/>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1739328415"/>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39328415"/>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2,416 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2,459 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39328415"/>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(1,089)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39328415"/>
        </w:trPr>
        <w:tc>
          <w:tcPr>
            <w:tcW w:w="0" w:type="auto"/>
            <w:gridSpan w:val="3"/>
            <w:shd w:val="clear" w:color="auto" w:fill="CCEEFF"/>
            <w:tcMar>
              <w:top w:w="30" w:type="dxa"/>
              <w:left w:w="20" w:type="dxa"/>
              <w:bottom w:w="30" w:type="dxa"/>
              <w:right w:w="20" w:type="dxa"/>
            </w:tcMar>
            <w:hideMark/>
          </w:tcPr>
          <w:p w:rsidR="00000000" w:rsidRDefault="005D26B8">
            <w:pPr>
              <w:divId w:val="1726642101"/>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39328415"/>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both"/>
        <w:rPr>
          <w:rFonts w:eastAsia="Times New Roman"/>
        </w:rPr>
      </w:pPr>
      <w:r>
        <w:rPr>
          <w:rFonts w:eastAsia="Times New Roman"/>
          <w:color w:val="000000"/>
          <w:sz w:val="16"/>
          <w:szCs w:val="16"/>
        </w:rPr>
        <w:t>_______________</w:t>
      </w:r>
    </w:p>
    <w:p w:rsidR="00000000" w:rsidRDefault="005D26B8">
      <w:pPr>
        <w:ind w:hanging="360"/>
        <w:jc w:val="both"/>
        <w:rPr>
          <w:rFonts w:eastAsia="Times New Roman"/>
        </w:rPr>
      </w:pPr>
      <w:r>
        <w:rPr>
          <w:rFonts w:eastAsia="Times New Roman"/>
          <w:color w:val="000000"/>
          <w:sz w:val="16"/>
          <w:szCs w:val="16"/>
        </w:rPr>
        <w:t>(1)</w:t>
      </w:r>
      <w:r>
        <w:rPr>
          <w:rFonts w:eastAsia="Times New Roman"/>
          <w:color w:val="000000"/>
          <w:sz w:val="16"/>
          <w:szCs w:val="16"/>
        </w:rPr>
        <w:t>The non-current portion of contract liabilities is included as a component of the “Other long-term liabilities” line item in our Condensed Consolidated Balance Sheet (Unaudited).</w:t>
      </w:r>
    </w:p>
    <w:p w:rsidR="00000000" w:rsidRDefault="005D26B8">
      <w:pPr>
        <w:ind w:firstLine="450"/>
        <w:jc w:val="both"/>
        <w:divId w:val="1453477421"/>
        <w:rPr>
          <w:rFonts w:eastAsia="Times New Roman"/>
        </w:rPr>
      </w:pPr>
      <w:r>
        <w:rPr>
          <w:rFonts w:eastAsia="Times New Roman"/>
          <w:color w:val="000000"/>
          <w:sz w:val="20"/>
          <w:szCs w:val="20"/>
        </w:rPr>
        <w:t>The components of contract assets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8"/>
        <w:gridCol w:w="36"/>
        <w:gridCol w:w="120"/>
        <w:gridCol w:w="1081"/>
        <w:gridCol w:w="36"/>
        <w:gridCol w:w="36"/>
        <w:gridCol w:w="36"/>
        <w:gridCol w:w="36"/>
        <w:gridCol w:w="120"/>
        <w:gridCol w:w="1046"/>
        <w:gridCol w:w="36"/>
      </w:tblGrid>
      <w:tr w:rsidR="00000000">
        <w:trPr>
          <w:divId w:val="609120861"/>
        </w:trPr>
        <w:tc>
          <w:tcPr>
            <w:tcW w:w="50" w:type="pct"/>
            <w:vAlign w:val="center"/>
            <w:hideMark/>
          </w:tcPr>
          <w:p w:rsidR="00000000" w:rsidRDefault="005D26B8">
            <w:pPr>
              <w:ind w:firstLine="450"/>
              <w:jc w:val="both"/>
              <w:rPr>
                <w:rFonts w:eastAsia="Times New Roman"/>
              </w:rPr>
            </w:pPr>
          </w:p>
        </w:tc>
        <w:tc>
          <w:tcPr>
            <w:tcW w:w="34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609120861"/>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609120861"/>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09120861"/>
        </w:trPr>
        <w:tc>
          <w:tcPr>
            <w:tcW w:w="0" w:type="auto"/>
            <w:gridSpan w:val="3"/>
            <w:shd w:val="clear" w:color="auto" w:fill="CCEEFF"/>
            <w:tcMar>
              <w:top w:w="30" w:type="dxa"/>
              <w:left w:w="135" w:type="dxa"/>
              <w:bottom w:w="30" w:type="dxa"/>
              <w:right w:w="20" w:type="dxa"/>
            </w:tcMar>
            <w:hideMark/>
          </w:tcPr>
          <w:p w:rsidR="00000000" w:rsidRDefault="005D26B8">
            <w:pPr>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4,166 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09120861"/>
        </w:trPr>
        <w:tc>
          <w:tcPr>
            <w:tcW w:w="0" w:type="auto"/>
            <w:gridSpan w:val="3"/>
            <w:shd w:val="clear" w:color="auto" w:fill="FFFFFF"/>
            <w:tcMar>
              <w:top w:w="30" w:type="dxa"/>
              <w:left w:w="135" w:type="dxa"/>
              <w:bottom w:w="30" w:type="dxa"/>
              <w:right w:w="20" w:type="dxa"/>
            </w:tcMar>
            <w:hideMark/>
          </w:tcPr>
          <w:p w:rsidR="00000000" w:rsidRDefault="005D26B8">
            <w:pPr>
              <w:rPr>
                <w:rFonts w:eastAsia="Times New Roman"/>
              </w:rPr>
            </w:pPr>
            <w:r>
              <w:rPr>
                <w:rFonts w:eastAsia="Times New Roman"/>
                <w:color w:val="000000"/>
                <w:sz w:val="20"/>
                <w:szCs w:val="20"/>
              </w:rPr>
              <w:t>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(1,750)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609120861"/>
        </w:trPr>
        <w:tc>
          <w:tcPr>
            <w:tcW w:w="0" w:type="auto"/>
            <w:gridSpan w:val="3"/>
            <w:shd w:val="clear" w:color="auto" w:fill="CCEEFF"/>
            <w:tcMar>
              <w:top w:w="30" w:type="dxa"/>
              <w:left w:w="15" w:type="dxa"/>
              <w:bottom w:w="30" w:type="dxa"/>
              <w:right w:w="20" w:type="dxa"/>
            </w:tcMar>
            <w:hideMark/>
          </w:tcPr>
          <w:p w:rsidR="00000000" w:rsidRDefault="005D26B8">
            <w:pPr>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1963149188"/>
        <w:rPr>
          <w:rFonts w:eastAsia="Times New Roman"/>
        </w:rPr>
      </w:pPr>
      <w:r>
        <w:rPr>
          <w:rFonts w:eastAsia="Times New Roman"/>
          <w:color w:val="000000"/>
          <w:sz w:val="20"/>
          <w:szCs w:val="20"/>
        </w:rPr>
        <w:t>Impairment losses related to our contract assets were not material for the quarter or three quarters ended October 2, 2020 or the quarter or three quarters ended September 27, 2019. For the quarter and three quarters ended October 2, 2020, we recognized as</w:t>
      </w:r>
      <w:r>
        <w:rPr>
          <w:rFonts w:eastAsia="Times New Roman"/>
          <w:color w:val="000000"/>
          <w:sz w:val="20"/>
          <w:szCs w:val="20"/>
        </w:rPr>
        <w:t xml:space="preserve"> revenue $0.1 billion and $0.8 billion, respectively, of contract liabilities that were outstanding at January 3, 2020. For the quarter ended September 27, 2019, we recognized as revenue $0.6 billion of contract liabilities that were outstanding at June 29</w:t>
      </w:r>
      <w:r>
        <w:rPr>
          <w:rFonts w:eastAsia="Times New Roman"/>
          <w:color w:val="000000"/>
          <w:sz w:val="20"/>
          <w:szCs w:val="20"/>
        </w:rPr>
        <w:t>, 2019. Because of the L3Harris Merger and our change in fiscal year-end from June to December, revenue recognized in the three quarters ended September 27, 2019 from contract liabilities that were outstanding at the end of the prior year is not comparable</w:t>
      </w:r>
      <w:r>
        <w:rPr>
          <w:rFonts w:eastAsia="Times New Roman"/>
          <w:color w:val="000000"/>
          <w:sz w:val="20"/>
          <w:szCs w:val="20"/>
        </w:rPr>
        <w:t>.</w:t>
      </w:r>
    </w:p>
    <w:p w:rsidR="00000000" w:rsidRDefault="005D26B8">
      <w:pPr>
        <w:jc w:val="both"/>
        <w:divId w:val="631328778"/>
        <w:rPr>
          <w:rFonts w:eastAsia="Times New Roman"/>
        </w:rPr>
      </w:pPr>
      <w:r>
        <w:rPr>
          <w:rFonts w:eastAsia="Times New Roman"/>
          <w:b/>
          <w:bCs/>
          <w:color w:val="000000"/>
          <w:sz w:val="20"/>
          <w:szCs w:val="20"/>
        </w:rPr>
        <w:t xml:space="preserve">Note I — Inventories </w:t>
      </w:r>
    </w:p>
    <w:p w:rsidR="00000000" w:rsidRDefault="005D26B8">
      <w:pPr>
        <w:ind w:firstLine="450"/>
        <w:divId w:val="1069772360"/>
        <w:rPr>
          <w:rFonts w:eastAsia="Times New Roman"/>
        </w:rPr>
      </w:pPr>
      <w:r>
        <w:rPr>
          <w:rFonts w:eastAsia="Times New Roman"/>
          <w:color w:val="000000"/>
          <w:sz w:val="20"/>
          <w:szCs w:val="20"/>
        </w:rPr>
        <w:t>Inventories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1"/>
        <w:gridCol w:w="1080"/>
        <w:gridCol w:w="36"/>
        <w:gridCol w:w="36"/>
        <w:gridCol w:w="36"/>
        <w:gridCol w:w="36"/>
        <w:gridCol w:w="120"/>
        <w:gridCol w:w="1046"/>
        <w:gridCol w:w="36"/>
      </w:tblGrid>
      <w:tr w:rsidR="00000000">
        <w:trPr>
          <w:divId w:val="713234222"/>
        </w:trPr>
        <w:tc>
          <w:tcPr>
            <w:tcW w:w="50" w:type="pct"/>
            <w:vAlign w:val="center"/>
            <w:hideMark/>
          </w:tcPr>
          <w:p w:rsidR="00000000" w:rsidRDefault="005D26B8">
            <w:pPr>
              <w:ind w:firstLine="450"/>
              <w:rPr>
                <w:rFonts w:eastAsia="Times New Roman"/>
              </w:rPr>
            </w:pPr>
          </w:p>
        </w:tc>
        <w:tc>
          <w:tcPr>
            <w:tcW w:w="34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713234222"/>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713234222"/>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713234222"/>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713234222"/>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713234222"/>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713234222"/>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1172719863"/>
        <w:rPr>
          <w:rFonts w:eastAsia="Times New Roman"/>
        </w:rPr>
      </w:pPr>
      <w:r>
        <w:rPr>
          <w:rFonts w:eastAsia="Times New Roman"/>
          <w:color w:val="000000"/>
          <w:sz w:val="20"/>
          <w:szCs w:val="20"/>
        </w:rPr>
        <w:t>14</w:t>
      </w:r>
    </w:p>
    <w:p w:rsidR="00000000" w:rsidRDefault="005D26B8">
      <w:pPr>
        <w:rPr>
          <w:rFonts w:eastAsia="Times New Roman"/>
        </w:rPr>
      </w:pPr>
      <w:r>
        <w:rPr>
          <w:rFonts w:eastAsia="Times New Roman"/>
        </w:rPr>
        <w:pict>
          <v:rect id="_x0000_i1041" style="width:0;height:1.5pt" o:hralign="center" o:hrstd="t" o:hr="t" fillcolor="#a0a0a0" stroked="f"/>
        </w:pict>
      </w:r>
    </w:p>
    <w:p w:rsidR="00000000" w:rsidRDefault="005D26B8">
      <w:pPr>
        <w:divId w:val="481890644"/>
        <w:rPr>
          <w:rFonts w:eastAsia="Times New Roman"/>
        </w:rPr>
      </w:pPr>
    </w:p>
    <w:p w:rsidR="00000000" w:rsidRDefault="005D26B8">
      <w:pPr>
        <w:jc w:val="both"/>
        <w:divId w:val="930966953"/>
        <w:rPr>
          <w:rFonts w:eastAsia="Times New Roman"/>
        </w:rPr>
      </w:pPr>
      <w:r>
        <w:rPr>
          <w:rFonts w:eastAsia="Times New Roman"/>
          <w:b/>
          <w:bCs/>
          <w:color w:val="000000"/>
          <w:sz w:val="20"/>
          <w:szCs w:val="20"/>
        </w:rPr>
        <w:t xml:space="preserve">Note J — Property, Plant and Equipment </w:t>
      </w:r>
    </w:p>
    <w:p w:rsidR="00000000" w:rsidRDefault="005D26B8">
      <w:pPr>
        <w:ind w:firstLine="450"/>
        <w:jc w:val="both"/>
        <w:divId w:val="612907628"/>
        <w:rPr>
          <w:rFonts w:eastAsia="Times New Roman"/>
        </w:rPr>
      </w:pPr>
      <w:r>
        <w:rPr>
          <w:rFonts w:eastAsia="Times New Roman"/>
          <w:color w:val="000000"/>
          <w:sz w:val="20"/>
          <w:szCs w:val="20"/>
        </w:rPr>
        <w:t>Property, plant and equipment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7"/>
        <w:gridCol w:w="37"/>
        <w:gridCol w:w="120"/>
        <w:gridCol w:w="1081"/>
        <w:gridCol w:w="36"/>
        <w:gridCol w:w="36"/>
        <w:gridCol w:w="36"/>
        <w:gridCol w:w="36"/>
        <w:gridCol w:w="120"/>
        <w:gridCol w:w="1046"/>
        <w:gridCol w:w="36"/>
      </w:tblGrid>
      <w:tr w:rsidR="00000000">
        <w:trPr>
          <w:divId w:val="470439999"/>
        </w:trPr>
        <w:tc>
          <w:tcPr>
            <w:tcW w:w="50" w:type="pct"/>
            <w:vAlign w:val="center"/>
            <w:hideMark/>
          </w:tcPr>
          <w:p w:rsidR="00000000" w:rsidRDefault="005D26B8">
            <w:pPr>
              <w:ind w:firstLine="450"/>
              <w:jc w:val="both"/>
              <w:rPr>
                <w:rFonts w:eastAsia="Times New Roman"/>
              </w:rPr>
            </w:pPr>
          </w:p>
        </w:tc>
        <w:tc>
          <w:tcPr>
            <w:tcW w:w="34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47043999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470439999"/>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70439999"/>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0439999"/>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0439999"/>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1,065 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0439999"/>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2,219 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0439999"/>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0439999"/>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(1,689)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(1,527)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70439999"/>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property, plant and equipment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419527535"/>
        <w:rPr>
          <w:rFonts w:eastAsia="Times New Roman"/>
        </w:rPr>
      </w:pPr>
      <w:r>
        <w:rPr>
          <w:rFonts w:eastAsia="Times New Roman"/>
          <w:color w:val="000000"/>
          <w:sz w:val="20"/>
          <w:szCs w:val="20"/>
        </w:rPr>
        <w:t>Depreciation and amortization expense related to property, plant and equipment was $83 million and $237 million for the quarter and three quarters ended October 2, 2020, respectively, and $79 million and $149 million for the quarter and three quarters ende</w:t>
      </w:r>
      <w:r>
        <w:rPr>
          <w:rFonts w:eastAsia="Times New Roman"/>
          <w:color w:val="000000"/>
          <w:sz w:val="20"/>
          <w:szCs w:val="20"/>
        </w:rPr>
        <w:t xml:space="preserve">d September 27, 2019, respectively. </w:t>
      </w:r>
    </w:p>
    <w:p w:rsidR="00000000" w:rsidRDefault="005D26B8">
      <w:pPr>
        <w:jc w:val="both"/>
        <w:divId w:val="1917664659"/>
        <w:rPr>
          <w:rFonts w:eastAsia="Times New Roman"/>
        </w:rPr>
      </w:pPr>
      <w:r>
        <w:rPr>
          <w:rFonts w:eastAsia="Times New Roman"/>
          <w:b/>
          <w:bCs/>
          <w:color w:val="000000"/>
          <w:sz w:val="20"/>
          <w:szCs w:val="20"/>
        </w:rPr>
        <w:t xml:space="preserve">Note K — Goodwill and Other Intangible Assets </w:t>
      </w:r>
    </w:p>
    <w:p w:rsidR="00000000" w:rsidRDefault="005D26B8">
      <w:pPr>
        <w:divId w:val="1545093984"/>
        <w:rPr>
          <w:rFonts w:eastAsia="Times New Roman"/>
        </w:rPr>
      </w:pPr>
      <w:r>
        <w:rPr>
          <w:rFonts w:eastAsia="Times New Roman"/>
          <w:b/>
          <w:bCs/>
          <w:color w:val="000000"/>
          <w:sz w:val="20"/>
          <w:szCs w:val="20"/>
        </w:rPr>
        <w:t>Goodwill</w:t>
      </w:r>
    </w:p>
    <w:p w:rsidR="00000000" w:rsidRDefault="005D26B8">
      <w:pPr>
        <w:ind w:firstLine="450"/>
        <w:divId w:val="1759980740"/>
        <w:rPr>
          <w:rFonts w:eastAsia="Times New Roman"/>
        </w:rPr>
      </w:pPr>
      <w:r>
        <w:rPr>
          <w:rFonts w:eastAsia="Times New Roman"/>
          <w:color w:val="000000"/>
          <w:sz w:val="20"/>
          <w:szCs w:val="20"/>
        </w:rPr>
        <w:t xml:space="preserve">As discussed in </w:t>
      </w:r>
      <w:r>
        <w:rPr>
          <w:rFonts w:eastAsia="Times New Roman"/>
          <w:i/>
          <w:iCs/>
          <w:color w:val="000000"/>
          <w:sz w:val="20"/>
          <w:szCs w:val="20"/>
        </w:rPr>
        <w:t>Note V — Business Segment Information</w:t>
      </w:r>
      <w:r>
        <w:rPr>
          <w:rFonts w:eastAsia="Times New Roman"/>
          <w:color w:val="000000"/>
          <w:sz w:val="20"/>
          <w:szCs w:val="20"/>
        </w:rPr>
        <w:t xml:space="preserve"> </w:t>
      </w:r>
      <w:r>
        <w:rPr>
          <w:rFonts w:eastAsia="Times New Roman"/>
          <w:color w:val="000000"/>
          <w:sz w:val="20"/>
          <w:szCs w:val="20"/>
        </w:rPr>
        <w:t>in these Notes, after the completion of the L3Harris Merger, we adjusted our segment reporting to reflect our new organizational structure effective for the quarter ended September 27, 2019. Immediately before and after our goodwill assignments, we complet</w:t>
      </w:r>
      <w:r>
        <w:rPr>
          <w:rFonts w:eastAsia="Times New Roman"/>
          <w:color w:val="000000"/>
          <w:sz w:val="20"/>
          <w:szCs w:val="20"/>
        </w:rPr>
        <w:t xml:space="preserve">ed an assessment of any potential goodwill impairment under our former and new segment reporting structure and determined that no impairment existed. </w:t>
      </w:r>
    </w:p>
    <w:p w:rsidR="00000000" w:rsidRDefault="005D26B8">
      <w:pPr>
        <w:ind w:firstLine="450"/>
        <w:divId w:val="1921062210"/>
        <w:rPr>
          <w:rFonts w:eastAsia="Times New Roman"/>
        </w:rPr>
      </w:pPr>
      <w:r>
        <w:rPr>
          <w:rFonts w:eastAsia="Times New Roman"/>
          <w:color w:val="000000"/>
          <w:sz w:val="20"/>
          <w:szCs w:val="20"/>
        </w:rPr>
        <w:t>The assignment of goodwill by business segment, and changes in the carrying amount of goodwill, by busine</w:t>
      </w:r>
      <w:r>
        <w:rPr>
          <w:rFonts w:eastAsia="Times New Roman"/>
          <w:color w:val="000000"/>
          <w:sz w:val="20"/>
          <w:szCs w:val="20"/>
        </w:rPr>
        <w:t>ss segment, for the three quarters ended October 2, 2020, were as follows:</w:t>
      </w:r>
    </w:p>
    <w:tbl>
      <w:tblPr>
        <w:tblW w:w="4912" w:type="pct"/>
        <w:tblCellMar>
          <w:top w:w="15" w:type="dxa"/>
          <w:left w:w="15" w:type="dxa"/>
          <w:bottom w:w="15" w:type="dxa"/>
          <w:right w:w="15" w:type="dxa"/>
        </w:tblCellMar>
        <w:tblLook w:val="04A0" w:firstRow="1" w:lastRow="0" w:firstColumn="1" w:lastColumn="0" w:noHBand="0" w:noVBand="1"/>
      </w:tblPr>
      <w:tblGrid>
        <w:gridCol w:w="38"/>
        <w:gridCol w:w="3226"/>
        <w:gridCol w:w="37"/>
        <w:gridCol w:w="121"/>
        <w:gridCol w:w="712"/>
        <w:gridCol w:w="36"/>
        <w:gridCol w:w="36"/>
        <w:gridCol w:w="36"/>
        <w:gridCol w:w="36"/>
        <w:gridCol w:w="121"/>
        <w:gridCol w:w="651"/>
        <w:gridCol w:w="36"/>
        <w:gridCol w:w="36"/>
        <w:gridCol w:w="36"/>
        <w:gridCol w:w="36"/>
        <w:gridCol w:w="121"/>
        <w:gridCol w:w="1041"/>
        <w:gridCol w:w="36"/>
        <w:gridCol w:w="36"/>
        <w:gridCol w:w="36"/>
        <w:gridCol w:w="36"/>
        <w:gridCol w:w="120"/>
        <w:gridCol w:w="589"/>
        <w:gridCol w:w="36"/>
        <w:gridCol w:w="36"/>
        <w:gridCol w:w="36"/>
        <w:gridCol w:w="36"/>
        <w:gridCol w:w="120"/>
        <w:gridCol w:w="651"/>
        <w:gridCol w:w="36"/>
      </w:tblGrid>
      <w:tr w:rsidR="00000000">
        <w:trPr>
          <w:divId w:val="803542124"/>
        </w:trPr>
        <w:tc>
          <w:tcPr>
            <w:tcW w:w="50" w:type="pct"/>
            <w:vAlign w:val="center"/>
            <w:hideMark/>
          </w:tcPr>
          <w:p w:rsidR="00000000" w:rsidRDefault="005D26B8">
            <w:pPr>
              <w:ind w:firstLine="450"/>
              <w:rPr>
                <w:rFonts w:eastAsia="Times New Roman"/>
              </w:rPr>
            </w:pPr>
          </w:p>
        </w:tc>
        <w:tc>
          <w:tcPr>
            <w:tcW w:w="203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6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80354212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Space and Airborne Systems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Aviation Systems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w:t>
            </w:r>
          </w:p>
        </w:tc>
      </w:tr>
      <w:tr w:rsidR="00000000">
        <w:trPr>
          <w:divId w:val="803542124"/>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803542124"/>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5,768 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4,859 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20,001 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03542124"/>
        </w:trPr>
        <w:tc>
          <w:tcPr>
            <w:tcW w:w="0" w:type="auto"/>
            <w:gridSpan w:val="3"/>
            <w:shd w:val="clear" w:color="auto" w:fill="FFFFFF"/>
            <w:tcMar>
              <w:top w:w="30" w:type="dxa"/>
              <w:left w:w="20" w:type="dxa"/>
              <w:bottom w:w="30" w:type="dxa"/>
              <w:right w:w="20" w:type="dxa"/>
            </w:tcMar>
            <w:vAlign w:val="bottom"/>
            <w:hideMark/>
          </w:tcPr>
          <w:p w:rsidR="00000000" w:rsidRDefault="005D26B8">
            <w:pPr>
              <w:divId w:val="311100428"/>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(530)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03542124"/>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803542124"/>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03542124"/>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03542124"/>
        </w:trPr>
        <w:tc>
          <w:tcPr>
            <w:tcW w:w="0" w:type="auto"/>
            <w:gridSpan w:val="3"/>
            <w:shd w:val="clear" w:color="auto" w:fill="CCEEFF"/>
            <w:tcMar>
              <w:top w:w="30" w:type="dxa"/>
              <w:left w:w="20" w:type="dxa"/>
              <w:bottom w:w="30" w:type="dxa"/>
              <w:right w:w="20" w:type="dxa"/>
            </w:tcMar>
            <w:vAlign w:val="bottom"/>
            <w:hideMark/>
          </w:tcPr>
          <w:p w:rsidR="00000000" w:rsidRDefault="005D26B8">
            <w:pPr>
              <w:ind w:hanging="270"/>
              <w:divId w:val="1389642482"/>
              <w:rPr>
                <w:rFonts w:eastAsia="Times New Roman"/>
              </w:rPr>
            </w:pPr>
            <w:r>
              <w:rPr>
                <w:rFonts w:eastAsia="Times New Roman"/>
                <w:color w:val="000000"/>
                <w:sz w:val="20"/>
                <w:szCs w:val="20"/>
              </w:rPr>
              <w:t>Other (including adjustments to previously estimated fair value of assets acquired and liabilities assumed</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740 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(861)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03542124"/>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Balance at October 2,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5,232 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4,150 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18,992 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70393665"/>
        <w:rPr>
          <w:rFonts w:eastAsia="Times New Roman"/>
        </w:rPr>
      </w:pPr>
      <w:r>
        <w:rPr>
          <w:rFonts w:eastAsia="Times New Roman"/>
          <w:color w:val="000000"/>
          <w:sz w:val="20"/>
          <w:szCs w:val="20"/>
        </w:rPr>
        <w:t>_______________</w:t>
      </w:r>
    </w:p>
    <w:p w:rsidR="00000000" w:rsidRDefault="005D26B8">
      <w:pPr>
        <w:ind w:hanging="270"/>
        <w:divId w:val="92286038"/>
        <w:rPr>
          <w:rFonts w:eastAsia="Times New Roman"/>
        </w:rPr>
      </w:pPr>
      <w:r>
        <w:rPr>
          <w:rFonts w:eastAsia="Times New Roman"/>
          <w:color w:val="000000"/>
          <w:sz w:val="16"/>
          <w:szCs w:val="16"/>
        </w:rPr>
        <w:t>(1)During the three quarters ended October 2, 2020, we completed the divestiture of three businesses (airport security a</w:t>
      </w:r>
      <w:r>
        <w:rPr>
          <w:rFonts w:eastAsia="Times New Roman"/>
          <w:color w:val="000000"/>
          <w:sz w:val="16"/>
          <w:szCs w:val="16"/>
        </w:rPr>
        <w:t xml:space="preserve">nd automation business, Applied Kilovolts and Analytical Instrumentation business and EOTech business) and derecognized $541 million of goodwill as the part of determining the gain or loss on these divestitures. See </w:t>
      </w:r>
      <w:r>
        <w:rPr>
          <w:rFonts w:eastAsia="Times New Roman"/>
          <w:i/>
          <w:iCs/>
          <w:color w:val="000000"/>
          <w:sz w:val="16"/>
          <w:szCs w:val="16"/>
        </w:rPr>
        <w:t>Note C — Business Divestitures and Asset</w:t>
      </w:r>
      <w:r>
        <w:rPr>
          <w:rFonts w:eastAsia="Times New Roman"/>
          <w:i/>
          <w:iCs/>
          <w:color w:val="000000"/>
          <w:sz w:val="16"/>
          <w:szCs w:val="16"/>
        </w:rPr>
        <w:t>s Sales</w:t>
      </w:r>
      <w:r>
        <w:rPr>
          <w:rFonts w:eastAsia="Times New Roman"/>
          <w:color w:val="000000"/>
          <w:sz w:val="16"/>
          <w:szCs w:val="16"/>
        </w:rPr>
        <w:t xml:space="preserve"> in these Notes for additional information.</w:t>
      </w:r>
    </w:p>
    <w:p w:rsidR="00000000" w:rsidRDefault="005D26B8">
      <w:pPr>
        <w:ind w:hanging="270"/>
        <w:divId w:val="55521057"/>
        <w:rPr>
          <w:rFonts w:eastAsia="Times New Roman"/>
        </w:rPr>
      </w:pPr>
      <w:r>
        <w:rPr>
          <w:rFonts w:eastAsia="Times New Roman"/>
          <w:color w:val="000000"/>
          <w:sz w:val="16"/>
          <w:szCs w:val="16"/>
        </w:rPr>
        <w:t xml:space="preserve">(2)See </w:t>
      </w:r>
      <w:r>
        <w:rPr>
          <w:rFonts w:eastAsia="Times New Roman"/>
          <w:i/>
          <w:iCs/>
          <w:color w:val="000000"/>
          <w:sz w:val="16"/>
          <w:szCs w:val="16"/>
        </w:rPr>
        <w:t>Note B — Business Combination</w:t>
      </w:r>
      <w:r>
        <w:rPr>
          <w:rFonts w:eastAsia="Times New Roman"/>
          <w:color w:val="000000"/>
          <w:sz w:val="16"/>
          <w:szCs w:val="16"/>
        </w:rPr>
        <w:t xml:space="preserve"> in these Notes for additional information regarding adjustments to previously estimated fair values of assets acquired and liabilities assumed.</w:t>
      </w:r>
    </w:p>
    <w:p w:rsidR="00000000" w:rsidRDefault="005D26B8">
      <w:pPr>
        <w:ind w:firstLine="450"/>
        <w:divId w:val="643043304"/>
        <w:rPr>
          <w:rFonts w:eastAsia="Times New Roman"/>
        </w:rPr>
      </w:pPr>
      <w:r>
        <w:rPr>
          <w:rFonts w:eastAsia="Times New Roman"/>
          <w:i/>
          <w:iCs/>
          <w:color w:val="000000"/>
          <w:sz w:val="20"/>
          <w:szCs w:val="20"/>
        </w:rPr>
        <w:t>Commercial Aviation Solu</w:t>
      </w:r>
      <w:r>
        <w:rPr>
          <w:rFonts w:eastAsia="Times New Roman"/>
          <w:i/>
          <w:iCs/>
          <w:color w:val="000000"/>
          <w:sz w:val="20"/>
          <w:szCs w:val="20"/>
        </w:rPr>
        <w:t xml:space="preserve">tions Impairment. </w:t>
      </w:r>
      <w:r>
        <w:rPr>
          <w:rFonts w:eastAsia="Times New Roman"/>
          <w:color w:val="000000"/>
          <w:sz w:val="20"/>
          <w:szCs w:val="20"/>
        </w:rPr>
        <w:t>Indications of potential impairment of goodwill related to our Commercial Aviation Solutions reporting unit (which is part of our Aviation Systems segment) were present at April 3, 2020 and July 3, 2020 due to COVID-19 and its impact on g</w:t>
      </w:r>
      <w:r>
        <w:rPr>
          <w:rFonts w:eastAsia="Times New Roman"/>
          <w:color w:val="000000"/>
          <w:sz w:val="20"/>
          <w:szCs w:val="20"/>
        </w:rPr>
        <w:t>lobal air traffic and customer operations, which resulted in a decrease in the fiscal 2020 outlook for the reporting unit. Although our cash flow projections for the Commercial Aviation Solutions reporting unit did not change significantly compared with th</w:t>
      </w:r>
      <w:r>
        <w:rPr>
          <w:rFonts w:eastAsia="Times New Roman"/>
          <w:color w:val="000000"/>
          <w:sz w:val="20"/>
          <w:szCs w:val="20"/>
        </w:rPr>
        <w:t xml:space="preserve">e projected cash flows as of April 3, 2020, we determined it was more-likely-than-not that the fair value of our Commercial Aviation Solutions reporting unit was less than its carrying amount as of July 3, 2020 due to the amount by which the fair value of </w:t>
      </w:r>
      <w:r>
        <w:rPr>
          <w:rFonts w:eastAsia="Times New Roman"/>
          <w:color w:val="000000"/>
          <w:sz w:val="20"/>
          <w:szCs w:val="20"/>
        </w:rPr>
        <w:t>the Commercial Aviation Solutions reporting unit exceeded its carrying amount as of April 3, 2020 and heightened uncertainty regarding the timing of expected recovery for the overall commercial aviation market. Consequently, in connection with the preparat</w:t>
      </w:r>
      <w:r>
        <w:rPr>
          <w:rFonts w:eastAsia="Times New Roman"/>
          <w:color w:val="000000"/>
          <w:sz w:val="20"/>
          <w:szCs w:val="20"/>
        </w:rPr>
        <w:t>ion of our financial statements for the quarters ended April 3, 2020 and July 3, 2020, we performed quantitative impairment tests on an interim basis. To test for potential impairment of goodwill related to our Commercial Aviation Solutions reporting unit,</w:t>
      </w:r>
      <w:r>
        <w:rPr>
          <w:rFonts w:eastAsia="Times New Roman"/>
          <w:color w:val="000000"/>
          <w:sz w:val="20"/>
          <w:szCs w:val="20"/>
        </w:rPr>
        <w:t xml:space="preserve"> we prepared an estimate of the fair value of the reporting unit based on a combination of market-based valuation techniques, utilizing quoted market prices and comparable publicly reported transactions, and projected discounted cash flows. </w:t>
      </w:r>
    </w:p>
    <w:p w:rsidR="00000000" w:rsidRDefault="005D26B8">
      <w:pPr>
        <w:jc w:val="center"/>
        <w:divId w:val="1214073286"/>
        <w:rPr>
          <w:rFonts w:eastAsia="Times New Roman"/>
        </w:rPr>
      </w:pPr>
      <w:r>
        <w:rPr>
          <w:rFonts w:eastAsia="Times New Roman"/>
          <w:color w:val="000000"/>
          <w:sz w:val="20"/>
          <w:szCs w:val="20"/>
        </w:rPr>
        <w:t>15</w:t>
      </w:r>
    </w:p>
    <w:p w:rsidR="00000000" w:rsidRDefault="005D26B8">
      <w:pPr>
        <w:rPr>
          <w:rFonts w:eastAsia="Times New Roman"/>
        </w:rPr>
      </w:pPr>
      <w:r>
        <w:rPr>
          <w:rFonts w:eastAsia="Times New Roman"/>
        </w:rPr>
        <w:pict>
          <v:rect id="_x0000_i1042" style="width:0;height:1.5pt" o:hralign="center" o:hrstd="t" o:hr="t" fillcolor="#a0a0a0" stroked="f"/>
        </w:pict>
      </w:r>
    </w:p>
    <w:p w:rsidR="00000000" w:rsidRDefault="005D26B8">
      <w:pPr>
        <w:divId w:val="33237259"/>
        <w:rPr>
          <w:rFonts w:eastAsia="Times New Roman"/>
        </w:rPr>
      </w:pPr>
    </w:p>
    <w:p w:rsidR="00000000" w:rsidRDefault="005D26B8">
      <w:pPr>
        <w:ind w:firstLine="450"/>
        <w:divId w:val="1555431529"/>
        <w:rPr>
          <w:rFonts w:eastAsia="Times New Roman"/>
        </w:rPr>
      </w:pPr>
      <w:r>
        <w:rPr>
          <w:rFonts w:eastAsia="Times New Roman"/>
          <w:color w:val="000000"/>
          <w:sz w:val="20"/>
          <w:szCs w:val="20"/>
        </w:rPr>
        <w:t>As a result of these impairment tests, we concluded that goodwill related to our Commercial Aviation Solutions reporting unit was impaired as of April 3, 2020 and July 3, 2020, and we recorded non-cash impairment charges of $296</w:t>
      </w:r>
      <w:r>
        <w:rPr>
          <w:rFonts w:eastAsia="Times New Roman"/>
          <w:color w:val="000000"/>
          <w:sz w:val="20"/>
          <w:szCs w:val="20"/>
        </w:rPr>
        <w:t xml:space="preserve"> million (including $28 million attributable to noncontrolling interests) during the quarter ended April 3, 2020 and $54 million (including $8 million attributable to noncontrolling interests) during the quarter ended July 3, 2020. These charges are includ</w:t>
      </w:r>
      <w:r>
        <w:rPr>
          <w:rFonts w:eastAsia="Times New Roman"/>
          <w:color w:val="000000"/>
          <w:sz w:val="20"/>
          <w:szCs w:val="20"/>
        </w:rPr>
        <w:t xml:space="preserve">ed in the “Impairment of goodwill and other assets” line item in our Condensed Consolidated Statement of Income (Unaudited) for the three quarters ended October 2, 2020 and are primarily not deductible for tax purposes. </w:t>
      </w:r>
    </w:p>
    <w:p w:rsidR="00000000" w:rsidRDefault="005D26B8">
      <w:pPr>
        <w:ind w:firstLine="450"/>
        <w:divId w:val="1318416653"/>
        <w:rPr>
          <w:rFonts w:eastAsia="Times New Roman"/>
        </w:rPr>
      </w:pPr>
      <w:r>
        <w:rPr>
          <w:rFonts w:eastAsia="Times New Roman"/>
          <w:i/>
          <w:iCs/>
          <w:color w:val="000000"/>
          <w:sz w:val="20"/>
          <w:szCs w:val="20"/>
        </w:rPr>
        <w:t>Other AS Disposal Group Impairment.</w:t>
      </w:r>
      <w:r>
        <w:rPr>
          <w:rFonts w:eastAsia="Times New Roman"/>
          <w:i/>
          <w:iCs/>
          <w:color w:val="000000"/>
          <w:sz w:val="20"/>
          <w:szCs w:val="20"/>
        </w:rPr>
        <w:t xml:space="preserve"> </w:t>
      </w:r>
      <w:r>
        <w:rPr>
          <w:rFonts w:eastAsia="Times New Roman"/>
          <w:color w:val="000000"/>
          <w:sz w:val="20"/>
          <w:szCs w:val="20"/>
        </w:rPr>
        <w:t>During the quarter ended July 3, 2020, we determined the criteria to be classified as held for sale were met with respect to the other AS disposal group within our Aviation Systems segment and assigned $14 million of goodwill to the disposal group on a re</w:t>
      </w:r>
      <w:r>
        <w:rPr>
          <w:rFonts w:eastAsia="Times New Roman"/>
          <w:color w:val="000000"/>
          <w:sz w:val="20"/>
          <w:szCs w:val="20"/>
        </w:rPr>
        <w:t>lative fair value basis. In connection with the preparation of our financial statements for the quarter ended July 3, 2020, we concluded that goodwill related to the other AS disposal group was impaired and recorded a non-cash impairment charge of $14 mill</w:t>
      </w:r>
      <w:r>
        <w:rPr>
          <w:rFonts w:eastAsia="Times New Roman"/>
          <w:color w:val="000000"/>
          <w:sz w:val="20"/>
          <w:szCs w:val="20"/>
        </w:rPr>
        <w:t>ion, which is included in the “Impairment of goodwill and other assets” line item in our Condensed Consolidated Statement of Income (Unaudited) for the three quarters ended October 2, 2020.</w:t>
      </w:r>
    </w:p>
    <w:p w:rsidR="00000000" w:rsidRDefault="005D26B8">
      <w:pPr>
        <w:divId w:val="985668637"/>
        <w:rPr>
          <w:rFonts w:eastAsia="Times New Roman"/>
        </w:rPr>
      </w:pPr>
      <w:r>
        <w:rPr>
          <w:rFonts w:eastAsia="Times New Roman"/>
          <w:b/>
          <w:bCs/>
          <w:color w:val="000000"/>
          <w:sz w:val="20"/>
          <w:szCs w:val="20"/>
        </w:rPr>
        <w:t>Identifiable Intangible Assets</w:t>
      </w:r>
      <w:r>
        <w:rPr>
          <w:rFonts w:eastAsia="Times New Roman"/>
          <w:color w:val="000000"/>
          <w:sz w:val="20"/>
          <w:szCs w:val="20"/>
        </w:rPr>
        <w:t> </w:t>
      </w:r>
    </w:p>
    <w:p w:rsidR="00000000" w:rsidRDefault="005D26B8">
      <w:pPr>
        <w:ind w:firstLine="450"/>
        <w:divId w:val="454060627"/>
        <w:rPr>
          <w:rFonts w:eastAsia="Times New Roman"/>
        </w:rPr>
      </w:pPr>
      <w:r>
        <w:rPr>
          <w:rFonts w:eastAsia="Times New Roman"/>
          <w:color w:val="000000"/>
          <w:sz w:val="20"/>
          <w:szCs w:val="20"/>
        </w:rPr>
        <w:t xml:space="preserve">The most significant identifiable </w:t>
      </w:r>
      <w:r>
        <w:rPr>
          <w:rFonts w:eastAsia="Times New Roman"/>
          <w:color w:val="000000"/>
          <w:sz w:val="20"/>
          <w:szCs w:val="20"/>
        </w:rPr>
        <w:t>intangible asset that is separately recognized for our business combinations is customer relationships. Our customer relationships are established through written customer contracts (revenue arrangements). The fair value for a customer relationship is dete</w:t>
      </w:r>
      <w:r>
        <w:rPr>
          <w:rFonts w:eastAsia="Times New Roman"/>
          <w:color w:val="000000"/>
          <w:sz w:val="20"/>
          <w:szCs w:val="20"/>
        </w:rPr>
        <w:t>rmined, as of the date of acquisition of such relationship, based on estimates and judgments regarding expectations for the estimated future after-tax earnings and cash flows arising from the follow-on sales expected from the customer relationship over its</w:t>
      </w:r>
      <w:r>
        <w:rPr>
          <w:rFonts w:eastAsia="Times New Roman"/>
          <w:color w:val="000000"/>
          <w:sz w:val="20"/>
          <w:szCs w:val="20"/>
        </w:rPr>
        <w:t xml:space="preserve"> estimated life, including the probability of expected future contract renewals and sales, less a contributory asset charge, all of which is discounted to present value. We assess the recoverability of the carrying value of our finite-lived identifiable in</w:t>
      </w:r>
      <w:r>
        <w:rPr>
          <w:rFonts w:eastAsia="Times New Roman"/>
          <w:color w:val="000000"/>
          <w:sz w:val="20"/>
          <w:szCs w:val="20"/>
        </w:rPr>
        <w:t xml:space="preserve">tangible assets whenever events or changes in circumstances indicate the carrying amount of the assets may not be recoverable. We assess the recoverability of the carrying value of indefinite-lived identifiable intangible assets annually, or under certain </w:t>
      </w:r>
      <w:r>
        <w:rPr>
          <w:rFonts w:eastAsia="Times New Roman"/>
          <w:color w:val="000000"/>
          <w:sz w:val="20"/>
          <w:szCs w:val="20"/>
        </w:rPr>
        <w:t>circumstances more frequently, such as when events and circumstances indicate there may be an impairment.</w:t>
      </w:r>
    </w:p>
    <w:p w:rsidR="00000000" w:rsidRDefault="005D26B8">
      <w:pPr>
        <w:ind w:firstLine="450"/>
        <w:divId w:val="704065770"/>
        <w:rPr>
          <w:rFonts w:eastAsia="Times New Roman"/>
        </w:rPr>
      </w:pPr>
      <w:r>
        <w:rPr>
          <w:rFonts w:eastAsia="Times New Roman"/>
          <w:color w:val="000000"/>
          <w:sz w:val="20"/>
          <w:szCs w:val="20"/>
        </w:rPr>
        <w:t>In conjunction with, and in advance of, the interim tests of goodwill related to our Commercial Aviation Solutions reporting unit, we also performed r</w:t>
      </w:r>
      <w:r>
        <w:rPr>
          <w:rFonts w:eastAsia="Times New Roman"/>
          <w:color w:val="000000"/>
          <w:sz w:val="20"/>
          <w:szCs w:val="20"/>
        </w:rPr>
        <w:t>ecoverability tests of the long-lived assets of our Commercial Aviation Solutions reporting unit, including identifiable intangible assets and property, plant and equipment. To test these long-lived assets for recoverability, we compared the estimated futu</w:t>
      </w:r>
      <w:r>
        <w:rPr>
          <w:rFonts w:eastAsia="Times New Roman"/>
          <w:color w:val="000000"/>
          <w:sz w:val="20"/>
          <w:szCs w:val="20"/>
        </w:rPr>
        <w:t>re cash flows (on an undiscounted basis) to be generated from the use and hypothetical eventual disposition of the asset group to its carrying value and concluded that the long-lived assets of our Commercial Aviation Solutions reporting unit were not impai</w:t>
      </w:r>
      <w:r>
        <w:rPr>
          <w:rFonts w:eastAsia="Times New Roman"/>
          <w:color w:val="000000"/>
          <w:sz w:val="20"/>
          <w:szCs w:val="20"/>
        </w:rPr>
        <w:t>red at April 3, 2020 or July 3, 2020.</w:t>
      </w:r>
    </w:p>
    <w:p w:rsidR="00000000" w:rsidRDefault="005D26B8">
      <w:pPr>
        <w:ind w:firstLine="450"/>
        <w:divId w:val="119231641"/>
        <w:rPr>
          <w:rFonts w:eastAsia="Times New Roman"/>
        </w:rPr>
      </w:pPr>
      <w:r>
        <w:rPr>
          <w:rFonts w:eastAsia="Times New Roman"/>
          <w:color w:val="000000"/>
          <w:sz w:val="20"/>
          <w:szCs w:val="20"/>
        </w:rPr>
        <w:t>Identifiable intangible assets are summarized below:</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513"/>
        <w:gridCol w:w="37"/>
        <w:gridCol w:w="121"/>
        <w:gridCol w:w="665"/>
        <w:gridCol w:w="36"/>
        <w:gridCol w:w="36"/>
        <w:gridCol w:w="36"/>
        <w:gridCol w:w="36"/>
        <w:gridCol w:w="121"/>
        <w:gridCol w:w="854"/>
        <w:gridCol w:w="36"/>
        <w:gridCol w:w="36"/>
        <w:gridCol w:w="36"/>
        <w:gridCol w:w="36"/>
        <w:gridCol w:w="121"/>
        <w:gridCol w:w="642"/>
        <w:gridCol w:w="36"/>
        <w:gridCol w:w="36"/>
        <w:gridCol w:w="36"/>
        <w:gridCol w:w="36"/>
        <w:gridCol w:w="121"/>
        <w:gridCol w:w="602"/>
        <w:gridCol w:w="36"/>
        <w:gridCol w:w="36"/>
        <w:gridCol w:w="36"/>
        <w:gridCol w:w="36"/>
        <w:gridCol w:w="121"/>
        <w:gridCol w:w="856"/>
        <w:gridCol w:w="36"/>
        <w:gridCol w:w="36"/>
        <w:gridCol w:w="36"/>
        <w:gridCol w:w="36"/>
        <w:gridCol w:w="121"/>
        <w:gridCol w:w="602"/>
        <w:gridCol w:w="36"/>
      </w:tblGrid>
      <w:tr w:rsidR="00000000">
        <w:trPr>
          <w:divId w:val="368382773"/>
          <w:jc w:val="center"/>
        </w:trPr>
        <w:tc>
          <w:tcPr>
            <w:tcW w:w="50" w:type="pct"/>
            <w:vAlign w:val="center"/>
            <w:hideMark/>
          </w:tcPr>
          <w:p w:rsidR="00000000" w:rsidRDefault="005D26B8">
            <w:pPr>
              <w:ind w:firstLine="450"/>
              <w:rPr>
                <w:rFonts w:eastAsia="Times New Roman"/>
              </w:rPr>
            </w:pPr>
          </w:p>
        </w:tc>
        <w:tc>
          <w:tcPr>
            <w:tcW w:w="160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6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368382773"/>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368382773"/>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Net Carrying 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Net Carrying Amount</w:t>
            </w:r>
          </w:p>
        </w:tc>
      </w:tr>
      <w:tr w:rsidR="00000000">
        <w:trPr>
          <w:divId w:val="368382773"/>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3"/>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divId w:val="368382773"/>
          <w:jc w:val="center"/>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5,865 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FFFFFF"/>
            <w:tcMar>
              <w:top w:w="30" w:type="dxa"/>
              <w:left w:w="15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CCEEFF"/>
            <w:tcMar>
              <w:top w:w="30" w:type="dxa"/>
              <w:left w:w="15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Contract backlog</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FFFFFF"/>
            <w:tcMar>
              <w:top w:w="30" w:type="dxa"/>
              <w:left w:w="15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CCEEFF"/>
            <w:tcMar>
              <w:top w:w="30" w:type="dxa"/>
              <w:left w:w="15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FFFFFF"/>
            <w:tcMar>
              <w:top w:w="30" w:type="dxa"/>
              <w:left w:w="270"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Total identifiable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In-process 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L3 trade name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368382773"/>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identifiable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9,333 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1746293629"/>
        <w:rPr>
          <w:rFonts w:eastAsia="Times New Roman"/>
        </w:rPr>
      </w:pPr>
      <w:r>
        <w:rPr>
          <w:rFonts w:eastAsia="Times New Roman"/>
          <w:color w:val="000000"/>
          <w:sz w:val="20"/>
          <w:szCs w:val="20"/>
        </w:rPr>
        <w:t>_______________</w:t>
      </w:r>
    </w:p>
    <w:p w:rsidR="00000000" w:rsidRDefault="005D26B8">
      <w:pPr>
        <w:ind w:hanging="270"/>
        <w:divId w:val="58283561"/>
        <w:rPr>
          <w:rFonts w:eastAsia="Times New Roman"/>
        </w:rPr>
      </w:pPr>
      <w:r>
        <w:rPr>
          <w:rFonts w:eastAsia="Times New Roman"/>
          <w:color w:val="000000"/>
          <w:sz w:val="16"/>
          <w:szCs w:val="16"/>
        </w:rPr>
        <w:t>(1)</w:t>
      </w:r>
      <w:r>
        <w:rPr>
          <w:rFonts w:eastAsia="Times New Roman"/>
          <w:color w:val="000000"/>
          <w:sz w:val="16"/>
          <w:szCs w:val="16"/>
        </w:rPr>
        <w:t>During the three quarters ended October 2, 2020, we completed the divestiture of three businesses and derecognized $296 million of intangibles as part of the gain or loss on these divestitures. Additionally, in connection with a pending divestiture, we rec</w:t>
      </w:r>
      <w:r>
        <w:rPr>
          <w:rFonts w:eastAsia="Times New Roman"/>
          <w:color w:val="000000"/>
          <w:sz w:val="16"/>
          <w:szCs w:val="16"/>
        </w:rPr>
        <w:t xml:space="preserve">lassified $5 million of identifiable intangible assets to “Assets of disposal group held for sale” in our Condensed Consolidated Balance Sheet (Unaudited) at October 2, 2020. See </w:t>
      </w:r>
      <w:r>
        <w:rPr>
          <w:rFonts w:eastAsia="Times New Roman"/>
          <w:i/>
          <w:iCs/>
          <w:color w:val="000000"/>
          <w:sz w:val="16"/>
          <w:szCs w:val="16"/>
        </w:rPr>
        <w:t>Note C — Business Divestitures and Assets Sales</w:t>
      </w:r>
      <w:r>
        <w:rPr>
          <w:rFonts w:eastAsia="Times New Roman"/>
          <w:color w:val="000000"/>
          <w:sz w:val="16"/>
          <w:szCs w:val="16"/>
        </w:rPr>
        <w:t xml:space="preserve"> in these Notes for additional</w:t>
      </w:r>
      <w:r>
        <w:rPr>
          <w:rFonts w:eastAsia="Times New Roman"/>
          <w:color w:val="000000"/>
          <w:sz w:val="16"/>
          <w:szCs w:val="16"/>
        </w:rPr>
        <w:t xml:space="preserve"> information regarding divestitures.</w:t>
      </w:r>
    </w:p>
    <w:p w:rsidR="00000000" w:rsidRDefault="005D26B8">
      <w:pPr>
        <w:ind w:firstLine="450"/>
        <w:divId w:val="19744623"/>
        <w:rPr>
          <w:rFonts w:eastAsia="Times New Roman"/>
        </w:rPr>
      </w:pPr>
      <w:r>
        <w:rPr>
          <w:rFonts w:eastAsia="Times New Roman"/>
          <w:color w:val="000000"/>
          <w:sz w:val="20"/>
          <w:szCs w:val="20"/>
        </w:rPr>
        <w:t>Amortization expense related to identifiable intangible assets, which primarily relates to the L3Harris Merger, was $179 million and $546 million for the quarter and three quarters ended October 2, 2020, respectively, a</w:t>
      </w:r>
      <w:r>
        <w:rPr>
          <w:rFonts w:eastAsia="Times New Roman"/>
          <w:color w:val="000000"/>
          <w:sz w:val="20"/>
          <w:szCs w:val="20"/>
        </w:rPr>
        <w:t xml:space="preserve">nd $125 million and $181 million for the quarter and three quarters ended September 27, 2019, respectively. </w:t>
      </w:r>
    </w:p>
    <w:p w:rsidR="00000000" w:rsidRDefault="005D26B8">
      <w:pPr>
        <w:jc w:val="center"/>
        <w:divId w:val="187716106"/>
        <w:rPr>
          <w:rFonts w:eastAsia="Times New Roman"/>
        </w:rPr>
      </w:pPr>
      <w:r>
        <w:rPr>
          <w:rFonts w:eastAsia="Times New Roman"/>
          <w:color w:val="000000"/>
          <w:sz w:val="20"/>
          <w:szCs w:val="20"/>
        </w:rPr>
        <w:t>16</w:t>
      </w:r>
    </w:p>
    <w:p w:rsidR="00000000" w:rsidRDefault="005D26B8">
      <w:pPr>
        <w:rPr>
          <w:rFonts w:eastAsia="Times New Roman"/>
        </w:rPr>
      </w:pPr>
      <w:r>
        <w:rPr>
          <w:rFonts w:eastAsia="Times New Roman"/>
        </w:rPr>
        <w:pict>
          <v:rect id="_x0000_i1043" style="width:0;height:1.5pt" o:hralign="center" o:hrstd="t" o:hr="t" fillcolor="#a0a0a0" stroked="f"/>
        </w:pict>
      </w:r>
    </w:p>
    <w:p w:rsidR="00000000" w:rsidRDefault="005D26B8">
      <w:pPr>
        <w:divId w:val="218051702"/>
        <w:rPr>
          <w:rFonts w:eastAsia="Times New Roman"/>
        </w:rPr>
      </w:pPr>
    </w:p>
    <w:p w:rsidR="00000000" w:rsidRDefault="005D26B8">
      <w:pPr>
        <w:ind w:firstLine="450"/>
        <w:divId w:val="919100144"/>
        <w:rPr>
          <w:rFonts w:eastAsia="Times New Roman"/>
        </w:rPr>
      </w:pPr>
      <w:r>
        <w:rPr>
          <w:rFonts w:eastAsia="Times New Roman"/>
          <w:color w:val="000000"/>
          <w:sz w:val="20"/>
          <w:szCs w:val="20"/>
        </w:rPr>
        <w:t>Future estimated amortization expense for identifiable intangible assets subject to amortization is as fol</w:t>
      </w:r>
      <w:r>
        <w:rPr>
          <w:rFonts w:eastAsia="Times New Roman"/>
          <w:color w:val="000000"/>
          <w:sz w:val="20"/>
          <w:szCs w:val="20"/>
        </w:rPr>
        <w:t>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69"/>
        <w:gridCol w:w="36"/>
        <w:gridCol w:w="120"/>
        <w:gridCol w:w="1093"/>
        <w:gridCol w:w="36"/>
      </w:tblGrid>
      <w:tr w:rsidR="00000000">
        <w:trPr>
          <w:divId w:val="87384021"/>
          <w:jc w:val="center"/>
        </w:trPr>
        <w:tc>
          <w:tcPr>
            <w:tcW w:w="50" w:type="pct"/>
            <w:vAlign w:val="center"/>
            <w:hideMark/>
          </w:tcPr>
          <w:p w:rsidR="00000000" w:rsidRDefault="005D26B8">
            <w:pPr>
              <w:ind w:firstLine="450"/>
              <w:rPr>
                <w:rFonts w:eastAsia="Times New Roman"/>
              </w:rPr>
            </w:pPr>
          </w:p>
        </w:tc>
        <w:tc>
          <w:tcPr>
            <w:tcW w:w="421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87384021"/>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(In millions)</w:t>
            </w:r>
          </w:p>
        </w:tc>
      </w:tr>
      <w:tr w:rsidR="00000000">
        <w:trPr>
          <w:divId w:val="87384021"/>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87384021"/>
          <w:jc w:val="center"/>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7384021"/>
          <w:jc w:val="center"/>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7384021"/>
          <w:jc w:val="center"/>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7384021"/>
          <w:jc w:val="center"/>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647 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7384021"/>
          <w:jc w:val="center"/>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Year 5</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7384021"/>
          <w:jc w:val="center"/>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3,059 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87384021"/>
          <w:jc w:val="center"/>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both"/>
        <w:divId w:val="257296740"/>
        <w:rPr>
          <w:rFonts w:eastAsia="Times New Roman"/>
        </w:rPr>
      </w:pPr>
      <w:r>
        <w:rPr>
          <w:rFonts w:eastAsia="Times New Roman"/>
          <w:b/>
          <w:bCs/>
          <w:color w:val="000000"/>
          <w:sz w:val="20"/>
          <w:szCs w:val="20"/>
        </w:rPr>
        <w:t xml:space="preserve">Note L — Accrued Warranties </w:t>
      </w:r>
    </w:p>
    <w:p w:rsidR="00000000" w:rsidRDefault="005D26B8">
      <w:pPr>
        <w:ind w:firstLine="450"/>
        <w:divId w:val="1195146430"/>
        <w:rPr>
          <w:rFonts w:eastAsia="Times New Roman"/>
        </w:rPr>
      </w:pPr>
      <w:r>
        <w:rPr>
          <w:rFonts w:eastAsia="Times New Roman"/>
          <w:color w:val="000000"/>
          <w:sz w:val="20"/>
          <w:szCs w:val="20"/>
        </w:rPr>
        <w:t>Our liability for standard product warranties is included as a component of the “Other accrued items” and “Other long-term liabilities” line items in our Condensed Consolidated Balance Sheet (Unaudited). Changes in our liability for standard product warran</w:t>
      </w:r>
      <w:r>
        <w:rPr>
          <w:rFonts w:eastAsia="Times New Roman"/>
          <w:color w:val="000000"/>
          <w:sz w:val="20"/>
          <w:szCs w:val="20"/>
        </w:rPr>
        <w:t>ties during the three quarters ended October 2,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69"/>
        <w:gridCol w:w="37"/>
        <w:gridCol w:w="121"/>
        <w:gridCol w:w="1092"/>
        <w:gridCol w:w="36"/>
      </w:tblGrid>
      <w:tr w:rsidR="00000000">
        <w:trPr>
          <w:divId w:val="1570463068"/>
        </w:trPr>
        <w:tc>
          <w:tcPr>
            <w:tcW w:w="50" w:type="pct"/>
            <w:vAlign w:val="center"/>
            <w:hideMark/>
          </w:tcPr>
          <w:p w:rsidR="00000000" w:rsidRDefault="005D26B8">
            <w:pPr>
              <w:ind w:firstLine="450"/>
              <w:rPr>
                <w:rFonts w:eastAsia="Times New Roman"/>
              </w:rPr>
            </w:pPr>
          </w:p>
        </w:tc>
        <w:tc>
          <w:tcPr>
            <w:tcW w:w="421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570463068"/>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D26B8">
            <w:pPr>
              <w:jc w:val="center"/>
              <w:rPr>
                <w:rFonts w:eastAsia="Times New Roman"/>
              </w:rPr>
            </w:pPr>
            <w:r>
              <w:rPr>
                <w:rFonts w:eastAsia="Times New Roman"/>
                <w:b/>
                <w:bCs/>
                <w:color w:val="000000"/>
                <w:sz w:val="16"/>
                <w:szCs w:val="16"/>
              </w:rPr>
              <w:t>(In millions)</w:t>
            </w:r>
          </w:p>
        </w:tc>
      </w:tr>
      <w:tr w:rsidR="00000000">
        <w:trPr>
          <w:divId w:val="1570463068"/>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570463068"/>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70463068"/>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Adjustments to previously estimated fair value of warranty liabilities assumed</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7046306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Decrease from divestitures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70463068"/>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7046306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Settlements made during the period</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70463068"/>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70463068"/>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Balance at October 2,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center"/>
        <w:divId w:val="984242269"/>
        <w:rPr>
          <w:rFonts w:eastAsia="Times New Roman"/>
        </w:rPr>
      </w:pPr>
      <w:r>
        <w:rPr>
          <w:rFonts w:eastAsia="Times New Roman"/>
          <w:color w:val="000000"/>
          <w:sz w:val="20"/>
          <w:szCs w:val="20"/>
        </w:rPr>
        <w:t>17</w:t>
      </w:r>
    </w:p>
    <w:p w:rsidR="00000000" w:rsidRDefault="005D26B8">
      <w:pPr>
        <w:rPr>
          <w:rFonts w:eastAsia="Times New Roman"/>
        </w:rPr>
      </w:pPr>
      <w:r>
        <w:rPr>
          <w:rFonts w:eastAsia="Times New Roman"/>
        </w:rPr>
        <w:pict>
          <v:rect id="_x0000_i1044" style="width:0;height:1.5pt" o:hralign="center" o:hrstd="t" o:hr="t" fillcolor="#a0a0a0" stroked="f"/>
        </w:pict>
      </w:r>
    </w:p>
    <w:p w:rsidR="00000000" w:rsidRDefault="005D26B8">
      <w:pPr>
        <w:divId w:val="1836415669"/>
        <w:rPr>
          <w:rFonts w:eastAsia="Times New Roman"/>
        </w:rPr>
      </w:pPr>
    </w:p>
    <w:p w:rsidR="00000000" w:rsidRDefault="005D26B8">
      <w:pPr>
        <w:divId w:val="1875724537"/>
        <w:rPr>
          <w:rFonts w:eastAsia="Times New Roman"/>
        </w:rPr>
      </w:pPr>
      <w:r>
        <w:rPr>
          <w:rFonts w:eastAsia="Times New Roman"/>
          <w:b/>
          <w:bCs/>
          <w:color w:val="000000"/>
          <w:sz w:val="20"/>
          <w:szCs w:val="20"/>
        </w:rPr>
        <w:t xml:space="preserve">Note M — Debt </w:t>
      </w:r>
    </w:p>
    <w:p w:rsidR="00000000" w:rsidRDefault="005D26B8">
      <w:pPr>
        <w:ind w:firstLine="495"/>
        <w:divId w:val="315963974"/>
        <w:rPr>
          <w:rFonts w:eastAsia="Times New Roman"/>
        </w:rPr>
      </w:pPr>
      <w:r>
        <w:rPr>
          <w:rFonts w:eastAsia="Times New Roman"/>
          <w:color w:val="000000"/>
          <w:sz w:val="20"/>
          <w:szCs w:val="20"/>
        </w:rPr>
        <w:t>Long-term debt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56"/>
        <w:gridCol w:w="837"/>
        <w:gridCol w:w="37"/>
        <w:gridCol w:w="49"/>
        <w:gridCol w:w="4722"/>
        <w:gridCol w:w="36"/>
        <w:gridCol w:w="120"/>
        <w:gridCol w:w="1087"/>
        <w:gridCol w:w="36"/>
        <w:gridCol w:w="36"/>
        <w:gridCol w:w="36"/>
        <w:gridCol w:w="36"/>
        <w:gridCol w:w="120"/>
        <w:gridCol w:w="1062"/>
        <w:gridCol w:w="36"/>
      </w:tblGrid>
      <w:tr w:rsidR="00000000">
        <w:trPr>
          <w:divId w:val="1853572224"/>
        </w:trPr>
        <w:tc>
          <w:tcPr>
            <w:tcW w:w="50" w:type="pct"/>
            <w:vAlign w:val="center"/>
            <w:hideMark/>
          </w:tcPr>
          <w:p w:rsidR="00000000" w:rsidRDefault="005D26B8">
            <w:pPr>
              <w:ind w:firstLine="495"/>
              <w:rPr>
                <w:rFonts w:eastAsia="Times New Roman"/>
              </w:rPr>
            </w:pPr>
          </w:p>
        </w:tc>
        <w:tc>
          <w:tcPr>
            <w:tcW w:w="5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286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85357222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1853572224"/>
          <w:trHeight w:val="10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Variable-rate debt:</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5357222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5357222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5357222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853572224"/>
        </w:trPr>
        <w:tc>
          <w:tcPr>
            <w:tcW w:w="0" w:type="auto"/>
            <w:gridSpan w:val="6"/>
            <w:shd w:val="clear" w:color="auto" w:fill="FFFFFF"/>
            <w:tcMar>
              <w:top w:w="30" w:type="dxa"/>
              <w:left w:w="135" w:type="dxa"/>
              <w:bottom w:w="30" w:type="dxa"/>
              <w:right w:w="20" w:type="dxa"/>
            </w:tcMar>
            <w:hideMark/>
          </w:tcPr>
          <w:p w:rsidR="00000000" w:rsidRDefault="005D26B8">
            <w:pPr>
              <w:rPr>
                <w:rFonts w:eastAsia="Times New Roman"/>
              </w:rPr>
            </w:pPr>
            <w:r>
              <w:rPr>
                <w:rFonts w:eastAsia="Times New Roman"/>
                <w:color w:val="000000"/>
                <w:sz w:val="20"/>
                <w:szCs w:val="20"/>
              </w:rPr>
              <w:t>Floating rate notes, due April 30, 2020</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135" w:type="dxa"/>
              <w:bottom w:w="30" w:type="dxa"/>
              <w:right w:w="20" w:type="dxa"/>
            </w:tcMar>
            <w:hideMark/>
          </w:tcPr>
          <w:p w:rsidR="00000000" w:rsidRDefault="005D26B8">
            <w:pPr>
              <w:rPr>
                <w:rFonts w:eastAsia="Times New Roman"/>
              </w:rPr>
            </w:pPr>
            <w:r>
              <w:rPr>
                <w:rFonts w:eastAsia="Times New Roman"/>
                <w:color w:val="000000"/>
                <w:sz w:val="20"/>
                <w:szCs w:val="20"/>
              </w:rPr>
              <w:t>Floating rate notes, due March 10, 2023</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variable-rate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Fixed-rate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divId w:val="601650944"/>
              <w:rPr>
                <w:rFonts w:eastAsia="Times New Roman"/>
              </w:rPr>
            </w:pPr>
            <w:r>
              <w:rPr>
                <w:rFonts w:eastAsia="Times New Roman"/>
                <w:color w:val="000000"/>
                <w:sz w:val="20"/>
                <w:szCs w:val="20"/>
              </w:rPr>
              <w:t>4.95</w:t>
            </w:r>
            <w:r>
              <w:rPr>
                <w:rFonts w:eastAsia="Times New Roman"/>
                <w:color w:val="000000"/>
                <w:sz w:val="20"/>
                <w:szCs w:val="20"/>
              </w:rPr>
              <w:t>% notes, due February 15, 2021</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divId w:val="1700470555"/>
              <w:rPr>
                <w:rFonts w:eastAsia="Times New Roman"/>
              </w:rPr>
            </w:pPr>
            <w:r>
              <w:rPr>
                <w:rFonts w:eastAsia="Times New Roman"/>
                <w:color w:val="000000"/>
                <w:sz w:val="20"/>
                <w:szCs w:val="20"/>
              </w:rPr>
              <w:t>3.85% notes, due June 15, 2023</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divId w:val="1778603326"/>
              <w:rPr>
                <w:rFonts w:eastAsia="Times New Roman"/>
              </w:rPr>
            </w:pPr>
            <w:r>
              <w:rPr>
                <w:rFonts w:eastAsia="Times New Roman"/>
                <w:color w:val="000000"/>
                <w:sz w:val="20"/>
                <w:szCs w:val="20"/>
              </w:rPr>
              <w:t>3.95% notes, due May 28, 2024</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divId w:val="1386760746"/>
              <w:rPr>
                <w:rFonts w:eastAsia="Times New Roman"/>
              </w:rPr>
            </w:pPr>
            <w:r>
              <w:rPr>
                <w:rFonts w:eastAsia="Times New Roman"/>
                <w:color w:val="000000"/>
                <w:sz w:val="20"/>
                <w:szCs w:val="20"/>
              </w:rPr>
              <w:t>3.832% notes, due April 27, 2025</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divId w:val="1509835169"/>
              <w:rPr>
                <w:rFonts w:eastAsia="Times New Roman"/>
              </w:rPr>
            </w:pPr>
            <w:r>
              <w:rPr>
                <w:rFonts w:eastAsia="Times New Roman"/>
                <w:color w:val="000000"/>
                <w:sz w:val="20"/>
                <w:szCs w:val="20"/>
              </w:rPr>
              <w:t>7.00</w:t>
            </w:r>
            <w:r>
              <w:rPr>
                <w:rFonts w:eastAsia="Times New Roman"/>
                <w:color w:val="000000"/>
                <w:sz w:val="20"/>
                <w:szCs w:val="20"/>
              </w:rPr>
              <w:t>% debentures, due January 15, 2026</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divId w:val="1304575943"/>
              <w:rPr>
                <w:rFonts w:eastAsia="Times New Roman"/>
              </w:rPr>
            </w:pPr>
            <w:r>
              <w:rPr>
                <w:rFonts w:eastAsia="Times New Roman"/>
                <w:color w:val="000000"/>
                <w:sz w:val="20"/>
                <w:szCs w:val="20"/>
              </w:rPr>
              <w:t>3.85% notes, due December 15, 2026</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divId w:val="1089812305"/>
              <w:rPr>
                <w:rFonts w:eastAsia="Times New Roman"/>
              </w:rPr>
            </w:pPr>
            <w:r>
              <w:rPr>
                <w:rFonts w:eastAsia="Times New Roman"/>
                <w:color w:val="000000"/>
                <w:sz w:val="20"/>
                <w:szCs w:val="20"/>
              </w:rPr>
              <w:t>6.35% debentures, due February 1, 2028</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divId w:val="807864852"/>
              <w:rPr>
                <w:rFonts w:eastAsia="Times New Roman"/>
              </w:rPr>
            </w:pPr>
            <w:r>
              <w:rPr>
                <w:rFonts w:eastAsia="Times New Roman"/>
                <w:color w:val="000000"/>
                <w:sz w:val="20"/>
                <w:szCs w:val="20"/>
              </w:rPr>
              <w:t>4.40% notes, due June 15, 2028</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divId w:val="812677125"/>
              <w:rPr>
                <w:rFonts w:eastAsia="Times New Roman"/>
              </w:rPr>
            </w:pPr>
            <w:r>
              <w:rPr>
                <w:rFonts w:eastAsia="Times New Roman"/>
                <w:color w:val="000000"/>
                <w:sz w:val="20"/>
                <w:szCs w:val="20"/>
              </w:rPr>
              <w:t>2.90</w:t>
            </w:r>
            <w:r>
              <w:rPr>
                <w:rFonts w:eastAsia="Times New Roman"/>
                <w:color w:val="000000"/>
                <w:sz w:val="20"/>
                <w:szCs w:val="20"/>
              </w:rPr>
              <w:t>% notes, due December 15, 2029</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divId w:val="9574147"/>
              <w:rPr>
                <w:rFonts w:eastAsia="Times New Roman"/>
              </w:rPr>
            </w:pPr>
            <w:r>
              <w:rPr>
                <w:rFonts w:eastAsia="Times New Roman"/>
                <w:color w:val="000000"/>
                <w:sz w:val="20"/>
                <w:szCs w:val="20"/>
              </w:rPr>
              <w:t>4.854% notes, due April 27, 2035</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divId w:val="1754280944"/>
              <w:rPr>
                <w:rFonts w:eastAsia="Times New Roman"/>
              </w:rPr>
            </w:pPr>
            <w:r>
              <w:rPr>
                <w:rFonts w:eastAsia="Times New Roman"/>
                <w:color w:val="000000"/>
                <w:sz w:val="20"/>
                <w:szCs w:val="20"/>
              </w:rPr>
              <w:t>6.15% notes, due December 15, 2040</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divId w:val="104741563"/>
              <w:rPr>
                <w:rFonts w:eastAsia="Times New Roman"/>
              </w:rPr>
            </w:pPr>
            <w:r>
              <w:rPr>
                <w:rFonts w:eastAsia="Times New Roman"/>
                <w:color w:val="000000"/>
                <w:sz w:val="20"/>
                <w:szCs w:val="20"/>
              </w:rPr>
              <w:t>5.054% notes, due April 27, 2045</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135" w:type="dxa"/>
              <w:bottom w:w="30" w:type="dxa"/>
              <w:right w:w="20" w:type="dxa"/>
            </w:tcMar>
            <w:hideMark/>
          </w:tcPr>
          <w:p w:rsidR="00000000" w:rsidRDefault="005D26B8">
            <w:pPr>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51 </w:t>
            </w:r>
          </w:p>
        </w:tc>
        <w:tc>
          <w:tcPr>
            <w:tcW w:w="0" w:type="auto"/>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fixed-rate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debt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6,827 </w:t>
            </w:r>
          </w:p>
        </w:tc>
        <w:tc>
          <w:tcPr>
            <w:tcW w:w="0" w:type="auto"/>
            <w:tcBorders>
              <w:top w:val="single" w:sz="8" w:space="0" w:color="000000"/>
            </w:tcBorders>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105" w:type="dxa"/>
              <w:bottom w:w="30" w:type="dxa"/>
              <w:right w:w="20" w:type="dxa"/>
            </w:tcMar>
            <w:hideMark/>
          </w:tcPr>
          <w:p w:rsidR="00000000" w:rsidRDefault="005D26B8">
            <w:pPr>
              <w:rPr>
                <w:rFonts w:eastAsia="Times New Roman"/>
              </w:rPr>
            </w:pPr>
            <w:r>
              <w:rPr>
                <w:rFonts w:eastAsia="Times New Roman"/>
                <w:color w:val="000000"/>
                <w:sz w:val="20"/>
                <w:szCs w:val="20"/>
              </w:rPr>
              <w:t>Plus: unamortized bond premium</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105" w:type="dxa"/>
              <w:bottom w:w="30" w:type="dxa"/>
              <w:right w:w="20" w:type="dxa"/>
            </w:tcMar>
            <w:hideMark/>
          </w:tcPr>
          <w:p w:rsidR="00000000" w:rsidRDefault="005D26B8">
            <w:pPr>
              <w:rPr>
                <w:rFonts w:eastAsia="Times New Roman"/>
              </w:rPr>
            </w:pPr>
            <w:r>
              <w:rPr>
                <w:rFonts w:eastAsia="Times New Roman"/>
                <w:color w:val="000000"/>
                <w:sz w:val="20"/>
                <w:szCs w:val="20"/>
              </w:rPr>
              <w:t>Less: unamortized discounts and issuance costs</w:t>
            </w:r>
          </w:p>
        </w:tc>
        <w:tc>
          <w:tcPr>
            <w:tcW w:w="0" w:type="auto"/>
            <w:gridSpan w:val="2"/>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w:t>
            </w:r>
          </w:p>
        </w:tc>
        <w:tc>
          <w:tcPr>
            <w:tcW w:w="0" w:type="auto"/>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debt,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Less: current portion of long-term debt, net</w:t>
            </w:r>
          </w:p>
        </w:tc>
        <w:tc>
          <w:tcPr>
            <w:tcW w:w="0" w:type="auto"/>
            <w:gridSpan w:val="2"/>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(666)</w:t>
            </w:r>
          </w:p>
        </w:tc>
        <w:tc>
          <w:tcPr>
            <w:tcW w:w="0" w:type="auto"/>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53572224"/>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long-term debt,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6,694 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2006125539"/>
        <w:rPr>
          <w:rFonts w:eastAsia="Times New Roman"/>
        </w:rPr>
      </w:pPr>
      <w:r>
        <w:rPr>
          <w:rFonts w:eastAsia="Times New Roman"/>
          <w:color w:val="000000"/>
          <w:sz w:val="20"/>
          <w:szCs w:val="20"/>
        </w:rPr>
        <w:t xml:space="preserve">For additional information on our long-term debt, see </w:t>
      </w:r>
      <w:r>
        <w:rPr>
          <w:rFonts w:eastAsia="Times New Roman"/>
          <w:i/>
          <w:iCs/>
          <w:color w:val="000000"/>
          <w:sz w:val="20"/>
          <w:szCs w:val="20"/>
        </w:rPr>
        <w:t>Note 14: “Debt”</w:t>
      </w:r>
      <w:r>
        <w:rPr>
          <w:rFonts w:eastAsia="Times New Roman"/>
          <w:color w:val="000000"/>
          <w:sz w:val="20"/>
          <w:szCs w:val="20"/>
        </w:rPr>
        <w:t xml:space="preserve"> in the Notes to Consolidated Financial Statements in our Fiscal Transition Period Form 10-KT.</w:t>
      </w:r>
    </w:p>
    <w:p w:rsidR="00000000" w:rsidRDefault="005D26B8">
      <w:pPr>
        <w:divId w:val="220212643"/>
        <w:rPr>
          <w:rFonts w:eastAsia="Times New Roman"/>
        </w:rPr>
      </w:pPr>
      <w:r>
        <w:rPr>
          <w:rFonts w:eastAsia="Times New Roman"/>
          <w:b/>
          <w:bCs/>
          <w:color w:val="000000"/>
          <w:sz w:val="20"/>
          <w:szCs w:val="20"/>
        </w:rPr>
        <w:t xml:space="preserve">Long-Term Debt Repaid in the Quarter Ended July 3, 2020 </w:t>
      </w:r>
    </w:p>
    <w:p w:rsidR="00000000" w:rsidRDefault="005D26B8">
      <w:pPr>
        <w:ind w:firstLine="450"/>
        <w:divId w:val="1706368730"/>
        <w:rPr>
          <w:rFonts w:eastAsia="Times New Roman"/>
        </w:rPr>
      </w:pPr>
      <w:r>
        <w:rPr>
          <w:rFonts w:eastAsia="Times New Roman"/>
          <w:color w:val="000000"/>
          <w:sz w:val="20"/>
          <w:szCs w:val="20"/>
        </w:rPr>
        <w:t>During the quarter ended July 3, 2020, we repaid at maturity the entire outstanding $250 million aggregate principal amount of our Floating Rate Notes due April 30, 2020.</w:t>
      </w:r>
    </w:p>
    <w:p w:rsidR="00000000" w:rsidRDefault="005D26B8">
      <w:pPr>
        <w:divId w:val="491063483"/>
        <w:rPr>
          <w:rFonts w:eastAsia="Times New Roman"/>
        </w:rPr>
      </w:pPr>
      <w:r>
        <w:rPr>
          <w:rFonts w:eastAsia="Times New Roman"/>
          <w:b/>
          <w:bCs/>
          <w:color w:val="000000"/>
          <w:sz w:val="20"/>
          <w:szCs w:val="20"/>
        </w:rPr>
        <w:t xml:space="preserve">Long-Term Debt Issued in the Quarter Ended April 3, 2020 </w:t>
      </w:r>
    </w:p>
    <w:p w:rsidR="00000000" w:rsidRDefault="005D26B8">
      <w:pPr>
        <w:ind w:firstLine="450"/>
        <w:divId w:val="129133990"/>
        <w:rPr>
          <w:rFonts w:eastAsia="Times New Roman"/>
        </w:rPr>
      </w:pPr>
      <w:r>
        <w:rPr>
          <w:rFonts w:eastAsia="Times New Roman"/>
          <w:color w:val="000000"/>
          <w:sz w:val="20"/>
          <w:szCs w:val="20"/>
        </w:rPr>
        <w:t>During the quarter ended Ap</w:t>
      </w:r>
      <w:r>
        <w:rPr>
          <w:rFonts w:eastAsia="Times New Roman"/>
          <w:color w:val="000000"/>
          <w:sz w:val="20"/>
          <w:szCs w:val="20"/>
        </w:rPr>
        <w:t xml:space="preserve">ril 3, 2020, we completed the issuance and sale of $250 million in aggregate principal amount of Floating Rate Notes due March 10, 2023 (the “Floating Rate Notes 2023”). The Floating Rate Notes 2023 bear interest at a floating rate, reset quarterly, equal </w:t>
      </w:r>
      <w:r>
        <w:rPr>
          <w:rFonts w:eastAsia="Times New Roman"/>
          <w:color w:val="000000"/>
          <w:sz w:val="20"/>
          <w:szCs w:val="20"/>
        </w:rPr>
        <w:t xml:space="preserve">to three-month LIBOR plus 0.75% per year. Interest on the Floating Rate Notes 2023 is payable quarterly in arrears on March 10, June 10, September 10 and December 10 of each year, commencing on June 10, 2020. The Floating Rate Notes 2023 are unsecured and </w:t>
      </w:r>
      <w:r>
        <w:rPr>
          <w:rFonts w:eastAsia="Times New Roman"/>
          <w:color w:val="000000"/>
          <w:sz w:val="20"/>
          <w:szCs w:val="20"/>
        </w:rPr>
        <w:t xml:space="preserve">unsubordinated and rank equally in right of payment with all other unsecured and unsubordinated indebtedness. The Floating Rate Notes 2023 are not redeemable at our option prior to maturity. Debt issuance costs related to the issuance of the Floating Rate </w:t>
      </w:r>
      <w:r>
        <w:rPr>
          <w:rFonts w:eastAsia="Times New Roman"/>
          <w:color w:val="000000"/>
          <w:sz w:val="20"/>
          <w:szCs w:val="20"/>
        </w:rPr>
        <w:t>Notes 2023 were not material. We used the net proceeds from the sale of the Floating Rate Notes 2023 to repay at maturity the aggregate principal amount of our Floating Rate Notes due April 30, 2020 as described above under “Long-Term Debt Repaid in the Qu</w:t>
      </w:r>
      <w:r>
        <w:rPr>
          <w:rFonts w:eastAsia="Times New Roman"/>
          <w:color w:val="000000"/>
          <w:sz w:val="20"/>
          <w:szCs w:val="20"/>
        </w:rPr>
        <w:t>arter Ended July 3, 2020.”</w:t>
      </w:r>
    </w:p>
    <w:p w:rsidR="00000000" w:rsidRDefault="005D26B8">
      <w:pPr>
        <w:divId w:val="489248390"/>
        <w:rPr>
          <w:rFonts w:eastAsia="Times New Roman"/>
        </w:rPr>
      </w:pPr>
      <w:r>
        <w:rPr>
          <w:rFonts w:eastAsia="Times New Roman"/>
          <w:b/>
          <w:bCs/>
          <w:color w:val="000000"/>
          <w:sz w:val="20"/>
          <w:szCs w:val="20"/>
        </w:rPr>
        <w:t>Debt Exchange</w:t>
      </w:r>
    </w:p>
    <w:p w:rsidR="00000000" w:rsidRDefault="005D26B8">
      <w:pPr>
        <w:ind w:firstLine="450"/>
        <w:divId w:val="85271797"/>
        <w:rPr>
          <w:rFonts w:eastAsia="Times New Roman"/>
        </w:rPr>
      </w:pPr>
      <w:r>
        <w:rPr>
          <w:rFonts w:eastAsia="Times New Roman"/>
          <w:color w:val="000000"/>
          <w:sz w:val="20"/>
          <w:szCs w:val="20"/>
        </w:rPr>
        <w:t>In connection with the L3Harris Merger, on July 2, 2019, we settled our previously announced exchange offers in which eligible holders of L3 senior notes (“L3 Notes”) could exchange such outstanding notes for (1) up</w:t>
      </w:r>
      <w:r>
        <w:rPr>
          <w:rFonts w:eastAsia="Times New Roman"/>
          <w:color w:val="000000"/>
          <w:sz w:val="20"/>
          <w:szCs w:val="20"/>
        </w:rPr>
        <w:t xml:space="preserve"> to $3.35 billion aggregate </w:t>
      </w:r>
    </w:p>
    <w:p w:rsidR="00000000" w:rsidRDefault="005D26B8">
      <w:pPr>
        <w:jc w:val="center"/>
        <w:divId w:val="1628853732"/>
        <w:rPr>
          <w:rFonts w:eastAsia="Times New Roman"/>
        </w:rPr>
      </w:pPr>
      <w:r>
        <w:rPr>
          <w:rFonts w:eastAsia="Times New Roman"/>
          <w:color w:val="000000"/>
          <w:sz w:val="20"/>
          <w:szCs w:val="20"/>
        </w:rPr>
        <w:t>18</w:t>
      </w:r>
    </w:p>
    <w:p w:rsidR="00000000" w:rsidRDefault="005D26B8">
      <w:pPr>
        <w:rPr>
          <w:rFonts w:eastAsia="Times New Roman"/>
        </w:rPr>
      </w:pPr>
      <w:r>
        <w:rPr>
          <w:rFonts w:eastAsia="Times New Roman"/>
        </w:rPr>
        <w:pict>
          <v:rect id="_x0000_i1045" style="width:0;height:1.5pt" o:hralign="center" o:hrstd="t" o:hr="t" fillcolor="#a0a0a0" stroked="f"/>
        </w:pict>
      </w:r>
    </w:p>
    <w:p w:rsidR="00000000" w:rsidRDefault="005D26B8">
      <w:pPr>
        <w:divId w:val="514924419"/>
        <w:rPr>
          <w:rFonts w:eastAsia="Times New Roman"/>
        </w:rPr>
      </w:pPr>
    </w:p>
    <w:p w:rsidR="00000000" w:rsidRDefault="005D26B8">
      <w:pPr>
        <w:divId w:val="284508695"/>
        <w:rPr>
          <w:rFonts w:eastAsia="Times New Roman"/>
        </w:rPr>
      </w:pPr>
      <w:r>
        <w:rPr>
          <w:rFonts w:eastAsia="Times New Roman"/>
          <w:color w:val="000000"/>
          <w:sz w:val="20"/>
          <w:szCs w:val="20"/>
        </w:rPr>
        <w:t>principal amount of new notes issued by L3Harris (“New L3Harris Notes”) and (2) one dollar in cash for each $1,000 of principal amount. Each series of the New L3Harris Notes issued has a</w:t>
      </w:r>
      <w:r>
        <w:rPr>
          <w:rFonts w:eastAsia="Times New Roman"/>
          <w:color w:val="000000"/>
          <w:sz w:val="20"/>
          <w:szCs w:val="20"/>
        </w:rPr>
        <w:t xml:space="preserve">n interest rate and maturity date that is identical to the L3 Notes. </w:t>
      </w:r>
    </w:p>
    <w:tbl>
      <w:tblPr>
        <w:tblW w:w="4992" w:type="pct"/>
        <w:tblCellMar>
          <w:top w:w="15" w:type="dxa"/>
          <w:left w:w="15" w:type="dxa"/>
          <w:bottom w:w="15" w:type="dxa"/>
          <w:right w:w="15" w:type="dxa"/>
        </w:tblCellMar>
        <w:tblLook w:val="04A0" w:firstRow="1" w:lastRow="0" w:firstColumn="1" w:lastColumn="0" w:noHBand="0" w:noVBand="1"/>
      </w:tblPr>
      <w:tblGrid>
        <w:gridCol w:w="39"/>
        <w:gridCol w:w="4559"/>
        <w:gridCol w:w="38"/>
        <w:gridCol w:w="121"/>
        <w:gridCol w:w="989"/>
        <w:gridCol w:w="36"/>
        <w:gridCol w:w="36"/>
        <w:gridCol w:w="36"/>
        <w:gridCol w:w="36"/>
        <w:gridCol w:w="121"/>
        <w:gridCol w:w="984"/>
        <w:gridCol w:w="36"/>
        <w:gridCol w:w="36"/>
        <w:gridCol w:w="36"/>
        <w:gridCol w:w="36"/>
        <w:gridCol w:w="121"/>
        <w:gridCol w:w="997"/>
        <w:gridCol w:w="36"/>
      </w:tblGrid>
      <w:tr w:rsidR="00000000">
        <w:trPr>
          <w:divId w:val="1935018792"/>
        </w:trPr>
        <w:tc>
          <w:tcPr>
            <w:tcW w:w="50" w:type="pct"/>
            <w:vAlign w:val="center"/>
            <w:hideMark/>
          </w:tcPr>
          <w:p w:rsidR="00000000" w:rsidRDefault="005D26B8">
            <w:pPr>
              <w:rPr>
                <w:rFonts w:eastAsia="Times New Roman"/>
              </w:rPr>
            </w:pPr>
          </w:p>
        </w:tc>
        <w:tc>
          <w:tcPr>
            <w:tcW w:w="27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2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4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5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935018792"/>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Aggregate Principal Amount of L3 Notes (prior to debt exchange)</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Aggregate Principal Amount of New L3Harris Notes Issued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Aggregate Principal Amount of Remaining L3 Notes</w:t>
            </w:r>
          </w:p>
        </w:tc>
      </w:tr>
      <w:tr w:rsidR="00000000">
        <w:trPr>
          <w:divId w:val="1935018792"/>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35018792"/>
        </w:trPr>
        <w:tc>
          <w:tcPr>
            <w:tcW w:w="0" w:type="auto"/>
            <w:gridSpan w:val="3"/>
            <w:shd w:val="clear" w:color="auto" w:fill="CCEEFF"/>
            <w:tcMar>
              <w:top w:w="30" w:type="dxa"/>
              <w:left w:w="20" w:type="dxa"/>
              <w:bottom w:w="30" w:type="dxa"/>
              <w:right w:w="20" w:type="dxa"/>
            </w:tcMar>
            <w:hideMark/>
          </w:tcPr>
          <w:p w:rsidR="00000000" w:rsidRDefault="005D26B8">
            <w:pPr>
              <w:divId w:val="2053922021"/>
              <w:rPr>
                <w:rFonts w:eastAsia="Times New Roman"/>
              </w:rPr>
            </w:pPr>
            <w:r>
              <w:rPr>
                <w:rFonts w:eastAsia="Times New Roman"/>
                <w:color w:val="000000"/>
                <w:sz w:val="20"/>
                <w:szCs w:val="20"/>
              </w:rPr>
              <w:t>4.95% notes due February 15, 2021 (“4.95% 2021 Notes”)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5018792"/>
        </w:trPr>
        <w:tc>
          <w:tcPr>
            <w:tcW w:w="0" w:type="auto"/>
            <w:gridSpan w:val="3"/>
            <w:shd w:val="clear" w:color="auto" w:fill="FFFFFF"/>
            <w:tcMar>
              <w:top w:w="30" w:type="dxa"/>
              <w:left w:w="20" w:type="dxa"/>
              <w:bottom w:w="30" w:type="dxa"/>
              <w:right w:w="20" w:type="dxa"/>
            </w:tcMar>
            <w:hideMark/>
          </w:tcPr>
          <w:p w:rsidR="00000000" w:rsidRDefault="005D26B8">
            <w:pPr>
              <w:divId w:val="1747143285"/>
              <w:rPr>
                <w:rFonts w:eastAsia="Times New Roman"/>
              </w:rPr>
            </w:pPr>
            <w:r>
              <w:rPr>
                <w:rFonts w:eastAsia="Times New Roman"/>
                <w:color w:val="000000"/>
                <w:sz w:val="20"/>
                <w:szCs w:val="20"/>
              </w:rPr>
              <w:t>3.85</w:t>
            </w:r>
            <w:r>
              <w:rPr>
                <w:rFonts w:eastAsia="Times New Roman"/>
                <w:color w:val="000000"/>
                <w:sz w:val="20"/>
                <w:szCs w:val="20"/>
              </w:rPr>
              <w:t>% notes due June 15, 2023 (“3.85% 2023 Notes”)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5018792"/>
        </w:trPr>
        <w:tc>
          <w:tcPr>
            <w:tcW w:w="0" w:type="auto"/>
            <w:gridSpan w:val="3"/>
            <w:shd w:val="clear" w:color="auto" w:fill="CCEEFF"/>
            <w:tcMar>
              <w:top w:w="30" w:type="dxa"/>
              <w:left w:w="20" w:type="dxa"/>
              <w:bottom w:w="30" w:type="dxa"/>
              <w:right w:w="20" w:type="dxa"/>
            </w:tcMar>
            <w:hideMark/>
          </w:tcPr>
          <w:p w:rsidR="00000000" w:rsidRDefault="005D26B8">
            <w:pPr>
              <w:divId w:val="2052218654"/>
              <w:rPr>
                <w:rFonts w:eastAsia="Times New Roman"/>
              </w:rPr>
            </w:pPr>
            <w:r>
              <w:rPr>
                <w:rFonts w:eastAsia="Times New Roman"/>
                <w:color w:val="000000"/>
                <w:sz w:val="20"/>
                <w:szCs w:val="20"/>
              </w:rPr>
              <w:t>3.95% notes due May 28, 2024 (“3.95% 2024 Notes”)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5018792"/>
        </w:trPr>
        <w:tc>
          <w:tcPr>
            <w:tcW w:w="0" w:type="auto"/>
            <w:gridSpan w:val="3"/>
            <w:shd w:val="clear" w:color="auto" w:fill="FFFFFF"/>
            <w:tcMar>
              <w:top w:w="30" w:type="dxa"/>
              <w:left w:w="20" w:type="dxa"/>
              <w:bottom w:w="30" w:type="dxa"/>
              <w:right w:w="20" w:type="dxa"/>
            </w:tcMar>
            <w:hideMark/>
          </w:tcPr>
          <w:p w:rsidR="00000000" w:rsidRDefault="005D26B8">
            <w:pPr>
              <w:divId w:val="815924799"/>
              <w:rPr>
                <w:rFonts w:eastAsia="Times New Roman"/>
              </w:rPr>
            </w:pPr>
            <w:r>
              <w:rPr>
                <w:rFonts w:eastAsia="Times New Roman"/>
                <w:color w:val="000000"/>
                <w:sz w:val="20"/>
                <w:szCs w:val="20"/>
              </w:rPr>
              <w:t>3.85% notes due December 15, 2026 (“3.85% 2026 Notes”)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5018792"/>
        </w:trPr>
        <w:tc>
          <w:tcPr>
            <w:tcW w:w="0" w:type="auto"/>
            <w:gridSpan w:val="3"/>
            <w:shd w:val="clear" w:color="auto" w:fill="CCEEFF"/>
            <w:tcMar>
              <w:top w:w="30" w:type="dxa"/>
              <w:left w:w="20" w:type="dxa"/>
              <w:bottom w:w="30" w:type="dxa"/>
              <w:right w:w="20" w:type="dxa"/>
            </w:tcMar>
            <w:hideMark/>
          </w:tcPr>
          <w:p w:rsidR="00000000" w:rsidRDefault="005D26B8">
            <w:pPr>
              <w:divId w:val="629357031"/>
              <w:rPr>
                <w:rFonts w:eastAsia="Times New Roman"/>
              </w:rPr>
            </w:pPr>
            <w:r>
              <w:rPr>
                <w:rFonts w:eastAsia="Times New Roman"/>
                <w:color w:val="000000"/>
                <w:sz w:val="20"/>
                <w:szCs w:val="20"/>
              </w:rPr>
              <w:t>4.40</w:t>
            </w:r>
            <w:r>
              <w:rPr>
                <w:rFonts w:eastAsia="Times New Roman"/>
                <w:color w:val="000000"/>
                <w:sz w:val="20"/>
                <w:szCs w:val="20"/>
              </w:rPr>
              <w:t>% notes due June 15, 2028 (“4.40% 2028 Notes”)</w:t>
            </w:r>
          </w:p>
          <w:p w:rsidR="00000000" w:rsidRDefault="005D26B8">
            <w:pPr>
              <w:divId w:val="1549341279"/>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5018792"/>
        </w:trPr>
        <w:tc>
          <w:tcPr>
            <w:tcW w:w="0" w:type="auto"/>
            <w:gridSpan w:val="3"/>
            <w:shd w:val="clear" w:color="auto" w:fill="FFFFFF"/>
            <w:tcMar>
              <w:top w:w="30" w:type="dxa"/>
              <w:left w:w="15" w:type="dxa"/>
              <w:bottom w:w="30" w:type="dxa"/>
              <w:right w:w="20" w:type="dxa"/>
            </w:tcMar>
            <w:hideMark/>
          </w:tcPr>
          <w:p w:rsidR="00000000" w:rsidRDefault="005D26B8">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396634729"/>
        <w:rPr>
          <w:rFonts w:eastAsia="Times New Roman"/>
        </w:rPr>
      </w:pPr>
      <w:r>
        <w:rPr>
          <w:rFonts w:eastAsia="Times New Roman"/>
          <w:color w:val="000000"/>
          <w:sz w:val="20"/>
          <w:szCs w:val="20"/>
        </w:rPr>
        <w:t>On March 31, 2020, we commenced offers to eligible holders (“Exchange Offers”</w:t>
      </w:r>
      <w:r>
        <w:rPr>
          <w:rFonts w:eastAsia="Times New Roman"/>
          <w:color w:val="000000"/>
          <w:sz w:val="20"/>
          <w:szCs w:val="20"/>
        </w:rPr>
        <w:t>) to exchange any and all outstanding New L3Harris Notes issued by L3Harris as set forth in the table above (the “Original Notes”), which were previously issued pursuant to an exemption from the registration requirements of the Securities Act of 1933, as a</w:t>
      </w:r>
      <w:r>
        <w:rPr>
          <w:rFonts w:eastAsia="Times New Roman"/>
          <w:color w:val="000000"/>
          <w:sz w:val="20"/>
          <w:szCs w:val="20"/>
        </w:rPr>
        <w:t xml:space="preserve">mended (the “Securities Act”), for an equal principal amount of new notes registered under the Securities Act (the “Exchange Notes”). </w:t>
      </w:r>
    </w:p>
    <w:p w:rsidR="00000000" w:rsidRDefault="005D26B8">
      <w:pPr>
        <w:ind w:firstLine="450"/>
        <w:divId w:val="167141072"/>
        <w:rPr>
          <w:rFonts w:eastAsia="Times New Roman"/>
        </w:rPr>
      </w:pPr>
      <w:r>
        <w:rPr>
          <w:rFonts w:eastAsia="Times New Roman"/>
          <w:color w:val="000000"/>
          <w:sz w:val="20"/>
          <w:szCs w:val="20"/>
        </w:rPr>
        <w:t xml:space="preserve">The Exchange Notes were offered to satisfy L3Harris’ obligations under the registration rights agreement entered into as </w:t>
      </w:r>
      <w:r>
        <w:rPr>
          <w:rFonts w:eastAsia="Times New Roman"/>
          <w:color w:val="000000"/>
          <w:sz w:val="20"/>
          <w:szCs w:val="20"/>
        </w:rPr>
        <w:t>part of the issuance of the Original Notes, which occurred in exchange for the L3 Notes as described above.</w:t>
      </w:r>
    </w:p>
    <w:p w:rsidR="00000000" w:rsidRDefault="005D26B8">
      <w:pPr>
        <w:ind w:firstLine="450"/>
        <w:divId w:val="1656257935"/>
        <w:rPr>
          <w:rFonts w:eastAsia="Times New Roman"/>
        </w:rPr>
      </w:pPr>
      <w:r>
        <w:rPr>
          <w:rFonts w:eastAsia="Times New Roman"/>
          <w:color w:val="000000"/>
          <w:sz w:val="20"/>
          <w:szCs w:val="20"/>
        </w:rPr>
        <w:t>The terms of the Exchange Notes issued in the Exchange Offers are substantially identical to the terms of the corresponding series of the Original N</w:t>
      </w:r>
      <w:r>
        <w:rPr>
          <w:rFonts w:eastAsia="Times New Roman"/>
          <w:color w:val="000000"/>
          <w:sz w:val="20"/>
          <w:szCs w:val="20"/>
        </w:rPr>
        <w:t>otes, except that the Exchange Notes are registered under the Securities Act and the transfer restrictions, registration rights and related special interest provisions applicable to the Original Notes do not apply to the Exchange Notes. Each series of Exch</w:t>
      </w:r>
      <w:r>
        <w:rPr>
          <w:rFonts w:eastAsia="Times New Roman"/>
          <w:color w:val="000000"/>
          <w:sz w:val="20"/>
          <w:szCs w:val="20"/>
        </w:rPr>
        <w:t>ange Notes is part of the same corresponding series of the Original Notes and were issued under the same base indenture.</w:t>
      </w:r>
    </w:p>
    <w:p w:rsidR="00000000" w:rsidRDefault="005D26B8">
      <w:pPr>
        <w:ind w:firstLine="450"/>
        <w:divId w:val="2005621520"/>
        <w:rPr>
          <w:rFonts w:eastAsia="Times New Roman"/>
        </w:rPr>
      </w:pPr>
      <w:r>
        <w:rPr>
          <w:rFonts w:eastAsia="Times New Roman"/>
          <w:color w:val="000000"/>
          <w:sz w:val="20"/>
          <w:szCs w:val="20"/>
        </w:rPr>
        <w:t>The Exchange Offers expired at 5:00 p.m., New York City time, on May 1, 2020. On May 5, 2020, we settled the Exchange Offers and issued</w:t>
      </w:r>
      <w:r>
        <w:rPr>
          <w:rFonts w:eastAsia="Times New Roman"/>
          <w:color w:val="000000"/>
          <w:sz w:val="20"/>
          <w:szCs w:val="20"/>
        </w:rPr>
        <w:t xml:space="preserve"> Exchange Notes for validly tendered Original Notes for over 99.9% of the 4.95% 2021 Notes, 3.85% 2023 Notes, 3.95% 2024 Notes and 3.85% 2026 Notes and approximately 98.9% of the 4.40% 2028 Notes. </w:t>
      </w:r>
    </w:p>
    <w:p w:rsidR="00000000" w:rsidRDefault="005D26B8">
      <w:pPr>
        <w:jc w:val="both"/>
        <w:divId w:val="261651492"/>
        <w:rPr>
          <w:rFonts w:eastAsia="Times New Roman"/>
        </w:rPr>
      </w:pPr>
      <w:r>
        <w:rPr>
          <w:rFonts w:eastAsia="Times New Roman"/>
          <w:b/>
          <w:bCs/>
          <w:color w:val="000000"/>
          <w:sz w:val="20"/>
          <w:szCs w:val="20"/>
        </w:rPr>
        <w:t xml:space="preserve">Note N — Postretirement Benefit Plans </w:t>
      </w:r>
    </w:p>
    <w:p w:rsidR="00000000" w:rsidRDefault="005D26B8">
      <w:pPr>
        <w:ind w:firstLine="450"/>
        <w:divId w:val="658920021"/>
        <w:rPr>
          <w:rFonts w:eastAsia="Times New Roman"/>
        </w:rPr>
      </w:pPr>
      <w:r>
        <w:rPr>
          <w:rFonts w:eastAsia="Times New Roman"/>
          <w:color w:val="000000"/>
          <w:sz w:val="20"/>
          <w:szCs w:val="20"/>
        </w:rPr>
        <w:t>The following table</w:t>
      </w:r>
      <w:r>
        <w:rPr>
          <w:rFonts w:eastAsia="Times New Roman"/>
          <w:color w:val="000000"/>
          <w:sz w:val="20"/>
          <w:szCs w:val="20"/>
        </w:rPr>
        <w:t xml:space="preserve">s provide the components of our net periodic benefit income for our defined benefit plans, including defined benefit pension plans and other postretirement defined benefit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3117"/>
        <w:gridCol w:w="39"/>
        <w:gridCol w:w="121"/>
        <w:gridCol w:w="1071"/>
        <w:gridCol w:w="37"/>
        <w:gridCol w:w="36"/>
        <w:gridCol w:w="36"/>
        <w:gridCol w:w="36"/>
        <w:gridCol w:w="121"/>
        <w:gridCol w:w="1027"/>
        <w:gridCol w:w="37"/>
        <w:gridCol w:w="36"/>
        <w:gridCol w:w="36"/>
        <w:gridCol w:w="36"/>
        <w:gridCol w:w="120"/>
        <w:gridCol w:w="1028"/>
        <w:gridCol w:w="36"/>
        <w:gridCol w:w="36"/>
        <w:gridCol w:w="36"/>
        <w:gridCol w:w="36"/>
        <w:gridCol w:w="121"/>
        <w:gridCol w:w="1030"/>
        <w:gridCol w:w="37"/>
      </w:tblGrid>
      <w:tr w:rsidR="00000000">
        <w:trPr>
          <w:divId w:val="1939752839"/>
        </w:trPr>
        <w:tc>
          <w:tcPr>
            <w:tcW w:w="50" w:type="pct"/>
            <w:vAlign w:val="center"/>
            <w:hideMark/>
          </w:tcPr>
          <w:p w:rsidR="00000000" w:rsidRDefault="005D26B8">
            <w:pPr>
              <w:ind w:firstLine="450"/>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939752839"/>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 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 October 2, 2020</w:t>
            </w:r>
          </w:p>
        </w:tc>
      </w:tr>
      <w:tr w:rsidR="00000000">
        <w:trPr>
          <w:divId w:val="193975283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Other Benefits</w:t>
            </w:r>
          </w:p>
        </w:tc>
      </w:tr>
      <w:tr w:rsidR="00000000">
        <w:trPr>
          <w:divId w:val="1939752839"/>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39752839"/>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39752839"/>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Amortization of net actuarial loss (gain)</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shd w:val="clear" w:color="auto" w:fill="CCEEFF"/>
            <w:tcMar>
              <w:top w:w="30" w:type="dxa"/>
              <w:left w:w="20" w:type="dxa"/>
              <w:bottom w:w="30" w:type="dxa"/>
              <w:right w:w="20" w:type="dxa"/>
            </w:tcMar>
            <w:hideMark/>
          </w:tcPr>
          <w:p w:rsidR="00000000" w:rsidRDefault="005D26B8">
            <w:pPr>
              <w:divId w:val="893270561"/>
              <w:rPr>
                <w:rFonts w:eastAsia="Times New Roman"/>
              </w:rPr>
            </w:pPr>
            <w:r>
              <w:rPr>
                <w:rFonts w:eastAsia="Times New Roman"/>
                <w:color w:val="000000"/>
                <w:sz w:val="20"/>
                <w:szCs w:val="20"/>
              </w:rPr>
              <w:t>Contractual termination benefit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 xml:space="preserve">Total net periodic benefit income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39752839"/>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93975283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bl>
    <w:p w:rsidR="00000000" w:rsidRDefault="005D26B8">
      <w:pPr>
        <w:divId w:val="588928159"/>
        <w:rPr>
          <w:rFonts w:eastAsia="Times New Roman"/>
        </w:rPr>
      </w:pPr>
      <w:r>
        <w:rPr>
          <w:rFonts w:eastAsia="Times New Roman"/>
          <w:color w:val="000000"/>
          <w:sz w:val="16"/>
          <w:szCs w:val="16"/>
        </w:rPr>
        <w:t>_______________</w:t>
      </w:r>
    </w:p>
    <w:p w:rsidR="00000000" w:rsidRDefault="005D26B8">
      <w:pPr>
        <w:ind w:hanging="270"/>
        <w:divId w:val="191190060"/>
        <w:rPr>
          <w:rFonts w:eastAsia="Times New Roman"/>
        </w:rPr>
      </w:pPr>
      <w:r>
        <w:rPr>
          <w:rFonts w:eastAsia="Times New Roman"/>
          <w:color w:val="000000"/>
          <w:sz w:val="16"/>
          <w:szCs w:val="16"/>
        </w:rPr>
        <w:t>(1)Contractual termination benefits related to facility rationalization as part of re</w:t>
      </w:r>
      <w:r>
        <w:rPr>
          <w:rFonts w:eastAsia="Times New Roman"/>
          <w:color w:val="000000"/>
          <w:sz w:val="16"/>
          <w:szCs w:val="16"/>
        </w:rPr>
        <w:t xml:space="preserve">structuring activities in connection with the L3Harris Merger integration. See </w:t>
      </w:r>
      <w:r>
        <w:rPr>
          <w:rFonts w:eastAsia="Times New Roman"/>
          <w:i/>
          <w:iCs/>
          <w:color w:val="000000"/>
          <w:sz w:val="16"/>
          <w:szCs w:val="16"/>
        </w:rPr>
        <w:t>Note E — Restructuring and Other Exit Costs</w:t>
      </w:r>
      <w:r>
        <w:rPr>
          <w:rFonts w:eastAsia="Times New Roman"/>
          <w:color w:val="000000"/>
          <w:sz w:val="16"/>
          <w:szCs w:val="16"/>
        </w:rPr>
        <w:t xml:space="preserve"> in these Notes for additional information regarding restructuring activities.</w:t>
      </w:r>
    </w:p>
    <w:p w:rsidR="00000000" w:rsidRDefault="005D26B8">
      <w:pPr>
        <w:jc w:val="center"/>
        <w:divId w:val="1000694058"/>
        <w:rPr>
          <w:rFonts w:eastAsia="Times New Roman"/>
        </w:rPr>
      </w:pPr>
      <w:r>
        <w:rPr>
          <w:rFonts w:eastAsia="Times New Roman"/>
          <w:color w:val="000000"/>
          <w:sz w:val="20"/>
          <w:szCs w:val="20"/>
        </w:rPr>
        <w:t>19</w:t>
      </w:r>
    </w:p>
    <w:p w:rsidR="00000000" w:rsidRDefault="005D26B8">
      <w:pPr>
        <w:rPr>
          <w:rFonts w:eastAsia="Times New Roman"/>
        </w:rPr>
      </w:pPr>
      <w:r>
        <w:rPr>
          <w:rFonts w:eastAsia="Times New Roman"/>
        </w:rPr>
        <w:pict>
          <v:rect id="_x0000_i1046" style="width:0;height:1.5pt" o:hralign="center" o:hrstd="t" o:hr="t" fillcolor="#a0a0a0" stroked="f"/>
        </w:pict>
      </w:r>
    </w:p>
    <w:p w:rsidR="00000000" w:rsidRDefault="005D26B8">
      <w:pPr>
        <w:divId w:val="10179309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117"/>
        <w:gridCol w:w="39"/>
        <w:gridCol w:w="121"/>
        <w:gridCol w:w="1071"/>
        <w:gridCol w:w="37"/>
        <w:gridCol w:w="36"/>
        <w:gridCol w:w="36"/>
        <w:gridCol w:w="36"/>
        <w:gridCol w:w="121"/>
        <w:gridCol w:w="1027"/>
        <w:gridCol w:w="37"/>
        <w:gridCol w:w="36"/>
        <w:gridCol w:w="36"/>
        <w:gridCol w:w="36"/>
        <w:gridCol w:w="120"/>
        <w:gridCol w:w="1028"/>
        <w:gridCol w:w="36"/>
        <w:gridCol w:w="36"/>
        <w:gridCol w:w="36"/>
        <w:gridCol w:w="36"/>
        <w:gridCol w:w="121"/>
        <w:gridCol w:w="1030"/>
        <w:gridCol w:w="37"/>
      </w:tblGrid>
      <w:tr w:rsidR="00000000">
        <w:trPr>
          <w:divId w:val="1727290527"/>
        </w:trPr>
        <w:tc>
          <w:tcPr>
            <w:tcW w:w="50" w:type="pct"/>
            <w:vAlign w:val="center"/>
            <w:hideMark/>
          </w:tcPr>
          <w:p w:rsidR="00000000" w:rsidRDefault="005D26B8">
            <w:pPr>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727290527"/>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 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 September 27, 2019</w:t>
            </w:r>
          </w:p>
        </w:tc>
      </w:tr>
      <w:tr w:rsidR="00000000">
        <w:trPr>
          <w:divId w:val="1727290527"/>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Other Benefits</w:t>
            </w:r>
          </w:p>
        </w:tc>
      </w:tr>
      <w:tr w:rsidR="00000000">
        <w:trPr>
          <w:divId w:val="1727290527"/>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27290527"/>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27290527"/>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27290527"/>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27290527"/>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27290527"/>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Amortization of net actuarial gain</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27290527"/>
        </w:trPr>
        <w:tc>
          <w:tcPr>
            <w:tcW w:w="0" w:type="auto"/>
            <w:gridSpan w:val="3"/>
            <w:shd w:val="clear" w:color="auto" w:fill="FFFFFF"/>
            <w:tcMar>
              <w:top w:w="30" w:type="dxa"/>
              <w:left w:w="20" w:type="dxa"/>
              <w:bottom w:w="30" w:type="dxa"/>
              <w:right w:w="20" w:type="dxa"/>
            </w:tcMar>
            <w:hideMark/>
          </w:tcPr>
          <w:p w:rsidR="00000000" w:rsidRDefault="005D26B8">
            <w:pPr>
              <w:divId w:val="997151758"/>
              <w:rPr>
                <w:rFonts w:eastAsia="Times New Roman"/>
              </w:rPr>
            </w:pPr>
            <w:r>
              <w:rPr>
                <w:rFonts w:eastAsia="Times New Roman"/>
                <w:color w:val="000000"/>
                <w:sz w:val="20"/>
                <w:szCs w:val="20"/>
              </w:rPr>
              <w:t>Effect of curtailments or settlement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27290527"/>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 xml:space="preserve">Total net periodic benefit income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1845513095"/>
        <w:rPr>
          <w:rFonts w:eastAsia="Times New Roman"/>
        </w:rPr>
      </w:pPr>
      <w:r>
        <w:rPr>
          <w:rFonts w:eastAsia="Times New Roman"/>
          <w:color w:val="000000"/>
          <w:sz w:val="16"/>
          <w:szCs w:val="16"/>
        </w:rPr>
        <w:t>_______________</w:t>
      </w:r>
    </w:p>
    <w:p w:rsidR="00000000" w:rsidRDefault="005D26B8">
      <w:pPr>
        <w:ind w:hanging="270"/>
        <w:jc w:val="both"/>
        <w:rPr>
          <w:rFonts w:eastAsia="Times New Roman"/>
        </w:rPr>
      </w:pPr>
      <w:r>
        <w:rPr>
          <w:rFonts w:eastAsia="Times New Roman"/>
          <w:color w:val="000000"/>
          <w:sz w:val="16"/>
          <w:szCs w:val="16"/>
        </w:rPr>
        <w:t>(1)During the quarter ended September 27, 2019, we recognized a $5 million settlement loss resulting from the full payout of the liabili</w:t>
      </w:r>
      <w:r>
        <w:rPr>
          <w:rFonts w:eastAsia="Times New Roman"/>
          <w:color w:val="000000"/>
          <w:sz w:val="16"/>
          <w:szCs w:val="16"/>
        </w:rPr>
        <w:t>ties of a non-qualified benefit plan due to the change in control provisions.</w:t>
      </w:r>
    </w:p>
    <w:p w:rsidR="00000000" w:rsidRDefault="005D26B8">
      <w:pPr>
        <w:ind w:firstLine="450"/>
        <w:divId w:val="124125319"/>
        <w:rPr>
          <w:rFonts w:eastAsia="Times New Roman"/>
        </w:rPr>
      </w:pPr>
      <w:r>
        <w:rPr>
          <w:rFonts w:eastAsia="Times New Roman"/>
          <w:color w:val="000000"/>
          <w:sz w:val="20"/>
          <w:szCs w:val="20"/>
        </w:rPr>
        <w:t>The service cost component of net periodic benefit income is included in the “Cost of product sales and services” and “Engineering, selling and administrative expenses” line item</w:t>
      </w:r>
      <w:r>
        <w:rPr>
          <w:rFonts w:eastAsia="Times New Roman"/>
          <w:color w:val="000000"/>
          <w:sz w:val="20"/>
          <w:szCs w:val="20"/>
        </w:rPr>
        <w:t>s in our Condensed Consolidated Statement of Income (Unaudited). The non-service cost components of net periodic benefit income are included in the “Non-operating income” line item in our Condensed Consolidated Statement of Income (Unaudited), except for c</w:t>
      </w:r>
      <w:r>
        <w:rPr>
          <w:rFonts w:eastAsia="Times New Roman"/>
          <w:color w:val="000000"/>
          <w:sz w:val="20"/>
          <w:szCs w:val="20"/>
        </w:rPr>
        <w:t xml:space="preserve">ontractual termination benefits which are included in restructuring in the “Engineering, selling and administrative expenses” line item in our Condensed Consolidated Statement of Income (Unaudited). </w:t>
      </w:r>
    </w:p>
    <w:p w:rsidR="00000000" w:rsidRDefault="005D26B8">
      <w:pPr>
        <w:ind w:firstLine="450"/>
        <w:divId w:val="1231117790"/>
        <w:rPr>
          <w:rFonts w:eastAsia="Times New Roman"/>
        </w:rPr>
      </w:pPr>
      <w:r>
        <w:rPr>
          <w:rFonts w:eastAsia="Times New Roman"/>
          <w:color w:val="000000"/>
          <w:sz w:val="20"/>
          <w:szCs w:val="20"/>
        </w:rPr>
        <w:t>We contributed $327 million to our qualified defined ben</w:t>
      </w:r>
      <w:r>
        <w:rPr>
          <w:rFonts w:eastAsia="Times New Roman"/>
          <w:color w:val="000000"/>
          <w:sz w:val="20"/>
          <w:szCs w:val="20"/>
        </w:rPr>
        <w:t>efit pension plans during the quarter ended September 27, 2019, including a $302 million voluntary contribution to our U.S. qualified defined benefit pension plans. As a result of this voluntary contribution, as well as $700 million of voluntary contributi</w:t>
      </w:r>
      <w:r>
        <w:rPr>
          <w:rFonts w:eastAsia="Times New Roman"/>
          <w:color w:val="000000"/>
          <w:sz w:val="20"/>
          <w:szCs w:val="20"/>
        </w:rPr>
        <w:t>ons made in fiscal 2018 and 2017, we made no material contributions to our U.S. qualified defined benefit pension plans during the quarter and three quarters ended October 2, 2020 and are not required to make any contributions to these plans during the rem</w:t>
      </w:r>
      <w:r>
        <w:rPr>
          <w:rFonts w:eastAsia="Times New Roman"/>
          <w:color w:val="000000"/>
          <w:sz w:val="20"/>
          <w:szCs w:val="20"/>
        </w:rPr>
        <w:t xml:space="preserve">ainder of fiscal 2020. </w:t>
      </w:r>
    </w:p>
    <w:p w:rsidR="00000000" w:rsidRDefault="005D26B8">
      <w:pPr>
        <w:jc w:val="both"/>
        <w:divId w:val="1076703136"/>
        <w:rPr>
          <w:rFonts w:eastAsia="Times New Roman"/>
        </w:rPr>
      </w:pPr>
      <w:r>
        <w:rPr>
          <w:rFonts w:eastAsia="Times New Roman"/>
          <w:b/>
          <w:bCs/>
          <w:color w:val="000000"/>
          <w:sz w:val="20"/>
          <w:szCs w:val="20"/>
        </w:rPr>
        <w:t xml:space="preserve">Note O — Income From Continuing Operations Per Share </w:t>
      </w:r>
    </w:p>
    <w:p w:rsidR="00000000" w:rsidRDefault="005D26B8">
      <w:pPr>
        <w:ind w:firstLine="450"/>
        <w:divId w:val="838740115"/>
        <w:rPr>
          <w:rFonts w:eastAsia="Times New Roman"/>
        </w:rPr>
      </w:pPr>
      <w:r>
        <w:rPr>
          <w:rFonts w:eastAsia="Times New Roman"/>
          <w:color w:val="000000"/>
          <w:sz w:val="20"/>
          <w:szCs w:val="20"/>
        </w:rPr>
        <w:t>The computations of income from continuing operations per common share attributable to L3Harris common shareholders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091"/>
        <w:gridCol w:w="39"/>
        <w:gridCol w:w="121"/>
        <w:gridCol w:w="828"/>
        <w:gridCol w:w="36"/>
        <w:gridCol w:w="36"/>
        <w:gridCol w:w="36"/>
        <w:gridCol w:w="36"/>
        <w:gridCol w:w="121"/>
        <w:gridCol w:w="784"/>
        <w:gridCol w:w="36"/>
        <w:gridCol w:w="36"/>
        <w:gridCol w:w="36"/>
        <w:gridCol w:w="36"/>
        <w:gridCol w:w="121"/>
        <w:gridCol w:w="784"/>
        <w:gridCol w:w="37"/>
        <w:gridCol w:w="36"/>
        <w:gridCol w:w="36"/>
        <w:gridCol w:w="36"/>
        <w:gridCol w:w="121"/>
        <w:gridCol w:w="787"/>
        <w:gridCol w:w="36"/>
      </w:tblGrid>
      <w:tr w:rsidR="00000000">
        <w:trPr>
          <w:divId w:val="266232788"/>
        </w:trPr>
        <w:tc>
          <w:tcPr>
            <w:tcW w:w="50" w:type="pct"/>
            <w:vAlign w:val="center"/>
            <w:hideMark/>
          </w:tcPr>
          <w:p w:rsidR="00000000" w:rsidRDefault="005D26B8">
            <w:pPr>
              <w:ind w:firstLine="450"/>
              <w:rPr>
                <w:rFonts w:eastAsia="Times New Roman"/>
              </w:rPr>
            </w:pPr>
          </w:p>
        </w:tc>
        <w:tc>
          <w:tcPr>
            <w:tcW w:w="249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3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6623278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26623278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r>
      <w:tr w:rsidR="00000000">
        <w:trPr>
          <w:divId w:val="266232788"/>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6623278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 (A)</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66232788"/>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266232788"/>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266232788"/>
          <w:trHeight w:val="300"/>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6623278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Basic weighted average common shares outstanding (B)</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215.5</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150.6</w:t>
            </w:r>
          </w:p>
        </w:tc>
      </w:tr>
      <w:tr w:rsidR="00000000">
        <w:trPr>
          <w:divId w:val="26623278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2.9</w:t>
            </w:r>
          </w:p>
        </w:tc>
      </w:tr>
      <w:tr w:rsidR="00000000">
        <w:trPr>
          <w:divId w:val="26623278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Diluted weighted average common shares outstanding (C)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217.3</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153.5</w:t>
            </w:r>
          </w:p>
        </w:tc>
      </w:tr>
      <w:tr w:rsidR="00000000">
        <w:trPr>
          <w:divId w:val="266232788"/>
        </w:trPr>
        <w:tc>
          <w:tcPr>
            <w:tcW w:w="0" w:type="auto"/>
            <w:gridSpan w:val="3"/>
            <w:shd w:val="clear" w:color="auto" w:fill="FFFFFF"/>
            <w:tcMar>
              <w:top w:w="30" w:type="dxa"/>
              <w:left w:w="28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Income from continuing operations per basic common share (A)/(B)</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66232788"/>
        </w:trPr>
        <w:tc>
          <w:tcPr>
            <w:tcW w:w="0" w:type="auto"/>
            <w:gridSpan w:val="3"/>
            <w:shd w:val="clear" w:color="auto" w:fill="CCEEFF"/>
            <w:tcMar>
              <w:top w:w="30" w:type="dxa"/>
              <w:left w:w="28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Income from continuing operations per diluted common share (A)/(C)</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1562982376"/>
        <w:rPr>
          <w:rFonts w:eastAsia="Times New Roman"/>
        </w:rPr>
      </w:pPr>
      <w:r>
        <w:rPr>
          <w:rFonts w:eastAsia="Times New Roman"/>
          <w:color w:val="000000"/>
          <w:sz w:val="20"/>
          <w:szCs w:val="20"/>
        </w:rPr>
        <w:t>Potential dilutive common shares primarily consist of employee stock options, restricted stock units and performance stock units. Income from continuing operations per diluted common share excludes the anti-dilutive im</w:t>
      </w:r>
      <w:r>
        <w:rPr>
          <w:rFonts w:eastAsia="Times New Roman"/>
          <w:color w:val="000000"/>
          <w:sz w:val="20"/>
          <w:szCs w:val="20"/>
        </w:rPr>
        <w:t xml:space="preserve">pact of 1.5 million and 1.3 million weighted average share-based awards outstanding for the quarter and three quarters ended October 2, 2020, respectively, and 0.5 million and 0.3 million weighted average share-based awards outstanding for the quarter and </w:t>
      </w:r>
      <w:r>
        <w:rPr>
          <w:rFonts w:eastAsia="Times New Roman"/>
          <w:color w:val="000000"/>
          <w:sz w:val="20"/>
          <w:szCs w:val="20"/>
        </w:rPr>
        <w:t>three quarters ended September 27, 2019, respectively.</w:t>
      </w:r>
    </w:p>
    <w:p w:rsidR="00000000" w:rsidRDefault="005D26B8">
      <w:pPr>
        <w:jc w:val="center"/>
        <w:divId w:val="1159881258"/>
        <w:rPr>
          <w:rFonts w:eastAsia="Times New Roman"/>
        </w:rPr>
      </w:pPr>
      <w:r>
        <w:rPr>
          <w:rFonts w:eastAsia="Times New Roman"/>
          <w:color w:val="000000"/>
          <w:sz w:val="20"/>
          <w:szCs w:val="20"/>
        </w:rPr>
        <w:t>20</w:t>
      </w:r>
    </w:p>
    <w:p w:rsidR="00000000" w:rsidRDefault="005D26B8">
      <w:pPr>
        <w:rPr>
          <w:rFonts w:eastAsia="Times New Roman"/>
        </w:rPr>
      </w:pPr>
      <w:r>
        <w:rPr>
          <w:rFonts w:eastAsia="Times New Roman"/>
        </w:rPr>
        <w:pict>
          <v:rect id="_x0000_i1047" style="width:0;height:1.5pt" o:hralign="center" o:hrstd="t" o:hr="t" fillcolor="#a0a0a0" stroked="f"/>
        </w:pict>
      </w:r>
    </w:p>
    <w:p w:rsidR="00000000" w:rsidRDefault="005D26B8">
      <w:pPr>
        <w:divId w:val="1209604452"/>
        <w:rPr>
          <w:rFonts w:eastAsia="Times New Roman"/>
        </w:rPr>
      </w:pPr>
    </w:p>
    <w:p w:rsidR="00000000" w:rsidRDefault="005D26B8">
      <w:pPr>
        <w:divId w:val="1761177469"/>
        <w:rPr>
          <w:rFonts w:eastAsia="Times New Roman"/>
        </w:rPr>
      </w:pPr>
      <w:r>
        <w:rPr>
          <w:rFonts w:eastAsia="Times New Roman"/>
          <w:b/>
          <w:bCs/>
          <w:color w:val="000000"/>
          <w:sz w:val="20"/>
          <w:szCs w:val="20"/>
        </w:rPr>
        <w:t xml:space="preserve">Note P — Non-Operating Income </w:t>
      </w:r>
    </w:p>
    <w:p w:rsidR="00000000" w:rsidRDefault="005D26B8">
      <w:pPr>
        <w:ind w:firstLine="450"/>
        <w:divId w:val="777406186"/>
        <w:rPr>
          <w:rFonts w:eastAsia="Times New Roman"/>
        </w:rPr>
      </w:pPr>
      <w:r>
        <w:rPr>
          <w:rFonts w:eastAsia="Times New Roman"/>
          <w:color w:val="000000"/>
          <w:sz w:val="20"/>
          <w:szCs w:val="20"/>
        </w:rPr>
        <w:t>The components of non-operating income were as follows:</w:t>
      </w:r>
    </w:p>
    <w:tbl>
      <w:tblPr>
        <w:tblW w:w="4934" w:type="pct"/>
        <w:tblCellMar>
          <w:top w:w="15" w:type="dxa"/>
          <w:left w:w="15" w:type="dxa"/>
          <w:bottom w:w="15" w:type="dxa"/>
          <w:right w:w="15" w:type="dxa"/>
        </w:tblCellMar>
        <w:tblLook w:val="04A0" w:firstRow="1" w:lastRow="0" w:firstColumn="1" w:lastColumn="0" w:noHBand="0" w:noVBand="1"/>
      </w:tblPr>
      <w:tblGrid>
        <w:gridCol w:w="38"/>
        <w:gridCol w:w="3118"/>
        <w:gridCol w:w="36"/>
        <w:gridCol w:w="121"/>
        <w:gridCol w:w="1072"/>
        <w:gridCol w:w="36"/>
        <w:gridCol w:w="36"/>
        <w:gridCol w:w="36"/>
        <w:gridCol w:w="36"/>
        <w:gridCol w:w="121"/>
        <w:gridCol w:w="993"/>
        <w:gridCol w:w="36"/>
        <w:gridCol w:w="36"/>
        <w:gridCol w:w="36"/>
        <w:gridCol w:w="36"/>
        <w:gridCol w:w="121"/>
        <w:gridCol w:w="993"/>
        <w:gridCol w:w="37"/>
        <w:gridCol w:w="36"/>
        <w:gridCol w:w="36"/>
        <w:gridCol w:w="36"/>
        <w:gridCol w:w="121"/>
        <w:gridCol w:w="993"/>
        <w:gridCol w:w="36"/>
      </w:tblGrid>
      <w:tr w:rsidR="00000000">
        <w:trPr>
          <w:divId w:val="2060668213"/>
        </w:trPr>
        <w:tc>
          <w:tcPr>
            <w:tcW w:w="50" w:type="pct"/>
            <w:vAlign w:val="center"/>
            <w:hideMark/>
          </w:tcPr>
          <w:p w:rsidR="00000000" w:rsidRDefault="005D26B8">
            <w:pPr>
              <w:ind w:firstLine="450"/>
              <w:rPr>
                <w:rFonts w:eastAsia="Times New Roman"/>
              </w:rPr>
            </w:pPr>
          </w:p>
        </w:tc>
        <w:tc>
          <w:tcPr>
            <w:tcW w:w="193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6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6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6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060668213"/>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2060668213"/>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2060668213"/>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060668213"/>
        </w:trPr>
        <w:tc>
          <w:tcPr>
            <w:tcW w:w="0" w:type="auto"/>
            <w:gridSpan w:val="3"/>
            <w:shd w:val="clear" w:color="auto" w:fill="CCEEFF"/>
            <w:tcMar>
              <w:top w:w="30" w:type="dxa"/>
              <w:left w:w="20" w:type="dxa"/>
              <w:bottom w:w="30" w:type="dxa"/>
              <w:right w:w="20" w:type="dxa"/>
            </w:tcMar>
            <w:vAlign w:val="bottom"/>
            <w:hideMark/>
          </w:tcPr>
          <w:p w:rsidR="00000000" w:rsidRDefault="005D26B8">
            <w:pPr>
              <w:divId w:val="506603950"/>
              <w:rPr>
                <w:rFonts w:eastAsia="Times New Roman"/>
              </w:rPr>
            </w:pPr>
            <w:r>
              <w:rPr>
                <w:rFonts w:eastAsia="Times New Roman"/>
                <w:color w:val="000000"/>
                <w:sz w:val="20"/>
                <w:szCs w:val="20"/>
              </w:rPr>
              <w:t>Pension adjustmen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060668213"/>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2060668213"/>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2060668213"/>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2060668213"/>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060668213"/>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non-operating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both"/>
        <w:rPr>
          <w:rFonts w:eastAsia="Times New Roman"/>
        </w:rPr>
      </w:pPr>
      <w:r>
        <w:rPr>
          <w:rFonts w:eastAsia="Times New Roman"/>
          <w:color w:val="000000"/>
          <w:sz w:val="16"/>
          <w:szCs w:val="16"/>
        </w:rPr>
        <w:t>_______________</w:t>
      </w:r>
    </w:p>
    <w:p w:rsidR="00000000" w:rsidRDefault="005D26B8">
      <w:pPr>
        <w:ind w:hanging="270"/>
        <w:divId w:val="53821381"/>
        <w:rPr>
          <w:rFonts w:eastAsia="Times New Roman"/>
        </w:rPr>
      </w:pPr>
      <w:r>
        <w:rPr>
          <w:rFonts w:eastAsia="Times New Roman"/>
          <w:color w:val="000000"/>
          <w:sz w:val="16"/>
          <w:szCs w:val="16"/>
        </w:rPr>
        <w:t xml:space="preserve">(1)Pension adjustment recorded in the “Non-operating income” </w:t>
      </w:r>
      <w:r>
        <w:rPr>
          <w:rFonts w:eastAsia="Times New Roman"/>
          <w:color w:val="000000"/>
          <w:sz w:val="16"/>
          <w:szCs w:val="16"/>
        </w:rPr>
        <w:t>line item in our Condensed Consolidated Statement of Income (Unaudited) represents the non-service component of net periodic pension and postretirement benefit costs, which includes interest cost, expected return on plan assets, amortization of net actuari</w:t>
      </w:r>
      <w:r>
        <w:rPr>
          <w:rFonts w:eastAsia="Times New Roman"/>
          <w:color w:val="000000"/>
          <w:sz w:val="16"/>
          <w:szCs w:val="16"/>
        </w:rPr>
        <w:t xml:space="preserve">al gain and effect of curtailments or settlements. </w:t>
      </w:r>
    </w:p>
    <w:p w:rsidR="00000000" w:rsidRDefault="005D26B8">
      <w:pPr>
        <w:jc w:val="both"/>
        <w:divId w:val="23142008"/>
        <w:rPr>
          <w:rFonts w:eastAsia="Times New Roman"/>
        </w:rPr>
      </w:pPr>
      <w:r>
        <w:rPr>
          <w:rFonts w:eastAsia="Times New Roman"/>
          <w:b/>
          <w:bCs/>
          <w:color w:val="000000"/>
          <w:sz w:val="20"/>
          <w:szCs w:val="20"/>
        </w:rPr>
        <w:t>Note Q — Income Taxes</w:t>
      </w:r>
    </w:p>
    <w:p w:rsidR="00000000" w:rsidRDefault="005D26B8">
      <w:pPr>
        <w:ind w:firstLine="450"/>
        <w:divId w:val="2017266687"/>
        <w:rPr>
          <w:rFonts w:eastAsia="Times New Roman"/>
        </w:rPr>
      </w:pPr>
      <w:r>
        <w:rPr>
          <w:rFonts w:eastAsia="Times New Roman"/>
          <w:color w:val="000000"/>
          <w:sz w:val="20"/>
          <w:szCs w:val="20"/>
        </w:rPr>
        <w:t>Our effective tax rate (income taxes as a percentage of income from continuing operations before income taxes) was 16.8 percent in the quarter ended October 2, 2020 compared with 1.1</w:t>
      </w:r>
      <w:r>
        <w:rPr>
          <w:rFonts w:eastAsia="Times New Roman"/>
          <w:color w:val="000000"/>
          <w:sz w:val="20"/>
          <w:szCs w:val="20"/>
        </w:rPr>
        <w:t xml:space="preserve"> percent in the quarter ended September 27, 2019. In the quarter ended October 2, 2020, our effective tax rate benefited from favorable adjustments upon the finalization of our Federal tax returns including the benefit of recently released tax regulations </w:t>
      </w:r>
      <w:r>
        <w:rPr>
          <w:rFonts w:eastAsia="Times New Roman"/>
          <w:color w:val="000000"/>
          <w:sz w:val="20"/>
          <w:szCs w:val="20"/>
        </w:rPr>
        <w:t>and the resolution of audit uncertainties. In the quarter ended September 27, 2019, our effective tax rate benefited from the favorable impact of excess tax benefits related to equity-based compensation, from the ability to utilize capital loss carryforwar</w:t>
      </w:r>
      <w:r>
        <w:rPr>
          <w:rFonts w:eastAsia="Times New Roman"/>
          <w:color w:val="000000"/>
          <w:sz w:val="20"/>
          <w:szCs w:val="20"/>
        </w:rPr>
        <w:t xml:space="preserve">ds with a full valuation allowance against capital gains generated from the Harris Night Vision business divestiture, and from the release of uncertain tax positions due to statute of limitations expirations. </w:t>
      </w:r>
    </w:p>
    <w:p w:rsidR="00000000" w:rsidRDefault="005D26B8">
      <w:pPr>
        <w:ind w:firstLine="450"/>
        <w:divId w:val="1083837624"/>
        <w:rPr>
          <w:rFonts w:eastAsia="Times New Roman"/>
        </w:rPr>
      </w:pPr>
      <w:r>
        <w:rPr>
          <w:rFonts w:eastAsia="Times New Roman"/>
          <w:color w:val="000000"/>
          <w:sz w:val="20"/>
          <w:szCs w:val="20"/>
        </w:rPr>
        <w:t xml:space="preserve">Our effective tax rate was 15.9 </w:t>
      </w:r>
      <w:r>
        <w:rPr>
          <w:rFonts w:eastAsia="Times New Roman"/>
          <w:color w:val="000000"/>
          <w:sz w:val="20"/>
          <w:szCs w:val="20"/>
        </w:rPr>
        <w:t>percent in the three quarters ended October 2, 2020 compared with 7.6 percent in the three quarters ended September 27, 2019. In addition to the items noted above for the quarter ended October 2, 2020, our effective tax rate for the three quarters ended Oc</w:t>
      </w:r>
      <w:r>
        <w:rPr>
          <w:rFonts w:eastAsia="Times New Roman"/>
          <w:color w:val="000000"/>
          <w:sz w:val="20"/>
          <w:szCs w:val="20"/>
        </w:rPr>
        <w:t>tober 2, 2020 benefited from the favorable impact of research and development credits, the favorable impact of excess tax benefits related to equity-based compensation, partially offset by the unfavorable impact of non-deductible goodwill impairment charge</w:t>
      </w:r>
      <w:r>
        <w:rPr>
          <w:rFonts w:eastAsia="Times New Roman"/>
          <w:color w:val="000000"/>
          <w:sz w:val="20"/>
          <w:szCs w:val="20"/>
        </w:rPr>
        <w:t>s. In addition to the items noted above for the quarter ended September 27, 2019, our effective tax rate for the three quarters ended September 27, 2019 benefited from additional research credits claimed on our prior year tax returns and favorable adjustme</w:t>
      </w:r>
      <w:r>
        <w:rPr>
          <w:rFonts w:eastAsia="Times New Roman"/>
          <w:color w:val="000000"/>
          <w:sz w:val="20"/>
          <w:szCs w:val="20"/>
        </w:rPr>
        <w:t xml:space="preserve">nts recorded upon the filing of our Federal tax returns. </w:t>
      </w:r>
    </w:p>
    <w:p w:rsidR="00000000" w:rsidRDefault="005D26B8">
      <w:pPr>
        <w:jc w:val="both"/>
        <w:divId w:val="1942955493"/>
        <w:rPr>
          <w:rFonts w:eastAsia="Times New Roman"/>
        </w:rPr>
      </w:pPr>
      <w:r>
        <w:rPr>
          <w:rFonts w:eastAsia="Times New Roman"/>
          <w:b/>
          <w:bCs/>
          <w:color w:val="000000"/>
          <w:sz w:val="20"/>
          <w:szCs w:val="20"/>
        </w:rPr>
        <w:t xml:space="preserve">Note R — Fair Value Measurements </w:t>
      </w:r>
    </w:p>
    <w:p w:rsidR="00000000" w:rsidRDefault="005D26B8">
      <w:pPr>
        <w:ind w:firstLine="495"/>
        <w:divId w:val="1449737184"/>
        <w:rPr>
          <w:rFonts w:eastAsia="Times New Roman"/>
        </w:rPr>
      </w:pPr>
      <w:r>
        <w:rPr>
          <w:rFonts w:eastAsia="Times New Roman"/>
          <w:color w:val="000000"/>
          <w:sz w:val="20"/>
          <w:szCs w:val="20"/>
        </w:rPr>
        <w:t>Fair value is defined as the price that would be received for an asset or the price that would be paid to transfer a liability in the principal market or most advan</w:t>
      </w:r>
      <w:r>
        <w:rPr>
          <w:rFonts w:eastAsia="Times New Roman"/>
          <w:color w:val="000000"/>
          <w:sz w:val="20"/>
          <w:szCs w:val="20"/>
        </w:rPr>
        <w:t>tageous market in an orderly transaction between market participants at the measurement date. Entities are required to maximize the use of observable inputs and minimize the use of unobservable inputs in measuring fair value, and to utilize a three-level f</w:t>
      </w:r>
      <w:r>
        <w:rPr>
          <w:rFonts w:eastAsia="Times New Roman"/>
          <w:color w:val="000000"/>
          <w:sz w:val="20"/>
          <w:szCs w:val="20"/>
        </w:rPr>
        <w:t>air value hierarchy that prioritizes the inputs used to measure fair value. The three levels of inputs used to measure fair value are as follows:</w:t>
      </w:r>
    </w:p>
    <w:p w:rsidR="00000000" w:rsidRDefault="005D26B8">
      <w:pPr>
        <w:ind w:hanging="180"/>
        <w:divId w:val="227427368"/>
        <w:rPr>
          <w:rFonts w:eastAsia="Times New Roman"/>
        </w:rPr>
      </w:pPr>
      <w:r>
        <w:rPr>
          <w:rFonts w:eastAsia="Times New Roman"/>
          <w:color w:val="000000"/>
          <w:sz w:val="20"/>
          <w:szCs w:val="20"/>
        </w:rPr>
        <w:t>•Level 1 — Quoted prices in active markets for identical assets or liabilities.</w:t>
      </w:r>
    </w:p>
    <w:p w:rsidR="00000000" w:rsidRDefault="005D26B8">
      <w:pPr>
        <w:ind w:hanging="180"/>
        <w:divId w:val="1011492077"/>
        <w:rPr>
          <w:rFonts w:eastAsia="Times New Roman"/>
        </w:rPr>
      </w:pPr>
      <w:r>
        <w:rPr>
          <w:rFonts w:eastAsia="Times New Roman"/>
          <w:color w:val="000000"/>
          <w:sz w:val="20"/>
          <w:szCs w:val="20"/>
        </w:rPr>
        <w:t>•Level 2 — Observable inputs o</w:t>
      </w:r>
      <w:r>
        <w:rPr>
          <w:rFonts w:eastAsia="Times New Roman"/>
          <w:color w:val="000000"/>
          <w:sz w:val="20"/>
          <w:szCs w:val="20"/>
        </w:rPr>
        <w:t>ther than quoted prices included within Level 1, including quoted prices for similar assets or liabilities in active markets; quoted prices for identical or similar assets or liabilities in markets that are not active; and inputs other than quoted prices t</w:t>
      </w:r>
      <w:r>
        <w:rPr>
          <w:rFonts w:eastAsia="Times New Roman"/>
          <w:color w:val="000000"/>
          <w:sz w:val="20"/>
          <w:szCs w:val="20"/>
        </w:rPr>
        <w:t>hat are observable or are derived principally from, or corroborated by, observable market data by correlation or other means.</w:t>
      </w:r>
    </w:p>
    <w:p w:rsidR="00000000" w:rsidRDefault="005D26B8">
      <w:pPr>
        <w:ind w:hanging="180"/>
        <w:divId w:val="433288384"/>
        <w:rPr>
          <w:rFonts w:eastAsia="Times New Roman"/>
        </w:rPr>
      </w:pPr>
      <w:r>
        <w:rPr>
          <w:rFonts w:eastAsia="Times New Roman"/>
          <w:color w:val="000000"/>
          <w:sz w:val="20"/>
          <w:szCs w:val="20"/>
        </w:rPr>
        <w:t>•Level 3 — Unobservable inputs that are supported by little or no market activity, are significant to the fair value of the assets</w:t>
      </w:r>
      <w:r>
        <w:rPr>
          <w:rFonts w:eastAsia="Times New Roman"/>
          <w:color w:val="000000"/>
          <w:sz w:val="20"/>
          <w:szCs w:val="20"/>
        </w:rPr>
        <w:t xml:space="preserve"> or liabilities, and reflect our own assumptions about the assumptions market participants would use in pricing the asset or liability developed using the best information available in the circumstances.</w:t>
      </w:r>
    </w:p>
    <w:p w:rsidR="00000000" w:rsidRDefault="005D26B8">
      <w:pPr>
        <w:ind w:firstLine="450"/>
        <w:divId w:val="581646746"/>
        <w:rPr>
          <w:rFonts w:eastAsia="Times New Roman"/>
        </w:rPr>
      </w:pPr>
      <w:r>
        <w:rPr>
          <w:rFonts w:eastAsia="Times New Roman"/>
          <w:color w:val="000000"/>
          <w:sz w:val="20"/>
          <w:szCs w:val="20"/>
        </w:rPr>
        <w:t xml:space="preserve">In certain instances, fair value is estimated using </w:t>
      </w:r>
      <w:r>
        <w:rPr>
          <w:rFonts w:eastAsia="Times New Roman"/>
          <w:color w:val="000000"/>
          <w:sz w:val="20"/>
          <w:szCs w:val="20"/>
        </w:rPr>
        <w:t>quoted market prices obtained from external pricing services. In obtaining such data from the external pricing services, we have evaluated the methodologies used to develop the estimate of fair value in order to assess whether such valuations are represent</w:t>
      </w:r>
      <w:r>
        <w:rPr>
          <w:rFonts w:eastAsia="Times New Roman"/>
          <w:color w:val="000000"/>
          <w:sz w:val="20"/>
          <w:szCs w:val="20"/>
        </w:rPr>
        <w:t>ative of fair value, including net asset value (“NAV”). Additionally, in certain circumstances, the NAV reported by an asset manager may be adjusted when sufficient evidence indicates NAV is not representative of fair value.</w:t>
      </w:r>
    </w:p>
    <w:p w:rsidR="00000000" w:rsidRDefault="005D26B8">
      <w:pPr>
        <w:jc w:val="center"/>
        <w:divId w:val="1686594039"/>
        <w:rPr>
          <w:rFonts w:eastAsia="Times New Roman"/>
        </w:rPr>
      </w:pPr>
      <w:r>
        <w:rPr>
          <w:rFonts w:eastAsia="Times New Roman"/>
          <w:color w:val="000000"/>
          <w:sz w:val="20"/>
          <w:szCs w:val="20"/>
        </w:rPr>
        <w:t>21</w:t>
      </w:r>
    </w:p>
    <w:p w:rsidR="00000000" w:rsidRDefault="005D26B8">
      <w:pPr>
        <w:rPr>
          <w:rFonts w:eastAsia="Times New Roman"/>
        </w:rPr>
      </w:pPr>
      <w:r>
        <w:rPr>
          <w:rFonts w:eastAsia="Times New Roman"/>
        </w:rPr>
        <w:pict>
          <v:rect id="_x0000_i1048" style="width:0;height:1.5pt" o:hralign="center" o:hrstd="t" o:hr="t" fillcolor="#a0a0a0" stroked="f"/>
        </w:pict>
      </w:r>
    </w:p>
    <w:p w:rsidR="00000000" w:rsidRDefault="005D26B8">
      <w:pPr>
        <w:divId w:val="1842156030"/>
        <w:rPr>
          <w:rFonts w:eastAsia="Times New Roman"/>
        </w:rPr>
      </w:pPr>
    </w:p>
    <w:p w:rsidR="00000000" w:rsidRDefault="005D26B8">
      <w:pPr>
        <w:ind w:firstLine="450"/>
        <w:divId w:val="1815833146"/>
        <w:rPr>
          <w:rFonts w:eastAsia="Times New Roman"/>
        </w:rPr>
      </w:pPr>
      <w:r>
        <w:rPr>
          <w:rFonts w:eastAsia="Times New Roman"/>
          <w:color w:val="000000"/>
          <w:sz w:val="20"/>
          <w:szCs w:val="20"/>
        </w:rPr>
        <w:t>The following table presents assets and liabilities measured at fair value on a recurring basis (at least annually) at October 2, 2020 and January 3,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3556"/>
        <w:gridCol w:w="37"/>
        <w:gridCol w:w="120"/>
        <w:gridCol w:w="523"/>
        <w:gridCol w:w="36"/>
        <w:gridCol w:w="36"/>
        <w:gridCol w:w="36"/>
        <w:gridCol w:w="36"/>
        <w:gridCol w:w="121"/>
        <w:gridCol w:w="474"/>
        <w:gridCol w:w="36"/>
        <w:gridCol w:w="36"/>
        <w:gridCol w:w="36"/>
        <w:gridCol w:w="36"/>
        <w:gridCol w:w="120"/>
        <w:gridCol w:w="474"/>
        <w:gridCol w:w="36"/>
        <w:gridCol w:w="46"/>
        <w:gridCol w:w="36"/>
        <w:gridCol w:w="36"/>
        <w:gridCol w:w="36"/>
        <w:gridCol w:w="36"/>
        <w:gridCol w:w="120"/>
        <w:gridCol w:w="474"/>
        <w:gridCol w:w="36"/>
        <w:gridCol w:w="36"/>
        <w:gridCol w:w="36"/>
        <w:gridCol w:w="36"/>
        <w:gridCol w:w="121"/>
        <w:gridCol w:w="474"/>
        <w:gridCol w:w="37"/>
        <w:gridCol w:w="36"/>
        <w:gridCol w:w="36"/>
        <w:gridCol w:w="36"/>
        <w:gridCol w:w="121"/>
        <w:gridCol w:w="476"/>
        <w:gridCol w:w="36"/>
        <w:gridCol w:w="36"/>
        <w:gridCol w:w="36"/>
        <w:gridCol w:w="36"/>
        <w:gridCol w:w="36"/>
        <w:gridCol w:w="36"/>
        <w:gridCol w:w="36"/>
      </w:tblGrid>
      <w:tr w:rsidR="00000000">
        <w:trPr>
          <w:divId w:val="1527403019"/>
        </w:trPr>
        <w:tc>
          <w:tcPr>
            <w:tcW w:w="50" w:type="pct"/>
            <w:vAlign w:val="center"/>
            <w:hideMark/>
          </w:tcPr>
          <w:p w:rsidR="00000000" w:rsidRDefault="005D26B8">
            <w:pPr>
              <w:ind w:firstLine="450"/>
              <w:rPr>
                <w:rFonts w:eastAsia="Times New Roman"/>
              </w:rPr>
            </w:pPr>
          </w:p>
        </w:tc>
        <w:tc>
          <w:tcPr>
            <w:tcW w:w="226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6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6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6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6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6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6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152740301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Level 2</w:t>
            </w:r>
          </w:p>
        </w:tc>
        <w:tc>
          <w:tcPr>
            <w:tcW w:w="0" w:type="auto"/>
            <w:vAlign w:val="center"/>
            <w:hideMark/>
          </w:tcPr>
          <w:p w:rsidR="00000000" w:rsidRDefault="005D26B8">
            <w:pPr>
              <w:jc w:val="center"/>
              <w:rPr>
                <w:rFonts w:eastAsia="Times New Roman"/>
              </w:rPr>
            </w:pPr>
          </w:p>
        </w:tc>
        <w:tc>
          <w:tcPr>
            <w:tcW w:w="0" w:type="auto"/>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Level 2</w:t>
            </w:r>
          </w:p>
        </w:tc>
        <w:tc>
          <w:tcPr>
            <w:tcW w:w="0" w:type="auto"/>
            <w:gridSpan w:val="3"/>
            <w:vAlign w:val="center"/>
            <w:hideMark/>
          </w:tcPr>
          <w:p w:rsidR="00000000" w:rsidRDefault="005D26B8">
            <w:pPr>
              <w:jc w:val="center"/>
              <w:rPr>
                <w:rFonts w:eastAsia="Times New Roman"/>
              </w:rPr>
            </w:pPr>
          </w:p>
        </w:tc>
        <w:tc>
          <w:tcPr>
            <w:tcW w:w="0" w:type="auto"/>
            <w:gridSpan w:val="3"/>
            <w:vAlign w:val="center"/>
            <w:hideMark/>
          </w:tcPr>
          <w:p w:rsidR="00000000" w:rsidRDefault="005D26B8">
            <w:pPr>
              <w:rPr>
                <w:rFonts w:eastAsia="Times New Roman"/>
                <w:sz w:val="20"/>
                <w:szCs w:val="20"/>
              </w:rPr>
            </w:pPr>
          </w:p>
        </w:tc>
      </w:tr>
      <w:tr w:rsidR="00000000">
        <w:trPr>
          <w:divId w:val="1527403019"/>
          <w:trHeight w:val="60"/>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20" w:type="dxa"/>
              <w:bottom w:w="30" w:type="dxa"/>
              <w:right w:w="20" w:type="dxa"/>
            </w:tcMar>
            <w:vAlign w:val="bottom"/>
            <w:hideMark/>
          </w:tcPr>
          <w:p w:rsidR="00000000" w:rsidRDefault="005D26B8">
            <w:pPr>
              <w:divId w:val="1350909956"/>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Equity and fixed-income securities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24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Height w:val="300"/>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20" w:type="dxa"/>
              <w:bottom w:w="30" w:type="dxa"/>
              <w:right w:w="20" w:type="dxa"/>
            </w:tcMar>
            <w:vAlign w:val="bottom"/>
            <w:hideMark/>
          </w:tcPr>
          <w:p w:rsidR="00000000" w:rsidRDefault="005D26B8">
            <w:pPr>
              <w:divId w:val="2027243144"/>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Equity securities and mutual funds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105"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405" w:type="dxa"/>
              <w:bottom w:w="30" w:type="dxa"/>
              <w:right w:w="20" w:type="dxa"/>
            </w:tcMar>
            <w:vAlign w:val="bottom"/>
            <w:hideMark/>
          </w:tcPr>
          <w:p w:rsidR="00000000" w:rsidRDefault="005D26B8">
            <w:pPr>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Derivatives (treasury lock contracts)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5274030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bl>
    <w:p w:rsidR="00000000" w:rsidRDefault="005D26B8">
      <w:pPr>
        <w:jc w:val="both"/>
        <w:rPr>
          <w:rFonts w:eastAsia="Times New Roman"/>
        </w:rPr>
      </w:pPr>
      <w:r>
        <w:rPr>
          <w:rFonts w:eastAsia="Times New Roman"/>
          <w:color w:val="000000"/>
          <w:sz w:val="16"/>
          <w:szCs w:val="16"/>
        </w:rPr>
        <w:t>_______________</w:t>
      </w:r>
    </w:p>
    <w:p w:rsidR="00000000" w:rsidRDefault="005D26B8">
      <w:pPr>
        <w:ind w:hanging="270"/>
        <w:divId w:val="314337946"/>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 assets” and “Other non-current assets” line items in our Condensed Consolidated Balance Sheet (Unaud</w:t>
      </w:r>
      <w:r>
        <w:rPr>
          <w:rFonts w:eastAsia="Times New Roman"/>
          <w:color w:val="000000"/>
          <w:sz w:val="16"/>
          <w:szCs w:val="16"/>
        </w:rPr>
        <w:t xml:space="preserve">ited) and which are measured at fair value. </w:t>
      </w:r>
    </w:p>
    <w:p w:rsidR="00000000" w:rsidRDefault="005D26B8">
      <w:pPr>
        <w:ind w:hanging="270"/>
        <w:divId w:val="962227076"/>
        <w:rPr>
          <w:rFonts w:eastAsia="Times New Roman"/>
        </w:rPr>
      </w:pPr>
      <w:r>
        <w:rPr>
          <w:rFonts w:eastAsia="Times New Roman"/>
          <w:color w:val="000000"/>
          <w:sz w:val="16"/>
          <w:szCs w:val="16"/>
        </w:rPr>
        <w:t>(2)Primarily represents obligations to pay benefits under certain non-qualified deferred compensation plans, which we include in the “Compensation and benefits” and “Other long-term liabilities” line items in ou</w:t>
      </w:r>
      <w:r>
        <w:rPr>
          <w:rFonts w:eastAsia="Times New Roman"/>
          <w:color w:val="000000"/>
          <w:sz w:val="16"/>
          <w:szCs w:val="16"/>
        </w:rPr>
        <w:t>r Condensed Consolidated Balance Sheet (Unaudited). Under these plans, participants designate investment options (including stock and fixed-income funds), which serve as the basis for measurement of the notional value of their accounts.</w:t>
      </w:r>
    </w:p>
    <w:p w:rsidR="00000000" w:rsidRDefault="005D26B8">
      <w:pPr>
        <w:ind w:firstLine="450"/>
        <w:divId w:val="1477063315"/>
        <w:rPr>
          <w:rFonts w:eastAsia="Times New Roman"/>
        </w:rPr>
      </w:pPr>
      <w:r>
        <w:rPr>
          <w:rFonts w:eastAsia="Times New Roman"/>
          <w:color w:val="000000"/>
          <w:sz w:val="20"/>
          <w:szCs w:val="20"/>
        </w:rPr>
        <w:t>The following table</w:t>
      </w:r>
      <w:r>
        <w:rPr>
          <w:rFonts w:eastAsia="Times New Roman"/>
          <w:color w:val="000000"/>
          <w:sz w:val="20"/>
          <w:szCs w:val="20"/>
        </w:rPr>
        <w:t xml:space="preserve"> presents the carrying amounts and estimated fair values of our significant financial instruments that were not measured at fair value (carrying amounts of other financial instruments not listed in the table below approximate fair value due to the short-te</w:t>
      </w:r>
      <w:r>
        <w:rPr>
          <w:rFonts w:eastAsia="Times New Roman"/>
          <w:color w:val="000000"/>
          <w:sz w:val="20"/>
          <w:szCs w:val="20"/>
        </w:rPr>
        <w:t>rm nature of those items):</w:t>
      </w:r>
    </w:p>
    <w:tbl>
      <w:tblPr>
        <w:tblW w:w="4904" w:type="pct"/>
        <w:tblCellMar>
          <w:top w:w="15" w:type="dxa"/>
          <w:left w:w="15" w:type="dxa"/>
          <w:bottom w:w="15" w:type="dxa"/>
          <w:right w:w="15" w:type="dxa"/>
        </w:tblCellMar>
        <w:tblLook w:val="04A0" w:firstRow="1" w:lastRow="0" w:firstColumn="1" w:lastColumn="0" w:noHBand="0" w:noVBand="1"/>
      </w:tblPr>
      <w:tblGrid>
        <w:gridCol w:w="38"/>
        <w:gridCol w:w="4515"/>
        <w:gridCol w:w="37"/>
        <w:gridCol w:w="121"/>
        <w:gridCol w:w="684"/>
        <w:gridCol w:w="36"/>
        <w:gridCol w:w="36"/>
        <w:gridCol w:w="36"/>
        <w:gridCol w:w="36"/>
        <w:gridCol w:w="120"/>
        <w:gridCol w:w="641"/>
        <w:gridCol w:w="36"/>
        <w:gridCol w:w="36"/>
        <w:gridCol w:w="36"/>
        <w:gridCol w:w="36"/>
        <w:gridCol w:w="121"/>
        <w:gridCol w:w="641"/>
        <w:gridCol w:w="36"/>
        <w:gridCol w:w="36"/>
        <w:gridCol w:w="36"/>
        <w:gridCol w:w="36"/>
        <w:gridCol w:w="120"/>
        <w:gridCol w:w="641"/>
        <w:gridCol w:w="36"/>
      </w:tblGrid>
      <w:tr w:rsidR="00000000">
        <w:trPr>
          <w:divId w:val="1471752929"/>
        </w:trPr>
        <w:tc>
          <w:tcPr>
            <w:tcW w:w="50" w:type="pct"/>
            <w:vAlign w:val="center"/>
            <w:hideMark/>
          </w:tcPr>
          <w:p w:rsidR="00000000" w:rsidRDefault="005D26B8">
            <w:pPr>
              <w:ind w:firstLine="450"/>
              <w:rPr>
                <w:rFonts w:eastAsia="Times New Roman"/>
              </w:rPr>
            </w:pPr>
          </w:p>
        </w:tc>
        <w:tc>
          <w:tcPr>
            <w:tcW w:w="280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5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5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5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5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47175292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147175292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471752929"/>
          <w:trHeight w:val="10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71752929"/>
        </w:trPr>
        <w:tc>
          <w:tcPr>
            <w:tcW w:w="0" w:type="auto"/>
            <w:gridSpan w:val="3"/>
            <w:shd w:val="clear" w:color="auto" w:fill="CCEEFF"/>
            <w:tcMar>
              <w:top w:w="30" w:type="dxa"/>
              <w:left w:w="20" w:type="dxa"/>
              <w:bottom w:w="30" w:type="dxa"/>
              <w:right w:w="20" w:type="dxa"/>
            </w:tcMar>
            <w:vAlign w:val="bottom"/>
            <w:hideMark/>
          </w:tcPr>
          <w:p w:rsidR="00000000" w:rsidRDefault="005D26B8">
            <w:pPr>
              <w:divId w:val="1178889761"/>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7,889 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6,951 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7,536 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332683000"/>
        <w:rPr>
          <w:rFonts w:eastAsia="Times New Roman"/>
        </w:rPr>
      </w:pPr>
      <w:r>
        <w:rPr>
          <w:rFonts w:eastAsia="Times New Roman"/>
          <w:color w:val="000000"/>
          <w:sz w:val="16"/>
          <w:szCs w:val="16"/>
        </w:rPr>
        <w:t>_______________</w:t>
      </w:r>
    </w:p>
    <w:p w:rsidR="00000000" w:rsidRDefault="005D26B8">
      <w:pPr>
        <w:ind w:hanging="270"/>
        <w:divId w:val="208617826"/>
        <w:rPr>
          <w:rFonts w:eastAsia="Times New Roman"/>
        </w:rPr>
      </w:pPr>
      <w:r>
        <w:rPr>
          <w:rFonts w:eastAsia="Times New Roman"/>
          <w:color w:val="000000"/>
          <w:sz w:val="16"/>
          <w:szCs w:val="16"/>
        </w:rPr>
        <w:t>(1)Fair value was estimated using a market approach based on quoted market prices for our debt traded in the secondary market. I</w:t>
      </w:r>
      <w:r>
        <w:rPr>
          <w:rFonts w:eastAsia="Times New Roman"/>
          <w:color w:val="000000"/>
          <w:sz w:val="16"/>
          <w:szCs w:val="16"/>
        </w:rPr>
        <w:t>f our long-term debt in our balance sheet were measured at fair value, it would be categorized in Level 2 of the fair value hierarchy.</w:t>
      </w:r>
    </w:p>
    <w:p w:rsidR="00000000" w:rsidRDefault="005D26B8">
      <w:pPr>
        <w:ind w:firstLine="450"/>
        <w:divId w:val="1672025675"/>
        <w:rPr>
          <w:rFonts w:eastAsia="Times New Roman"/>
        </w:rPr>
      </w:pPr>
      <w:r>
        <w:rPr>
          <w:rFonts w:eastAsia="Times New Roman"/>
          <w:color w:val="000000"/>
          <w:sz w:val="20"/>
          <w:szCs w:val="20"/>
        </w:rPr>
        <w:t xml:space="preserve">See </w:t>
      </w:r>
      <w:r>
        <w:rPr>
          <w:rFonts w:eastAsia="Times New Roman"/>
          <w:i/>
          <w:iCs/>
          <w:color w:val="000000"/>
          <w:sz w:val="20"/>
          <w:szCs w:val="20"/>
        </w:rPr>
        <w:t>Note C — Business Divestitures and Assets Sales</w:t>
      </w:r>
      <w:r>
        <w:rPr>
          <w:rFonts w:eastAsia="Times New Roman"/>
          <w:color w:val="000000"/>
          <w:sz w:val="20"/>
          <w:szCs w:val="20"/>
        </w:rPr>
        <w:t xml:space="preserve"> and </w:t>
      </w:r>
      <w:r>
        <w:rPr>
          <w:rFonts w:eastAsia="Times New Roman"/>
          <w:i/>
          <w:iCs/>
          <w:color w:val="000000"/>
          <w:sz w:val="20"/>
          <w:szCs w:val="20"/>
        </w:rPr>
        <w:t xml:space="preserve">Note K — Goodwill and Other Intangible Assets </w:t>
      </w:r>
      <w:r>
        <w:rPr>
          <w:rFonts w:eastAsia="Times New Roman"/>
          <w:color w:val="000000"/>
          <w:sz w:val="20"/>
          <w:szCs w:val="20"/>
        </w:rPr>
        <w:t xml:space="preserve">in these Notes for </w:t>
      </w:r>
      <w:r>
        <w:rPr>
          <w:rFonts w:eastAsia="Times New Roman"/>
          <w:color w:val="000000"/>
          <w:sz w:val="20"/>
          <w:szCs w:val="20"/>
        </w:rPr>
        <w:t xml:space="preserve">information regarding fair value measurements associated with goodwill. </w:t>
      </w:r>
    </w:p>
    <w:p w:rsidR="00000000" w:rsidRDefault="005D26B8">
      <w:pPr>
        <w:divId w:val="1211192920"/>
        <w:rPr>
          <w:rFonts w:eastAsia="Times New Roman"/>
        </w:rPr>
      </w:pPr>
      <w:r>
        <w:rPr>
          <w:rFonts w:eastAsia="Times New Roman"/>
          <w:b/>
          <w:bCs/>
          <w:color w:val="000000"/>
          <w:sz w:val="20"/>
          <w:szCs w:val="20"/>
        </w:rPr>
        <w:t xml:space="preserve">Note S — Derivative Instruments and Hedging Activities </w:t>
      </w:r>
    </w:p>
    <w:p w:rsidR="00000000" w:rsidRDefault="005D26B8">
      <w:pPr>
        <w:ind w:firstLine="450"/>
        <w:divId w:val="476530689"/>
        <w:rPr>
          <w:rFonts w:eastAsia="Times New Roman"/>
        </w:rPr>
      </w:pPr>
      <w:r>
        <w:rPr>
          <w:rFonts w:eastAsia="Times New Roman"/>
          <w:color w:val="000000"/>
          <w:sz w:val="20"/>
          <w:szCs w:val="20"/>
        </w:rPr>
        <w:t>In the normal course of business, we are exposed to global market risks, including the effect of changes in foreign currency ex</w:t>
      </w:r>
      <w:r>
        <w:rPr>
          <w:rFonts w:eastAsia="Times New Roman"/>
          <w:color w:val="000000"/>
          <w:sz w:val="20"/>
          <w:szCs w:val="20"/>
        </w:rPr>
        <w:t>change rates and changes in interest rates. We use derivative instruments to manage our exposure to such risks and formally document all relationships between hedging instruments and hedged items, as well as the risk-management objective and strategy for u</w:t>
      </w:r>
      <w:r>
        <w:rPr>
          <w:rFonts w:eastAsia="Times New Roman"/>
          <w:color w:val="000000"/>
          <w:sz w:val="20"/>
          <w:szCs w:val="20"/>
        </w:rPr>
        <w:t>ndertaking hedge transactions. We also may enter into derivative instruments that are not designated as hedges and do not qualify for hedge accounting. We recognize all derivatives in our Condensed Consolidated Balance Sheet (Unaudited) at fair value. We d</w:t>
      </w:r>
      <w:r>
        <w:rPr>
          <w:rFonts w:eastAsia="Times New Roman"/>
          <w:color w:val="000000"/>
          <w:sz w:val="20"/>
          <w:szCs w:val="20"/>
        </w:rPr>
        <w:t>o not hold or issue derivatives for speculative trading purposes.</w:t>
      </w:r>
    </w:p>
    <w:p w:rsidR="00000000" w:rsidRDefault="005D26B8">
      <w:pPr>
        <w:jc w:val="center"/>
        <w:divId w:val="1887644905"/>
        <w:rPr>
          <w:rFonts w:eastAsia="Times New Roman"/>
        </w:rPr>
      </w:pPr>
      <w:r>
        <w:rPr>
          <w:rFonts w:eastAsia="Times New Roman"/>
          <w:color w:val="000000"/>
          <w:sz w:val="20"/>
          <w:szCs w:val="20"/>
        </w:rPr>
        <w:t>22</w:t>
      </w:r>
    </w:p>
    <w:p w:rsidR="00000000" w:rsidRDefault="005D26B8">
      <w:pPr>
        <w:rPr>
          <w:rFonts w:eastAsia="Times New Roman"/>
        </w:rPr>
      </w:pPr>
      <w:r>
        <w:rPr>
          <w:rFonts w:eastAsia="Times New Roman"/>
        </w:rPr>
        <w:pict>
          <v:rect id="_x0000_i1049" style="width:0;height:1.5pt" o:hralign="center" o:hrstd="t" o:hr="t" fillcolor="#a0a0a0" stroked="f"/>
        </w:pict>
      </w:r>
    </w:p>
    <w:p w:rsidR="00000000" w:rsidRDefault="005D26B8">
      <w:pPr>
        <w:divId w:val="1331103468"/>
        <w:rPr>
          <w:rFonts w:eastAsia="Times New Roman"/>
        </w:rPr>
      </w:pPr>
    </w:p>
    <w:p w:rsidR="00000000" w:rsidRDefault="005D26B8">
      <w:pPr>
        <w:ind w:firstLine="450"/>
        <w:divId w:val="1342006388"/>
        <w:rPr>
          <w:rFonts w:eastAsia="Times New Roman"/>
        </w:rPr>
      </w:pPr>
      <w:r>
        <w:rPr>
          <w:rFonts w:eastAsia="Times New Roman"/>
          <w:i/>
          <w:iCs/>
          <w:color w:val="000000"/>
          <w:sz w:val="20"/>
          <w:szCs w:val="20"/>
        </w:rPr>
        <w:t xml:space="preserve">Exchange-Rate Risk — Fair Value Hedges. </w:t>
      </w:r>
      <w:r>
        <w:rPr>
          <w:rFonts w:eastAsia="Times New Roman"/>
          <w:color w:val="000000"/>
          <w:sz w:val="20"/>
          <w:szCs w:val="20"/>
        </w:rPr>
        <w:t>To manage the exposure in our balance sheet to risks from changes in foreign currency exchange rates, we imp</w:t>
      </w:r>
      <w:r>
        <w:rPr>
          <w:rFonts w:eastAsia="Times New Roman"/>
          <w:color w:val="000000"/>
          <w:sz w:val="20"/>
          <w:szCs w:val="20"/>
        </w:rPr>
        <w:t>lement fair value hedges. More specifically, we have used foreign currency forward contracts and options to hedge certain balance sheet items, including foreign currency denominated accounts receivable and inventory. Changes in the value of the derivatives</w:t>
      </w:r>
      <w:r>
        <w:rPr>
          <w:rFonts w:eastAsia="Times New Roman"/>
          <w:color w:val="000000"/>
          <w:sz w:val="20"/>
          <w:szCs w:val="20"/>
        </w:rPr>
        <w:t xml:space="preserve"> and the related hedged items are reflected in earnings, in the “Cost of product sales and services” line item in our Condensed Consolidated Statement of Income (Unaudited). </w:t>
      </w:r>
    </w:p>
    <w:p w:rsidR="00000000" w:rsidRDefault="005D26B8">
      <w:pPr>
        <w:ind w:firstLine="450"/>
        <w:divId w:val="1486968744"/>
        <w:rPr>
          <w:rFonts w:eastAsia="Times New Roman"/>
        </w:rPr>
      </w:pPr>
      <w:r>
        <w:rPr>
          <w:rFonts w:eastAsia="Times New Roman"/>
          <w:color w:val="000000"/>
          <w:sz w:val="20"/>
          <w:szCs w:val="20"/>
        </w:rPr>
        <w:t xml:space="preserve">As of October 2, 2020, we had no </w:t>
      </w:r>
      <w:r>
        <w:rPr>
          <w:rFonts w:eastAsia="Times New Roman"/>
          <w:color w:val="000000"/>
          <w:sz w:val="20"/>
          <w:szCs w:val="20"/>
        </w:rPr>
        <w:t>outstanding foreign currency forward contracts to hedge balance sheet items. The net gains or losses on foreign currency forward contracts designated as fair value hedges were not material in the quarter or three quarters ended October 2, 2020 or in the qu</w:t>
      </w:r>
      <w:r>
        <w:rPr>
          <w:rFonts w:eastAsia="Times New Roman"/>
          <w:color w:val="000000"/>
          <w:sz w:val="20"/>
          <w:szCs w:val="20"/>
        </w:rPr>
        <w:t>arter or three quarters ended September 27, 2019. In addition, no amounts were recognized in earnings in the quarter or three quarters ended October 2, 2020 or in the quarter or three quarters ended September 27, 2019 related to hedged firm commitments tha</w:t>
      </w:r>
      <w:r>
        <w:rPr>
          <w:rFonts w:eastAsia="Times New Roman"/>
          <w:color w:val="000000"/>
          <w:sz w:val="20"/>
          <w:szCs w:val="20"/>
        </w:rPr>
        <w:t>t no longer qualify as fair value hedges.</w:t>
      </w:r>
    </w:p>
    <w:p w:rsidR="00000000" w:rsidRDefault="005D26B8">
      <w:pPr>
        <w:ind w:firstLine="450"/>
        <w:divId w:val="1705907872"/>
        <w:rPr>
          <w:rFonts w:eastAsia="Times New Roman"/>
        </w:rPr>
      </w:pPr>
      <w:r>
        <w:rPr>
          <w:rFonts w:eastAsia="Times New Roman"/>
          <w:i/>
          <w:iCs/>
          <w:color w:val="000000"/>
          <w:sz w:val="20"/>
          <w:szCs w:val="20"/>
        </w:rPr>
        <w:t xml:space="preserve">Exchange-Rate Risk — Cash Flow Hedges. </w:t>
      </w:r>
      <w:r>
        <w:rPr>
          <w:rFonts w:eastAsia="Times New Roman"/>
          <w:color w:val="000000"/>
          <w:sz w:val="20"/>
          <w:szCs w:val="20"/>
        </w:rPr>
        <w:t>To manage our exposure to currency risk and market fluctuation risk associated with anticipated cash flows that are probable of occurring in the future, we implement cash flow</w:t>
      </w:r>
      <w:r>
        <w:rPr>
          <w:rFonts w:eastAsia="Times New Roman"/>
          <w:color w:val="000000"/>
          <w:sz w:val="20"/>
          <w:szCs w:val="20"/>
        </w:rPr>
        <w:t xml:space="preserve"> hedges. More specifically, we use foreign currency forward contracts and options to hedge off-balance sheet future foreign currency commitments, including purchase commitments to suppliers, future committed sales to customers and inter-segment transaction</w:t>
      </w:r>
      <w:r>
        <w:rPr>
          <w:rFonts w:eastAsia="Times New Roman"/>
          <w:color w:val="000000"/>
          <w:sz w:val="20"/>
          <w:szCs w:val="20"/>
        </w:rPr>
        <w:t>s. These derivatives are used to hedge currency exposures from cash flows anticipated across our business segments. We also hedge U.S. Dollar payments to suppliers to maintain our anticipated profit margins in our international operations. These derivative</w:t>
      </w:r>
      <w:r>
        <w:rPr>
          <w:rFonts w:eastAsia="Times New Roman"/>
          <w:color w:val="000000"/>
          <w:sz w:val="20"/>
          <w:szCs w:val="20"/>
        </w:rPr>
        <w:t>s have only nominal intrinsic value at the time of purchase and have a high degree of correlation to the anticipated cash flows they are designated to hedge. Hedge effectiveness is determined by the correlation of the anticipated cash flows from the hedgin</w:t>
      </w:r>
      <w:r>
        <w:rPr>
          <w:rFonts w:eastAsia="Times New Roman"/>
          <w:color w:val="000000"/>
          <w:sz w:val="20"/>
          <w:szCs w:val="20"/>
        </w:rPr>
        <w:t>g instruments and the anticipated cash flows from the future foreign currency commitments through the maturity dates of the derivatives used to hedge these cash flows. These financial instruments are marked-to-market using forward prices and fair value quo</w:t>
      </w:r>
      <w:r>
        <w:rPr>
          <w:rFonts w:eastAsia="Times New Roman"/>
          <w:color w:val="000000"/>
          <w:sz w:val="20"/>
          <w:szCs w:val="20"/>
        </w:rPr>
        <w:t>tes with the offset to other comprehensive income (loss). Gains and losses in AOCI are reclassified to earnings when the related hedged item is recognized in earnings. The cash flow impact of our derivatives is included in the same category in our Condense</w:t>
      </w:r>
      <w:r>
        <w:rPr>
          <w:rFonts w:eastAsia="Times New Roman"/>
          <w:color w:val="000000"/>
          <w:sz w:val="20"/>
          <w:szCs w:val="20"/>
        </w:rPr>
        <w:t xml:space="preserve">d Consolidated Statement of Cash Flows (Unaudited) as the cash flows of the related hedged items. Notional amounts are used to measure the volume of foreign currency forward contracts and do not represent exposure to foreign currency losses. At October 2, </w:t>
      </w:r>
      <w:r>
        <w:rPr>
          <w:rFonts w:eastAsia="Times New Roman"/>
          <w:color w:val="000000"/>
          <w:sz w:val="20"/>
          <w:szCs w:val="20"/>
        </w:rPr>
        <w:t>2020, we had open foreign currency forward contracts with an aggregate notional amount of $551 million denominated in Canadian Dollars, U.S. Dollars, British Pounds, Euros, New Zealand Dollars and Australian Dollars, to hedge certain forecasted transaction</w:t>
      </w:r>
      <w:r>
        <w:rPr>
          <w:rFonts w:eastAsia="Times New Roman"/>
          <w:color w:val="000000"/>
          <w:sz w:val="20"/>
          <w:szCs w:val="20"/>
        </w:rPr>
        <w:t>s.</w:t>
      </w:r>
    </w:p>
    <w:p w:rsidR="00000000" w:rsidRDefault="005D26B8">
      <w:pPr>
        <w:ind w:firstLine="450"/>
        <w:divId w:val="2121754298"/>
        <w:rPr>
          <w:rFonts w:eastAsia="Times New Roman"/>
        </w:rPr>
      </w:pPr>
      <w:r>
        <w:rPr>
          <w:rFonts w:eastAsia="Times New Roman"/>
          <w:color w:val="000000"/>
          <w:sz w:val="20"/>
          <w:szCs w:val="20"/>
        </w:rPr>
        <w:t>At October 2, 2020, our foreign currency forward contracts had maturities through 2025.</w:t>
      </w:r>
    </w:p>
    <w:p w:rsidR="00000000" w:rsidRDefault="005D26B8">
      <w:pPr>
        <w:ind w:firstLine="450"/>
        <w:divId w:val="489178349"/>
        <w:rPr>
          <w:rFonts w:eastAsia="Times New Roman"/>
        </w:rPr>
      </w:pPr>
      <w:r>
        <w:rPr>
          <w:rFonts w:eastAsia="Times New Roman"/>
          <w:color w:val="000000"/>
          <w:sz w:val="20"/>
          <w:szCs w:val="20"/>
        </w:rPr>
        <w:t>The table below presents the fair values of our derivatives designated as foreign currency hedging instruments in our Condensed Consolidated Balance Sheet (Unaudited</w:t>
      </w:r>
      <w:r>
        <w:rPr>
          <w:rFonts w:eastAsia="Times New Roman"/>
          <w:color w:val="000000"/>
          <w:sz w:val="20"/>
          <w:szCs w:val="20"/>
        </w:rPr>
        <w:t>) at October 2, 2020 and January 3,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5480"/>
        <w:gridCol w:w="36"/>
        <w:gridCol w:w="121"/>
        <w:gridCol w:w="1039"/>
        <w:gridCol w:w="36"/>
        <w:gridCol w:w="36"/>
        <w:gridCol w:w="36"/>
        <w:gridCol w:w="36"/>
        <w:gridCol w:w="121"/>
        <w:gridCol w:w="1003"/>
        <w:gridCol w:w="36"/>
        <w:gridCol w:w="36"/>
        <w:gridCol w:w="36"/>
        <w:gridCol w:w="36"/>
        <w:gridCol w:w="36"/>
        <w:gridCol w:w="36"/>
        <w:gridCol w:w="36"/>
        <w:gridCol w:w="36"/>
        <w:gridCol w:w="36"/>
      </w:tblGrid>
      <w:tr w:rsidR="00000000">
        <w:trPr>
          <w:divId w:val="2106268611"/>
        </w:trPr>
        <w:tc>
          <w:tcPr>
            <w:tcW w:w="50" w:type="pct"/>
            <w:vAlign w:val="center"/>
            <w:hideMark/>
          </w:tcPr>
          <w:p w:rsidR="00000000" w:rsidRDefault="005D26B8">
            <w:pPr>
              <w:ind w:firstLine="450"/>
              <w:rPr>
                <w:rFonts w:eastAsia="Times New Roman"/>
              </w:rPr>
            </w:pPr>
          </w:p>
        </w:tc>
        <w:tc>
          <w:tcPr>
            <w:tcW w:w="344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c>
          <w:tcPr>
            <w:tcW w:w="0" w:type="auto"/>
            <w:vAlign w:val="center"/>
            <w:hideMark/>
          </w:tcPr>
          <w:p w:rsidR="00000000" w:rsidRDefault="005D26B8">
            <w:pPr>
              <w:jc w:val="center"/>
              <w:rPr>
                <w:rFonts w:eastAsia="Times New Roman"/>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Height w:val="60"/>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shd w:val="clear" w:color="auto" w:fill="FFFFFF"/>
            <w:tcMar>
              <w:top w:w="30" w:type="dxa"/>
              <w:left w:w="20" w:type="dxa"/>
              <w:bottom w:w="30" w:type="dxa"/>
              <w:right w:w="20" w:type="dxa"/>
            </w:tcMar>
            <w:hideMark/>
          </w:tcPr>
          <w:p w:rsidR="00000000" w:rsidRDefault="005D26B8">
            <w:pPr>
              <w:divId w:val="1401631758"/>
              <w:rPr>
                <w:rFonts w:eastAsia="Times New Roman"/>
              </w:rPr>
            </w:pPr>
            <w:r>
              <w:rPr>
                <w:rFonts w:eastAsia="Times New Roman"/>
                <w:color w:val="000000"/>
                <w:sz w:val="20"/>
                <w:szCs w:val="20"/>
              </w:rPr>
              <w:t>Foreign currency forward contract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shd w:val="clear" w:color="auto" w:fill="CCEEFF"/>
            <w:tcMar>
              <w:top w:w="30" w:type="dxa"/>
              <w:left w:w="105" w:type="dxa"/>
              <w:bottom w:w="30" w:type="dxa"/>
              <w:right w:w="20" w:type="dxa"/>
            </w:tcMar>
            <w:hideMark/>
          </w:tcPr>
          <w:p w:rsidR="00000000" w:rsidRDefault="005D26B8">
            <w:pPr>
              <w:rPr>
                <w:rFonts w:eastAsia="Times New Roman"/>
              </w:rPr>
            </w:pPr>
            <w:r>
              <w:rPr>
                <w:rFonts w:eastAsia="Times New Roman"/>
                <w:color w:val="000000"/>
                <w:sz w:val="20"/>
                <w:szCs w:val="20"/>
              </w:rPr>
              <w:t>Other current assets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shd w:val="clear" w:color="auto" w:fill="FFFFFF"/>
            <w:tcMar>
              <w:top w:w="30" w:type="dxa"/>
              <w:left w:w="105" w:type="dxa"/>
              <w:bottom w:w="30" w:type="dxa"/>
              <w:right w:w="20" w:type="dxa"/>
            </w:tcMar>
            <w:hideMark/>
          </w:tcPr>
          <w:p w:rsidR="00000000" w:rsidRDefault="005D26B8">
            <w:pPr>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shd w:val="clear" w:color="auto" w:fill="CCEEFF"/>
            <w:tcMar>
              <w:top w:w="30" w:type="dxa"/>
              <w:left w:w="105" w:type="dxa"/>
              <w:bottom w:w="30" w:type="dxa"/>
              <w:right w:w="20" w:type="dxa"/>
            </w:tcMar>
            <w:hideMark/>
          </w:tcPr>
          <w:p w:rsidR="00000000" w:rsidRDefault="005D26B8">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6268611"/>
        </w:trPr>
        <w:tc>
          <w:tcPr>
            <w:tcW w:w="0" w:type="auto"/>
            <w:gridSpan w:val="3"/>
            <w:shd w:val="clear" w:color="auto" w:fill="FFFFFF"/>
            <w:tcMar>
              <w:top w:w="30" w:type="dxa"/>
              <w:left w:w="105" w:type="dxa"/>
              <w:bottom w:w="30" w:type="dxa"/>
              <w:right w:w="20" w:type="dxa"/>
            </w:tcMar>
            <w:hideMark/>
          </w:tcPr>
          <w:p w:rsidR="00000000" w:rsidRDefault="005D26B8">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bl>
    <w:p w:rsidR="00000000" w:rsidRDefault="005D26B8">
      <w:pPr>
        <w:jc w:val="both"/>
        <w:rPr>
          <w:rFonts w:eastAsia="Times New Roman"/>
        </w:rPr>
      </w:pPr>
      <w:r>
        <w:rPr>
          <w:rFonts w:eastAsia="Times New Roman"/>
          <w:color w:val="000000"/>
          <w:sz w:val="16"/>
          <w:szCs w:val="16"/>
        </w:rPr>
        <w:t>_______________</w:t>
      </w:r>
    </w:p>
    <w:p w:rsidR="00000000" w:rsidRDefault="005D26B8">
      <w:pPr>
        <w:ind w:hanging="270"/>
        <w:divId w:val="682242463"/>
        <w:rPr>
          <w:rFonts w:eastAsia="Times New Roman"/>
        </w:rPr>
      </w:pPr>
      <w:r>
        <w:rPr>
          <w:rFonts w:eastAsia="Times New Roman"/>
          <w:color w:val="000000"/>
          <w:sz w:val="16"/>
          <w:szCs w:val="16"/>
        </w:rPr>
        <w:t xml:space="preserve">(1)See </w:t>
      </w:r>
      <w:r>
        <w:rPr>
          <w:rFonts w:eastAsia="Times New Roman"/>
          <w:i/>
          <w:iCs/>
          <w:color w:val="000000"/>
          <w:sz w:val="16"/>
          <w:szCs w:val="16"/>
        </w:rPr>
        <w:t xml:space="preserve">Note R — </w:t>
      </w:r>
      <w:r>
        <w:rPr>
          <w:rFonts w:eastAsia="Times New Roman"/>
          <w:i/>
          <w:iCs/>
          <w:color w:val="000000"/>
          <w:sz w:val="16"/>
          <w:szCs w:val="16"/>
        </w:rPr>
        <w:t>Fair Value Measurements</w:t>
      </w:r>
      <w:r>
        <w:rPr>
          <w:rFonts w:eastAsia="Times New Roman"/>
          <w:color w:val="000000"/>
          <w:sz w:val="16"/>
          <w:szCs w:val="16"/>
        </w:rPr>
        <w:t xml:space="preserve"> in these Notes for a description of the fair value hierarchy related to our foreign currency forward contracts.</w:t>
      </w:r>
    </w:p>
    <w:p w:rsidR="00000000" w:rsidRDefault="005D26B8">
      <w:pPr>
        <w:ind w:firstLine="450"/>
        <w:divId w:val="620844379"/>
        <w:rPr>
          <w:rFonts w:eastAsia="Times New Roman"/>
        </w:rPr>
      </w:pPr>
      <w:r>
        <w:rPr>
          <w:rFonts w:eastAsia="Times New Roman"/>
          <w:color w:val="000000"/>
          <w:sz w:val="20"/>
          <w:szCs w:val="20"/>
        </w:rPr>
        <w:t>Net unrealized gains or losses recognized in other comprehensive loss and net gains and losses reclassified from AOCI in</w:t>
      </w:r>
      <w:r>
        <w:rPr>
          <w:rFonts w:eastAsia="Times New Roman"/>
          <w:color w:val="000000"/>
          <w:sz w:val="20"/>
          <w:szCs w:val="20"/>
        </w:rPr>
        <w:t xml:space="preserve">to earnings from foreign currency derivatives designated as cash flow hedges were not material for the quarter or three quarters ended October 2, 2020 or September 27, 2019. </w:t>
      </w:r>
    </w:p>
    <w:p w:rsidR="00000000" w:rsidRDefault="005D26B8">
      <w:pPr>
        <w:ind w:firstLine="450"/>
        <w:divId w:val="925723763"/>
        <w:rPr>
          <w:rFonts w:eastAsia="Times New Roman"/>
        </w:rPr>
      </w:pPr>
      <w:r>
        <w:rPr>
          <w:rFonts w:eastAsia="Times New Roman"/>
          <w:color w:val="000000"/>
          <w:sz w:val="20"/>
          <w:szCs w:val="20"/>
        </w:rPr>
        <w:t>Gains and losses from foreign currency derivatives designated as cash flow hedges</w:t>
      </w:r>
      <w:r>
        <w:rPr>
          <w:rFonts w:eastAsia="Times New Roman"/>
          <w:color w:val="000000"/>
          <w:sz w:val="20"/>
          <w:szCs w:val="20"/>
        </w:rPr>
        <w:t xml:space="preserve"> are included in the line item in our Condensed Consolidated Statement of Income (Unaudited) associated with the hedged transaction, with the exception of any losses resulting from discontinued cash flow hedges, which are included in the “Engineering, sell</w:t>
      </w:r>
      <w:r>
        <w:rPr>
          <w:rFonts w:eastAsia="Times New Roman"/>
          <w:color w:val="000000"/>
          <w:sz w:val="20"/>
          <w:szCs w:val="20"/>
        </w:rPr>
        <w:t>ing and administrative expenses” line item in our Condensed Consolidated Statement of Income (Unaudited).</w:t>
      </w:r>
    </w:p>
    <w:p w:rsidR="00000000" w:rsidRDefault="005D26B8">
      <w:pPr>
        <w:ind w:firstLine="450"/>
        <w:divId w:val="266739500"/>
        <w:rPr>
          <w:rFonts w:eastAsia="Times New Roman"/>
        </w:rPr>
      </w:pPr>
      <w:r>
        <w:rPr>
          <w:rFonts w:eastAsia="Times New Roman"/>
          <w:color w:val="000000"/>
          <w:sz w:val="20"/>
          <w:szCs w:val="20"/>
        </w:rPr>
        <w:t>At October 2, 2020, the estimated amount of existing gains to be reclassified into earnings within the next twelve months was not material.</w:t>
      </w:r>
    </w:p>
    <w:p w:rsidR="00000000" w:rsidRDefault="005D26B8">
      <w:pPr>
        <w:jc w:val="center"/>
        <w:divId w:val="1954094138"/>
        <w:rPr>
          <w:rFonts w:eastAsia="Times New Roman"/>
        </w:rPr>
      </w:pPr>
      <w:r>
        <w:rPr>
          <w:rFonts w:eastAsia="Times New Roman"/>
          <w:color w:val="000000"/>
          <w:sz w:val="20"/>
          <w:szCs w:val="20"/>
        </w:rPr>
        <w:t>23</w:t>
      </w:r>
    </w:p>
    <w:p w:rsidR="00000000" w:rsidRDefault="005D26B8">
      <w:pPr>
        <w:rPr>
          <w:rFonts w:eastAsia="Times New Roman"/>
        </w:rPr>
      </w:pPr>
      <w:r>
        <w:rPr>
          <w:rFonts w:eastAsia="Times New Roman"/>
        </w:rPr>
        <w:pict>
          <v:rect id="_x0000_i1050" style="width:0;height:1.5pt" o:hralign="center" o:hrstd="t" o:hr="t" fillcolor="#a0a0a0" stroked="f"/>
        </w:pict>
      </w:r>
    </w:p>
    <w:p w:rsidR="00000000" w:rsidRDefault="005D26B8">
      <w:pPr>
        <w:divId w:val="1410617391"/>
        <w:rPr>
          <w:rFonts w:eastAsia="Times New Roman"/>
        </w:rPr>
      </w:pPr>
    </w:p>
    <w:p w:rsidR="00000000" w:rsidRDefault="005D26B8">
      <w:pPr>
        <w:ind w:firstLine="450"/>
        <w:divId w:val="113914979"/>
        <w:rPr>
          <w:rFonts w:eastAsia="Times New Roman"/>
        </w:rPr>
      </w:pPr>
      <w:r>
        <w:rPr>
          <w:rFonts w:eastAsia="Times New Roman"/>
          <w:i/>
          <w:iCs/>
          <w:color w:val="000000"/>
          <w:sz w:val="20"/>
          <w:szCs w:val="20"/>
        </w:rPr>
        <w:t xml:space="preserve">Interest-Rate Risk — Cash Flow Hedges. </w:t>
      </w:r>
      <w:r>
        <w:rPr>
          <w:rFonts w:eastAsia="Times New Roman"/>
          <w:color w:val="000000"/>
          <w:sz w:val="20"/>
          <w:szCs w:val="20"/>
        </w:rPr>
        <w:t>At October 2, 2020, we had two treasury lock agreements (“treasury locks”) with third-party financial institution counterparties with a combined notional amount of $650 million. T</w:t>
      </w:r>
      <w:r>
        <w:rPr>
          <w:rFonts w:eastAsia="Times New Roman"/>
          <w:color w:val="000000"/>
          <w:sz w:val="20"/>
          <w:szCs w:val="20"/>
        </w:rPr>
        <w:t xml:space="preserve">hese treasury locks were initiated in January 2019 (and assumed by us in connection with the L3Harris Merger) to hedge against fluctuations in interest payments due to changes in the benchmark interest rate (10-year U.S. Treasury rate) associated with the </w:t>
      </w:r>
      <w:r>
        <w:rPr>
          <w:rFonts w:eastAsia="Times New Roman"/>
          <w:color w:val="000000"/>
          <w:sz w:val="20"/>
          <w:szCs w:val="20"/>
        </w:rPr>
        <w:t>anticipated issuance of long-term fixed-rate notes (“New Notes”) to redeem or repay at maturity the entire $650 million outstanding principal amount of our 4.95% Notes due February 15, 2021 (“4.95% 2021 Notes”).</w:t>
      </w:r>
    </w:p>
    <w:p w:rsidR="00000000" w:rsidRDefault="005D26B8">
      <w:pPr>
        <w:ind w:firstLine="450"/>
        <w:divId w:val="1258557925"/>
        <w:rPr>
          <w:rFonts w:eastAsia="Times New Roman"/>
        </w:rPr>
      </w:pPr>
      <w:r>
        <w:rPr>
          <w:rFonts w:eastAsia="Times New Roman"/>
          <w:color w:val="000000"/>
          <w:sz w:val="20"/>
          <w:szCs w:val="20"/>
        </w:rPr>
        <w:t>We designated these treasury locks as cash f</w:t>
      </w:r>
      <w:r>
        <w:rPr>
          <w:rFonts w:eastAsia="Times New Roman"/>
          <w:color w:val="000000"/>
          <w:sz w:val="20"/>
          <w:szCs w:val="20"/>
        </w:rPr>
        <w:t>low hedges against fluctuations in interest payments on the New Notes due to changes in the benchmark interest rate prior to issuance of the 4.95% 2021 Notes. If the benchmark interest rate increases during the period of the agreement, the treasury locks p</w:t>
      </w:r>
      <w:r>
        <w:rPr>
          <w:rFonts w:eastAsia="Times New Roman"/>
          <w:color w:val="000000"/>
          <w:sz w:val="20"/>
          <w:szCs w:val="20"/>
        </w:rPr>
        <w:t>osition becomes an asset and we receive a cash payment from the counterparty when we terminate the treasury locks upon issuance of the New Notes. Conversely, if the benchmark interest rate decreases, the treasury locks position becomes a liability and we w</w:t>
      </w:r>
      <w:r>
        <w:rPr>
          <w:rFonts w:eastAsia="Times New Roman"/>
          <w:color w:val="000000"/>
          <w:sz w:val="20"/>
          <w:szCs w:val="20"/>
        </w:rPr>
        <w:t>ill make a cash payment to the counterparty when we terminate the treasury locks upon issuance of the New Notes. The fair value of the treasury locks is measured using a pricing model that utilizes observable market data such as the benchmark interest rate</w:t>
      </w:r>
      <w:r>
        <w:rPr>
          <w:rFonts w:eastAsia="Times New Roman"/>
          <w:color w:val="000000"/>
          <w:sz w:val="20"/>
          <w:szCs w:val="20"/>
        </w:rPr>
        <w:t xml:space="preserve">. See </w:t>
      </w:r>
      <w:r>
        <w:rPr>
          <w:rFonts w:eastAsia="Times New Roman"/>
          <w:i/>
          <w:iCs/>
          <w:color w:val="000000"/>
          <w:sz w:val="20"/>
          <w:szCs w:val="20"/>
        </w:rPr>
        <w:t>Note R — Fair Value Measurements</w:t>
      </w:r>
      <w:r>
        <w:rPr>
          <w:rFonts w:eastAsia="Times New Roman"/>
          <w:color w:val="000000"/>
          <w:sz w:val="20"/>
          <w:szCs w:val="20"/>
        </w:rPr>
        <w:t xml:space="preserve"> in these Notes for additional information.</w:t>
      </w:r>
    </w:p>
    <w:p w:rsidR="00000000" w:rsidRDefault="005D26B8">
      <w:pPr>
        <w:ind w:firstLine="450"/>
        <w:divId w:val="371078425"/>
        <w:rPr>
          <w:rFonts w:eastAsia="Times New Roman"/>
        </w:rPr>
      </w:pPr>
      <w:r>
        <w:rPr>
          <w:rFonts w:eastAsia="Times New Roman"/>
          <w:color w:val="000000"/>
          <w:sz w:val="20"/>
          <w:szCs w:val="20"/>
        </w:rPr>
        <w:t>At October 2, 2020, the combined fair value of these treasury locks was a liability of $130 million, which is included in the “Other accrued items” line item in our Condensed</w:t>
      </w:r>
      <w:r>
        <w:rPr>
          <w:rFonts w:eastAsia="Times New Roman"/>
          <w:color w:val="000000"/>
          <w:sz w:val="20"/>
          <w:szCs w:val="20"/>
        </w:rPr>
        <w:t xml:space="preserve"> Consolidated Balance Sheet (Unaudited). The unrealized after-tax loss associated with these treasury locks included in the “Accumulated other comprehensive loss” line item in our Condensed Consolidated Balance Sheet (Unaudited) was $71 million and $16 mil</w:t>
      </w:r>
      <w:r>
        <w:rPr>
          <w:rFonts w:eastAsia="Times New Roman"/>
          <w:color w:val="000000"/>
          <w:sz w:val="20"/>
          <w:szCs w:val="20"/>
        </w:rPr>
        <w:t>lion at October 2, 2020 and January 3, 2020, respectively.</w:t>
      </w:r>
    </w:p>
    <w:p w:rsidR="00000000" w:rsidRDefault="005D26B8">
      <w:pPr>
        <w:ind w:firstLine="450"/>
        <w:divId w:val="437674981"/>
        <w:rPr>
          <w:rFonts w:eastAsia="Times New Roman"/>
        </w:rPr>
      </w:pPr>
      <w:r>
        <w:rPr>
          <w:rFonts w:eastAsia="Times New Roman"/>
          <w:color w:val="000000"/>
          <w:sz w:val="20"/>
          <w:szCs w:val="20"/>
        </w:rPr>
        <w:t>Net gains or losses from interest rate derivatives designated as cash flow hedges recognized in earnings were not material in the quarter or three quarters ended October 2, 2020 or in the quarter o</w:t>
      </w:r>
      <w:r>
        <w:rPr>
          <w:rFonts w:eastAsia="Times New Roman"/>
          <w:color w:val="000000"/>
          <w:sz w:val="20"/>
          <w:szCs w:val="20"/>
        </w:rPr>
        <w:t>r three quarters ended September 27, 2019.</w:t>
      </w:r>
    </w:p>
    <w:p w:rsidR="00000000" w:rsidRDefault="005D26B8">
      <w:pPr>
        <w:divId w:val="1868592988"/>
        <w:rPr>
          <w:rFonts w:eastAsia="Times New Roman"/>
        </w:rPr>
      </w:pPr>
      <w:r>
        <w:rPr>
          <w:rFonts w:eastAsia="Times New Roman"/>
          <w:b/>
          <w:bCs/>
          <w:color w:val="000000"/>
          <w:sz w:val="20"/>
          <w:szCs w:val="20"/>
        </w:rPr>
        <w:t xml:space="preserve">Note T — Changes in Estimates </w:t>
      </w:r>
    </w:p>
    <w:p w:rsidR="00000000" w:rsidRDefault="005D26B8">
      <w:pPr>
        <w:ind w:firstLine="450"/>
        <w:divId w:val="732192953"/>
        <w:rPr>
          <w:rFonts w:eastAsia="Times New Roman"/>
        </w:rPr>
      </w:pPr>
      <w:r>
        <w:rPr>
          <w:rFonts w:eastAsia="Times New Roman"/>
          <w:i/>
          <w:iCs/>
          <w:color w:val="000000"/>
          <w:sz w:val="20"/>
          <w:szCs w:val="20"/>
        </w:rPr>
        <w:t xml:space="preserve">Contract Estimates. </w:t>
      </w:r>
      <w:r>
        <w:rPr>
          <w:rFonts w:eastAsia="Times New Roman"/>
          <w:color w:val="000000"/>
          <w:sz w:val="20"/>
          <w:szCs w:val="20"/>
        </w:rPr>
        <w:t>Under the POC cost-to-cost method of revenue recognition, a single estimated profit margin is used to recognize profit for each performance obligation over its pe</w:t>
      </w:r>
      <w:r>
        <w:rPr>
          <w:rFonts w:eastAsia="Times New Roman"/>
          <w:color w:val="000000"/>
          <w:sz w:val="20"/>
          <w:szCs w:val="20"/>
        </w:rPr>
        <w:t>riod of performance. Recognition of profit on a contract requires estimates of the total cost at completion and transaction price as well as measurement of progress towards completion. Due to the long-term nature of many of our contracts, developing the es</w:t>
      </w:r>
      <w:r>
        <w:rPr>
          <w:rFonts w:eastAsia="Times New Roman"/>
          <w:color w:val="000000"/>
          <w:sz w:val="20"/>
          <w:szCs w:val="20"/>
        </w:rPr>
        <w:t>timated total cost at completion and total transaction price often requires judgment. Factors that must be considered in estimating the cost of the work to be completed include: the nature and complexity of the work to be performed, subcontractor performan</w:t>
      </w:r>
      <w:r>
        <w:rPr>
          <w:rFonts w:eastAsia="Times New Roman"/>
          <w:color w:val="000000"/>
          <w:sz w:val="20"/>
          <w:szCs w:val="20"/>
        </w:rPr>
        <w:t>ce and the risk and impact of delayed performance. Factors that must be considered in estimating the total transaction price include contractual cost or performance incentives (such as incentive fees, award fees and penalties) and other forms of variable c</w:t>
      </w:r>
      <w:r>
        <w:rPr>
          <w:rFonts w:eastAsia="Times New Roman"/>
          <w:color w:val="000000"/>
          <w:sz w:val="20"/>
          <w:szCs w:val="20"/>
        </w:rPr>
        <w:t xml:space="preserve">onsideration as well as our historical experience and expectation for performance on the contract. These variable amounts generally are awarded upon achievement of certain negotiated performance metrics, program milestones or cost targets and can be based </w:t>
      </w:r>
      <w:r>
        <w:rPr>
          <w:rFonts w:eastAsia="Times New Roman"/>
          <w:color w:val="000000"/>
          <w:sz w:val="20"/>
          <w:szCs w:val="20"/>
        </w:rPr>
        <w:t>upon customer discretion. We include such estimated amounts in the transaction price to the extent it is probable that a significant reversal of cumulative revenue recognized will not occur when the uncertainty associated with the variable consideration is</w:t>
      </w:r>
      <w:r>
        <w:rPr>
          <w:rFonts w:eastAsia="Times New Roman"/>
          <w:color w:val="000000"/>
          <w:sz w:val="20"/>
          <w:szCs w:val="20"/>
        </w:rPr>
        <w:t xml:space="preserve"> resolved.</w:t>
      </w:r>
    </w:p>
    <w:p w:rsidR="00000000" w:rsidRDefault="005D26B8">
      <w:pPr>
        <w:ind w:firstLine="450"/>
        <w:divId w:val="1056049678"/>
        <w:rPr>
          <w:rFonts w:eastAsia="Times New Roman"/>
        </w:rPr>
      </w:pPr>
      <w:r>
        <w:rPr>
          <w:rFonts w:eastAsia="Times New Roman"/>
          <w:color w:val="000000"/>
          <w:sz w:val="20"/>
          <w:szCs w:val="20"/>
        </w:rPr>
        <w:t>At the outset of each contract, we gauge its complexity and perceived risks and establish an estimated total cost at completion in line with these expectations. After establishing the estimated total cost at completion, we follow a standard Esti</w:t>
      </w:r>
      <w:r>
        <w:rPr>
          <w:rFonts w:eastAsia="Times New Roman"/>
          <w:color w:val="000000"/>
          <w:sz w:val="20"/>
          <w:szCs w:val="20"/>
        </w:rPr>
        <w:t xml:space="preserve">mate at Completion (“EAC”) process in which we review the progress and performance on our ongoing contracts at least quarterly and, in many cases, more frequently. If we successfully retire risks associated with the technical, schedule and cost aspects of </w:t>
      </w:r>
      <w:r>
        <w:rPr>
          <w:rFonts w:eastAsia="Times New Roman"/>
          <w:color w:val="000000"/>
          <w:sz w:val="20"/>
          <w:szCs w:val="20"/>
        </w:rPr>
        <w:t>a contract, we may lower our estimated total cost at completion commensurate with the retirement of these risks. Conversely, if we are not successful in retiring these risks, we may increase our estimated total cost at completion. Additionally, as the cont</w:t>
      </w:r>
      <w:r>
        <w:rPr>
          <w:rFonts w:eastAsia="Times New Roman"/>
          <w:color w:val="000000"/>
          <w:sz w:val="20"/>
          <w:szCs w:val="20"/>
        </w:rPr>
        <w:t>ract progresses, our estimates of total transaction price may increase or decrease if, for example, we receive award fees that are higher or lower than expected. When adjustments in estimated total costs at completion or in estimated total transaction pric</w:t>
      </w:r>
      <w:r>
        <w:rPr>
          <w:rFonts w:eastAsia="Times New Roman"/>
          <w:color w:val="000000"/>
          <w:sz w:val="20"/>
          <w:szCs w:val="20"/>
        </w:rPr>
        <w:t>e are determined, the related impact on operating income is recognized using the cumulative catch-up method, which recognizes in the current period the cumulative effect of such adjustments for all prior periods. Any anticipated losses on these contracts a</w:t>
      </w:r>
      <w:r>
        <w:rPr>
          <w:rFonts w:eastAsia="Times New Roman"/>
          <w:color w:val="000000"/>
          <w:sz w:val="20"/>
          <w:szCs w:val="20"/>
        </w:rPr>
        <w:t>re fully recognized in the period in which the losses become evident.</w:t>
      </w:r>
    </w:p>
    <w:p w:rsidR="00000000" w:rsidRDefault="005D26B8">
      <w:pPr>
        <w:jc w:val="center"/>
        <w:divId w:val="1281644751"/>
        <w:rPr>
          <w:rFonts w:eastAsia="Times New Roman"/>
        </w:rPr>
      </w:pPr>
      <w:r>
        <w:rPr>
          <w:rFonts w:eastAsia="Times New Roman"/>
          <w:color w:val="000000"/>
          <w:sz w:val="20"/>
          <w:szCs w:val="20"/>
        </w:rPr>
        <w:t>24</w:t>
      </w:r>
    </w:p>
    <w:p w:rsidR="00000000" w:rsidRDefault="005D26B8">
      <w:pPr>
        <w:rPr>
          <w:rFonts w:eastAsia="Times New Roman"/>
        </w:rPr>
      </w:pPr>
      <w:r>
        <w:rPr>
          <w:rFonts w:eastAsia="Times New Roman"/>
        </w:rPr>
        <w:pict>
          <v:rect id="_x0000_i1051" style="width:0;height:1.5pt" o:hralign="center" o:hrstd="t" o:hr="t" fillcolor="#a0a0a0" stroked="f"/>
        </w:pict>
      </w:r>
    </w:p>
    <w:p w:rsidR="00000000" w:rsidRDefault="005D26B8">
      <w:pPr>
        <w:divId w:val="1015300961"/>
        <w:rPr>
          <w:rFonts w:eastAsia="Times New Roman"/>
        </w:rPr>
      </w:pPr>
    </w:p>
    <w:p w:rsidR="00000000" w:rsidRDefault="005D26B8">
      <w:pPr>
        <w:ind w:firstLine="450"/>
        <w:divId w:val="1744983994"/>
        <w:rPr>
          <w:rFonts w:eastAsia="Times New Roman"/>
        </w:rPr>
      </w:pPr>
      <w:r>
        <w:rPr>
          <w:rFonts w:eastAsia="Times New Roman"/>
          <w:color w:val="000000"/>
          <w:sz w:val="20"/>
          <w:szCs w:val="20"/>
        </w:rPr>
        <w:t>Net EAC adjustments had the following impact to earnings for the periods presented: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087"/>
        <w:gridCol w:w="38"/>
        <w:gridCol w:w="121"/>
        <w:gridCol w:w="1056"/>
        <w:gridCol w:w="36"/>
        <w:gridCol w:w="36"/>
        <w:gridCol w:w="36"/>
        <w:gridCol w:w="36"/>
        <w:gridCol w:w="121"/>
        <w:gridCol w:w="1056"/>
        <w:gridCol w:w="36"/>
        <w:gridCol w:w="36"/>
        <w:gridCol w:w="36"/>
        <w:gridCol w:w="36"/>
        <w:gridCol w:w="121"/>
        <w:gridCol w:w="1056"/>
        <w:gridCol w:w="37"/>
        <w:gridCol w:w="36"/>
        <w:gridCol w:w="36"/>
        <w:gridCol w:w="36"/>
        <w:gridCol w:w="121"/>
        <w:gridCol w:w="996"/>
        <w:gridCol w:w="36"/>
      </w:tblGrid>
      <w:tr w:rsidR="00000000">
        <w:trPr>
          <w:divId w:val="1014309449"/>
          <w:jc w:val="center"/>
        </w:trPr>
        <w:tc>
          <w:tcPr>
            <w:tcW w:w="50" w:type="pct"/>
            <w:vAlign w:val="center"/>
            <w:hideMark/>
          </w:tcPr>
          <w:p w:rsidR="00000000" w:rsidRDefault="005D26B8">
            <w:pPr>
              <w:ind w:firstLine="450"/>
              <w:rPr>
                <w:rFonts w:eastAsia="Times New Roman"/>
              </w:rPr>
            </w:pPr>
          </w:p>
        </w:tc>
        <w:tc>
          <w:tcPr>
            <w:tcW w:w="191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014309449"/>
          <w:jc w:val="center"/>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014309449"/>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014309449"/>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014309449"/>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xml:space="preserve">Net EAC adjustments, before income taxes </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14309449"/>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EAC adjustments, net of income taxes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14309449"/>
          <w:jc w:val="center"/>
        </w:trPr>
        <w:tc>
          <w:tcPr>
            <w:tcW w:w="0" w:type="auto"/>
            <w:gridSpan w:val="3"/>
            <w:shd w:val="clear" w:color="auto" w:fill="CCEEFF"/>
            <w:tcMar>
              <w:top w:w="30" w:type="dxa"/>
              <w:left w:w="28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Net EAC adjustments, net of income taxes, per diluted common share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0.30 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ind w:firstLine="450"/>
        <w:divId w:val="1627154320"/>
        <w:rPr>
          <w:rFonts w:eastAsia="Times New Roman"/>
        </w:rPr>
      </w:pPr>
      <w:r>
        <w:rPr>
          <w:rFonts w:eastAsia="Times New Roman"/>
          <w:color w:val="000000"/>
          <w:sz w:val="20"/>
          <w:szCs w:val="20"/>
        </w:rPr>
        <w:t>Revenue recognized from performance obligations satisfied in prior periods was $121 million and $359 million for the quarter and three quarters ended October 2, 202</w:t>
      </w:r>
      <w:r>
        <w:rPr>
          <w:rFonts w:eastAsia="Times New Roman"/>
          <w:color w:val="000000"/>
          <w:sz w:val="20"/>
          <w:szCs w:val="20"/>
        </w:rPr>
        <w:t>0, respectively, and $73 million and $116 million for the quarter and three quarters ended September 27, 2019, respectively.</w:t>
      </w:r>
    </w:p>
    <w:p w:rsidR="00000000" w:rsidRDefault="005D26B8">
      <w:pPr>
        <w:divId w:val="740445724"/>
        <w:rPr>
          <w:rFonts w:eastAsia="Times New Roman"/>
        </w:rPr>
      </w:pPr>
      <w:r>
        <w:rPr>
          <w:rFonts w:eastAsia="Times New Roman"/>
          <w:b/>
          <w:bCs/>
          <w:color w:val="000000"/>
          <w:sz w:val="20"/>
          <w:szCs w:val="20"/>
        </w:rPr>
        <w:t xml:space="preserve">Note U — Backlog </w:t>
      </w:r>
    </w:p>
    <w:p w:rsidR="00000000" w:rsidRDefault="005D26B8">
      <w:pPr>
        <w:ind w:firstLine="450"/>
        <w:divId w:val="464549428"/>
        <w:rPr>
          <w:rFonts w:eastAsia="Times New Roman"/>
        </w:rPr>
      </w:pPr>
      <w:r>
        <w:rPr>
          <w:rFonts w:eastAsia="Times New Roman"/>
          <w:color w:val="000000"/>
          <w:sz w:val="20"/>
          <w:szCs w:val="20"/>
        </w:rPr>
        <w:t>Backlog, which is the equivalent of our remaining performance obligations, represents the future revenue we expec</w:t>
      </w:r>
      <w:r>
        <w:rPr>
          <w:rFonts w:eastAsia="Times New Roman"/>
          <w:color w:val="000000"/>
          <w:sz w:val="20"/>
          <w:szCs w:val="20"/>
        </w:rPr>
        <w:t>t to recognize as we perform on our current contracts. Backlog comprises both funded backlog (i.e., firm orders for which funding is authorized and appropriated) and unfunded backlog. Backlog excludes unexercised contract options and potential orders under</w:t>
      </w:r>
      <w:r>
        <w:rPr>
          <w:rFonts w:eastAsia="Times New Roman"/>
          <w:color w:val="000000"/>
          <w:sz w:val="20"/>
          <w:szCs w:val="20"/>
        </w:rPr>
        <w:t xml:space="preserve"> ordering-type contracts, such as indefinite delivery, indefinite quantity contracts. </w:t>
      </w:r>
    </w:p>
    <w:p w:rsidR="00000000" w:rsidRDefault="005D26B8">
      <w:pPr>
        <w:ind w:firstLine="450"/>
        <w:divId w:val="1103499479"/>
        <w:rPr>
          <w:rFonts w:eastAsia="Times New Roman"/>
        </w:rPr>
      </w:pPr>
      <w:r>
        <w:rPr>
          <w:rFonts w:eastAsia="Times New Roman"/>
          <w:color w:val="000000"/>
          <w:sz w:val="20"/>
          <w:szCs w:val="20"/>
        </w:rPr>
        <w:t xml:space="preserve">At October 2, 2020, our ending backlog was $20.8 billion. We expect to recognize approximately 65 percent of the revenue associated with this backlog by the end of 2021 </w:t>
      </w:r>
      <w:r>
        <w:rPr>
          <w:rFonts w:eastAsia="Times New Roman"/>
          <w:color w:val="000000"/>
          <w:sz w:val="20"/>
          <w:szCs w:val="20"/>
        </w:rPr>
        <w:t>and approximately 80 percent by the end of 2022, with the remainder to be recognized thereafter. At January 3, 2020, our ending backlog was $20.6 billion, including $380 million of backlog associated with the airport security and automation business, which</w:t>
      </w:r>
      <w:r>
        <w:rPr>
          <w:rFonts w:eastAsia="Times New Roman"/>
          <w:color w:val="000000"/>
          <w:sz w:val="20"/>
          <w:szCs w:val="20"/>
        </w:rPr>
        <w:t xml:space="preserve"> was divested during the quarter ended July 3, 2020.</w:t>
      </w:r>
    </w:p>
    <w:p w:rsidR="00000000" w:rsidRDefault="005D26B8">
      <w:pPr>
        <w:divId w:val="41291174"/>
        <w:rPr>
          <w:rFonts w:eastAsia="Times New Roman"/>
        </w:rPr>
      </w:pPr>
      <w:r>
        <w:rPr>
          <w:rFonts w:eastAsia="Times New Roman"/>
          <w:b/>
          <w:bCs/>
          <w:color w:val="000000"/>
          <w:sz w:val="20"/>
          <w:szCs w:val="20"/>
        </w:rPr>
        <w:t xml:space="preserve">Note V — Business Segment Information </w:t>
      </w:r>
    </w:p>
    <w:p w:rsidR="00000000" w:rsidRDefault="005D26B8">
      <w:pPr>
        <w:ind w:firstLine="450"/>
        <w:divId w:val="801727649"/>
        <w:rPr>
          <w:rFonts w:eastAsia="Times New Roman"/>
        </w:rPr>
      </w:pPr>
      <w:r>
        <w:rPr>
          <w:rFonts w:eastAsia="Times New Roman"/>
          <w:color w:val="000000"/>
          <w:sz w:val="20"/>
          <w:szCs w:val="20"/>
        </w:rPr>
        <w:t>We adjusted our segment reporting due to the L3Harris Merger to reflect our new organizational structure that was effective June 29, 2019 and announced July 1, 2019</w:t>
      </w:r>
      <w:r>
        <w:rPr>
          <w:rFonts w:eastAsia="Times New Roman"/>
          <w:color w:val="000000"/>
          <w:sz w:val="20"/>
          <w:szCs w:val="20"/>
        </w:rPr>
        <w:t>. We structure our operations primarily around the products and services we sell and the markets we serve, and we report the financial results of our operations in the following four operating segments, which are also our reportable segments and are referr</w:t>
      </w:r>
      <w:r>
        <w:rPr>
          <w:rFonts w:eastAsia="Times New Roman"/>
          <w:color w:val="000000"/>
          <w:sz w:val="20"/>
          <w:szCs w:val="20"/>
        </w:rPr>
        <w:t xml:space="preserve">ed to as our business segments: </w:t>
      </w:r>
    </w:p>
    <w:p w:rsidR="00000000" w:rsidRDefault="005D26B8">
      <w:pPr>
        <w:ind w:hanging="180"/>
        <w:divId w:val="217134654"/>
        <w:rPr>
          <w:rFonts w:eastAsia="Times New Roman"/>
        </w:rPr>
      </w:pPr>
      <w:r>
        <w:rPr>
          <w:rFonts w:eastAsia="Times New Roman"/>
          <w:color w:val="000000"/>
          <w:sz w:val="20"/>
          <w:szCs w:val="20"/>
        </w:rPr>
        <w:t>•Integrated Mission Systems, including multi-mission ISR and communication systems; integrated electrical and electronic systems for maritime platforms; and advanced electro-optical and infrared solutions;</w:t>
      </w:r>
    </w:p>
    <w:p w:rsidR="00000000" w:rsidRDefault="005D26B8">
      <w:pPr>
        <w:ind w:hanging="180"/>
        <w:divId w:val="1973320961"/>
        <w:rPr>
          <w:rFonts w:eastAsia="Times New Roman"/>
        </w:rPr>
      </w:pPr>
      <w:r>
        <w:rPr>
          <w:rFonts w:eastAsia="Times New Roman"/>
          <w:color w:val="000000"/>
          <w:sz w:val="20"/>
          <w:szCs w:val="20"/>
        </w:rPr>
        <w:t>•Space and Airbor</w:t>
      </w:r>
      <w:r>
        <w:rPr>
          <w:rFonts w:eastAsia="Times New Roman"/>
          <w:color w:val="000000"/>
          <w:sz w:val="20"/>
          <w:szCs w:val="20"/>
        </w:rPr>
        <w:t>ne Systems, including space payloads, sensors and full-mission solutions; classified intelligence and cyber defense; avionics; and electronic warfare;</w:t>
      </w:r>
    </w:p>
    <w:p w:rsidR="00000000" w:rsidRDefault="005D26B8">
      <w:pPr>
        <w:ind w:hanging="180"/>
        <w:divId w:val="1210067488"/>
        <w:rPr>
          <w:rFonts w:eastAsia="Times New Roman"/>
        </w:rPr>
      </w:pPr>
      <w:r>
        <w:rPr>
          <w:rFonts w:eastAsia="Times New Roman"/>
          <w:color w:val="000000"/>
          <w:sz w:val="20"/>
          <w:szCs w:val="20"/>
        </w:rPr>
        <w:t>•Communication Systems, including tactical communications; broadband communications; integrated vision so</w:t>
      </w:r>
      <w:r>
        <w:rPr>
          <w:rFonts w:eastAsia="Times New Roman"/>
          <w:color w:val="000000"/>
          <w:sz w:val="20"/>
          <w:szCs w:val="20"/>
        </w:rPr>
        <w:t>lutions; and public safety; and</w:t>
      </w:r>
    </w:p>
    <w:p w:rsidR="00000000" w:rsidRDefault="005D26B8">
      <w:pPr>
        <w:ind w:hanging="180"/>
        <w:divId w:val="333532206"/>
        <w:rPr>
          <w:rFonts w:eastAsia="Times New Roman"/>
        </w:rPr>
      </w:pPr>
      <w:r>
        <w:rPr>
          <w:rFonts w:eastAsia="Times New Roman"/>
          <w:color w:val="000000"/>
          <w:sz w:val="20"/>
          <w:szCs w:val="20"/>
        </w:rPr>
        <w:t>•</w:t>
      </w:r>
      <w:r>
        <w:rPr>
          <w:rFonts w:eastAsia="Times New Roman"/>
          <w:color w:val="000000"/>
          <w:sz w:val="20"/>
          <w:szCs w:val="20"/>
        </w:rPr>
        <w:t>Aviation Systems, including defense aviation products; commercial aviation products; commercial and military pilot training; and mission networks for air traffic management.</w:t>
      </w:r>
    </w:p>
    <w:p w:rsidR="00000000" w:rsidRDefault="005D26B8">
      <w:pPr>
        <w:ind w:firstLine="450"/>
        <w:divId w:val="536237519"/>
        <w:rPr>
          <w:rFonts w:eastAsia="Times New Roman"/>
        </w:rPr>
      </w:pPr>
      <w:r>
        <w:rPr>
          <w:rFonts w:eastAsia="Times New Roman"/>
          <w:color w:val="000000"/>
          <w:sz w:val="20"/>
          <w:szCs w:val="20"/>
        </w:rPr>
        <w:t>During the quarter ended April 3, 2020, we further adjusted our segment reporting to better align our businesses and transferred two businesses between our Integrated Mission Systems and Space and Airborne Systems segments. The historical results, discussi</w:t>
      </w:r>
      <w:r>
        <w:rPr>
          <w:rFonts w:eastAsia="Times New Roman"/>
          <w:color w:val="000000"/>
          <w:sz w:val="20"/>
          <w:szCs w:val="20"/>
        </w:rPr>
        <w:t>on and presentation of our business segments as set forth in this Report reflect the impact of the above adjustments for all periods presented. There is no impact on our previously reported consolidated statements of income, balance sheets, statements of c</w:t>
      </w:r>
      <w:r>
        <w:rPr>
          <w:rFonts w:eastAsia="Times New Roman"/>
          <w:color w:val="000000"/>
          <w:sz w:val="20"/>
          <w:szCs w:val="20"/>
        </w:rPr>
        <w:t xml:space="preserve">ash flows or statements of equity resulting from these adjustments. </w:t>
      </w:r>
    </w:p>
    <w:p w:rsidR="00000000" w:rsidRDefault="005D26B8">
      <w:pPr>
        <w:ind w:firstLine="450"/>
        <w:divId w:val="2075464094"/>
        <w:rPr>
          <w:rFonts w:eastAsia="Times New Roman"/>
        </w:rPr>
      </w:pPr>
      <w:r>
        <w:rPr>
          <w:rFonts w:eastAsia="Times New Roman"/>
          <w:color w:val="000000"/>
          <w:sz w:val="20"/>
          <w:szCs w:val="20"/>
        </w:rPr>
        <w:t>As noted in</w:t>
      </w:r>
      <w:r>
        <w:rPr>
          <w:rFonts w:eastAsia="Times New Roman"/>
          <w:i/>
          <w:iCs/>
          <w:color w:val="000000"/>
          <w:sz w:val="20"/>
          <w:szCs w:val="20"/>
        </w:rPr>
        <w:t xml:space="preserve"> Note C — Business Divestitures and Assets Sales</w:t>
      </w:r>
      <w:r>
        <w:rPr>
          <w:rFonts w:eastAsia="Times New Roman"/>
          <w:color w:val="000000"/>
          <w:sz w:val="20"/>
          <w:szCs w:val="20"/>
        </w:rPr>
        <w:t xml:space="preserve"> and elsewhere in these Notes, during 2019 and 2020, we completed the following business divestitures: </w:t>
      </w:r>
    </w:p>
    <w:p w:rsidR="00000000" w:rsidRDefault="005D26B8">
      <w:pPr>
        <w:ind w:hanging="180"/>
        <w:divId w:val="1734892326"/>
        <w:rPr>
          <w:rFonts w:eastAsia="Times New Roman"/>
        </w:rPr>
      </w:pPr>
      <w:r>
        <w:rPr>
          <w:rFonts w:eastAsia="Times New Roman"/>
          <w:color w:val="000000"/>
          <w:sz w:val="20"/>
          <w:szCs w:val="20"/>
        </w:rPr>
        <w:t xml:space="preserve">•The divestiture of the </w:t>
      </w:r>
      <w:r>
        <w:rPr>
          <w:rFonts w:eastAsia="Times New Roman"/>
          <w:color w:val="000000"/>
          <w:sz w:val="20"/>
          <w:szCs w:val="20"/>
        </w:rPr>
        <w:t xml:space="preserve">Harris Night Vision business, completed on September 13, 2019, the results of which are included in “Other non-reportable business segments” through the date of divestiture; </w:t>
      </w:r>
    </w:p>
    <w:p w:rsidR="00000000" w:rsidRDefault="005D26B8">
      <w:pPr>
        <w:ind w:hanging="180"/>
        <w:divId w:val="1520042750"/>
        <w:rPr>
          <w:rFonts w:eastAsia="Times New Roman"/>
        </w:rPr>
      </w:pPr>
      <w:r>
        <w:rPr>
          <w:rFonts w:eastAsia="Times New Roman"/>
          <w:color w:val="000000"/>
          <w:sz w:val="20"/>
          <w:szCs w:val="20"/>
        </w:rPr>
        <w:t>•The divestiture of the airport security and automation business, completed on Ma</w:t>
      </w:r>
      <w:r>
        <w:rPr>
          <w:rFonts w:eastAsia="Times New Roman"/>
          <w:color w:val="000000"/>
          <w:sz w:val="20"/>
          <w:szCs w:val="20"/>
        </w:rPr>
        <w:t xml:space="preserve">y 4, 2020, the results of which are reported as part of our Aviation Systems segment through the date of divestiture; </w:t>
      </w:r>
    </w:p>
    <w:p w:rsidR="00000000" w:rsidRDefault="005D26B8">
      <w:pPr>
        <w:ind w:hanging="180"/>
        <w:divId w:val="1138650272"/>
        <w:rPr>
          <w:rFonts w:eastAsia="Times New Roman"/>
        </w:rPr>
      </w:pPr>
      <w:r>
        <w:rPr>
          <w:rFonts w:eastAsia="Times New Roman"/>
          <w:color w:val="000000"/>
          <w:sz w:val="20"/>
          <w:szCs w:val="20"/>
        </w:rPr>
        <w:t>•The divestiture of the Applied Kilovolts and Analytical Instrumentation business, completed on May 15, 2020, the results of which are re</w:t>
      </w:r>
      <w:r>
        <w:rPr>
          <w:rFonts w:eastAsia="Times New Roman"/>
          <w:color w:val="000000"/>
          <w:sz w:val="20"/>
          <w:szCs w:val="20"/>
        </w:rPr>
        <w:t xml:space="preserve">ported as part of our Space and Airborne Systems segment through the date of divestiture; and </w:t>
      </w:r>
    </w:p>
    <w:p w:rsidR="00000000" w:rsidRDefault="005D26B8">
      <w:pPr>
        <w:ind w:hanging="180"/>
        <w:divId w:val="1417559241"/>
        <w:rPr>
          <w:rFonts w:eastAsia="Times New Roman"/>
        </w:rPr>
      </w:pPr>
      <w:r>
        <w:rPr>
          <w:rFonts w:eastAsia="Times New Roman"/>
          <w:color w:val="000000"/>
          <w:sz w:val="20"/>
          <w:szCs w:val="20"/>
        </w:rPr>
        <w:t>•The divestiture of the EOTech business, completed on July 31, 2020, the results of which are reported as part of our Communication Systems segment through the d</w:t>
      </w:r>
      <w:r>
        <w:rPr>
          <w:rFonts w:eastAsia="Times New Roman"/>
          <w:color w:val="000000"/>
          <w:sz w:val="20"/>
          <w:szCs w:val="20"/>
        </w:rPr>
        <w:t>ate of divestiture.</w:t>
      </w:r>
    </w:p>
    <w:p w:rsidR="00000000" w:rsidRDefault="005D26B8">
      <w:pPr>
        <w:ind w:firstLine="450"/>
        <w:divId w:val="2037384441"/>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Transition Period Form 10-KT. We evaluate each</w:t>
      </w:r>
      <w:r>
        <w:rPr>
          <w:rFonts w:eastAsia="Times New Roman"/>
          <w:color w:val="000000"/>
          <w:sz w:val="20"/>
          <w:szCs w:val="20"/>
        </w:rPr>
        <w:t xml:space="preserve"> segment’s performance based on its operating income or loss, which we define as profit or loss from operations before income taxes, including pension income and excluding interest income and expense, royalties and related intellectual property expenses, e</w:t>
      </w:r>
      <w:r>
        <w:rPr>
          <w:rFonts w:eastAsia="Times New Roman"/>
          <w:color w:val="000000"/>
          <w:sz w:val="20"/>
          <w:szCs w:val="20"/>
        </w:rPr>
        <w:t xml:space="preserve">quity method investment income or loss and gains or losses from securities and other investments. Inter-segment </w:t>
      </w:r>
    </w:p>
    <w:p w:rsidR="00000000" w:rsidRDefault="005D26B8">
      <w:pPr>
        <w:jc w:val="center"/>
        <w:divId w:val="1033843535"/>
        <w:rPr>
          <w:rFonts w:eastAsia="Times New Roman"/>
        </w:rPr>
      </w:pPr>
      <w:r>
        <w:rPr>
          <w:rFonts w:eastAsia="Times New Roman"/>
          <w:color w:val="000000"/>
          <w:sz w:val="20"/>
          <w:szCs w:val="20"/>
        </w:rPr>
        <w:t>25</w:t>
      </w:r>
    </w:p>
    <w:p w:rsidR="00000000" w:rsidRDefault="005D26B8">
      <w:pPr>
        <w:rPr>
          <w:rFonts w:eastAsia="Times New Roman"/>
        </w:rPr>
      </w:pPr>
      <w:r>
        <w:rPr>
          <w:rFonts w:eastAsia="Times New Roman"/>
        </w:rPr>
        <w:pict>
          <v:rect id="_x0000_i1052" style="width:0;height:1.5pt" o:hralign="center" o:hrstd="t" o:hr="t" fillcolor="#a0a0a0" stroked="f"/>
        </w:pict>
      </w:r>
    </w:p>
    <w:p w:rsidR="00000000" w:rsidRDefault="005D26B8">
      <w:pPr>
        <w:divId w:val="655039036"/>
        <w:rPr>
          <w:rFonts w:eastAsia="Times New Roman"/>
        </w:rPr>
      </w:pPr>
    </w:p>
    <w:p w:rsidR="00000000" w:rsidRDefault="005D26B8">
      <w:pPr>
        <w:divId w:val="1591350235"/>
        <w:rPr>
          <w:rFonts w:eastAsia="Times New Roman"/>
        </w:rPr>
      </w:pPr>
      <w:r>
        <w:rPr>
          <w:rFonts w:eastAsia="Times New Roman"/>
          <w:color w:val="000000"/>
          <w:sz w:val="20"/>
          <w:szCs w:val="20"/>
        </w:rPr>
        <w:t xml:space="preserve">sales are generally transferred at cost to the buying segment, and the sourcing segment may recognize </w:t>
      </w:r>
      <w:r>
        <w:rPr>
          <w:rFonts w:eastAsia="Times New Roman"/>
          <w:color w:val="000000"/>
          <w:sz w:val="20"/>
          <w:szCs w:val="20"/>
        </w:rPr>
        <w:t>a profit that is eliminated. The “Corporate eliminations” line item in the table below represents the elimination of inter-segment sales. Corporate expenses are allocated to our operating segments using an allocation methodology prescribed by U.S. Governme</w:t>
      </w:r>
      <w:r>
        <w:rPr>
          <w:rFonts w:eastAsia="Times New Roman"/>
          <w:color w:val="000000"/>
          <w:sz w:val="20"/>
          <w:szCs w:val="20"/>
        </w:rPr>
        <w:t>nt regulations for government contractors. The “Pension adjustment” line item in the table below represents the reconciliation of the non-service components of net periodic pension and postretirement benefit costs, which are a component of segment operatin</w:t>
      </w:r>
      <w:r>
        <w:rPr>
          <w:rFonts w:eastAsia="Times New Roman"/>
          <w:color w:val="000000"/>
          <w:sz w:val="20"/>
          <w:szCs w:val="20"/>
        </w:rPr>
        <w:t>g income but are included in the “Non-operating income” line item in our Condensed Consolidated Statement of Income (Unaudited). The non-service components of net periodic pension and postretirement benefit costs include interest cost, expected return on p</w:t>
      </w:r>
      <w:r>
        <w:rPr>
          <w:rFonts w:eastAsia="Times New Roman"/>
          <w:color w:val="000000"/>
          <w:sz w:val="20"/>
          <w:szCs w:val="20"/>
        </w:rPr>
        <w:t>lan assets and amortization of net actuarial gain or loss.</w:t>
      </w:r>
    </w:p>
    <w:p w:rsidR="00000000" w:rsidRDefault="005D26B8">
      <w:pPr>
        <w:ind w:firstLine="450"/>
        <w:divId w:val="1066420459"/>
        <w:rPr>
          <w:rFonts w:eastAsia="Times New Roman"/>
        </w:rPr>
      </w:pPr>
      <w:r>
        <w:rPr>
          <w:rFonts w:eastAsia="Times New Roman"/>
          <w:color w:val="000000"/>
          <w:sz w:val="20"/>
          <w:szCs w:val="20"/>
        </w:rPr>
        <w:t>Segment revenue, segment operating income (loss) and a reconciliation of segment operating income to total income from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3225"/>
        <w:gridCol w:w="39"/>
        <w:gridCol w:w="120"/>
        <w:gridCol w:w="1036"/>
        <w:gridCol w:w="36"/>
        <w:gridCol w:w="36"/>
        <w:gridCol w:w="36"/>
        <w:gridCol w:w="36"/>
        <w:gridCol w:w="121"/>
        <w:gridCol w:w="993"/>
        <w:gridCol w:w="36"/>
        <w:gridCol w:w="36"/>
        <w:gridCol w:w="36"/>
        <w:gridCol w:w="36"/>
        <w:gridCol w:w="120"/>
        <w:gridCol w:w="1028"/>
        <w:gridCol w:w="36"/>
        <w:gridCol w:w="36"/>
        <w:gridCol w:w="36"/>
        <w:gridCol w:w="36"/>
        <w:gridCol w:w="121"/>
        <w:gridCol w:w="993"/>
        <w:gridCol w:w="36"/>
      </w:tblGrid>
      <w:tr w:rsidR="00000000">
        <w:trPr>
          <w:divId w:val="1929314518"/>
        </w:trPr>
        <w:tc>
          <w:tcPr>
            <w:tcW w:w="50" w:type="pct"/>
            <w:vAlign w:val="center"/>
            <w:hideMark/>
          </w:tcPr>
          <w:p w:rsidR="00000000" w:rsidRDefault="005D26B8">
            <w:pPr>
              <w:ind w:firstLine="450"/>
              <w:rPr>
                <w:rFonts w:eastAsia="Times New Roman"/>
              </w:rPr>
            </w:pPr>
          </w:p>
        </w:tc>
        <w:tc>
          <w:tcPr>
            <w:tcW w:w="197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5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5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5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92931451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92931451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929314518"/>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29314518"/>
        </w:trPr>
        <w:tc>
          <w:tcPr>
            <w:tcW w:w="0" w:type="auto"/>
            <w:gridSpan w:val="3"/>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29314518"/>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1,292 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2,603 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20" w:type="dxa"/>
              <w:bottom w:w="30" w:type="dxa"/>
              <w:right w:w="20" w:type="dxa"/>
            </w:tcMar>
            <w:hideMark/>
          </w:tcPr>
          <w:p w:rsidR="00000000" w:rsidRDefault="005D26B8">
            <w:pPr>
              <w:divId w:val="2112625047"/>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Height w:val="280"/>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29314518"/>
        </w:trPr>
        <w:tc>
          <w:tcPr>
            <w:tcW w:w="0" w:type="auto"/>
            <w:gridSpan w:val="6"/>
            <w:shd w:val="clear" w:color="auto" w:fill="FFFFFF"/>
            <w:tcMar>
              <w:top w:w="30" w:type="dxa"/>
              <w:left w:w="3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29314518"/>
        </w:trPr>
        <w:tc>
          <w:tcPr>
            <w:tcW w:w="0" w:type="auto"/>
            <w:gridSpan w:val="3"/>
            <w:shd w:val="clear" w:color="auto" w:fill="CCEEFF"/>
            <w:tcMar>
              <w:top w:w="30" w:type="dxa"/>
              <w:left w:w="120" w:type="dxa"/>
              <w:bottom w:w="30" w:type="dxa"/>
              <w:right w:w="20" w:type="dxa"/>
            </w:tcMar>
            <w:hideMark/>
          </w:tcPr>
          <w:p w:rsidR="00000000" w:rsidRDefault="005D26B8">
            <w:pPr>
              <w:rPr>
                <w:rFonts w:eastAsia="Times New Roman"/>
              </w:rPr>
            </w:pPr>
            <w:r>
              <w:rPr>
                <w:rFonts w:eastAsia="Times New Roman"/>
                <w:i/>
                <w:iCs/>
                <w:color w:val="000000"/>
                <w:sz w:val="20"/>
                <w:szCs w:val="20"/>
              </w:rPr>
              <w:t>Segment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929314518"/>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20" w:type="dxa"/>
              <w:bottom w:w="30" w:type="dxa"/>
              <w:right w:w="20" w:type="dxa"/>
            </w:tcMar>
            <w:vAlign w:val="bottom"/>
            <w:hideMark/>
          </w:tcPr>
          <w:p w:rsidR="00000000" w:rsidRDefault="005D26B8">
            <w:pPr>
              <w:divId w:val="1026175762"/>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20" w:type="dxa"/>
              <w:bottom w:w="30" w:type="dxa"/>
              <w:right w:w="20" w:type="dxa"/>
            </w:tcMar>
            <w:vAlign w:val="bottom"/>
            <w:hideMark/>
          </w:tcPr>
          <w:p w:rsidR="00000000" w:rsidRDefault="005D26B8">
            <w:pPr>
              <w:divId w:val="1215965669"/>
              <w:rPr>
                <w:rFonts w:eastAsia="Times New Roman"/>
              </w:rPr>
            </w:pPr>
            <w:r>
              <w:rPr>
                <w:rFonts w:eastAsia="Times New Roman"/>
                <w:color w:val="000000"/>
                <w:sz w:val="20"/>
                <w:szCs w:val="20"/>
              </w:rPr>
              <w:t>Unallocated corporate expense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40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 xml:space="preserve">L3Harris Merger-related transaction, integration and restructuring expenses </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L3Harris Merger-related restructuring charges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20" w:type="dxa"/>
              <w:bottom w:w="30" w:type="dxa"/>
              <w:right w:w="20" w:type="dxa"/>
            </w:tcMar>
            <w:vAlign w:val="bottom"/>
            <w:hideMark/>
          </w:tcPr>
          <w:p w:rsidR="00000000" w:rsidRDefault="005D26B8">
            <w:pPr>
              <w:divId w:val="1234969445"/>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Business divestiture-related (losses) gains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Pension adjustment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929314518"/>
        </w:trPr>
        <w:tc>
          <w:tcPr>
            <w:tcW w:w="0" w:type="auto"/>
            <w:gridSpan w:val="3"/>
            <w:shd w:val="clear" w:color="auto" w:fill="CCEEFF"/>
            <w:tcMar>
              <w:top w:w="30" w:type="dxa"/>
              <w:left w:w="285" w:type="dxa"/>
              <w:bottom w:w="30" w:type="dxa"/>
              <w:right w:w="20" w:type="dxa"/>
            </w:tcMar>
            <w:vAlign w:val="bottom"/>
            <w:hideMark/>
          </w:tcPr>
          <w:p w:rsidR="00000000" w:rsidRDefault="005D26B8">
            <w:pPr>
              <w:ind w:hanging="270"/>
              <w:rPr>
                <w:rFonts w:eastAsia="Times New Roman"/>
              </w:rPr>
            </w:pPr>
            <w:r>
              <w:rPr>
                <w:rFonts w:eastAsia="Times New Roman"/>
                <w:color w:val="000000"/>
                <w:sz w:val="20"/>
                <w:szCs w:val="20"/>
              </w:rPr>
              <w:t>Total income from continuing operations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678237454"/>
        <w:rPr>
          <w:rFonts w:eastAsia="Times New Roman"/>
        </w:rPr>
      </w:pPr>
      <w:r>
        <w:rPr>
          <w:rFonts w:eastAsia="Times New Roman"/>
          <w:color w:val="000000"/>
          <w:sz w:val="16"/>
          <w:szCs w:val="16"/>
        </w:rPr>
        <w:t>_______________</w:t>
      </w:r>
    </w:p>
    <w:p w:rsidR="00000000" w:rsidRDefault="005D26B8">
      <w:pPr>
        <w:ind w:hanging="270"/>
        <w:divId w:val="1426801310"/>
        <w:rPr>
          <w:rFonts w:eastAsia="Times New Roman"/>
        </w:rPr>
      </w:pPr>
      <w:r>
        <w:rPr>
          <w:rFonts w:eastAsia="Times New Roman"/>
          <w:color w:val="000000"/>
          <w:sz w:val="16"/>
          <w:szCs w:val="16"/>
        </w:rPr>
        <w:t>(1)</w:t>
      </w:r>
      <w:r>
        <w:rPr>
          <w:rFonts w:eastAsia="Times New Roman"/>
          <w:color w:val="000000"/>
          <w:sz w:val="16"/>
          <w:szCs w:val="16"/>
        </w:rPr>
        <w:t xml:space="preserve">Includes the operating results of the Harris Night Vision business prior to the divestiture on September 13, 2019. See </w:t>
      </w:r>
      <w:r>
        <w:rPr>
          <w:rFonts w:eastAsia="Times New Roman"/>
          <w:i/>
          <w:iCs/>
          <w:color w:val="000000"/>
          <w:sz w:val="16"/>
          <w:szCs w:val="16"/>
        </w:rPr>
        <w:t>Note C — Business Divestitures and Assets Sales</w:t>
      </w:r>
      <w:r>
        <w:rPr>
          <w:rFonts w:eastAsia="Times New Roman"/>
          <w:color w:val="000000"/>
          <w:sz w:val="16"/>
          <w:szCs w:val="16"/>
        </w:rPr>
        <w:t xml:space="preserve"> in these Notes for more information. </w:t>
      </w:r>
    </w:p>
    <w:p w:rsidR="00000000" w:rsidRDefault="005D26B8">
      <w:pPr>
        <w:ind w:hanging="270"/>
        <w:divId w:val="879174044"/>
        <w:rPr>
          <w:rFonts w:eastAsia="Times New Roman"/>
        </w:rPr>
      </w:pPr>
      <w:r>
        <w:rPr>
          <w:rFonts w:eastAsia="Times New Roman"/>
          <w:color w:val="000000"/>
          <w:sz w:val="16"/>
          <w:szCs w:val="16"/>
        </w:rPr>
        <w:t xml:space="preserve">(2)For the quarter ended October 2, 2020, includes </w:t>
      </w:r>
      <w:r>
        <w:rPr>
          <w:rFonts w:eastAsia="Times New Roman"/>
          <w:color w:val="000000"/>
          <w:sz w:val="16"/>
          <w:szCs w:val="16"/>
        </w:rPr>
        <w:t xml:space="preserve">$2 million of divestiture-related expenses, and for the three quarters ended October 2, 2020, includes (i) $31 million of additional cost of sales related to the fair value step-up in inventory sold (see </w:t>
      </w:r>
      <w:r>
        <w:rPr>
          <w:rFonts w:eastAsia="Times New Roman"/>
          <w:i/>
          <w:iCs/>
          <w:color w:val="000000"/>
          <w:sz w:val="16"/>
          <w:szCs w:val="16"/>
        </w:rPr>
        <w:t>Note B — Business Combination</w:t>
      </w:r>
      <w:r>
        <w:rPr>
          <w:rFonts w:eastAsia="Times New Roman"/>
          <w:color w:val="000000"/>
          <w:sz w:val="16"/>
          <w:szCs w:val="16"/>
        </w:rPr>
        <w:t xml:space="preserve"> in these Notes for mor</w:t>
      </w:r>
      <w:r>
        <w:rPr>
          <w:rFonts w:eastAsia="Times New Roman"/>
          <w:color w:val="000000"/>
          <w:sz w:val="16"/>
          <w:szCs w:val="16"/>
        </w:rPr>
        <w:t>e information); (ii) a $14 million non-cash goodwill impairment charge related to a potential divestiture; (iii) $11 million of divestiture-related expenses; and (iv) a $5 million non-cash goodwill impairment charge related to the divestiture of the Applie</w:t>
      </w:r>
      <w:r>
        <w:rPr>
          <w:rFonts w:eastAsia="Times New Roman"/>
          <w:color w:val="000000"/>
          <w:sz w:val="16"/>
          <w:szCs w:val="16"/>
        </w:rPr>
        <w:t xml:space="preserve">d Kilovolts and Analytical Instrumentation business. For the quarter and three quarters ended September 27, 2019, includes (i) $92 million of additional cost of sales related to the fair value step-up in inventory sold; (ii) a $12 million gain on the sale </w:t>
      </w:r>
      <w:r>
        <w:rPr>
          <w:rFonts w:eastAsia="Times New Roman"/>
          <w:color w:val="000000"/>
          <w:sz w:val="16"/>
          <w:szCs w:val="16"/>
        </w:rPr>
        <w:t>of an asset group; and (iii) a $12 million non-cash cumulative adjustment to lease expense.</w:t>
      </w:r>
    </w:p>
    <w:p w:rsidR="00000000" w:rsidRDefault="005D26B8">
      <w:pPr>
        <w:ind w:hanging="270"/>
        <w:divId w:val="1939212095"/>
        <w:rPr>
          <w:rFonts w:eastAsia="Times New Roman"/>
        </w:rPr>
      </w:pPr>
      <w:r>
        <w:rPr>
          <w:rFonts w:eastAsia="Times New Roman"/>
          <w:color w:val="000000"/>
          <w:sz w:val="16"/>
          <w:szCs w:val="16"/>
        </w:rPr>
        <w:t>(3)Includes $151 million and $454 million for the quarter and three quarters ended October 2, 2020, respectively, and $98 million for the quarter and three quarters</w:t>
      </w:r>
      <w:r>
        <w:rPr>
          <w:rFonts w:eastAsia="Times New Roman"/>
          <w:color w:val="000000"/>
          <w:sz w:val="16"/>
          <w:szCs w:val="16"/>
        </w:rPr>
        <w:t xml:space="preserve"> ended September 27, 2019 of amortization of identifiable intangible assets acquired as a result of the L3Harris Merger. Also includes $25 million and $75 million, respectively, for the quarters and three quarters ended October 2, 2020 and September 27, 20</w:t>
      </w:r>
      <w:r>
        <w:rPr>
          <w:rFonts w:eastAsia="Times New Roman"/>
          <w:color w:val="000000"/>
          <w:sz w:val="16"/>
          <w:szCs w:val="16"/>
        </w:rPr>
        <w:t>19, of amortization of identifiable intangible assets acquired as a result of our acquisition of Exelis Inc. in fiscal 2015. Because the L3Harris Merger and the acquisition of Exelis Inc. benefited the entire Company as opposed to any individual segment, t</w:t>
      </w:r>
      <w:r>
        <w:rPr>
          <w:rFonts w:eastAsia="Times New Roman"/>
          <w:color w:val="000000"/>
          <w:sz w:val="16"/>
          <w:szCs w:val="16"/>
        </w:rPr>
        <w:t>he amortization of identifiable intangible assets acquired was not allocated to any segment.</w:t>
      </w:r>
    </w:p>
    <w:p w:rsidR="00000000" w:rsidRDefault="005D26B8">
      <w:pPr>
        <w:jc w:val="center"/>
        <w:divId w:val="385107885"/>
        <w:rPr>
          <w:rFonts w:eastAsia="Times New Roman"/>
        </w:rPr>
      </w:pPr>
      <w:r>
        <w:rPr>
          <w:rFonts w:eastAsia="Times New Roman"/>
          <w:color w:val="000000"/>
          <w:sz w:val="20"/>
          <w:szCs w:val="20"/>
        </w:rPr>
        <w:t>26</w:t>
      </w:r>
    </w:p>
    <w:p w:rsidR="00000000" w:rsidRDefault="005D26B8">
      <w:pPr>
        <w:rPr>
          <w:rFonts w:eastAsia="Times New Roman"/>
        </w:rPr>
      </w:pPr>
      <w:r>
        <w:rPr>
          <w:rFonts w:eastAsia="Times New Roman"/>
        </w:rPr>
        <w:pict>
          <v:rect id="_x0000_i1053" style="width:0;height:1.5pt" o:hralign="center" o:hrstd="t" o:hr="t" fillcolor="#a0a0a0" stroked="f"/>
        </w:pict>
      </w:r>
    </w:p>
    <w:p w:rsidR="00000000" w:rsidRDefault="005D26B8">
      <w:pPr>
        <w:divId w:val="1430658508"/>
        <w:rPr>
          <w:rFonts w:eastAsia="Times New Roman"/>
        </w:rPr>
      </w:pPr>
    </w:p>
    <w:p w:rsidR="00000000" w:rsidRDefault="005D26B8">
      <w:pPr>
        <w:jc w:val="both"/>
        <w:divId w:val="814223578"/>
        <w:rPr>
          <w:rFonts w:eastAsia="Times New Roman"/>
        </w:rPr>
      </w:pPr>
      <w:r>
        <w:rPr>
          <w:rFonts w:eastAsia="Times New Roman"/>
          <w:b/>
          <w:bCs/>
          <w:color w:val="000000"/>
          <w:sz w:val="20"/>
          <w:szCs w:val="20"/>
        </w:rPr>
        <w:t>Disaggregation of Revenue</w:t>
      </w:r>
    </w:p>
    <w:p w:rsidR="00000000" w:rsidRDefault="005D26B8">
      <w:pPr>
        <w:ind w:firstLine="450"/>
        <w:jc w:val="both"/>
        <w:divId w:val="241183656"/>
        <w:rPr>
          <w:rFonts w:eastAsia="Times New Roman"/>
        </w:rPr>
      </w:pPr>
      <w:r>
        <w:rPr>
          <w:rFonts w:eastAsia="Times New Roman"/>
          <w:color w:val="000000"/>
          <w:sz w:val="20"/>
          <w:szCs w:val="20"/>
        </w:rPr>
        <w:t>We disaggregate revenue for all four business segments by customer relationship, contract type a</w:t>
      </w:r>
      <w:r>
        <w:rPr>
          <w:rFonts w:eastAsia="Times New Roman"/>
          <w:color w:val="000000"/>
          <w:sz w:val="20"/>
          <w:szCs w:val="20"/>
        </w:rPr>
        <w:t>nd geographical region. We believe these categories best depict how the nature, amount, timing and uncertainty of revenue and cash flows are affected by economic factors.</w:t>
      </w:r>
    </w:p>
    <w:p w:rsidR="00000000" w:rsidRDefault="005D26B8">
      <w:pPr>
        <w:ind w:firstLine="450"/>
        <w:divId w:val="1601179251"/>
        <w:rPr>
          <w:rFonts w:eastAsia="Times New Roman"/>
        </w:rPr>
      </w:pPr>
      <w:r>
        <w:rPr>
          <w:rFonts w:eastAsia="Times New Roman"/>
          <w:i/>
          <w:iCs/>
          <w:color w:val="000000"/>
          <w:sz w:val="20"/>
          <w:szCs w:val="20"/>
        </w:rPr>
        <w:t xml:space="preserve">Integrated Mission Systems: </w:t>
      </w:r>
      <w:r>
        <w:rPr>
          <w:rFonts w:eastAsia="Times New Roman"/>
          <w:color w:val="000000"/>
          <w:sz w:val="20"/>
          <w:szCs w:val="20"/>
        </w:rPr>
        <w:t>Integrated Mission Systems revenue is primarily derived f</w:t>
      </w:r>
      <w:r>
        <w:rPr>
          <w:rFonts w:eastAsia="Times New Roman"/>
          <w:color w:val="000000"/>
          <w:sz w:val="20"/>
          <w:szCs w:val="20"/>
        </w:rPr>
        <w:t>rom U.S. Government development and production contracts and is generally recognized over time using the POC cost-to-cost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3120"/>
        <w:gridCol w:w="37"/>
        <w:gridCol w:w="120"/>
        <w:gridCol w:w="1072"/>
        <w:gridCol w:w="36"/>
        <w:gridCol w:w="36"/>
        <w:gridCol w:w="36"/>
        <w:gridCol w:w="36"/>
        <w:gridCol w:w="121"/>
        <w:gridCol w:w="1028"/>
        <w:gridCol w:w="36"/>
        <w:gridCol w:w="36"/>
        <w:gridCol w:w="36"/>
        <w:gridCol w:w="36"/>
        <w:gridCol w:w="120"/>
        <w:gridCol w:w="1028"/>
        <w:gridCol w:w="36"/>
        <w:gridCol w:w="36"/>
        <w:gridCol w:w="36"/>
        <w:gridCol w:w="36"/>
        <w:gridCol w:w="121"/>
        <w:gridCol w:w="1032"/>
        <w:gridCol w:w="36"/>
      </w:tblGrid>
      <w:tr w:rsidR="00000000">
        <w:trPr>
          <w:divId w:val="1890648915"/>
        </w:trPr>
        <w:tc>
          <w:tcPr>
            <w:tcW w:w="50" w:type="pct"/>
            <w:vAlign w:val="center"/>
            <w:hideMark/>
          </w:tcPr>
          <w:p w:rsidR="00000000" w:rsidRDefault="005D26B8">
            <w:pPr>
              <w:ind w:firstLine="450"/>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890648915"/>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890648915"/>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890648915"/>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906489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9064891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910 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882 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1,356 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90648915"/>
        </w:trPr>
        <w:tc>
          <w:tcPr>
            <w:tcW w:w="0" w:type="auto"/>
            <w:gridSpan w:val="3"/>
            <w:shd w:val="clear" w:color="auto" w:fill="FFFFFF"/>
            <w:tcMar>
              <w:top w:w="30" w:type="dxa"/>
              <w:left w:w="20" w:type="dxa"/>
              <w:bottom w:w="30" w:type="dxa"/>
              <w:right w:w="20" w:type="dxa"/>
            </w:tcMar>
            <w:vAlign w:val="bottom"/>
            <w:hideMark/>
          </w:tcPr>
          <w:p w:rsidR="00000000" w:rsidRDefault="005D26B8">
            <w:pPr>
              <w:divId w:val="1648238842"/>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1,010 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3,064 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890648915"/>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3,240 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1,086 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833 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890648915"/>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364215813"/>
        <w:rPr>
          <w:rFonts w:eastAsia="Times New Roman"/>
        </w:rPr>
      </w:pPr>
      <w:r>
        <w:rPr>
          <w:rFonts w:eastAsia="Times New Roman"/>
          <w:color w:val="000000"/>
          <w:sz w:val="16"/>
          <w:szCs w:val="16"/>
        </w:rPr>
        <w:t>_______________</w:t>
      </w:r>
    </w:p>
    <w:p w:rsidR="00000000" w:rsidRDefault="005D26B8">
      <w:pPr>
        <w:ind w:hanging="270"/>
        <w:divId w:val="572353396"/>
        <w:rPr>
          <w:rFonts w:eastAsia="Times New Roman"/>
        </w:rPr>
      </w:pPr>
      <w:r>
        <w:rPr>
          <w:rFonts w:eastAsia="Times New Roman"/>
          <w:color w:val="000000"/>
          <w:sz w:val="16"/>
          <w:szCs w:val="16"/>
        </w:rPr>
        <w:t>(1)</w:t>
      </w:r>
      <w:r>
        <w:rPr>
          <w:rFonts w:eastAsia="Times New Roman"/>
          <w:color w:val="000000"/>
          <w:sz w:val="16"/>
          <w:szCs w:val="16"/>
        </w:rPr>
        <w:t>Includes revenue derived from time-and-materials contracts.</w:t>
      </w:r>
    </w:p>
    <w:p w:rsidR="00000000" w:rsidRDefault="005D26B8">
      <w:pPr>
        <w:ind w:firstLine="450"/>
        <w:divId w:val="1901599044"/>
        <w:rPr>
          <w:rFonts w:eastAsia="Times New Roman"/>
        </w:rPr>
      </w:pPr>
      <w:r>
        <w:rPr>
          <w:rFonts w:eastAsia="Times New Roman"/>
          <w:i/>
          <w:iCs/>
          <w:color w:val="000000"/>
          <w:sz w:val="20"/>
          <w:szCs w:val="20"/>
        </w:rPr>
        <w:t xml:space="preserve">Space and Airborne Systems: </w:t>
      </w:r>
      <w:r>
        <w:rPr>
          <w:rFonts w:eastAsia="Times New Roman"/>
          <w:color w:val="000000"/>
          <w:sz w:val="20"/>
          <w:szCs w:val="20"/>
        </w:rPr>
        <w:t>Space and Airborne Systems revenue is primarily derived from U.S. Government development and production contracts and is generally recognized over time using the POC co</w:t>
      </w:r>
      <w:r>
        <w:rPr>
          <w:rFonts w:eastAsia="Times New Roman"/>
          <w:color w:val="000000"/>
          <w:sz w:val="20"/>
          <w:szCs w:val="20"/>
        </w:rPr>
        <w:t>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3120"/>
        <w:gridCol w:w="37"/>
        <w:gridCol w:w="120"/>
        <w:gridCol w:w="1072"/>
        <w:gridCol w:w="36"/>
        <w:gridCol w:w="36"/>
        <w:gridCol w:w="36"/>
        <w:gridCol w:w="36"/>
        <w:gridCol w:w="121"/>
        <w:gridCol w:w="1028"/>
        <w:gridCol w:w="36"/>
        <w:gridCol w:w="36"/>
        <w:gridCol w:w="36"/>
        <w:gridCol w:w="36"/>
        <w:gridCol w:w="120"/>
        <w:gridCol w:w="1028"/>
        <w:gridCol w:w="36"/>
        <w:gridCol w:w="36"/>
        <w:gridCol w:w="36"/>
        <w:gridCol w:w="36"/>
        <w:gridCol w:w="121"/>
        <w:gridCol w:w="1032"/>
        <w:gridCol w:w="36"/>
      </w:tblGrid>
      <w:tr w:rsidR="00000000">
        <w:trPr>
          <w:divId w:val="1713991667"/>
        </w:trPr>
        <w:tc>
          <w:tcPr>
            <w:tcW w:w="50" w:type="pct"/>
            <w:vAlign w:val="center"/>
            <w:hideMark/>
          </w:tcPr>
          <w:p w:rsidR="00000000" w:rsidRDefault="005D26B8">
            <w:pPr>
              <w:ind w:firstLine="450"/>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713991667"/>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713991667"/>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713991667"/>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399166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3991667"/>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705 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2,006 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1,867 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1,281 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3991667"/>
        </w:trPr>
        <w:tc>
          <w:tcPr>
            <w:tcW w:w="0" w:type="auto"/>
            <w:gridSpan w:val="3"/>
            <w:shd w:val="clear" w:color="auto" w:fill="FFFFFF"/>
            <w:tcMar>
              <w:top w:w="30" w:type="dxa"/>
              <w:left w:w="20" w:type="dxa"/>
              <w:bottom w:w="30" w:type="dxa"/>
              <w:right w:w="20" w:type="dxa"/>
            </w:tcMar>
            <w:vAlign w:val="bottom"/>
            <w:hideMark/>
          </w:tcPr>
          <w:p w:rsidR="00000000" w:rsidRDefault="005D26B8">
            <w:pPr>
              <w:divId w:val="1647860844"/>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2,075 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1,834 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1,615 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3991667"/>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1,067 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1,018 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399166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1509254502"/>
        <w:rPr>
          <w:rFonts w:eastAsia="Times New Roman"/>
        </w:rPr>
      </w:pPr>
      <w:r>
        <w:rPr>
          <w:rFonts w:eastAsia="Times New Roman"/>
          <w:color w:val="000000"/>
          <w:sz w:val="16"/>
          <w:szCs w:val="16"/>
        </w:rPr>
        <w:t>_______________</w:t>
      </w:r>
    </w:p>
    <w:p w:rsidR="00000000" w:rsidRDefault="005D26B8">
      <w:pPr>
        <w:ind w:hanging="270"/>
        <w:divId w:val="397947769"/>
        <w:rPr>
          <w:rFonts w:eastAsia="Times New Roman"/>
        </w:rPr>
      </w:pPr>
      <w:r>
        <w:rPr>
          <w:rFonts w:eastAsia="Times New Roman"/>
          <w:color w:val="000000"/>
          <w:sz w:val="16"/>
          <w:szCs w:val="16"/>
        </w:rPr>
        <w:t>(1)Includes revenue deri</w:t>
      </w:r>
      <w:r>
        <w:rPr>
          <w:rFonts w:eastAsia="Times New Roman"/>
          <w:color w:val="000000"/>
          <w:sz w:val="16"/>
          <w:szCs w:val="16"/>
        </w:rPr>
        <w:t>ved from time-and-materials contracts.</w:t>
      </w:r>
    </w:p>
    <w:p w:rsidR="00000000" w:rsidRDefault="005D26B8">
      <w:pPr>
        <w:jc w:val="center"/>
        <w:divId w:val="1225488237"/>
        <w:rPr>
          <w:rFonts w:eastAsia="Times New Roman"/>
        </w:rPr>
      </w:pPr>
      <w:r>
        <w:rPr>
          <w:rFonts w:eastAsia="Times New Roman"/>
          <w:color w:val="000000"/>
          <w:sz w:val="20"/>
          <w:szCs w:val="20"/>
        </w:rPr>
        <w:t>27</w:t>
      </w:r>
    </w:p>
    <w:p w:rsidR="00000000" w:rsidRDefault="005D26B8">
      <w:pPr>
        <w:rPr>
          <w:rFonts w:eastAsia="Times New Roman"/>
        </w:rPr>
      </w:pPr>
      <w:r>
        <w:rPr>
          <w:rFonts w:eastAsia="Times New Roman"/>
        </w:rPr>
        <w:pict>
          <v:rect id="_x0000_i1054" style="width:0;height:1.5pt" o:hralign="center" o:hrstd="t" o:hr="t" fillcolor="#a0a0a0" stroked="f"/>
        </w:pict>
      </w:r>
    </w:p>
    <w:p w:rsidR="00000000" w:rsidRDefault="005D26B8">
      <w:pPr>
        <w:divId w:val="1868255467"/>
        <w:rPr>
          <w:rFonts w:eastAsia="Times New Roman"/>
        </w:rPr>
      </w:pPr>
    </w:p>
    <w:p w:rsidR="00000000" w:rsidRDefault="005D26B8">
      <w:pPr>
        <w:ind w:firstLine="450"/>
        <w:divId w:val="77294017"/>
        <w:rPr>
          <w:rFonts w:eastAsia="Times New Roman"/>
        </w:rPr>
      </w:pPr>
      <w:r>
        <w:rPr>
          <w:rFonts w:eastAsia="Times New Roman"/>
          <w:i/>
          <w:iCs/>
          <w:color w:val="000000"/>
          <w:sz w:val="20"/>
          <w:szCs w:val="20"/>
        </w:rPr>
        <w:t xml:space="preserve">Communication Systems: </w:t>
      </w:r>
      <w:r>
        <w:rPr>
          <w:rFonts w:eastAsia="Times New Roman"/>
          <w:color w:val="000000"/>
          <w:sz w:val="20"/>
          <w:szCs w:val="20"/>
        </w:rPr>
        <w:t>Communication Systems revenue is primarily derived from fixed-price contracts and is generally recognized at the point in time when products are received</w:t>
      </w:r>
      <w:r>
        <w:rPr>
          <w:rFonts w:eastAsia="Times New Roman"/>
          <w:color w:val="000000"/>
          <w:sz w:val="20"/>
          <w:szCs w:val="20"/>
        </w:rPr>
        <w:t xml:space="preserve"> and accepted by the customer for standard products offered to multiple customers and over time for customer-specific products,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8"/>
        <w:gridCol w:w="3121"/>
        <w:gridCol w:w="36"/>
        <w:gridCol w:w="120"/>
        <w:gridCol w:w="1072"/>
        <w:gridCol w:w="36"/>
        <w:gridCol w:w="36"/>
        <w:gridCol w:w="36"/>
        <w:gridCol w:w="36"/>
        <w:gridCol w:w="121"/>
        <w:gridCol w:w="1028"/>
        <w:gridCol w:w="36"/>
        <w:gridCol w:w="36"/>
        <w:gridCol w:w="36"/>
        <w:gridCol w:w="36"/>
        <w:gridCol w:w="120"/>
        <w:gridCol w:w="1029"/>
        <w:gridCol w:w="36"/>
        <w:gridCol w:w="36"/>
        <w:gridCol w:w="36"/>
        <w:gridCol w:w="36"/>
        <w:gridCol w:w="121"/>
        <w:gridCol w:w="1032"/>
        <w:gridCol w:w="36"/>
      </w:tblGrid>
      <w:tr w:rsidR="00000000">
        <w:trPr>
          <w:divId w:val="1163854487"/>
        </w:trPr>
        <w:tc>
          <w:tcPr>
            <w:tcW w:w="50" w:type="pct"/>
            <w:vAlign w:val="center"/>
            <w:hideMark/>
          </w:tcPr>
          <w:p w:rsidR="00000000" w:rsidRDefault="005D26B8">
            <w:pPr>
              <w:ind w:firstLine="450"/>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163854487"/>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163854487"/>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163854487"/>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CCEEFF"/>
            <w:tcMar>
              <w:top w:w="30" w:type="dxa"/>
              <w:left w:w="20" w:type="dxa"/>
              <w:bottom w:w="30" w:type="dxa"/>
              <w:right w:w="20" w:type="dxa"/>
            </w:tcMar>
            <w:vAlign w:val="bottom"/>
            <w:hideMark/>
          </w:tcPr>
          <w:p w:rsidR="00000000" w:rsidRDefault="005D26B8">
            <w:pPr>
              <w:divId w:val="737676568"/>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2,248 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1,052 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CCEEFF"/>
            <w:tcMar>
              <w:top w:w="30" w:type="dxa"/>
              <w:left w:w="20" w:type="dxa"/>
              <w:bottom w:w="30" w:type="dxa"/>
              <w:right w:w="20" w:type="dxa"/>
            </w:tcMar>
            <w:vAlign w:val="bottom"/>
            <w:hideMark/>
          </w:tcPr>
          <w:p w:rsidR="00000000" w:rsidRDefault="005D26B8">
            <w:pPr>
              <w:divId w:val="1387411986"/>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FFFFFF"/>
            <w:tcMar>
              <w:top w:w="30" w:type="dxa"/>
              <w:left w:w="20" w:type="dxa"/>
              <w:bottom w:w="30" w:type="dxa"/>
              <w:right w:w="20" w:type="dxa"/>
            </w:tcMar>
            <w:vAlign w:val="bottom"/>
            <w:hideMark/>
          </w:tcPr>
          <w:p w:rsidR="00000000" w:rsidRDefault="005D26B8">
            <w:pPr>
              <w:divId w:val="1485275105"/>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935 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2,804 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157</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163854487"/>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721 </w:t>
            </w:r>
          </w:p>
        </w:tc>
        <w:tc>
          <w:tcPr>
            <w:tcW w:w="0" w:type="auto"/>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6385448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16385448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1405683234"/>
        <w:rPr>
          <w:rFonts w:eastAsia="Times New Roman"/>
        </w:rPr>
      </w:pPr>
      <w:r>
        <w:rPr>
          <w:rFonts w:eastAsia="Times New Roman"/>
          <w:color w:val="000000"/>
          <w:sz w:val="16"/>
          <w:szCs w:val="16"/>
        </w:rPr>
        <w:t>_______________</w:t>
      </w:r>
    </w:p>
    <w:p w:rsidR="00000000" w:rsidRDefault="005D26B8">
      <w:pPr>
        <w:ind w:hanging="270"/>
        <w:divId w:val="1482573212"/>
        <w:rPr>
          <w:rFonts w:eastAsia="Times New Roman"/>
        </w:rPr>
      </w:pPr>
      <w:r>
        <w:rPr>
          <w:rFonts w:eastAsia="Times New Roman"/>
          <w:color w:val="000000"/>
          <w:sz w:val="16"/>
          <w:szCs w:val="16"/>
        </w:rPr>
        <w:t>(1)Prior to the L3Harris Merger, Communication Systems did not recognize significant revenue for customer-specific products and systems, and currently, such customer a</w:t>
      </w:r>
      <w:r>
        <w:rPr>
          <w:rFonts w:eastAsia="Times New Roman"/>
          <w:color w:val="000000"/>
          <w:sz w:val="16"/>
          <w:szCs w:val="16"/>
        </w:rPr>
        <w:t>rrangements primarily exist at operating businesses acquired in connection with the L3Harris Merger. The “Revenue by Customer Relationship” and “Revenue by Contract Type” disaggregation categories were added beginning in the Fiscal Transition Period to bes</w:t>
      </w:r>
      <w:r>
        <w:rPr>
          <w:rFonts w:eastAsia="Times New Roman"/>
          <w:color w:val="000000"/>
          <w:sz w:val="16"/>
          <w:szCs w:val="16"/>
        </w:rPr>
        <w:t xml:space="preserve">t depict how the nature, amount, timing and uncertainty of revenue and cash flows from these types of customer arrangements are affected by economic factors. </w:t>
      </w:r>
    </w:p>
    <w:p w:rsidR="00000000" w:rsidRDefault="005D26B8">
      <w:pPr>
        <w:ind w:hanging="270"/>
        <w:divId w:val="333654052"/>
        <w:rPr>
          <w:rFonts w:eastAsia="Times New Roman"/>
        </w:rPr>
      </w:pPr>
      <w:r>
        <w:rPr>
          <w:rFonts w:eastAsia="Times New Roman"/>
          <w:color w:val="000000"/>
          <w:sz w:val="16"/>
          <w:szCs w:val="16"/>
        </w:rPr>
        <w:t>(2)Includes revenue derived from time-and-materials contracts.</w:t>
      </w:r>
    </w:p>
    <w:p w:rsidR="00000000" w:rsidRDefault="005D26B8">
      <w:pPr>
        <w:ind w:firstLine="450"/>
        <w:divId w:val="136149042"/>
        <w:rPr>
          <w:rFonts w:eastAsia="Times New Roman"/>
        </w:rPr>
      </w:pPr>
      <w:r>
        <w:rPr>
          <w:rFonts w:eastAsia="Times New Roman"/>
          <w:i/>
          <w:iCs/>
          <w:color w:val="000000"/>
          <w:sz w:val="20"/>
          <w:szCs w:val="20"/>
        </w:rPr>
        <w:t xml:space="preserve">Aviation Systems: </w:t>
      </w:r>
      <w:r>
        <w:rPr>
          <w:rFonts w:eastAsia="Times New Roman"/>
          <w:color w:val="000000"/>
          <w:sz w:val="20"/>
          <w:szCs w:val="20"/>
        </w:rPr>
        <w:t>Aviation Systems</w:t>
      </w:r>
      <w:r>
        <w:rPr>
          <w:rFonts w:eastAsia="Times New Roman"/>
          <w:color w:val="000000"/>
          <w:sz w:val="20"/>
          <w:szCs w:val="20"/>
        </w:rPr>
        <w:t xml:space="preserve"> revenue is primarily derived from fixed-price contracts and is generally recognized at the point in time when products are received and accepted by the customer for standard products offered to multiple customers and over time for customer-specific produc</w:t>
      </w:r>
      <w:r>
        <w:rPr>
          <w:rFonts w:eastAsia="Times New Roman"/>
          <w:color w:val="000000"/>
          <w:sz w:val="20"/>
          <w:szCs w:val="20"/>
        </w:rPr>
        <w:t>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9"/>
        <w:gridCol w:w="3120"/>
        <w:gridCol w:w="37"/>
        <w:gridCol w:w="121"/>
        <w:gridCol w:w="1072"/>
        <w:gridCol w:w="36"/>
        <w:gridCol w:w="36"/>
        <w:gridCol w:w="36"/>
        <w:gridCol w:w="36"/>
        <w:gridCol w:w="121"/>
        <w:gridCol w:w="1028"/>
        <w:gridCol w:w="36"/>
        <w:gridCol w:w="36"/>
        <w:gridCol w:w="36"/>
        <w:gridCol w:w="36"/>
        <w:gridCol w:w="120"/>
        <w:gridCol w:w="1028"/>
        <w:gridCol w:w="36"/>
        <w:gridCol w:w="36"/>
        <w:gridCol w:w="36"/>
        <w:gridCol w:w="36"/>
        <w:gridCol w:w="121"/>
        <w:gridCol w:w="1031"/>
        <w:gridCol w:w="36"/>
      </w:tblGrid>
      <w:tr w:rsidR="00000000">
        <w:trPr>
          <w:divId w:val="1710257737"/>
        </w:trPr>
        <w:tc>
          <w:tcPr>
            <w:tcW w:w="50" w:type="pct"/>
            <w:vAlign w:val="center"/>
            <w:hideMark/>
          </w:tcPr>
          <w:p w:rsidR="00000000" w:rsidRDefault="005D26B8">
            <w:pPr>
              <w:ind w:firstLine="450"/>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710257737"/>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710257737"/>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710257737"/>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025773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0257737"/>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1,689 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0257737"/>
        </w:trPr>
        <w:tc>
          <w:tcPr>
            <w:tcW w:w="0" w:type="auto"/>
            <w:gridSpan w:val="3"/>
            <w:shd w:val="clear" w:color="auto" w:fill="FFFFFF"/>
            <w:tcMar>
              <w:top w:w="30" w:type="dxa"/>
              <w:left w:w="20" w:type="dxa"/>
              <w:bottom w:w="30" w:type="dxa"/>
              <w:right w:w="20" w:type="dxa"/>
            </w:tcMar>
            <w:vAlign w:val="bottom"/>
            <w:hideMark/>
          </w:tcPr>
          <w:p w:rsidR="00000000" w:rsidRDefault="005D26B8">
            <w:pPr>
              <w:divId w:val="1053891503"/>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2,114 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710257737"/>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2,132 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710257737"/>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1776632520"/>
        <w:rPr>
          <w:rFonts w:eastAsia="Times New Roman"/>
        </w:rPr>
      </w:pPr>
      <w:r>
        <w:rPr>
          <w:rFonts w:eastAsia="Times New Roman"/>
          <w:color w:val="000000"/>
          <w:sz w:val="16"/>
          <w:szCs w:val="16"/>
        </w:rPr>
        <w:t>_______________</w:t>
      </w:r>
    </w:p>
    <w:p w:rsidR="00000000" w:rsidRDefault="005D26B8">
      <w:pPr>
        <w:ind w:hanging="270"/>
        <w:divId w:val="70393645"/>
        <w:rPr>
          <w:rFonts w:eastAsia="Times New Roman"/>
        </w:rPr>
      </w:pPr>
      <w:r>
        <w:rPr>
          <w:rFonts w:eastAsia="Times New Roman"/>
          <w:color w:val="000000"/>
          <w:sz w:val="16"/>
          <w:szCs w:val="16"/>
        </w:rPr>
        <w:t>(1)Includes revenue deri</w:t>
      </w:r>
      <w:r>
        <w:rPr>
          <w:rFonts w:eastAsia="Times New Roman"/>
          <w:color w:val="000000"/>
          <w:sz w:val="16"/>
          <w:szCs w:val="16"/>
        </w:rPr>
        <w:t>ved from time-and-materials contracts.</w:t>
      </w:r>
    </w:p>
    <w:p w:rsidR="00000000" w:rsidRDefault="005D26B8">
      <w:pPr>
        <w:jc w:val="center"/>
        <w:divId w:val="301690138"/>
        <w:rPr>
          <w:rFonts w:eastAsia="Times New Roman"/>
        </w:rPr>
      </w:pPr>
      <w:r>
        <w:rPr>
          <w:rFonts w:eastAsia="Times New Roman"/>
          <w:color w:val="000000"/>
          <w:sz w:val="20"/>
          <w:szCs w:val="20"/>
        </w:rPr>
        <w:t>28</w:t>
      </w:r>
    </w:p>
    <w:p w:rsidR="00000000" w:rsidRDefault="005D26B8">
      <w:pPr>
        <w:rPr>
          <w:rFonts w:eastAsia="Times New Roman"/>
        </w:rPr>
      </w:pPr>
      <w:r>
        <w:rPr>
          <w:rFonts w:eastAsia="Times New Roman"/>
        </w:rPr>
        <w:pict>
          <v:rect id="_x0000_i1055" style="width:0;height:1.5pt" o:hralign="center" o:hrstd="t" o:hr="t" fillcolor="#a0a0a0" stroked="f"/>
        </w:pict>
      </w:r>
    </w:p>
    <w:p w:rsidR="00000000" w:rsidRDefault="005D26B8">
      <w:pPr>
        <w:divId w:val="2019773555"/>
        <w:rPr>
          <w:rFonts w:eastAsia="Times New Roman"/>
        </w:rPr>
      </w:pPr>
    </w:p>
    <w:p w:rsidR="00000000" w:rsidRDefault="005D26B8">
      <w:pPr>
        <w:ind w:firstLine="450"/>
        <w:divId w:val="1655257405"/>
        <w:rPr>
          <w:rFonts w:eastAsia="Times New Roman"/>
        </w:rPr>
      </w:pPr>
      <w:r>
        <w:rPr>
          <w:rFonts w:eastAsia="Times New Roman"/>
          <w:color w:val="000000"/>
          <w:sz w:val="20"/>
          <w:szCs w:val="20"/>
        </w:rPr>
        <w:t>Total assets by business segment are summarized below:</w:t>
      </w:r>
    </w:p>
    <w:tbl>
      <w:tblPr>
        <w:tblW w:w="4956" w:type="pct"/>
        <w:tblCellMar>
          <w:top w:w="15" w:type="dxa"/>
          <w:left w:w="15" w:type="dxa"/>
          <w:bottom w:w="15" w:type="dxa"/>
          <w:right w:w="15" w:type="dxa"/>
        </w:tblCellMar>
        <w:tblLook w:val="04A0" w:firstRow="1" w:lastRow="0" w:firstColumn="1" w:lastColumn="0" w:noHBand="0" w:noVBand="1"/>
      </w:tblPr>
      <w:tblGrid>
        <w:gridCol w:w="39"/>
        <w:gridCol w:w="5611"/>
        <w:gridCol w:w="38"/>
        <w:gridCol w:w="120"/>
        <w:gridCol w:w="1080"/>
        <w:gridCol w:w="36"/>
        <w:gridCol w:w="36"/>
        <w:gridCol w:w="36"/>
        <w:gridCol w:w="36"/>
        <w:gridCol w:w="120"/>
        <w:gridCol w:w="1045"/>
        <w:gridCol w:w="36"/>
      </w:tblGrid>
      <w:tr w:rsidR="00000000">
        <w:trPr>
          <w:divId w:val="1421289046"/>
        </w:trPr>
        <w:tc>
          <w:tcPr>
            <w:tcW w:w="50" w:type="pct"/>
            <w:vAlign w:val="center"/>
            <w:hideMark/>
          </w:tcPr>
          <w:p w:rsidR="00000000" w:rsidRDefault="005D26B8">
            <w:pPr>
              <w:ind w:firstLine="450"/>
              <w:rPr>
                <w:rFonts w:eastAsia="Times New Roman"/>
              </w:rPr>
            </w:pPr>
          </w:p>
        </w:tc>
        <w:tc>
          <w:tcPr>
            <w:tcW w:w="343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421289046"/>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January 3, 2020</w:t>
            </w:r>
          </w:p>
        </w:tc>
      </w:tr>
      <w:tr w:rsidR="00000000">
        <w:trPr>
          <w:divId w:val="1421289046"/>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21289046"/>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21289046"/>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8,752 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7,888 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21289046"/>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6,902 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6,837 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21289046"/>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5,643 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21289046"/>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5,231 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7,569 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21289046"/>
        </w:trPr>
        <w:tc>
          <w:tcPr>
            <w:tcW w:w="0" w:type="auto"/>
            <w:gridSpan w:val="3"/>
            <w:shd w:val="clear" w:color="auto" w:fill="FFFFFF"/>
            <w:tcMar>
              <w:top w:w="30" w:type="dxa"/>
              <w:left w:w="20" w:type="dxa"/>
              <w:bottom w:w="30" w:type="dxa"/>
              <w:right w:w="20" w:type="dxa"/>
            </w:tcMar>
            <w:vAlign w:val="bottom"/>
            <w:hideMark/>
          </w:tcPr>
          <w:p w:rsidR="00000000" w:rsidRDefault="005D26B8">
            <w:pPr>
              <w:divId w:val="1776362054"/>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10,617 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10,112 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421289046"/>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both"/>
        <w:rPr>
          <w:rFonts w:eastAsia="Times New Roman"/>
        </w:rPr>
      </w:pPr>
      <w:r>
        <w:rPr>
          <w:rFonts w:eastAsia="Times New Roman"/>
          <w:color w:val="000000"/>
          <w:sz w:val="16"/>
          <w:szCs w:val="16"/>
        </w:rPr>
        <w:t>_______________</w:t>
      </w:r>
    </w:p>
    <w:p w:rsidR="00000000" w:rsidRDefault="005D26B8">
      <w:pPr>
        <w:ind w:hanging="270"/>
        <w:divId w:val="1000230354"/>
        <w:rPr>
          <w:rFonts w:eastAsia="Times New Roman"/>
        </w:rPr>
      </w:pPr>
      <w:r>
        <w:rPr>
          <w:rFonts w:eastAsia="Times New Roman"/>
          <w:color w:val="000000"/>
          <w:sz w:val="16"/>
          <w:szCs w:val="16"/>
        </w:rPr>
        <w:t>(1)</w:t>
      </w:r>
      <w:r>
        <w:rPr>
          <w:rFonts w:eastAsia="Times New Roman"/>
          <w:color w:val="000000"/>
          <w:sz w:val="16"/>
          <w:szCs w:val="16"/>
        </w:rPr>
        <w:t xml:space="preserve">Identifiable intangible assets acquired in connection with the L3Harris Merger in the quarter ended September 27, 2019 and our acquisition of Exelis Inc. in fiscal 2015 were recorded as Corporate assets because they benefited the entire Company as opposed </w:t>
      </w:r>
      <w:r>
        <w:rPr>
          <w:rFonts w:eastAsia="Times New Roman"/>
          <w:color w:val="000000"/>
          <w:sz w:val="16"/>
          <w:szCs w:val="16"/>
        </w:rPr>
        <w:t>to any individual segment. Identifiable intangible asset balances recorded as Corporate assets were approximately $8.2 billion and $8.5 billion at October 2, 2020 and January 3, 2020, respectively. Corporate assets also consisted of cash, income taxes rece</w:t>
      </w:r>
      <w:r>
        <w:rPr>
          <w:rFonts w:eastAsia="Times New Roman"/>
          <w:color w:val="000000"/>
          <w:sz w:val="16"/>
          <w:szCs w:val="16"/>
        </w:rPr>
        <w:t xml:space="preserve">ivable, deferred income taxes, deferred compensation plan investments, buildings and equipment, as well as any assets and liabilities from discontinued operations and divestitures. See </w:t>
      </w:r>
      <w:r>
        <w:rPr>
          <w:rFonts w:eastAsia="Times New Roman"/>
          <w:i/>
          <w:iCs/>
          <w:color w:val="000000"/>
          <w:sz w:val="16"/>
          <w:szCs w:val="16"/>
        </w:rPr>
        <w:t xml:space="preserve">Note C — Business Divestitures and Assets Sales </w:t>
      </w:r>
      <w:r>
        <w:rPr>
          <w:rFonts w:eastAsia="Times New Roman"/>
          <w:color w:val="000000"/>
          <w:sz w:val="16"/>
          <w:szCs w:val="16"/>
        </w:rPr>
        <w:t>in these Notes for addi</w:t>
      </w:r>
      <w:r>
        <w:rPr>
          <w:rFonts w:eastAsia="Times New Roman"/>
          <w:color w:val="000000"/>
          <w:sz w:val="16"/>
          <w:szCs w:val="16"/>
        </w:rPr>
        <w:t>tional information.</w:t>
      </w:r>
    </w:p>
    <w:p w:rsidR="00000000" w:rsidRDefault="005D26B8">
      <w:pPr>
        <w:divId w:val="532230837"/>
        <w:rPr>
          <w:rFonts w:eastAsia="Times New Roman"/>
        </w:rPr>
      </w:pPr>
      <w:r>
        <w:rPr>
          <w:rFonts w:eastAsia="Times New Roman"/>
          <w:b/>
          <w:bCs/>
          <w:color w:val="000000"/>
          <w:sz w:val="20"/>
          <w:szCs w:val="20"/>
        </w:rPr>
        <w:t xml:space="preserve">Note W — Legal Proceedings and Contingencies </w:t>
      </w:r>
    </w:p>
    <w:p w:rsidR="00000000" w:rsidRDefault="005D26B8">
      <w:pPr>
        <w:ind w:firstLine="450"/>
        <w:divId w:val="1925524924"/>
        <w:rPr>
          <w:rFonts w:eastAsia="Times New Roman"/>
        </w:rPr>
      </w:pPr>
      <w:r>
        <w:rPr>
          <w:rFonts w:eastAsia="Times New Roman"/>
          <w:color w:val="000000"/>
          <w:sz w:val="20"/>
          <w:szCs w:val="20"/>
        </w:rPr>
        <w:t xml:space="preserve">From time to time, as a normal incident of the nature and kind of businesses in which we are or were engaged, various claims or charges are asserted and litigation or arbitration is commenced by or against us arising from or related to matters, including, </w:t>
      </w:r>
      <w:r>
        <w:rPr>
          <w:rFonts w:eastAsia="Times New Roman"/>
          <w:color w:val="000000"/>
          <w:sz w:val="20"/>
          <w:szCs w:val="20"/>
        </w:rPr>
        <w:t>but not limited to: product liability; personal injury; patents, trademarks, trade secrets or other intellectual property; labor and employee disputes; commercial or contractual disputes; strategic acquisitions or divestitures; the prior sale or use of for</w:t>
      </w:r>
      <w:r>
        <w:rPr>
          <w:rFonts w:eastAsia="Times New Roman"/>
          <w:color w:val="000000"/>
          <w:sz w:val="20"/>
          <w:szCs w:val="20"/>
        </w:rPr>
        <w:t>mer products allegedly containing asbestos or other restricted materials; breach of warranty; or environmental matters. Claimed amounts against us may be substantial but may not bear any reasonable relationship to the merits of the claim or the extent of a</w:t>
      </w:r>
      <w:r>
        <w:rPr>
          <w:rFonts w:eastAsia="Times New Roman"/>
          <w:color w:val="000000"/>
          <w:sz w:val="20"/>
          <w:szCs w:val="20"/>
        </w:rPr>
        <w:t>ny real risk of court or arbitral awards. We record accruals for losses related to those matters against us that we consider to be probable and that can be reasonably estimated. Gain contingencies, if any, are recognized when they are realized, and legal c</w:t>
      </w:r>
      <w:r>
        <w:rPr>
          <w:rFonts w:eastAsia="Times New Roman"/>
          <w:color w:val="000000"/>
          <w:sz w:val="20"/>
          <w:szCs w:val="20"/>
        </w:rPr>
        <w:t>osts generally are expensed when incurred. At October 2, 2020, our accrual for the potential resolution of lawsuits, claims or proceedings that we consider probable of being decided unfavorably to us was not material. Although it is not feasible to predict</w:t>
      </w:r>
      <w:r>
        <w:rPr>
          <w:rFonts w:eastAsia="Times New Roman"/>
          <w:color w:val="000000"/>
          <w:sz w:val="20"/>
          <w:szCs w:val="20"/>
        </w:rPr>
        <w:t xml:space="preserve"> the outcome of these matters with certainty, it is reasonably possible that some lawsuits, claims or proceedings may be disposed of or decided unfavorably to us and in excess of the amounts currently accrued. Based on available information, in the opinion</w:t>
      </w:r>
      <w:r>
        <w:rPr>
          <w:rFonts w:eastAsia="Times New Roman"/>
          <w:color w:val="000000"/>
          <w:sz w:val="20"/>
          <w:szCs w:val="20"/>
        </w:rPr>
        <w:t xml:space="preserve"> of management, settlements, arbitration awards and final judgments, if any, that are considered probable of being rendered against us in litigation or arbitration in existence at October 2, 2020 are reserved against or would not have a material adverse ef</w:t>
      </w:r>
      <w:r>
        <w:rPr>
          <w:rFonts w:eastAsia="Times New Roman"/>
          <w:color w:val="000000"/>
          <w:sz w:val="20"/>
          <w:szCs w:val="20"/>
        </w:rPr>
        <w:t>fect on our financial condition, results of operations, cash flows or equity.</w:t>
      </w:r>
    </w:p>
    <w:p w:rsidR="00000000" w:rsidRDefault="005D26B8">
      <w:pPr>
        <w:ind w:firstLine="450"/>
        <w:divId w:val="365523875"/>
        <w:rPr>
          <w:rFonts w:eastAsia="Times New Roman"/>
        </w:rPr>
      </w:pPr>
      <w:r>
        <w:rPr>
          <w:rFonts w:eastAsia="Times New Roman"/>
          <w:i/>
          <w:iCs/>
          <w:color w:val="000000"/>
          <w:sz w:val="20"/>
          <w:szCs w:val="20"/>
        </w:rPr>
        <w:t>Environmental</w:t>
      </w:r>
      <w:r>
        <w:rPr>
          <w:rFonts w:eastAsia="Times New Roman"/>
          <w:color w:val="000000"/>
          <w:sz w:val="20"/>
          <w:szCs w:val="20"/>
        </w:rPr>
        <w:t xml:space="preserve"> </w:t>
      </w:r>
      <w:r>
        <w:rPr>
          <w:rFonts w:eastAsia="Times New Roman"/>
          <w:i/>
          <w:iCs/>
          <w:color w:val="000000"/>
          <w:sz w:val="20"/>
          <w:szCs w:val="20"/>
        </w:rPr>
        <w:t>Matters</w:t>
      </w:r>
      <w:r>
        <w:rPr>
          <w:rFonts w:eastAsia="Times New Roman"/>
          <w:color w:val="000000"/>
          <w:sz w:val="20"/>
          <w:szCs w:val="20"/>
        </w:rPr>
        <w:t>: We are subject to numerous U.S. Federal, state, local and international environmental laws and regulatory requirements and are involved from time to time i</w:t>
      </w:r>
      <w:r>
        <w:rPr>
          <w:rFonts w:eastAsia="Times New Roman"/>
          <w:color w:val="000000"/>
          <w:sz w:val="20"/>
          <w:szCs w:val="20"/>
        </w:rPr>
        <w:t>n investigations or litigation of various potential environmental issues. We or companies we have acquired are responsible, or alleged to be responsible, for environmental investigation and/or remediation of multiple sites. These sites are in various stage</w:t>
      </w:r>
      <w:r>
        <w:rPr>
          <w:rFonts w:eastAsia="Times New Roman"/>
          <w:color w:val="000000"/>
          <w:sz w:val="20"/>
          <w:szCs w:val="20"/>
        </w:rPr>
        <w:t>s of investigation and/or remediation and in some cases our liability is considered de minimis. Notices from the U.S. Environmental Protection Agency (“EPA”) or equivalent state or international environmental agencies allege that a number of sites formerly</w:t>
      </w:r>
      <w:r>
        <w:rPr>
          <w:rFonts w:eastAsia="Times New Roman"/>
          <w:color w:val="000000"/>
          <w:sz w:val="20"/>
          <w:szCs w:val="20"/>
        </w:rPr>
        <w:t xml:space="preserve"> or currently owned and/or operated by us or companies we have acquired, and other properties or water supplies that may be or have been impacted from those operations, contain disposed or recycled materials or wastes and require environmental investigatio</w:t>
      </w:r>
      <w:r>
        <w:rPr>
          <w:rFonts w:eastAsia="Times New Roman"/>
          <w:color w:val="000000"/>
          <w:sz w:val="20"/>
          <w:szCs w:val="20"/>
        </w:rPr>
        <w:t>n and/or remediation. These sites include instances of being identified as a potentially responsible party under the Comprehensive Environmental Response, Compensation and Liability Act (commonly known as the “Superfund Act”) and/or equivalent state and in</w:t>
      </w:r>
      <w:r>
        <w:rPr>
          <w:rFonts w:eastAsia="Times New Roman"/>
          <w:color w:val="000000"/>
          <w:sz w:val="20"/>
          <w:szCs w:val="20"/>
        </w:rPr>
        <w:t>ternational laws. For example, in June 2014, the U.S. Department of Justice (the “DOJ”), Environment and Natural Resources Division, notified several potentially responsible parties, including Exelis Inc., of potential responsibility for contribution to th</w:t>
      </w:r>
      <w:r>
        <w:rPr>
          <w:rFonts w:eastAsia="Times New Roman"/>
          <w:color w:val="000000"/>
          <w:sz w:val="20"/>
          <w:szCs w:val="20"/>
        </w:rPr>
        <w:t>e environmental investigation and remediation of multiple locations in Alaska. In addition, in March 2016, the EPA notified over 100 potentially responsible parties, including Exelis Inc., of potential liability for the cost of remediation for the 8.3-mile</w:t>
      </w:r>
      <w:r>
        <w:rPr>
          <w:rFonts w:eastAsia="Times New Roman"/>
          <w:color w:val="000000"/>
          <w:sz w:val="20"/>
          <w:szCs w:val="20"/>
        </w:rPr>
        <w:t xml:space="preserve"> stretch of the Lower Passaic River, estimated by the EPA to be $1.38 billion, but the parties’ respective allocations have not been determined. Although it is not feasible to predict the outcome of these environmental claims made against us, based on avai</w:t>
      </w:r>
      <w:r>
        <w:rPr>
          <w:rFonts w:eastAsia="Times New Roman"/>
          <w:color w:val="000000"/>
          <w:sz w:val="20"/>
          <w:szCs w:val="20"/>
        </w:rPr>
        <w:t>lable information, in the opinion of our management, any payments we may be required to make as a result of environmental claims made against us in existence at October 2, 2020 are reserved against, covered by insurance or would not have a material adverse</w:t>
      </w:r>
      <w:r>
        <w:rPr>
          <w:rFonts w:eastAsia="Times New Roman"/>
          <w:color w:val="000000"/>
          <w:sz w:val="20"/>
          <w:szCs w:val="20"/>
        </w:rPr>
        <w:t xml:space="preserve"> effect on our financial condition, results of operations, cash flows or equity. </w:t>
      </w:r>
    </w:p>
    <w:p w:rsidR="00000000" w:rsidRDefault="005D26B8">
      <w:pPr>
        <w:jc w:val="center"/>
        <w:divId w:val="1554349674"/>
        <w:rPr>
          <w:rFonts w:eastAsia="Times New Roman"/>
        </w:rPr>
      </w:pPr>
      <w:r>
        <w:rPr>
          <w:rFonts w:eastAsia="Times New Roman"/>
          <w:color w:val="000000"/>
          <w:sz w:val="20"/>
          <w:szCs w:val="20"/>
        </w:rPr>
        <w:t>29</w:t>
      </w:r>
    </w:p>
    <w:p w:rsidR="00000000" w:rsidRDefault="005D26B8">
      <w:pPr>
        <w:rPr>
          <w:rFonts w:eastAsia="Times New Roman"/>
        </w:rPr>
      </w:pPr>
      <w:r>
        <w:rPr>
          <w:rFonts w:eastAsia="Times New Roman"/>
        </w:rPr>
        <w:pict>
          <v:rect id="_x0000_i1056" style="width:0;height:1.5pt" o:hralign="center" o:hrstd="t" o:hr="t" fillcolor="#a0a0a0" stroked="f"/>
        </w:pict>
      </w:r>
    </w:p>
    <w:p w:rsidR="00000000" w:rsidRDefault="005D26B8">
      <w:pPr>
        <w:divId w:val="1034696456"/>
        <w:rPr>
          <w:rFonts w:eastAsia="Times New Roman"/>
        </w:rPr>
      </w:pPr>
    </w:p>
    <w:p w:rsidR="00000000" w:rsidRDefault="005D26B8">
      <w:pPr>
        <w:jc w:val="center"/>
        <w:rPr>
          <w:rFonts w:eastAsia="Times New Roman"/>
        </w:rPr>
      </w:pPr>
      <w:r>
        <w:rPr>
          <w:rFonts w:eastAsia="Times New Roman"/>
          <w:b/>
          <w:bCs/>
          <w:color w:val="000000"/>
          <w:sz w:val="20"/>
          <w:szCs w:val="20"/>
        </w:rPr>
        <w:t xml:space="preserve">REPORT OF INDEPENDENT REGISTERED PUBLIC ACCOUNTING FIRM </w:t>
      </w:r>
    </w:p>
    <w:p w:rsidR="00000000" w:rsidRDefault="005D26B8">
      <w:pPr>
        <w:jc w:val="both"/>
        <w:rPr>
          <w:rFonts w:eastAsia="Times New Roman"/>
        </w:rPr>
      </w:pPr>
    </w:p>
    <w:p w:rsidR="00000000" w:rsidRDefault="005D26B8">
      <w:pPr>
        <w:jc w:val="both"/>
        <w:rPr>
          <w:rFonts w:eastAsia="Times New Roman"/>
        </w:rPr>
      </w:pPr>
      <w:r>
        <w:rPr>
          <w:rFonts w:eastAsia="Times New Roman"/>
          <w:color w:val="000000"/>
          <w:sz w:val="20"/>
          <w:szCs w:val="20"/>
        </w:rPr>
        <w:t>To the Shareholders and Board of Directors of L3Harris Technologies, Inc.</w:t>
      </w:r>
    </w:p>
    <w:p w:rsidR="00000000" w:rsidRDefault="005D26B8">
      <w:pPr>
        <w:jc w:val="both"/>
        <w:rPr>
          <w:rFonts w:eastAsia="Times New Roman"/>
        </w:rPr>
      </w:pPr>
    </w:p>
    <w:p w:rsidR="00000000" w:rsidRDefault="005D26B8">
      <w:pPr>
        <w:jc w:val="both"/>
        <w:rPr>
          <w:rFonts w:eastAsia="Times New Roman"/>
        </w:rPr>
      </w:pPr>
      <w:r>
        <w:rPr>
          <w:rFonts w:eastAsia="Times New Roman"/>
          <w:b/>
          <w:bCs/>
          <w:color w:val="000000"/>
          <w:sz w:val="20"/>
          <w:szCs w:val="20"/>
        </w:rPr>
        <w:t xml:space="preserve">Results of Review of Interim Financial Statements </w:t>
      </w:r>
    </w:p>
    <w:p w:rsidR="00000000" w:rsidRDefault="005D26B8">
      <w:pPr>
        <w:jc w:val="both"/>
        <w:rPr>
          <w:rFonts w:eastAsia="Times New Roman"/>
        </w:rPr>
      </w:pPr>
    </w:p>
    <w:p w:rsidR="00000000" w:rsidRDefault="005D26B8">
      <w:pPr>
        <w:jc w:val="both"/>
        <w:rPr>
          <w:rFonts w:eastAsia="Times New Roman"/>
        </w:rPr>
      </w:pPr>
      <w:r>
        <w:rPr>
          <w:rFonts w:eastAsia="Times New Roman"/>
          <w:color w:val="000000"/>
          <w:sz w:val="20"/>
          <w:szCs w:val="20"/>
        </w:rPr>
        <w:t>We have reviewed the accompanying condensed consolidated balance sheet of L3Harris Technologies, Inc. (the Company) as of October 2, 2020, the related condensed consolidated statements of income, comp</w:t>
      </w:r>
      <w:r>
        <w:rPr>
          <w:rFonts w:eastAsia="Times New Roman"/>
          <w:color w:val="000000"/>
          <w:sz w:val="20"/>
          <w:szCs w:val="20"/>
        </w:rPr>
        <w:t>rehensive income, and equity for the quarters and three quarters ended October 2, 2020 and September 27, 2019, the condensed consolidated statements of cash flows for the three quarters ended October 2, 2020 and September 27, 2019, and the related notes (c</w:t>
      </w:r>
      <w:r>
        <w:rPr>
          <w:rFonts w:eastAsia="Times New Roman"/>
          <w:color w:val="000000"/>
          <w:sz w:val="20"/>
          <w:szCs w:val="20"/>
        </w:rPr>
        <w:t>ollectively referred to as the “condensed consolidated interim financial statements”). Based on our reviews, we are not aware of any material modifications that should be made to the condensed consolidated interim financial statements for them to be in con</w:t>
      </w:r>
      <w:r>
        <w:rPr>
          <w:rFonts w:eastAsia="Times New Roman"/>
          <w:color w:val="000000"/>
          <w:sz w:val="20"/>
          <w:szCs w:val="20"/>
        </w:rPr>
        <w:t xml:space="preserve">formity with U.S. generally accepted accounting principles. </w:t>
      </w:r>
    </w:p>
    <w:p w:rsidR="00000000" w:rsidRDefault="005D26B8">
      <w:pPr>
        <w:jc w:val="both"/>
        <w:rPr>
          <w:rFonts w:eastAsia="Times New Roman"/>
        </w:rPr>
      </w:pPr>
    </w:p>
    <w:p w:rsidR="00000000" w:rsidRDefault="005D26B8">
      <w:pPr>
        <w:jc w:val="both"/>
        <w:rPr>
          <w:rFonts w:eastAsia="Times New Roman"/>
        </w:rPr>
      </w:pPr>
      <w:r>
        <w:rPr>
          <w:rFonts w:eastAsia="Times New Roman"/>
          <w:color w:val="000000"/>
          <w:sz w:val="20"/>
          <w:szCs w:val="20"/>
        </w:rPr>
        <w:t>We have previously audited, in accordance with the standards of the Public Company Accounting Oversight Board (United States) (PCAOB), the consolidated balance sheet of the Company as of Januar</w:t>
      </w:r>
      <w:r>
        <w:rPr>
          <w:rFonts w:eastAsia="Times New Roman"/>
          <w:color w:val="000000"/>
          <w:sz w:val="20"/>
          <w:szCs w:val="20"/>
        </w:rPr>
        <w:t>y 3, 2020, the related consolidated statements of income, comprehensive income, cash flows and equity for the two quarters then ended, and the related notes (not presented herein); and in our report dated March 3, 2020, we expressed an unqualified audit op</w:t>
      </w:r>
      <w:r>
        <w:rPr>
          <w:rFonts w:eastAsia="Times New Roman"/>
          <w:color w:val="000000"/>
          <w:sz w:val="20"/>
          <w:szCs w:val="20"/>
        </w:rPr>
        <w:t xml:space="preserve">inion on those consolidated financial statements. In our opinion, the information set forth in the accompanying condensed consolidated balance sheet as of January 3, 2020, is fairly stated, in all material respects, in relation to the consolidated balance </w:t>
      </w:r>
      <w:r>
        <w:rPr>
          <w:rFonts w:eastAsia="Times New Roman"/>
          <w:color w:val="000000"/>
          <w:sz w:val="20"/>
          <w:szCs w:val="20"/>
        </w:rPr>
        <w:t xml:space="preserve">sheet from which it has been derived. </w:t>
      </w:r>
    </w:p>
    <w:p w:rsidR="00000000" w:rsidRDefault="005D26B8">
      <w:pPr>
        <w:jc w:val="both"/>
        <w:rPr>
          <w:rFonts w:eastAsia="Times New Roman"/>
        </w:rPr>
      </w:pPr>
    </w:p>
    <w:p w:rsidR="00000000" w:rsidRDefault="005D26B8">
      <w:pPr>
        <w:jc w:val="both"/>
        <w:rPr>
          <w:rFonts w:eastAsia="Times New Roman"/>
        </w:rPr>
      </w:pPr>
      <w:r>
        <w:rPr>
          <w:rFonts w:eastAsia="Times New Roman"/>
          <w:b/>
          <w:bCs/>
          <w:color w:val="000000"/>
          <w:sz w:val="20"/>
          <w:szCs w:val="20"/>
        </w:rPr>
        <w:t xml:space="preserve">Basis for Review Results </w:t>
      </w:r>
    </w:p>
    <w:p w:rsidR="00000000" w:rsidRDefault="005D26B8">
      <w:pPr>
        <w:jc w:val="both"/>
        <w:rPr>
          <w:rFonts w:eastAsia="Times New Roman"/>
        </w:rPr>
      </w:pPr>
    </w:p>
    <w:p w:rsidR="00000000" w:rsidRDefault="005D26B8">
      <w:pPr>
        <w:jc w:val="both"/>
        <w:rPr>
          <w:rFonts w:eastAsia="Times New Roman"/>
        </w:rPr>
      </w:pPr>
      <w:r>
        <w:rPr>
          <w:rFonts w:eastAsia="Times New Roman"/>
          <w:color w:val="000000"/>
          <w:sz w:val="20"/>
          <w:szCs w:val="20"/>
        </w:rPr>
        <w:t>These financial statements are the responsibility of the Company’s management. We are a public accounting firm registered with the PCAOB and required to be independent with respect to the</w:t>
      </w:r>
      <w:r>
        <w:rPr>
          <w:rFonts w:eastAsia="Times New Roman"/>
          <w:color w:val="000000"/>
          <w:sz w:val="20"/>
          <w:szCs w:val="20"/>
        </w:rPr>
        <w:t xml:space="preserve"> Company in accordance with the U.S. federal securities laws and the applicable rules and regulations of the SEC and the PCAOB. We conducted our review in accordance with the standards of the PCAOB. A review of interim financial statements consists princip</w:t>
      </w:r>
      <w:r>
        <w:rPr>
          <w:rFonts w:eastAsia="Times New Roman"/>
          <w:color w:val="000000"/>
          <w:sz w:val="20"/>
          <w:szCs w:val="20"/>
        </w:rPr>
        <w:t xml:space="preserve">ally of applying analytical procedures and making inquiries of persons responsible for financial and accounting matters. It is substantially less in scope than an audit conducted in accordance with the standards of the PCAOB, the objective of which is the </w:t>
      </w:r>
      <w:r>
        <w:rPr>
          <w:rFonts w:eastAsia="Times New Roman"/>
          <w:color w:val="000000"/>
          <w:sz w:val="20"/>
          <w:szCs w:val="20"/>
        </w:rPr>
        <w:t>expression of an opinion regarding the financial statements taken as a whole. Accordingly, we do not express such an opinion.</w:t>
      </w:r>
    </w:p>
    <w:p w:rsidR="00000000" w:rsidRDefault="005D26B8">
      <w:pPr>
        <w:jc w:val="both"/>
        <w:rPr>
          <w:rFonts w:eastAsia="Times New Roman"/>
        </w:rPr>
      </w:pPr>
    </w:p>
    <w:p w:rsidR="00000000" w:rsidRDefault="005D26B8">
      <w:pPr>
        <w:jc w:val="both"/>
        <w:rPr>
          <w:rFonts w:eastAsia="Times New Roman"/>
        </w:rPr>
      </w:pPr>
    </w:p>
    <w:p w:rsidR="00000000" w:rsidRDefault="005D26B8">
      <w:pPr>
        <w:divId w:val="880214895"/>
        <w:rPr>
          <w:rFonts w:eastAsia="Times New Roman"/>
        </w:rPr>
      </w:pPr>
      <w:r>
        <w:rPr>
          <w:rFonts w:eastAsia="Times New Roman"/>
          <w:color w:val="000000"/>
          <w:sz w:val="20"/>
          <w:szCs w:val="20"/>
        </w:rPr>
        <w:t>/s/ Ernst &amp; Young LLP</w:t>
      </w:r>
    </w:p>
    <w:p w:rsidR="00000000" w:rsidRDefault="005D26B8">
      <w:pPr>
        <w:jc w:val="both"/>
        <w:rPr>
          <w:rFonts w:eastAsia="Times New Roman"/>
        </w:rPr>
      </w:pPr>
      <w:r>
        <w:rPr>
          <w:rFonts w:eastAsia="Times New Roman"/>
          <w:color w:val="000000"/>
          <w:sz w:val="20"/>
          <w:szCs w:val="20"/>
        </w:rPr>
        <w:t>Orlando, Florida</w:t>
      </w:r>
    </w:p>
    <w:p w:rsidR="00000000" w:rsidRDefault="005D26B8">
      <w:pPr>
        <w:divId w:val="1326204187"/>
        <w:rPr>
          <w:rFonts w:eastAsia="Times New Roman"/>
        </w:rPr>
      </w:pPr>
      <w:r>
        <w:rPr>
          <w:rFonts w:eastAsia="Times New Roman"/>
          <w:color w:val="000000"/>
          <w:sz w:val="20"/>
          <w:szCs w:val="20"/>
        </w:rPr>
        <w:t xml:space="preserve">November 2, 2020 </w:t>
      </w:r>
    </w:p>
    <w:p w:rsidR="00000000" w:rsidRDefault="005D26B8">
      <w:pPr>
        <w:jc w:val="center"/>
        <w:divId w:val="1145976323"/>
        <w:rPr>
          <w:rFonts w:eastAsia="Times New Roman"/>
        </w:rPr>
      </w:pPr>
      <w:r>
        <w:rPr>
          <w:rFonts w:eastAsia="Times New Roman"/>
          <w:color w:val="000000"/>
          <w:sz w:val="20"/>
          <w:szCs w:val="20"/>
        </w:rPr>
        <w:t>30</w:t>
      </w:r>
    </w:p>
    <w:p w:rsidR="00000000" w:rsidRDefault="005D26B8">
      <w:pPr>
        <w:rPr>
          <w:rFonts w:eastAsia="Times New Roman"/>
        </w:rPr>
      </w:pPr>
      <w:r>
        <w:rPr>
          <w:rFonts w:eastAsia="Times New Roman"/>
        </w:rPr>
        <w:pict>
          <v:rect id="_x0000_i1057" style="width:0;height:1.5pt" o:hralign="center" o:hrstd="t" o:hr="t" fillcolor="#a0a0a0" stroked="f"/>
        </w:pict>
      </w:r>
    </w:p>
    <w:p w:rsidR="00000000" w:rsidRDefault="005D26B8">
      <w:pPr>
        <w:divId w:val="1038042609"/>
        <w:rPr>
          <w:rFonts w:eastAsia="Times New Roman"/>
        </w:rPr>
      </w:pPr>
    </w:p>
    <w:p w:rsidR="00000000" w:rsidRDefault="005D26B8">
      <w:pPr>
        <w:divId w:val="256522379"/>
        <w:rPr>
          <w:rFonts w:eastAsia="Times New Roman"/>
        </w:rPr>
      </w:pPr>
      <w:r>
        <w:rPr>
          <w:rFonts w:eastAsia="Times New Roman"/>
          <w:b/>
          <w:bCs/>
          <w:color w:val="000000"/>
          <w:sz w:val="20"/>
          <w:szCs w:val="20"/>
        </w:rPr>
        <w:t>Item </w:t>
      </w:r>
      <w:r>
        <w:rPr>
          <w:rFonts w:eastAsia="Times New Roman"/>
          <w:b/>
          <w:bCs/>
          <w:color w:val="000000"/>
          <w:sz w:val="20"/>
          <w:szCs w:val="20"/>
        </w:rPr>
        <w:t>2. Management’s Discussion and Analysis of Financial Condition and Results of Operations.</w:t>
      </w:r>
    </w:p>
    <w:p w:rsidR="00000000" w:rsidRDefault="005D26B8">
      <w:pPr>
        <w:divId w:val="1315792281"/>
        <w:rPr>
          <w:rFonts w:eastAsia="Times New Roman"/>
        </w:rPr>
      </w:pPr>
      <w:r>
        <w:rPr>
          <w:rFonts w:eastAsia="Times New Roman"/>
          <w:b/>
          <w:bCs/>
          <w:color w:val="000000"/>
          <w:sz w:val="20"/>
          <w:szCs w:val="20"/>
        </w:rPr>
        <w:t>OVERVIEW</w:t>
      </w:r>
    </w:p>
    <w:p w:rsidR="00000000" w:rsidRDefault="005D26B8">
      <w:pPr>
        <w:ind w:firstLine="450"/>
        <w:divId w:val="1203514356"/>
        <w:rPr>
          <w:rFonts w:eastAsia="Times New Roman"/>
        </w:rPr>
      </w:pPr>
      <w:r>
        <w:rPr>
          <w:rFonts w:eastAsia="Times New Roman"/>
          <w:color w:val="000000"/>
          <w:sz w:val="20"/>
          <w:szCs w:val="20"/>
        </w:rPr>
        <w:t>The following Management’s Discussion and Analysis (“MD&amp;A”) is intended to assist in an understanding of our financial condition and results of operations. T</w:t>
      </w:r>
      <w:r>
        <w:rPr>
          <w:rFonts w:eastAsia="Times New Roman"/>
          <w:color w:val="000000"/>
          <w:sz w:val="20"/>
          <w:szCs w:val="20"/>
        </w:rPr>
        <w:t>his MD&amp;A is provided as a supplement to, should be read in conjunction with, and is qualified in its entirety by reference to, our Condensed Consolidated Financial Statements (Unaudited) and accompanying Notes appearing elsewhere in this Report (the “Notes</w:t>
      </w:r>
      <w:r>
        <w:rPr>
          <w:rFonts w:eastAsia="Times New Roman"/>
          <w:color w:val="000000"/>
          <w:sz w:val="20"/>
          <w:szCs w:val="20"/>
        </w:rPr>
        <w:t>”). In addition, reference should be made to our audited Consolidated Financial Statements and accompanying Notes to Consolidated Financial Statements and Item 7. “Management’s Discussion and Analysis of Financial Condition and Results of Operations” inclu</w:t>
      </w:r>
      <w:r>
        <w:rPr>
          <w:rFonts w:eastAsia="Times New Roman"/>
          <w:color w:val="000000"/>
          <w:sz w:val="20"/>
          <w:szCs w:val="20"/>
        </w:rPr>
        <w:t>ded in our Form 10-KT for the Fiscal Transition Period from June 29, 2019 to January 3, 2020 (our “Fiscal Transition Period Form 10-KT”). Except for the historical information contained herein, the discussions in this MD&amp;A contain forward-looking statement</w:t>
      </w:r>
      <w:r>
        <w:rPr>
          <w:rFonts w:eastAsia="Times New Roman"/>
          <w:color w:val="000000"/>
          <w:sz w:val="20"/>
          <w:szCs w:val="20"/>
        </w:rPr>
        <w:t>s that involve risks and uncertainties. Our future results could differ materially from those discussed herein. Factors that could cause or contribute to such differences include, but are not limited to, those discussed below in this MD&amp;A under “Forward-Lo</w:t>
      </w:r>
      <w:r>
        <w:rPr>
          <w:rFonts w:eastAsia="Times New Roman"/>
          <w:color w:val="000000"/>
          <w:sz w:val="20"/>
          <w:szCs w:val="20"/>
        </w:rPr>
        <w:t xml:space="preserve">oking Statements and Factors that May Affect Future Results.” </w:t>
      </w:r>
    </w:p>
    <w:p w:rsidR="00000000" w:rsidRDefault="005D26B8">
      <w:pPr>
        <w:divId w:val="1248421947"/>
        <w:rPr>
          <w:rFonts w:eastAsia="Times New Roman"/>
        </w:rPr>
      </w:pPr>
      <w:r>
        <w:rPr>
          <w:rFonts w:eastAsia="Times New Roman"/>
          <w:b/>
          <w:bCs/>
          <w:color w:val="000000"/>
          <w:sz w:val="20"/>
          <w:szCs w:val="20"/>
        </w:rPr>
        <w:t>COVID-19 </w:t>
      </w:r>
    </w:p>
    <w:p w:rsidR="00000000" w:rsidRDefault="005D26B8">
      <w:pPr>
        <w:ind w:firstLine="450"/>
        <w:divId w:val="912550062"/>
        <w:rPr>
          <w:rFonts w:eastAsia="Times New Roman"/>
        </w:rPr>
      </w:pPr>
      <w:r>
        <w:rPr>
          <w:rFonts w:eastAsia="Times New Roman"/>
          <w:color w:val="000000"/>
          <w:sz w:val="20"/>
          <w:szCs w:val="20"/>
        </w:rPr>
        <w:t>The ongoing COVID-19 pandemic and attempts to contain it, such as mandatory closures, “shelter-in-place” orders and travel and quarantine restrictions, have caused significant disrupt</w:t>
      </w:r>
      <w:r>
        <w:rPr>
          <w:rFonts w:eastAsia="Times New Roman"/>
          <w:color w:val="000000"/>
          <w:sz w:val="20"/>
          <w:szCs w:val="20"/>
        </w:rPr>
        <w:t>ions and adverse effects on the U.S. and global economies, such as impacts to supply chains, customer demand, international trade and capital markets. Our response has involved increasing our focus on keeping our employees safe while striving to maintain c</w:t>
      </w:r>
      <w:r>
        <w:rPr>
          <w:rFonts w:eastAsia="Times New Roman"/>
          <w:color w:val="000000"/>
          <w:sz w:val="20"/>
          <w:szCs w:val="20"/>
        </w:rPr>
        <w:t>ontinuity of operations, meet customer commitments and support suppliers. For example, we instituted work-from-home (for employees who are able to work remotely) and social distancing arrangements; canceled travel and external events; procured personal pro</w:t>
      </w:r>
      <w:r>
        <w:rPr>
          <w:rFonts w:eastAsia="Times New Roman"/>
          <w:color w:val="000000"/>
          <w:sz w:val="20"/>
          <w:szCs w:val="20"/>
        </w:rPr>
        <w:t>tective equipment for employees; implemented health screening procedures at all facilities; staggered work shifts, redesigned work stations, implemented stringent cleaning protocols and initiated more detailed safety precautions and protocols for on-site w</w:t>
      </w:r>
      <w:r>
        <w:rPr>
          <w:rFonts w:eastAsia="Times New Roman"/>
          <w:color w:val="000000"/>
          <w:sz w:val="20"/>
          <w:szCs w:val="20"/>
        </w:rPr>
        <w:t>ork, such as daily health assessments and mandatory face coverings, which currently remain in effect. We have also maintained an active dialog with key suppliers and developed plans to mitigate supply chain risks. We have allowed certain essential business</w:t>
      </w:r>
      <w:r>
        <w:rPr>
          <w:rFonts w:eastAsia="Times New Roman"/>
          <w:color w:val="000000"/>
          <w:sz w:val="20"/>
          <w:szCs w:val="20"/>
        </w:rPr>
        <w:t xml:space="preserve"> travel to resume, and we continue to expect to utilize a phased approach based on local conditions for transitioning employees from work-from-home arrangements to on-site work. The U.S. Government response to the COVID-19 pandemic has included identifying</w:t>
      </w:r>
      <w:r>
        <w:rPr>
          <w:rFonts w:eastAsia="Times New Roman"/>
          <w:color w:val="000000"/>
          <w:sz w:val="20"/>
          <w:szCs w:val="20"/>
        </w:rPr>
        <w:t xml:space="preserve"> the Defense Industrial Base as a Critical Infrastructure Sector and enhancing cash flow and liquidity for the Defense Industrial Base, such as by increasing progress payments and accelerating contract awards. As a part of the Defense Industrial Base, thes</w:t>
      </w:r>
      <w:r>
        <w:rPr>
          <w:rFonts w:eastAsia="Times New Roman"/>
          <w:color w:val="000000"/>
          <w:sz w:val="20"/>
          <w:szCs w:val="20"/>
        </w:rPr>
        <w:t>e actions have enabled us to keep our U.S. production facilities largely operational in support of national security commitments to U.S. Government customers and to accelerate payments to small business suppliers, which we expect to continue while the U.S.</w:t>
      </w:r>
      <w:r>
        <w:rPr>
          <w:rFonts w:eastAsia="Times New Roman"/>
          <w:color w:val="000000"/>
          <w:sz w:val="20"/>
          <w:szCs w:val="20"/>
        </w:rPr>
        <w:t xml:space="preserve"> Government’s responsive actions remain in effect.</w:t>
      </w:r>
    </w:p>
    <w:p w:rsidR="00000000" w:rsidRDefault="005D26B8">
      <w:pPr>
        <w:ind w:firstLine="450"/>
        <w:divId w:val="1998798356"/>
        <w:rPr>
          <w:rFonts w:eastAsia="Times New Roman"/>
        </w:rPr>
      </w:pPr>
      <w:r>
        <w:rPr>
          <w:rFonts w:eastAsia="Times New Roman"/>
          <w:color w:val="000000"/>
          <w:sz w:val="20"/>
          <w:szCs w:val="20"/>
        </w:rPr>
        <w:t>Although we believe that the large percentage of our revenue, earnings and cash flow that is derived from sales to the U.S. Government, whether directly or through prime contractors, will be relatively pre</w:t>
      </w:r>
      <w:r>
        <w:rPr>
          <w:rFonts w:eastAsia="Times New Roman"/>
          <w:color w:val="000000"/>
          <w:sz w:val="20"/>
          <w:szCs w:val="20"/>
        </w:rPr>
        <w:t>dictable, in part due to the responsive actions taken by the U.S. Government described above, our commercial, international and public safety businesses are at a higher risk of adverse impacts related to the COVID-19 pandemic. For example, the severe decli</w:t>
      </w:r>
      <w:r>
        <w:rPr>
          <w:rFonts w:eastAsia="Times New Roman"/>
          <w:color w:val="000000"/>
          <w:sz w:val="20"/>
          <w:szCs w:val="20"/>
        </w:rPr>
        <w:t>ne in global air traffic from travel restrictions and the resulting downturn in the commercial aviation market and its impact on customer operations has significantly reduced demand for flight training, flight simulators and commercial avionics products in</w:t>
      </w:r>
      <w:r>
        <w:rPr>
          <w:rFonts w:eastAsia="Times New Roman"/>
          <w:color w:val="000000"/>
          <w:sz w:val="20"/>
          <w:szCs w:val="20"/>
        </w:rPr>
        <w:t xml:space="preserve"> our Aviation Systems segment’s Commercial Aviation Solutions sector. As a result, we temporarily closed some of our flight training facilities, initiated restructuring and other actions to align our resources with the outlook for the commercial aviation m</w:t>
      </w:r>
      <w:r>
        <w:rPr>
          <w:rFonts w:eastAsia="Times New Roman"/>
          <w:color w:val="000000"/>
          <w:sz w:val="20"/>
          <w:szCs w:val="20"/>
        </w:rPr>
        <w:t>arket (including workforce reduction and facility consolidation) and have recognized $397 million of charges for impairment of goodwill and other assets and other COVID-19-related impacts in the first three quarters of fiscal 2020.</w:t>
      </w:r>
    </w:p>
    <w:p w:rsidR="00000000" w:rsidRDefault="005D26B8">
      <w:pPr>
        <w:ind w:firstLine="450"/>
        <w:divId w:val="385299968"/>
        <w:rPr>
          <w:rFonts w:eastAsia="Times New Roman"/>
        </w:rPr>
      </w:pPr>
      <w:r>
        <w:rPr>
          <w:rFonts w:eastAsia="Times New Roman"/>
          <w:color w:val="000000"/>
          <w:sz w:val="20"/>
          <w:szCs w:val="20"/>
        </w:rPr>
        <w:t>The extent of these disr</w:t>
      </w:r>
      <w:r>
        <w:rPr>
          <w:rFonts w:eastAsia="Times New Roman"/>
          <w:color w:val="000000"/>
          <w:sz w:val="20"/>
          <w:szCs w:val="20"/>
        </w:rPr>
        <w:t>uptions and impacts, including on our ability to perform under U.S. Government contracts and other contracts within agreed timeframes and ultimately on our results of operations and cash flows, will depend on future developments, including the severity and</w:t>
      </w:r>
      <w:r>
        <w:rPr>
          <w:rFonts w:eastAsia="Times New Roman"/>
          <w:color w:val="000000"/>
          <w:sz w:val="20"/>
          <w:szCs w:val="20"/>
        </w:rPr>
        <w:t xml:space="preserve"> duration of the pandemic and associated containment and mitigation actions taken by the U.S. Government, state and local government officials and international governments, and consequences thereof, and global air traffic demand and governmental subsidies</w:t>
      </w:r>
      <w:r>
        <w:rPr>
          <w:rFonts w:eastAsia="Times New Roman"/>
          <w:color w:val="000000"/>
          <w:sz w:val="20"/>
          <w:szCs w:val="20"/>
        </w:rPr>
        <w:t xml:space="preserve"> to airlines, all of which are uncertain and unpredictable. </w:t>
      </w:r>
    </w:p>
    <w:p w:rsidR="00000000" w:rsidRDefault="005D26B8">
      <w:pPr>
        <w:ind w:firstLine="450"/>
        <w:divId w:val="803351987"/>
        <w:rPr>
          <w:rFonts w:eastAsia="Times New Roman"/>
        </w:rPr>
      </w:pPr>
      <w:r>
        <w:rPr>
          <w:rFonts w:eastAsia="Times New Roman"/>
          <w:color w:val="000000"/>
          <w:sz w:val="20"/>
          <w:szCs w:val="20"/>
        </w:rPr>
        <w:t>The impact of COVID-19 may also exacerbate other risks discussed in Item 1A. “Risk Factors” of our Fiscal Transition Period Form 10-KT, any of which could have a material effect on us. We continu</w:t>
      </w:r>
      <w:r>
        <w:rPr>
          <w:rFonts w:eastAsia="Times New Roman"/>
          <w:color w:val="000000"/>
          <w:sz w:val="20"/>
          <w:szCs w:val="20"/>
        </w:rPr>
        <w:t xml:space="preserve">e to work with our customers, employees, suppliers, subcontractors, distributors, resellers and communities to address the impact of the pandemic. We continue to assess possible implications to our business, supply chain and customers, and to take actions </w:t>
      </w:r>
      <w:r>
        <w:rPr>
          <w:rFonts w:eastAsia="Times New Roman"/>
          <w:color w:val="000000"/>
          <w:sz w:val="20"/>
          <w:szCs w:val="20"/>
        </w:rPr>
        <w:t>in an effort to mitigate adverse consequences. For further information regarding the impact, and the risks of the impact, of COVID-19 on the Company, see Part II, Item 1A. “Risk Factors” in this Report.</w:t>
      </w:r>
    </w:p>
    <w:p w:rsidR="00000000" w:rsidRDefault="005D26B8">
      <w:pPr>
        <w:jc w:val="center"/>
        <w:divId w:val="1201824068"/>
        <w:rPr>
          <w:rFonts w:eastAsia="Times New Roman"/>
        </w:rPr>
      </w:pPr>
      <w:r>
        <w:rPr>
          <w:rFonts w:eastAsia="Times New Roman"/>
          <w:color w:val="000000"/>
          <w:sz w:val="20"/>
          <w:szCs w:val="20"/>
        </w:rPr>
        <w:t>31</w:t>
      </w:r>
    </w:p>
    <w:p w:rsidR="00000000" w:rsidRDefault="005D26B8">
      <w:pPr>
        <w:rPr>
          <w:rFonts w:eastAsia="Times New Roman"/>
        </w:rPr>
      </w:pPr>
      <w:r>
        <w:rPr>
          <w:rFonts w:eastAsia="Times New Roman"/>
        </w:rPr>
        <w:pict>
          <v:rect id="_x0000_i1058" style="width:0;height:1.5pt" o:hralign="center" o:hrstd="t" o:hr="t" fillcolor="#a0a0a0" stroked="f"/>
        </w:pict>
      </w:r>
    </w:p>
    <w:p w:rsidR="00000000" w:rsidRDefault="005D26B8">
      <w:pPr>
        <w:divId w:val="1915310154"/>
        <w:rPr>
          <w:rFonts w:eastAsia="Times New Roman"/>
        </w:rPr>
      </w:pPr>
    </w:p>
    <w:p w:rsidR="00000000" w:rsidRDefault="005D26B8">
      <w:pPr>
        <w:divId w:val="565843581"/>
        <w:rPr>
          <w:rFonts w:eastAsia="Times New Roman"/>
        </w:rPr>
      </w:pPr>
      <w:r>
        <w:rPr>
          <w:rFonts w:eastAsia="Times New Roman"/>
          <w:b/>
          <w:bCs/>
          <w:color w:val="000000"/>
          <w:sz w:val="20"/>
          <w:szCs w:val="20"/>
        </w:rPr>
        <w:t>KEY DEVELOPMENTS</w:t>
      </w:r>
    </w:p>
    <w:p w:rsidR="00000000" w:rsidRDefault="005D26B8">
      <w:pPr>
        <w:ind w:firstLine="450"/>
        <w:divId w:val="1192375893"/>
        <w:rPr>
          <w:rFonts w:eastAsia="Times New Roman"/>
        </w:rPr>
      </w:pPr>
      <w:r>
        <w:rPr>
          <w:rFonts w:eastAsia="Times New Roman"/>
          <w:color w:val="000000"/>
          <w:sz w:val="20"/>
          <w:szCs w:val="20"/>
        </w:rPr>
        <w:t>The following is a list of the remaining sections of this MD&amp;A, together with our perspective on their contents, which we hope will assist in reading these pages:</w:t>
      </w:r>
    </w:p>
    <w:p w:rsidR="00000000" w:rsidRDefault="005D26B8">
      <w:pPr>
        <w:ind w:hanging="180"/>
        <w:divId w:val="1648196495"/>
        <w:rPr>
          <w:rFonts w:eastAsia="Times New Roman"/>
        </w:rPr>
      </w:pPr>
      <w:r>
        <w:rPr>
          <w:rFonts w:eastAsia="Times New Roman"/>
          <w:color w:val="000000"/>
          <w:sz w:val="20"/>
          <w:szCs w:val="20"/>
        </w:rPr>
        <w:t>•</w:t>
      </w:r>
      <w:r>
        <w:rPr>
          <w:rFonts w:eastAsia="Times New Roman"/>
          <w:b/>
          <w:bCs/>
          <w:i/>
          <w:iCs/>
          <w:color w:val="000000"/>
          <w:sz w:val="20"/>
          <w:szCs w:val="20"/>
        </w:rPr>
        <w:t>Results of Operations</w:t>
      </w:r>
      <w:r>
        <w:rPr>
          <w:rFonts w:eastAsia="Times New Roman"/>
          <w:i/>
          <w:iCs/>
          <w:color w:val="000000"/>
          <w:sz w:val="20"/>
          <w:szCs w:val="20"/>
        </w:rPr>
        <w:t xml:space="preserve"> </w:t>
      </w:r>
      <w:r>
        <w:rPr>
          <w:rFonts w:eastAsia="Times New Roman"/>
          <w:color w:val="000000"/>
          <w:sz w:val="20"/>
          <w:szCs w:val="20"/>
        </w:rPr>
        <w:t>— an analysis of our consolidated results of operatio</w:t>
      </w:r>
      <w:r>
        <w:rPr>
          <w:rFonts w:eastAsia="Times New Roman"/>
          <w:color w:val="000000"/>
          <w:sz w:val="20"/>
          <w:szCs w:val="20"/>
        </w:rPr>
        <w:t xml:space="preserve">ns and the results in each of our business segments, to the extent the segment results are helpful to an understanding of our business as a whole, on both an “as reported” basis and, in the case of the three quarters ended September 27, 2019, a “pro forma </w:t>
      </w:r>
      <w:r>
        <w:rPr>
          <w:rFonts w:eastAsia="Times New Roman"/>
          <w:color w:val="000000"/>
          <w:sz w:val="20"/>
          <w:szCs w:val="20"/>
        </w:rPr>
        <w:t xml:space="preserve">basis” (as defined in “Results of Operations” in this MD&amp;A), for the periods presented in our Condensed Consolidated Statement of Income (Unaudited). </w:t>
      </w:r>
    </w:p>
    <w:p w:rsidR="00000000" w:rsidRDefault="005D26B8">
      <w:pPr>
        <w:ind w:hanging="180"/>
        <w:divId w:val="978070479"/>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Strategies</w:t>
      </w:r>
      <w:r>
        <w:rPr>
          <w:rFonts w:eastAsia="Times New Roman"/>
          <w:color w:val="000000"/>
          <w:sz w:val="20"/>
          <w:szCs w:val="20"/>
        </w:rPr>
        <w:t> — an analysis of cash flows, funding of pension pl</w:t>
      </w:r>
      <w:r>
        <w:rPr>
          <w:rFonts w:eastAsia="Times New Roman"/>
          <w:color w:val="000000"/>
          <w:sz w:val="20"/>
          <w:szCs w:val="20"/>
        </w:rPr>
        <w:t>ans, common stock repurchases, dividends, capital structure and resources, off-balance sheet arrangements and commercial commitments and contractual obligations.</w:t>
      </w:r>
    </w:p>
    <w:p w:rsidR="00000000" w:rsidRDefault="005D26B8">
      <w:pPr>
        <w:ind w:hanging="180"/>
        <w:divId w:val="743533628"/>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Estimates</w:t>
      </w:r>
      <w:r>
        <w:rPr>
          <w:rFonts w:eastAsia="Times New Roman"/>
          <w:b/>
          <w:bCs/>
          <w:color w:val="000000"/>
          <w:sz w:val="20"/>
          <w:szCs w:val="20"/>
        </w:rPr>
        <w:t> </w:t>
      </w:r>
      <w:r>
        <w:rPr>
          <w:rFonts w:eastAsia="Times New Roman"/>
          <w:color w:val="000000"/>
          <w:sz w:val="20"/>
          <w:szCs w:val="20"/>
        </w:rPr>
        <w:t>— information about accounting policies that requi</w:t>
      </w:r>
      <w:r>
        <w:rPr>
          <w:rFonts w:eastAsia="Times New Roman"/>
          <w:color w:val="000000"/>
          <w:sz w:val="20"/>
          <w:szCs w:val="20"/>
        </w:rPr>
        <w:t>re critical judgments and estimates and about accounting standards that have been issued, but are not yet effective for us, and their potential impact on our financial condition, results of operations, cash flows and equity.</w:t>
      </w:r>
    </w:p>
    <w:p w:rsidR="00000000" w:rsidRDefault="005D26B8">
      <w:pPr>
        <w:ind w:hanging="180"/>
        <w:divId w:val="1679890571"/>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w:t>
      </w:r>
      <w:r>
        <w:rPr>
          <w:rFonts w:eastAsia="Times New Roman"/>
          <w:b/>
          <w:bCs/>
          <w:i/>
          <w:iCs/>
          <w:color w:val="000000"/>
          <w:sz w:val="20"/>
          <w:szCs w:val="20"/>
        </w:rPr>
        <w:t xml:space="preserve"> Factors that May Affect Future Results</w:t>
      </w:r>
      <w:r>
        <w:rPr>
          <w:rFonts w:eastAsia="Times New Roman"/>
          <w:b/>
          <w:bCs/>
          <w:color w:val="000000"/>
          <w:sz w:val="20"/>
          <w:szCs w:val="20"/>
        </w:rPr>
        <w:t> </w:t>
      </w:r>
      <w:r>
        <w:rPr>
          <w:rFonts w:eastAsia="Times New Roman"/>
          <w:color w:val="000000"/>
          <w:sz w:val="20"/>
          <w:szCs w:val="20"/>
        </w:rPr>
        <w:t>— cautionary information about forward-looking statements and a description of certain risks and uncertainties that could cause our actual results to differ materially from our historical results or our current expec</w:t>
      </w:r>
      <w:r>
        <w:rPr>
          <w:rFonts w:eastAsia="Times New Roman"/>
          <w:color w:val="000000"/>
          <w:sz w:val="20"/>
          <w:szCs w:val="20"/>
        </w:rPr>
        <w:t>tations or projections.</w:t>
      </w:r>
    </w:p>
    <w:p w:rsidR="00000000" w:rsidRDefault="005D26B8">
      <w:pPr>
        <w:ind w:firstLine="450"/>
        <w:divId w:val="597181531"/>
        <w:rPr>
          <w:rFonts w:eastAsia="Times New Roman"/>
        </w:rPr>
      </w:pPr>
      <w:r>
        <w:rPr>
          <w:rFonts w:eastAsia="Times New Roman"/>
          <w:color w:val="000000"/>
          <w:sz w:val="20"/>
          <w:szCs w:val="20"/>
        </w:rPr>
        <w:t xml:space="preserve">As discussed in </w:t>
      </w:r>
      <w:r>
        <w:rPr>
          <w:rFonts w:eastAsia="Times New Roman"/>
          <w:i/>
          <w:iCs/>
          <w:color w:val="000000"/>
          <w:sz w:val="20"/>
          <w:szCs w:val="20"/>
        </w:rPr>
        <w:t>Note V — Business Segment Information</w:t>
      </w:r>
      <w:r>
        <w:rPr>
          <w:rFonts w:eastAsia="Times New Roman"/>
          <w:color w:val="000000"/>
          <w:sz w:val="20"/>
          <w:szCs w:val="20"/>
        </w:rPr>
        <w:t xml:space="preserve"> in the Notes, we implemented a new organizational structure effective on June 29, 2019, which resulted in changes to our operating segments, which are also reportable segments an</w:t>
      </w:r>
      <w:r>
        <w:rPr>
          <w:rFonts w:eastAsia="Times New Roman"/>
          <w:color w:val="000000"/>
          <w:sz w:val="20"/>
          <w:szCs w:val="20"/>
        </w:rPr>
        <w:t>d referred to as our business segments. During the quarter ended April 3, 2020, we further adjusted our segment reporting to better align our businesses and transferred two businesses between our Integrated Mission Systems and Space and Airborne Systems se</w:t>
      </w:r>
      <w:r>
        <w:rPr>
          <w:rFonts w:eastAsia="Times New Roman"/>
          <w:color w:val="000000"/>
          <w:sz w:val="20"/>
          <w:szCs w:val="20"/>
        </w:rPr>
        <w:t xml:space="preserve">gments. </w:t>
      </w:r>
    </w:p>
    <w:p w:rsidR="00000000" w:rsidRDefault="005D26B8">
      <w:pPr>
        <w:ind w:firstLine="450"/>
        <w:divId w:val="1918635197"/>
        <w:rPr>
          <w:rFonts w:eastAsia="Times New Roman"/>
        </w:rPr>
      </w:pPr>
      <w:r>
        <w:rPr>
          <w:rFonts w:eastAsia="Times New Roman"/>
          <w:color w:val="000000"/>
          <w:sz w:val="20"/>
          <w:szCs w:val="20"/>
        </w:rPr>
        <w:t>The historical results, discussion and presentation of our business segments as set forth in this MD&amp;A reflect the impact of the above changes for all periods presented in order to present segment information on a comparable basis. There is no imp</w:t>
      </w:r>
      <w:r>
        <w:rPr>
          <w:rFonts w:eastAsia="Times New Roman"/>
          <w:color w:val="000000"/>
          <w:sz w:val="20"/>
          <w:szCs w:val="20"/>
        </w:rPr>
        <w:t xml:space="preserve">act on our previously reported consolidated statements of income, balance sheets, statements of cash flows or statements of equity resulting from these changes. </w:t>
      </w:r>
    </w:p>
    <w:p w:rsidR="00000000" w:rsidRDefault="005D26B8">
      <w:pPr>
        <w:ind w:firstLine="450"/>
        <w:divId w:val="1058211327"/>
        <w:rPr>
          <w:rFonts w:eastAsia="Times New Roman"/>
        </w:rPr>
      </w:pPr>
      <w:r>
        <w:rPr>
          <w:rFonts w:eastAsia="Times New Roman"/>
          <w:color w:val="000000"/>
          <w:sz w:val="20"/>
          <w:szCs w:val="20"/>
        </w:rPr>
        <w:t>We report the financial results of our continuing operations in the following four segments, w</w:t>
      </w:r>
      <w:r>
        <w:rPr>
          <w:rFonts w:eastAsia="Times New Roman"/>
          <w:color w:val="000000"/>
          <w:sz w:val="20"/>
          <w:szCs w:val="20"/>
        </w:rPr>
        <w:t>hich are also referred to as our business segments:</w:t>
      </w:r>
    </w:p>
    <w:p w:rsidR="00000000" w:rsidRDefault="005D26B8">
      <w:pPr>
        <w:ind w:hanging="180"/>
        <w:divId w:val="184052901"/>
        <w:rPr>
          <w:rFonts w:eastAsia="Times New Roman"/>
        </w:rPr>
      </w:pPr>
      <w:r>
        <w:rPr>
          <w:rFonts w:eastAsia="Times New Roman"/>
          <w:color w:val="000000"/>
          <w:sz w:val="20"/>
          <w:szCs w:val="20"/>
        </w:rPr>
        <w:t>•Integrated Mission Systems, including multi-mission intelligence, surveillance and reconnaissance (“ISR”) and communication systems; integrated electrical and electronic systems for maritime platforms; a</w:t>
      </w:r>
      <w:r>
        <w:rPr>
          <w:rFonts w:eastAsia="Times New Roman"/>
          <w:color w:val="000000"/>
          <w:sz w:val="20"/>
          <w:szCs w:val="20"/>
        </w:rPr>
        <w:t>nd advanced electro-optical and infrared solutions;</w:t>
      </w:r>
    </w:p>
    <w:p w:rsidR="00000000" w:rsidRDefault="005D26B8">
      <w:pPr>
        <w:ind w:hanging="180"/>
        <w:divId w:val="516046924"/>
        <w:rPr>
          <w:rFonts w:eastAsia="Times New Roman"/>
        </w:rPr>
      </w:pPr>
      <w:r>
        <w:rPr>
          <w:rFonts w:eastAsia="Times New Roman"/>
          <w:color w:val="000000"/>
          <w:sz w:val="20"/>
          <w:szCs w:val="20"/>
        </w:rPr>
        <w:t>•Space and Airborne Systems, including space payloads, sensors and full-mission solutions; classified intelligence and cyber defense; avionics; and electronic warfare;</w:t>
      </w:r>
    </w:p>
    <w:p w:rsidR="00000000" w:rsidRDefault="005D26B8">
      <w:pPr>
        <w:ind w:hanging="180"/>
        <w:divId w:val="852719458"/>
        <w:rPr>
          <w:rFonts w:eastAsia="Times New Roman"/>
        </w:rPr>
      </w:pPr>
      <w:r>
        <w:rPr>
          <w:rFonts w:eastAsia="Times New Roman"/>
          <w:color w:val="000000"/>
          <w:sz w:val="20"/>
          <w:szCs w:val="20"/>
        </w:rPr>
        <w:t>•Communication Systems, including ta</w:t>
      </w:r>
      <w:r>
        <w:rPr>
          <w:rFonts w:eastAsia="Times New Roman"/>
          <w:color w:val="000000"/>
          <w:sz w:val="20"/>
          <w:szCs w:val="20"/>
        </w:rPr>
        <w:t>ctical communications; broadband communications; integrated vision solutions; and public safety; and</w:t>
      </w:r>
    </w:p>
    <w:p w:rsidR="00000000" w:rsidRDefault="005D26B8">
      <w:pPr>
        <w:ind w:hanging="180"/>
        <w:divId w:val="170919243"/>
        <w:rPr>
          <w:rFonts w:eastAsia="Times New Roman"/>
        </w:rPr>
      </w:pPr>
      <w:r>
        <w:rPr>
          <w:rFonts w:eastAsia="Times New Roman"/>
          <w:color w:val="000000"/>
          <w:sz w:val="20"/>
          <w:szCs w:val="20"/>
        </w:rPr>
        <w:t xml:space="preserve">•Aviation Systems, including defense aviation products; commercial aviation products; commercial and military pilot training; and mission networks for air </w:t>
      </w:r>
      <w:r>
        <w:rPr>
          <w:rFonts w:eastAsia="Times New Roman"/>
          <w:color w:val="000000"/>
          <w:sz w:val="20"/>
          <w:szCs w:val="20"/>
        </w:rPr>
        <w:t>traffic management.</w:t>
      </w:r>
    </w:p>
    <w:p w:rsidR="00000000" w:rsidRDefault="005D26B8">
      <w:pPr>
        <w:ind w:firstLine="450"/>
        <w:divId w:val="101651828"/>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C — Business Divestitures and Assets Sales</w:t>
      </w:r>
      <w:r>
        <w:rPr>
          <w:rFonts w:eastAsia="Times New Roman"/>
          <w:color w:val="000000"/>
          <w:sz w:val="20"/>
          <w:szCs w:val="20"/>
        </w:rPr>
        <w:t xml:space="preserve"> and elsewhere in the Notes, during 2019 and 2020, we completed the following business divestitures: the divestiture of the Harris Night Vision business, comp</w:t>
      </w:r>
      <w:r>
        <w:rPr>
          <w:rFonts w:eastAsia="Times New Roman"/>
          <w:color w:val="000000"/>
          <w:sz w:val="20"/>
          <w:szCs w:val="20"/>
        </w:rPr>
        <w:t>leted on September 13, 2019, the results of which are included in “Other non-reportable business segments” through the date of divestiture; the divestiture of the Security &amp; Detection Systems and MacDonald Humfrey Automation solutions business (“airport se</w:t>
      </w:r>
      <w:r>
        <w:rPr>
          <w:rFonts w:eastAsia="Times New Roman"/>
          <w:color w:val="000000"/>
          <w:sz w:val="20"/>
          <w:szCs w:val="20"/>
        </w:rPr>
        <w:t>curity and automation business”), completed on May 4, 2020, the results of which are reported as part of our Aviation Systems segment through the date of divestiture; the divestiture of the Applied Kilovolts and Analytical Instrumentation business, complet</w:t>
      </w:r>
      <w:r>
        <w:rPr>
          <w:rFonts w:eastAsia="Times New Roman"/>
          <w:color w:val="000000"/>
          <w:sz w:val="20"/>
          <w:szCs w:val="20"/>
        </w:rPr>
        <w:t>ed on May 15, 2020, the results of which are reported as part of our Space and Airborne Systems segment through the date of divestiture; and the divestiture of the EOTech business, completed on July 31, 2020, the results of which are reported as part of ou</w:t>
      </w:r>
      <w:r>
        <w:rPr>
          <w:rFonts w:eastAsia="Times New Roman"/>
          <w:color w:val="000000"/>
          <w:sz w:val="20"/>
          <w:szCs w:val="20"/>
        </w:rPr>
        <w:t>r Communication Systems segment through the date of divestiture.</w:t>
      </w:r>
    </w:p>
    <w:p w:rsidR="00000000" w:rsidRDefault="005D26B8">
      <w:pPr>
        <w:ind w:firstLine="450"/>
        <w:divId w:val="93941620"/>
        <w:rPr>
          <w:rFonts w:eastAsia="Times New Roman"/>
        </w:rPr>
      </w:pPr>
      <w:r>
        <w:rPr>
          <w:rFonts w:eastAsia="Times New Roman"/>
          <w:color w:val="000000"/>
          <w:sz w:val="20"/>
          <w:szCs w:val="20"/>
        </w:rPr>
        <w:t>Amounts contained in this Report may not always add to totals due to rounding.</w:t>
      </w:r>
    </w:p>
    <w:p w:rsidR="00000000" w:rsidRDefault="005D26B8">
      <w:pPr>
        <w:divId w:val="1585146772"/>
        <w:rPr>
          <w:rFonts w:eastAsia="Times New Roman"/>
        </w:rPr>
      </w:pPr>
      <w:r>
        <w:rPr>
          <w:rFonts w:eastAsia="Times New Roman"/>
          <w:b/>
          <w:bCs/>
          <w:color w:val="000000"/>
          <w:sz w:val="20"/>
          <w:szCs w:val="20"/>
        </w:rPr>
        <w:t>RESULTS OF OPERATIONS</w:t>
      </w:r>
    </w:p>
    <w:p w:rsidR="00000000" w:rsidRDefault="005D26B8">
      <w:pPr>
        <w:ind w:firstLine="450"/>
        <w:divId w:val="574751689"/>
        <w:rPr>
          <w:rFonts w:eastAsia="Times New Roman"/>
        </w:rPr>
      </w:pPr>
      <w:r>
        <w:rPr>
          <w:rFonts w:eastAsia="Times New Roman"/>
          <w:color w:val="000000"/>
          <w:sz w:val="20"/>
          <w:szCs w:val="20"/>
        </w:rPr>
        <w:t xml:space="preserve">As discussed further in </w:t>
      </w:r>
      <w:r>
        <w:rPr>
          <w:rFonts w:eastAsia="Times New Roman"/>
          <w:i/>
          <w:iCs/>
          <w:color w:val="000000"/>
          <w:sz w:val="20"/>
          <w:szCs w:val="20"/>
        </w:rPr>
        <w:t xml:space="preserve">Note A — </w:t>
      </w:r>
      <w:r>
        <w:rPr>
          <w:rFonts w:eastAsia="Times New Roman"/>
          <w:i/>
          <w:iCs/>
          <w:color w:val="000000"/>
          <w:sz w:val="20"/>
          <w:szCs w:val="20"/>
        </w:rPr>
        <w:t>Significant Accounting Policies and Recent Accounting Standards</w:t>
      </w:r>
      <w:r>
        <w:rPr>
          <w:rFonts w:eastAsia="Times New Roman"/>
          <w:color w:val="000000"/>
          <w:sz w:val="20"/>
          <w:szCs w:val="20"/>
        </w:rPr>
        <w:t xml:space="preserve"> in the Notes, we completed the L3Harris Merger on June 29, 2019. Because of the L3Harris Merger, the three quarters ended October 2, 2020 reflect the results of the combined Company, while the</w:t>
      </w:r>
      <w:r>
        <w:rPr>
          <w:rFonts w:eastAsia="Times New Roman"/>
          <w:color w:val="000000"/>
          <w:sz w:val="20"/>
          <w:szCs w:val="20"/>
        </w:rPr>
        <w:t xml:space="preserve"> three quarters ended September 27, 2019 reflect the results of only Harris operating businesses for the two quarters ended June 28, 2019 and the results of the combined Company for the quarter ended September 27, 2019. Due to the significance of the L3 op</w:t>
      </w:r>
      <w:r>
        <w:rPr>
          <w:rFonts w:eastAsia="Times New Roman"/>
          <w:color w:val="000000"/>
          <w:sz w:val="20"/>
          <w:szCs w:val="20"/>
        </w:rPr>
        <w:t xml:space="preserve">erating businesses included in the combined Company results following the L3Harris Merger, the reported results for the three quarters ended October 2, 2020 and September 27, 2019 </w:t>
      </w:r>
    </w:p>
    <w:p w:rsidR="00000000" w:rsidRDefault="005D26B8">
      <w:pPr>
        <w:jc w:val="center"/>
        <w:divId w:val="1299648718"/>
        <w:rPr>
          <w:rFonts w:eastAsia="Times New Roman"/>
        </w:rPr>
      </w:pPr>
      <w:r>
        <w:rPr>
          <w:rFonts w:eastAsia="Times New Roman"/>
          <w:color w:val="000000"/>
          <w:sz w:val="20"/>
          <w:szCs w:val="20"/>
        </w:rPr>
        <w:t>32</w:t>
      </w:r>
    </w:p>
    <w:p w:rsidR="00000000" w:rsidRDefault="005D26B8">
      <w:pPr>
        <w:rPr>
          <w:rFonts w:eastAsia="Times New Roman"/>
        </w:rPr>
      </w:pPr>
      <w:r>
        <w:rPr>
          <w:rFonts w:eastAsia="Times New Roman"/>
        </w:rPr>
        <w:pict>
          <v:rect id="_x0000_i1059" style="width:0;height:1.5pt" o:hralign="center" o:hrstd="t" o:hr="t" fillcolor="#a0a0a0" stroked="f"/>
        </w:pict>
      </w:r>
    </w:p>
    <w:p w:rsidR="00000000" w:rsidRDefault="005D26B8">
      <w:pPr>
        <w:divId w:val="1874221702"/>
        <w:rPr>
          <w:rFonts w:eastAsia="Times New Roman"/>
        </w:rPr>
      </w:pPr>
    </w:p>
    <w:p w:rsidR="00000000" w:rsidRDefault="005D26B8">
      <w:pPr>
        <w:divId w:val="1327780816"/>
        <w:rPr>
          <w:rFonts w:eastAsia="Times New Roman"/>
        </w:rPr>
      </w:pPr>
      <w:r>
        <w:rPr>
          <w:rFonts w:eastAsia="Times New Roman"/>
          <w:color w:val="000000"/>
          <w:sz w:val="20"/>
          <w:szCs w:val="20"/>
        </w:rPr>
        <w:t>generally are not comparable. Ther</w:t>
      </w:r>
      <w:r>
        <w:rPr>
          <w:rFonts w:eastAsia="Times New Roman"/>
          <w:color w:val="000000"/>
          <w:sz w:val="20"/>
          <w:szCs w:val="20"/>
        </w:rPr>
        <w:t>efore, to assist with a discussion of the consolidated results of operations for the three quarters ended October 2, 2020 and September 27, 2019 on a more comparable basis, certain supplemental unaudited pro forma combined income statement information prep</w:t>
      </w:r>
      <w:r>
        <w:rPr>
          <w:rFonts w:eastAsia="Times New Roman"/>
          <w:color w:val="000000"/>
          <w:sz w:val="20"/>
          <w:szCs w:val="20"/>
        </w:rPr>
        <w:t>ared in accordance with the requirements of Article 11 of Regulation S-X (referred to in this MD&amp;A as “pro forma”) also is provided (see “Supplemental Unaudited Pro Forma Condensed Combined Income Statement Information</w:t>
      </w:r>
      <w:r>
        <w:rPr>
          <w:rFonts w:eastAsia="Times New Roman"/>
          <w:i/>
          <w:iCs/>
          <w:color w:val="000000"/>
          <w:sz w:val="20"/>
          <w:szCs w:val="20"/>
        </w:rPr>
        <w:t xml:space="preserve">” </w:t>
      </w:r>
      <w:r>
        <w:rPr>
          <w:rFonts w:eastAsia="Times New Roman"/>
          <w:color w:val="000000"/>
          <w:sz w:val="20"/>
          <w:szCs w:val="20"/>
        </w:rPr>
        <w:t xml:space="preserve">below in this MD&amp;A). </w:t>
      </w:r>
    </w:p>
    <w:p w:rsidR="00000000" w:rsidRDefault="005D26B8">
      <w:pPr>
        <w:divId w:val="2019116758"/>
        <w:rPr>
          <w:rFonts w:eastAsia="Times New Roman"/>
        </w:rPr>
      </w:pPr>
      <w:r>
        <w:rPr>
          <w:rFonts w:eastAsia="Times New Roman"/>
          <w:b/>
          <w:bCs/>
          <w:color w:val="000000"/>
          <w:sz w:val="20"/>
          <w:szCs w:val="20"/>
        </w:rPr>
        <w:t>Highlights</w:t>
      </w:r>
    </w:p>
    <w:p w:rsidR="00000000" w:rsidRDefault="005D26B8">
      <w:pPr>
        <w:ind w:firstLine="450"/>
        <w:divId w:val="329135932"/>
        <w:rPr>
          <w:rFonts w:eastAsia="Times New Roman"/>
        </w:rPr>
      </w:pPr>
      <w:r>
        <w:rPr>
          <w:rFonts w:eastAsia="Times New Roman"/>
          <w:color w:val="000000"/>
          <w:sz w:val="20"/>
          <w:szCs w:val="20"/>
        </w:rPr>
        <w:t>Con</w:t>
      </w:r>
      <w:r>
        <w:rPr>
          <w:rFonts w:eastAsia="Times New Roman"/>
          <w:color w:val="000000"/>
          <w:sz w:val="20"/>
          <w:szCs w:val="20"/>
        </w:rPr>
        <w:t>solidated operating results for the quarter ended October 2, 2020 compared with the quarter ended September 27, 2019 included:</w:t>
      </w:r>
    </w:p>
    <w:p w:rsidR="00000000" w:rsidRDefault="005D26B8">
      <w:pPr>
        <w:ind w:hanging="180"/>
        <w:divId w:val="600651048"/>
        <w:rPr>
          <w:rFonts w:eastAsia="Times New Roman"/>
        </w:rPr>
      </w:pPr>
      <w:r>
        <w:rPr>
          <w:rFonts w:eastAsia="Times New Roman"/>
          <w:color w:val="000000"/>
          <w:sz w:val="20"/>
          <w:szCs w:val="20"/>
        </w:rPr>
        <w:t xml:space="preserve">•Revenue increased 1 percent to $4.5 billion from $4.4 billion; </w:t>
      </w:r>
    </w:p>
    <w:p w:rsidR="00000000" w:rsidRDefault="005D26B8">
      <w:pPr>
        <w:ind w:hanging="180"/>
        <w:divId w:val="1506745340"/>
        <w:rPr>
          <w:rFonts w:eastAsia="Times New Roman"/>
        </w:rPr>
      </w:pPr>
      <w:r>
        <w:rPr>
          <w:rFonts w:eastAsia="Times New Roman"/>
          <w:color w:val="000000"/>
          <w:sz w:val="20"/>
          <w:szCs w:val="20"/>
        </w:rPr>
        <w:t>•Gross margin increased 10 percent to $1,311 million from $1,189</w:t>
      </w:r>
      <w:r>
        <w:rPr>
          <w:rFonts w:eastAsia="Times New Roman"/>
          <w:color w:val="000000"/>
          <w:sz w:val="20"/>
          <w:szCs w:val="20"/>
        </w:rPr>
        <w:t xml:space="preserve"> million;</w:t>
      </w:r>
    </w:p>
    <w:p w:rsidR="00000000" w:rsidRDefault="005D26B8">
      <w:pPr>
        <w:ind w:hanging="180"/>
        <w:divId w:val="518665649"/>
        <w:rPr>
          <w:rFonts w:eastAsia="Times New Roman"/>
        </w:rPr>
      </w:pPr>
      <w:r>
        <w:rPr>
          <w:rFonts w:eastAsia="Times New Roman"/>
          <w:color w:val="000000"/>
          <w:sz w:val="20"/>
          <w:szCs w:val="20"/>
        </w:rPr>
        <w:t>•Income from continuing operations decreased 1 percent to $431 million from $435 million; and</w:t>
      </w:r>
    </w:p>
    <w:p w:rsidR="00000000" w:rsidRDefault="005D26B8">
      <w:pPr>
        <w:ind w:hanging="180"/>
        <w:divId w:val="1505970510"/>
        <w:rPr>
          <w:rFonts w:eastAsia="Times New Roman"/>
        </w:rPr>
      </w:pPr>
      <w:r>
        <w:rPr>
          <w:rFonts w:eastAsia="Times New Roman"/>
          <w:color w:val="000000"/>
          <w:sz w:val="20"/>
          <w:szCs w:val="20"/>
        </w:rPr>
        <w:t>•Income from continuing operations per diluted common share attributable to L3Harris Technologies, Inc. common shareholders increased 5 percent to $1.99</w:t>
      </w:r>
      <w:r>
        <w:rPr>
          <w:rFonts w:eastAsia="Times New Roman"/>
          <w:color w:val="000000"/>
          <w:sz w:val="20"/>
          <w:szCs w:val="20"/>
        </w:rPr>
        <w:t xml:space="preserve"> from $1.90. </w:t>
      </w:r>
    </w:p>
    <w:p w:rsidR="00000000" w:rsidRDefault="005D26B8">
      <w:pPr>
        <w:divId w:val="1424688488"/>
        <w:rPr>
          <w:rFonts w:eastAsia="Times New Roman"/>
        </w:rPr>
      </w:pPr>
      <w:r>
        <w:rPr>
          <w:rFonts w:eastAsia="Times New Roman"/>
          <w:b/>
          <w:bCs/>
          <w:color w:val="000000"/>
          <w:sz w:val="20"/>
          <w:szCs w:val="20"/>
        </w:rPr>
        <w:t>Consolidated 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40"/>
        <w:gridCol w:w="5089"/>
        <w:gridCol w:w="39"/>
        <w:gridCol w:w="120"/>
        <w:gridCol w:w="765"/>
        <w:gridCol w:w="187"/>
        <w:gridCol w:w="36"/>
        <w:gridCol w:w="36"/>
        <w:gridCol w:w="36"/>
        <w:gridCol w:w="120"/>
        <w:gridCol w:w="678"/>
        <w:gridCol w:w="187"/>
        <w:gridCol w:w="36"/>
        <w:gridCol w:w="36"/>
        <w:gridCol w:w="36"/>
        <w:gridCol w:w="63"/>
        <w:gridCol w:w="602"/>
        <w:gridCol w:w="187"/>
      </w:tblGrid>
      <w:tr w:rsidR="00000000">
        <w:trPr>
          <w:divId w:val="647364848"/>
        </w:trPr>
        <w:tc>
          <w:tcPr>
            <w:tcW w:w="50" w:type="pct"/>
            <w:vAlign w:val="center"/>
            <w:hideMark/>
          </w:tcPr>
          <w:p w:rsidR="00000000" w:rsidRDefault="005D26B8">
            <w:pPr>
              <w:rPr>
                <w:rFonts w:eastAsia="Times New Roman"/>
              </w:rPr>
            </w:pPr>
          </w:p>
        </w:tc>
        <w:tc>
          <w:tcPr>
            <w:tcW w:w="316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3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3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64736484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r>
      <w:tr w:rsidR="00000000">
        <w:trPr>
          <w:divId w:val="64736484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647364848"/>
        </w:trPr>
        <w:tc>
          <w:tcPr>
            <w:tcW w:w="0" w:type="auto"/>
            <w:gridSpan w:val="3"/>
            <w:vAlign w:val="center"/>
            <w:hideMark/>
          </w:tcPr>
          <w:p w:rsidR="00000000" w:rsidRDefault="005D26B8">
            <w:pPr>
              <w:jc w:val="center"/>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64736484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1,292 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non-reportable business segments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15"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 of product sales and services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(3,152)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(3,242)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15" w:type="dxa"/>
              <w:bottom w:w="30" w:type="dxa"/>
              <w:right w:w="20" w:type="dxa"/>
            </w:tcMar>
            <w:vAlign w:val="bottom"/>
            <w:hideMark/>
          </w:tcPr>
          <w:p w:rsidR="00000000" w:rsidRDefault="005D26B8">
            <w:pPr>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(999)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1,640 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FFFFFF"/>
            <w:tcMar>
              <w:top w:w="30" w:type="dxa"/>
              <w:left w:w="20" w:type="dxa"/>
              <w:bottom w:w="30" w:type="dxa"/>
              <w:right w:w="20" w:type="dxa"/>
            </w:tcMar>
            <w:vAlign w:val="bottom"/>
            <w:hideMark/>
          </w:tcPr>
          <w:p w:rsidR="00000000" w:rsidRDefault="005D26B8">
            <w:pPr>
              <w:ind w:hanging="90"/>
              <w:divId w:val="1917199776"/>
              <w:rPr>
                <w:rFonts w:eastAsia="Times New Roman"/>
              </w:rPr>
            </w:pPr>
            <w:r>
              <w:rPr>
                <w:rFonts w:eastAsia="Times New Roman"/>
                <w:color w:val="000000"/>
                <w:sz w:val="20"/>
                <w:szCs w:val="20"/>
              </w:rPr>
              <w:t>Income from continuing operations attributable to L3Harris Technologies, Inc.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647364848"/>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647364848"/>
        </w:trPr>
        <w:tc>
          <w:tcPr>
            <w:tcW w:w="0" w:type="auto"/>
            <w:gridSpan w:val="3"/>
            <w:shd w:val="clear" w:color="auto" w:fill="FFFFFF"/>
            <w:tcMar>
              <w:top w:w="30" w:type="dxa"/>
              <w:left w:w="90" w:type="dxa"/>
              <w:bottom w:w="30" w:type="dxa"/>
              <w:right w:w="20" w:type="dxa"/>
            </w:tcMar>
            <w:vAlign w:val="bottom"/>
            <w:hideMark/>
          </w:tcPr>
          <w:p w:rsidR="00000000" w:rsidRDefault="005D26B8">
            <w:pPr>
              <w:ind w:hanging="90"/>
              <w:rPr>
                <w:rFonts w:eastAsia="Times New Roman"/>
              </w:rPr>
            </w:pPr>
            <w:r>
              <w:rPr>
                <w:rFonts w:eastAsia="Times New Roman"/>
                <w:color w:val="000000"/>
                <w:sz w:val="20"/>
                <w:szCs w:val="20"/>
              </w:rPr>
              <w:t>Income from continuing operations per diluted common share attributable to L3Harris Technologies, Inc.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bl>
    <w:p w:rsidR="00000000" w:rsidRDefault="005D26B8">
      <w:pPr>
        <w:divId w:val="2053843084"/>
        <w:rPr>
          <w:rFonts w:eastAsia="Times New Roman"/>
        </w:rPr>
      </w:pPr>
      <w:r>
        <w:rPr>
          <w:rFonts w:eastAsia="Times New Roman"/>
          <w:color w:val="000000"/>
          <w:sz w:val="16"/>
          <w:szCs w:val="16"/>
        </w:rPr>
        <w:t>_______________</w:t>
      </w:r>
    </w:p>
    <w:p w:rsidR="00000000" w:rsidRDefault="005D26B8">
      <w:pPr>
        <w:ind w:hanging="270"/>
        <w:divId w:val="392195619"/>
        <w:rPr>
          <w:rFonts w:eastAsia="Times New Roman"/>
        </w:rPr>
      </w:pPr>
      <w:r>
        <w:rPr>
          <w:rFonts w:eastAsia="Times New Roman"/>
          <w:color w:val="000000"/>
          <w:sz w:val="16"/>
          <w:szCs w:val="16"/>
        </w:rPr>
        <w:t>*    Not meaningful</w:t>
      </w:r>
    </w:p>
    <w:p w:rsidR="00000000" w:rsidRDefault="005D26B8">
      <w:pPr>
        <w:jc w:val="center"/>
        <w:divId w:val="1337416341"/>
        <w:rPr>
          <w:rFonts w:eastAsia="Times New Roman"/>
        </w:rPr>
      </w:pPr>
      <w:r>
        <w:rPr>
          <w:rFonts w:eastAsia="Times New Roman"/>
          <w:color w:val="000000"/>
          <w:sz w:val="20"/>
          <w:szCs w:val="20"/>
        </w:rPr>
        <w:t>33</w:t>
      </w:r>
    </w:p>
    <w:p w:rsidR="00000000" w:rsidRDefault="005D26B8">
      <w:pPr>
        <w:rPr>
          <w:rFonts w:eastAsia="Times New Roman"/>
        </w:rPr>
      </w:pPr>
      <w:r>
        <w:rPr>
          <w:rFonts w:eastAsia="Times New Roman"/>
        </w:rPr>
        <w:pict>
          <v:rect id="_x0000_i1060" style="width:0;height:1.5pt" o:hralign="center" o:hrstd="t" o:hr="t" fillcolor="#a0a0a0" stroked="f"/>
        </w:pict>
      </w:r>
    </w:p>
    <w:p w:rsidR="00000000" w:rsidRDefault="005D26B8">
      <w:pPr>
        <w:divId w:val="1965115608"/>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3516"/>
        <w:gridCol w:w="39"/>
        <w:gridCol w:w="120"/>
        <w:gridCol w:w="583"/>
        <w:gridCol w:w="187"/>
        <w:gridCol w:w="36"/>
        <w:gridCol w:w="36"/>
        <w:gridCol w:w="36"/>
        <w:gridCol w:w="120"/>
        <w:gridCol w:w="500"/>
        <w:gridCol w:w="187"/>
        <w:gridCol w:w="36"/>
        <w:gridCol w:w="36"/>
        <w:gridCol w:w="36"/>
        <w:gridCol w:w="76"/>
        <w:gridCol w:w="588"/>
        <w:gridCol w:w="187"/>
        <w:gridCol w:w="36"/>
        <w:gridCol w:w="36"/>
        <w:gridCol w:w="36"/>
        <w:gridCol w:w="120"/>
        <w:gridCol w:w="500"/>
        <w:gridCol w:w="187"/>
        <w:gridCol w:w="36"/>
        <w:gridCol w:w="36"/>
        <w:gridCol w:w="36"/>
        <w:gridCol w:w="76"/>
        <w:gridCol w:w="588"/>
        <w:gridCol w:w="187"/>
      </w:tblGrid>
      <w:tr w:rsidR="00000000">
        <w:trPr>
          <w:divId w:val="2137794494"/>
          <w:jc w:val="center"/>
        </w:trPr>
        <w:tc>
          <w:tcPr>
            <w:tcW w:w="50" w:type="pct"/>
            <w:vAlign w:val="center"/>
            <w:hideMark/>
          </w:tcPr>
          <w:p w:rsidR="00000000" w:rsidRDefault="005D26B8">
            <w:pPr>
              <w:rPr>
                <w:rFonts w:eastAsia="Times New Roman"/>
              </w:rPr>
            </w:pPr>
          </w:p>
        </w:tc>
        <w:tc>
          <w:tcPr>
            <w:tcW w:w="229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8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8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137794494"/>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2137794494"/>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2137794494"/>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Pro Forma</w:t>
            </w:r>
          </w:p>
        </w:tc>
      </w:tr>
      <w:tr w:rsidR="00000000">
        <w:trPr>
          <w:divId w:val="2137794494"/>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27"/>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divId w:val="2137794494"/>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37794494"/>
          <w:jc w:val="center"/>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3,485 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3,159 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2,603 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Other non-reportable business segments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15"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 of product sales and services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(9,625)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(5,604)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(9,423)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15" w:type="dxa"/>
              <w:bottom w:w="30" w:type="dxa"/>
              <w:right w:w="20" w:type="dxa"/>
            </w:tcMar>
            <w:vAlign w:val="bottom"/>
            <w:hideMark/>
          </w:tcPr>
          <w:p w:rsidR="00000000" w:rsidRDefault="005D26B8">
            <w:pPr>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37794494"/>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(2,484)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(1,658)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(2,706)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37794494"/>
          <w:jc w:val="center"/>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(394)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Effective tax rate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37794494"/>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ind w:hanging="45"/>
              <w:divId w:val="85352308"/>
              <w:rPr>
                <w:rFonts w:eastAsia="Times New Roman"/>
              </w:rPr>
            </w:pPr>
            <w:r>
              <w:rPr>
                <w:rFonts w:eastAsia="Times New Roman"/>
                <w:color w:val="000000"/>
                <w:sz w:val="20"/>
                <w:szCs w:val="20"/>
              </w:rPr>
              <w:t>Income from continuing operations attributable to L3Harris Technologies, Inc.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137794494"/>
          <w:jc w:val="center"/>
        </w:trPr>
        <w:tc>
          <w:tcPr>
            <w:tcW w:w="0" w:type="auto"/>
            <w:gridSpan w:val="3"/>
            <w:shd w:val="clear" w:color="auto" w:fill="FFFFFF"/>
            <w:tcMar>
              <w:top w:w="30" w:type="dxa"/>
              <w:left w:w="135"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37794494"/>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Income from continuing operations per diluted common share attributable to L3Harris Technologies, Inc. common shareholders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bl>
    <w:p w:rsidR="00000000" w:rsidRDefault="005D26B8">
      <w:pPr>
        <w:divId w:val="851382392"/>
        <w:rPr>
          <w:rFonts w:eastAsia="Times New Roman"/>
        </w:rPr>
      </w:pPr>
      <w:r>
        <w:rPr>
          <w:rFonts w:eastAsia="Times New Roman"/>
          <w:color w:val="000000"/>
          <w:sz w:val="16"/>
          <w:szCs w:val="16"/>
        </w:rPr>
        <w:t>_______________</w:t>
      </w:r>
    </w:p>
    <w:p w:rsidR="00000000" w:rsidRDefault="005D26B8">
      <w:pPr>
        <w:ind w:hanging="270"/>
        <w:divId w:val="1640377290"/>
        <w:rPr>
          <w:rFonts w:eastAsia="Times New Roman"/>
        </w:rPr>
      </w:pPr>
      <w:r>
        <w:rPr>
          <w:rFonts w:eastAsia="Times New Roman"/>
          <w:color w:val="000000"/>
          <w:sz w:val="16"/>
          <w:szCs w:val="16"/>
        </w:rPr>
        <w:t>*    Not meaningful</w:t>
      </w:r>
    </w:p>
    <w:p w:rsidR="00000000" w:rsidRDefault="005D26B8">
      <w:pPr>
        <w:divId w:val="2065833564"/>
        <w:rPr>
          <w:rFonts w:eastAsia="Times New Roman"/>
        </w:rPr>
      </w:pPr>
      <w:r>
        <w:rPr>
          <w:rFonts w:eastAsia="Times New Roman"/>
          <w:b/>
          <w:bCs/>
          <w:i/>
          <w:iCs/>
          <w:color w:val="000000"/>
          <w:sz w:val="20"/>
          <w:szCs w:val="20"/>
        </w:rPr>
        <w:t>Revenue</w:t>
      </w:r>
    </w:p>
    <w:p w:rsidR="00000000" w:rsidRDefault="005D26B8">
      <w:pPr>
        <w:ind w:firstLine="450"/>
        <w:divId w:val="1079671283"/>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 xml:space="preserve">The increase in revenue for the quarter ended October 2, 2020 compared with the quarter ended September 27, 2019 was primarily due to growth in our Integrated Mission Systems, Space and Airborne Systems and Communication Systems segments, partially offset </w:t>
      </w:r>
      <w:r>
        <w:rPr>
          <w:rFonts w:eastAsia="Times New Roman"/>
          <w:color w:val="000000"/>
          <w:sz w:val="20"/>
          <w:szCs w:val="20"/>
        </w:rPr>
        <w:t>by lower revenue in our Aviation Systems segment from the impact of the airport security and automation business divestiture as well as the COVID-19-related downturn in the commercial aviation market and its impact on customer operations in the quarter end</w:t>
      </w:r>
      <w:r>
        <w:rPr>
          <w:rFonts w:eastAsia="Times New Roman"/>
          <w:color w:val="000000"/>
          <w:sz w:val="20"/>
          <w:szCs w:val="20"/>
        </w:rPr>
        <w:t xml:space="preserve">ed October 2, 2020. </w:t>
      </w:r>
    </w:p>
    <w:p w:rsidR="00000000" w:rsidRDefault="005D26B8">
      <w:pPr>
        <w:ind w:firstLine="450"/>
        <w:divId w:val="2134590362"/>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 in revenue for the three quarters ended October 2, 2020 compared with the three quarters ended September 27, 2019 was primarily du</w:t>
      </w:r>
      <w:r>
        <w:rPr>
          <w:rFonts w:eastAsia="Times New Roman"/>
          <w:color w:val="000000"/>
          <w:sz w:val="20"/>
          <w:szCs w:val="20"/>
        </w:rPr>
        <w:t>e to the inclusion of $5.5 billion of revenue (net of intercompany sales eliminations) from L3 operations in operating results for the two quarters ended July 3, 2020 (but not for the comparable prior-year two quarters preceding the L3Harris Merger) and or</w:t>
      </w:r>
      <w:r>
        <w:rPr>
          <w:rFonts w:eastAsia="Times New Roman"/>
          <w:color w:val="000000"/>
          <w:sz w:val="20"/>
          <w:szCs w:val="20"/>
        </w:rPr>
        <w:t>ganic growth in our Integrated Mission Systems, Space and Airborne Systems and Communication Systems segments, partially offset by the impact of divestitures and the COVID-19-related downturn in the commercial aviation market and its impact on customer ope</w:t>
      </w:r>
      <w:r>
        <w:rPr>
          <w:rFonts w:eastAsia="Times New Roman"/>
          <w:color w:val="000000"/>
          <w:sz w:val="20"/>
          <w:szCs w:val="20"/>
        </w:rPr>
        <w:t xml:space="preserve">rations in the three quarters ended October 2, 2020. </w:t>
      </w:r>
    </w:p>
    <w:p w:rsidR="00000000" w:rsidRDefault="005D26B8">
      <w:pPr>
        <w:ind w:firstLine="450"/>
        <w:divId w:val="206259885"/>
        <w:rPr>
          <w:rFonts w:eastAsia="Times New Roman"/>
        </w:rPr>
      </w:pPr>
      <w:r>
        <w:rPr>
          <w:rFonts w:eastAsia="Times New Roman"/>
          <w:color w:val="000000"/>
          <w:sz w:val="20"/>
          <w:szCs w:val="20"/>
        </w:rPr>
        <w:t>See “Discussion of Business Segment Results of Operations” below in this MD&amp;A for further information.</w:t>
      </w:r>
    </w:p>
    <w:p w:rsidR="00000000" w:rsidRDefault="005D26B8">
      <w:pPr>
        <w:jc w:val="center"/>
        <w:divId w:val="2126926151"/>
        <w:rPr>
          <w:rFonts w:eastAsia="Times New Roman"/>
        </w:rPr>
      </w:pPr>
      <w:r>
        <w:rPr>
          <w:rFonts w:eastAsia="Times New Roman"/>
          <w:color w:val="000000"/>
          <w:sz w:val="20"/>
          <w:szCs w:val="20"/>
        </w:rPr>
        <w:t>34</w:t>
      </w:r>
    </w:p>
    <w:p w:rsidR="00000000" w:rsidRDefault="005D26B8">
      <w:pPr>
        <w:rPr>
          <w:rFonts w:eastAsia="Times New Roman"/>
        </w:rPr>
      </w:pPr>
      <w:r>
        <w:rPr>
          <w:rFonts w:eastAsia="Times New Roman"/>
        </w:rPr>
        <w:pict>
          <v:rect id="_x0000_i1061" style="width:0;height:1.5pt" o:hralign="center" o:hrstd="t" o:hr="t" fillcolor="#a0a0a0" stroked="f"/>
        </w:pict>
      </w:r>
    </w:p>
    <w:p w:rsidR="00000000" w:rsidRDefault="005D26B8">
      <w:pPr>
        <w:divId w:val="1181771877"/>
        <w:rPr>
          <w:rFonts w:eastAsia="Times New Roman"/>
        </w:rPr>
      </w:pPr>
    </w:p>
    <w:p w:rsidR="00000000" w:rsidRDefault="005D26B8">
      <w:pPr>
        <w:divId w:val="1600138342"/>
        <w:rPr>
          <w:rFonts w:eastAsia="Times New Roman"/>
        </w:rPr>
      </w:pPr>
      <w:r>
        <w:rPr>
          <w:rFonts w:eastAsia="Times New Roman"/>
          <w:b/>
          <w:bCs/>
          <w:i/>
          <w:iCs/>
          <w:color w:val="000000"/>
          <w:sz w:val="20"/>
          <w:szCs w:val="20"/>
        </w:rPr>
        <w:t>Gross Margin</w:t>
      </w:r>
    </w:p>
    <w:p w:rsidR="00000000" w:rsidRDefault="005D26B8">
      <w:pPr>
        <w:ind w:firstLine="450"/>
        <w:divId w:val="1249578159"/>
        <w:rPr>
          <w:rFonts w:eastAsia="Times New Roman"/>
        </w:rPr>
      </w:pPr>
      <w:r>
        <w:rPr>
          <w:rFonts w:eastAsia="Times New Roman"/>
          <w:i/>
          <w:iCs/>
          <w:color w:val="000000"/>
          <w:sz w:val="20"/>
          <w:szCs w:val="20"/>
        </w:rPr>
        <w:t>Quarter Ended October 2, 2020 Compared With Q</w:t>
      </w:r>
      <w:r>
        <w:rPr>
          <w:rFonts w:eastAsia="Times New Roman"/>
          <w:i/>
          <w:iCs/>
          <w:color w:val="000000"/>
          <w:sz w:val="20"/>
          <w:szCs w:val="20"/>
        </w:rPr>
        <w:t xml:space="preserve">uarter Ended September 27, 2019: </w:t>
      </w:r>
      <w:r>
        <w:rPr>
          <w:rFonts w:eastAsia="Times New Roman"/>
          <w:color w:val="000000"/>
          <w:sz w:val="20"/>
          <w:szCs w:val="20"/>
        </w:rPr>
        <w:t xml:space="preserve">The increases in gross margin and gross margin as a percentage of total revenue (“gross margin percentage”) for the quarter ended October 2, 2020 compared with the quarter ended September 27, 2019 were primarily due to $92 </w:t>
      </w:r>
      <w:r>
        <w:rPr>
          <w:rFonts w:eastAsia="Times New Roman"/>
          <w:color w:val="000000"/>
          <w:sz w:val="20"/>
          <w:szCs w:val="20"/>
        </w:rPr>
        <w:t>million of additional cost of sales related to the fair value step-up in inventory sold recorded in the quarter ended September 27, 2019, integration benefits and operational excellence</w:t>
      </w:r>
      <w:r>
        <w:rPr>
          <w:rFonts w:eastAsia="Times New Roman"/>
          <w:color w:val="000000"/>
          <w:sz w:val="20"/>
          <w:szCs w:val="20"/>
          <w:shd w:val="clear" w:color="auto" w:fill="FFFFFF"/>
        </w:rPr>
        <w:t xml:space="preserve">, partially offset </w:t>
      </w:r>
      <w:r>
        <w:rPr>
          <w:rFonts w:eastAsia="Times New Roman"/>
          <w:color w:val="000000"/>
          <w:sz w:val="20"/>
          <w:szCs w:val="20"/>
        </w:rPr>
        <w:t>by a mix of program revenue and product sales with r</w:t>
      </w:r>
      <w:r>
        <w:rPr>
          <w:rFonts w:eastAsia="Times New Roman"/>
          <w:color w:val="000000"/>
          <w:sz w:val="20"/>
          <w:szCs w:val="20"/>
        </w:rPr>
        <w:t>elatively lower gross margin percentage</w:t>
      </w:r>
      <w:r>
        <w:rPr>
          <w:rFonts w:eastAsia="Times New Roman"/>
          <w:color w:val="000000"/>
          <w:sz w:val="20"/>
          <w:szCs w:val="20"/>
          <w:shd w:val="clear" w:color="auto" w:fill="FFFFFF"/>
        </w:rPr>
        <w:t xml:space="preserve"> in the </w:t>
      </w:r>
      <w:r>
        <w:rPr>
          <w:rFonts w:eastAsia="Times New Roman"/>
          <w:color w:val="000000"/>
          <w:sz w:val="20"/>
          <w:szCs w:val="20"/>
        </w:rPr>
        <w:t>quarter ended October 2, 2020.</w:t>
      </w:r>
    </w:p>
    <w:p w:rsidR="00000000" w:rsidRDefault="005D26B8">
      <w:pPr>
        <w:ind w:firstLine="450"/>
        <w:divId w:val="327025068"/>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 in gross margin for the three quarters ended October 2, 2020 compared wit</w:t>
      </w:r>
      <w:r>
        <w:rPr>
          <w:rFonts w:eastAsia="Times New Roman"/>
          <w:color w:val="000000"/>
          <w:sz w:val="20"/>
          <w:szCs w:val="20"/>
        </w:rPr>
        <w:t xml:space="preserve">h the three quarters ended September 27, 2019 was primarily due to the inclusion of L3 operations in operating results for the two quarters ended July 3, 2020 (but not for the comparable prior-year two quarters preceding the L3Harris Merger). Gross margin </w:t>
      </w:r>
      <w:r>
        <w:rPr>
          <w:rFonts w:eastAsia="Times New Roman"/>
          <w:color w:val="000000"/>
          <w:sz w:val="20"/>
          <w:szCs w:val="20"/>
        </w:rPr>
        <w:t>percentage decreased in the three quarters ended October 2, 2020 compared with the three quarters ended September 27, 2019 as integration benefits, operational excellence and $61 million of lower cost of sales related to the fair value step-up in inventory</w:t>
      </w:r>
      <w:r>
        <w:rPr>
          <w:rFonts w:eastAsia="Times New Roman"/>
          <w:color w:val="000000"/>
          <w:sz w:val="20"/>
          <w:szCs w:val="20"/>
        </w:rPr>
        <w:t xml:space="preserve"> sold were more than offset by a mix of program revenue and product sales with relatively lower gross margin percentage and $40 million of higher amortization of identifiable intangible assets acquired as a result of the L3Harris Merger.</w:t>
      </w:r>
    </w:p>
    <w:p w:rsidR="00000000" w:rsidRDefault="005D26B8">
      <w:pPr>
        <w:ind w:firstLine="450"/>
        <w:divId w:val="722944213"/>
        <w:rPr>
          <w:rFonts w:eastAsia="Times New Roman"/>
        </w:rPr>
      </w:pPr>
      <w:r>
        <w:rPr>
          <w:rFonts w:eastAsia="Times New Roman"/>
          <w:color w:val="000000"/>
          <w:sz w:val="20"/>
          <w:szCs w:val="20"/>
        </w:rPr>
        <w:t>See the “Discussio</w:t>
      </w:r>
      <w:r>
        <w:rPr>
          <w:rFonts w:eastAsia="Times New Roman"/>
          <w:color w:val="000000"/>
          <w:sz w:val="20"/>
          <w:szCs w:val="20"/>
        </w:rPr>
        <w:t>n of Business Segment Results of Operations” discussion below in this MD&amp;A for further information.</w:t>
      </w:r>
    </w:p>
    <w:p w:rsidR="00000000" w:rsidRDefault="005D26B8">
      <w:pPr>
        <w:divId w:val="1309361974"/>
        <w:rPr>
          <w:rFonts w:eastAsia="Times New Roman"/>
        </w:rPr>
      </w:pPr>
      <w:r>
        <w:rPr>
          <w:rFonts w:eastAsia="Times New Roman"/>
          <w:b/>
          <w:bCs/>
          <w:i/>
          <w:iCs/>
          <w:color w:val="000000"/>
          <w:sz w:val="20"/>
          <w:szCs w:val="20"/>
        </w:rPr>
        <w:t>Engineering, Selling and Administrative Expenses (“ESA”)</w:t>
      </w:r>
    </w:p>
    <w:p w:rsidR="00000000" w:rsidRDefault="005D26B8">
      <w:pPr>
        <w:ind w:firstLine="450"/>
        <w:divId w:val="189996153"/>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decreases in ESA expenses and ESA expense as a percentage of total revenue (“ESA percentage”) for the quarter ended October 2, 2020 compared with the quarter ended September 27, 2019 were primarily due to $143 million of lower L3Harris Merger-related t</w:t>
      </w:r>
      <w:r>
        <w:rPr>
          <w:rFonts w:eastAsia="Times New Roman"/>
          <w:color w:val="000000"/>
          <w:sz w:val="20"/>
          <w:szCs w:val="20"/>
        </w:rPr>
        <w:t>ransaction and integration expenses and $108 million of lower restructuring charges and other items, partially offset by $55 million of higher amortization of identifiable intangible assets acquired as a result of the L3Harris Merger.</w:t>
      </w:r>
    </w:p>
    <w:p w:rsidR="00000000" w:rsidRDefault="005D26B8">
      <w:pPr>
        <w:ind w:firstLine="450"/>
        <w:divId w:val="1334603866"/>
        <w:rPr>
          <w:rFonts w:eastAsia="Times New Roman"/>
        </w:rPr>
      </w:pPr>
      <w:r>
        <w:rPr>
          <w:rFonts w:eastAsia="Times New Roman"/>
          <w:i/>
          <w:iCs/>
          <w:color w:val="000000"/>
          <w:sz w:val="20"/>
          <w:szCs w:val="20"/>
        </w:rPr>
        <w:t xml:space="preserve">Three Quarters Ended </w:t>
      </w:r>
      <w:r>
        <w:rPr>
          <w:rFonts w:eastAsia="Times New Roman"/>
          <w:i/>
          <w:iCs/>
          <w:color w:val="000000"/>
          <w:sz w:val="20"/>
          <w:szCs w:val="20"/>
        </w:rPr>
        <w:t xml:space="preserve">October 2, 2020 Compared With Three Quarters Ended September 27, 2019: </w:t>
      </w:r>
      <w:r>
        <w:rPr>
          <w:rFonts w:eastAsia="Times New Roman"/>
          <w:color w:val="000000"/>
          <w:sz w:val="20"/>
          <w:szCs w:val="20"/>
        </w:rPr>
        <w:t>The increase in ESA expenses for the three quarters ended October 2, 2020 compared with the three quarters ended September 27, 2019 was primarily due to the inclusion of L3 operations i</w:t>
      </w:r>
      <w:r>
        <w:rPr>
          <w:rFonts w:eastAsia="Times New Roman"/>
          <w:color w:val="000000"/>
          <w:sz w:val="20"/>
          <w:szCs w:val="20"/>
        </w:rPr>
        <w:t>n operating results (but not for the comparable prior-year two quarters preceding the L3Harris Merger) and $316 million of higher amortization of identifiable intangible assets acquired as a result of the L3Harris Merger, partially offset by $127 million o</w:t>
      </w:r>
      <w:r>
        <w:rPr>
          <w:rFonts w:eastAsia="Times New Roman"/>
          <w:color w:val="000000"/>
          <w:sz w:val="20"/>
          <w:szCs w:val="20"/>
        </w:rPr>
        <w:t>f lower L3Harris Merger-related transaction and integration expenses and $82 million of lower restructuring charges and other items.</w:t>
      </w:r>
    </w:p>
    <w:p w:rsidR="00000000" w:rsidRDefault="005D26B8">
      <w:pPr>
        <w:ind w:firstLine="450"/>
        <w:divId w:val="1365060073"/>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5D26B8">
      <w:pPr>
        <w:divId w:val="1844776656"/>
        <w:rPr>
          <w:rFonts w:eastAsia="Times New Roman"/>
        </w:rPr>
      </w:pPr>
      <w:r>
        <w:rPr>
          <w:rFonts w:eastAsia="Times New Roman"/>
          <w:b/>
          <w:bCs/>
          <w:i/>
          <w:iCs/>
          <w:color w:val="000000"/>
          <w:sz w:val="20"/>
          <w:szCs w:val="20"/>
        </w:rPr>
        <w:t>Busin</w:t>
      </w:r>
      <w:r>
        <w:rPr>
          <w:rFonts w:eastAsia="Times New Roman"/>
          <w:b/>
          <w:bCs/>
          <w:i/>
          <w:iCs/>
          <w:color w:val="000000"/>
          <w:sz w:val="20"/>
          <w:szCs w:val="20"/>
        </w:rPr>
        <w:t>ess Divestiture-Related (Losses) Gains</w:t>
      </w:r>
    </w:p>
    <w:p w:rsidR="00000000" w:rsidRDefault="005D26B8">
      <w:pPr>
        <w:ind w:firstLine="450"/>
        <w:divId w:val="1182469803"/>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Business divestiture-related (losses) gains for the quarter ended October 2, 2020 included a $10 million non-cash remeasurement loss on a p</w:t>
      </w:r>
      <w:r>
        <w:rPr>
          <w:rFonts w:eastAsia="Times New Roman"/>
          <w:color w:val="000000"/>
          <w:sz w:val="20"/>
          <w:szCs w:val="20"/>
        </w:rPr>
        <w:t>otential divestiture, a $2 million pre-tax gain on the sale of the EOTech business and a $2 million adjustment to increase the loss on the sale of the airport security and automation business. The business divestiture-related gain for the quarter ended Sep</w:t>
      </w:r>
      <w:r>
        <w:rPr>
          <w:rFonts w:eastAsia="Times New Roman"/>
          <w:color w:val="000000"/>
          <w:sz w:val="20"/>
          <w:szCs w:val="20"/>
        </w:rPr>
        <w:t>tember 27, 2019 was a $229 million pre-tax gain on the sale of the Harris Night Vision business.</w:t>
      </w:r>
    </w:p>
    <w:p w:rsidR="00000000" w:rsidRDefault="005D26B8">
      <w:pPr>
        <w:ind w:firstLine="450"/>
        <w:divId w:val="924538199"/>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 xml:space="preserve">Business divestiture-related (losses) gains for the three quarters </w:t>
      </w:r>
      <w:r>
        <w:rPr>
          <w:rFonts w:eastAsia="Times New Roman"/>
          <w:color w:val="000000"/>
          <w:sz w:val="20"/>
          <w:szCs w:val="20"/>
        </w:rPr>
        <w:t>ended October 2, 2020 included a $28 million pre-tax loss on the sale of the airport security and automation business divestiture, a $24 million non-cash remeasurement loss on a potential divestiture and a $12 million non-cash adjustment to the gain on the</w:t>
      </w:r>
      <w:r>
        <w:rPr>
          <w:rFonts w:eastAsia="Times New Roman"/>
          <w:color w:val="000000"/>
          <w:sz w:val="20"/>
          <w:szCs w:val="20"/>
        </w:rPr>
        <w:t xml:space="preserve"> sale of the Harris Night Vision business, partially offset by</w:t>
      </w:r>
      <w:r>
        <w:rPr>
          <w:rFonts w:ascii="Arial" w:eastAsia="Times New Roman" w:hAnsi="Arial" w:cs="Arial"/>
          <w:color w:val="000000"/>
          <w:sz w:val="20"/>
          <w:szCs w:val="20"/>
        </w:rPr>
        <w:t xml:space="preserve"> </w:t>
      </w:r>
      <w:r>
        <w:rPr>
          <w:rFonts w:eastAsia="Times New Roman"/>
          <w:color w:val="000000"/>
          <w:sz w:val="20"/>
          <w:szCs w:val="20"/>
        </w:rPr>
        <w:t>a $2 million pre-tax gain on the sale of the EOTech business. The business divestiture-related gain for the three quarters ended September 27, 2019 was the same item as noted above for the quar</w:t>
      </w:r>
      <w:r>
        <w:rPr>
          <w:rFonts w:eastAsia="Times New Roman"/>
          <w:color w:val="000000"/>
          <w:sz w:val="20"/>
          <w:szCs w:val="20"/>
        </w:rPr>
        <w:t>ter ended September 27, 2019.</w:t>
      </w:r>
    </w:p>
    <w:p w:rsidR="00000000" w:rsidRDefault="005D26B8">
      <w:pPr>
        <w:ind w:firstLine="450"/>
        <w:divId w:val="7027256"/>
        <w:rPr>
          <w:rFonts w:eastAsia="Times New Roman"/>
        </w:rPr>
      </w:pPr>
      <w:r>
        <w:rPr>
          <w:rFonts w:eastAsia="Times New Roman"/>
          <w:color w:val="000000"/>
          <w:sz w:val="20"/>
          <w:szCs w:val="20"/>
        </w:rPr>
        <w:t xml:space="preserve">See </w:t>
      </w:r>
      <w:r>
        <w:rPr>
          <w:rFonts w:eastAsia="Times New Roman"/>
          <w:i/>
          <w:iCs/>
          <w:color w:val="000000"/>
          <w:sz w:val="20"/>
          <w:szCs w:val="20"/>
        </w:rPr>
        <w:t>Note C — Business Divestitures and Asset Sales</w:t>
      </w:r>
      <w:r>
        <w:rPr>
          <w:rFonts w:eastAsia="Times New Roman"/>
          <w:color w:val="000000"/>
          <w:sz w:val="20"/>
          <w:szCs w:val="20"/>
        </w:rPr>
        <w:t xml:space="preserve"> in the Notes for further information.</w:t>
      </w:r>
    </w:p>
    <w:p w:rsidR="00000000" w:rsidRDefault="005D26B8">
      <w:pPr>
        <w:divId w:val="240019193"/>
        <w:rPr>
          <w:rFonts w:eastAsia="Times New Roman"/>
        </w:rPr>
      </w:pPr>
      <w:r>
        <w:rPr>
          <w:rFonts w:eastAsia="Times New Roman"/>
          <w:b/>
          <w:bCs/>
          <w:i/>
          <w:iCs/>
          <w:color w:val="000000"/>
          <w:sz w:val="20"/>
          <w:szCs w:val="20"/>
        </w:rPr>
        <w:t>Impairment of Goodwill and Other Assets</w:t>
      </w:r>
    </w:p>
    <w:p w:rsidR="00000000" w:rsidRDefault="005D26B8">
      <w:pPr>
        <w:ind w:firstLine="450"/>
        <w:divId w:val="2147039890"/>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Impai</w:t>
      </w:r>
      <w:r>
        <w:rPr>
          <w:rFonts w:eastAsia="Times New Roman"/>
          <w:color w:val="000000"/>
          <w:sz w:val="20"/>
          <w:szCs w:val="20"/>
        </w:rPr>
        <w:t>rment of goodwill and other assets for the three quarters ended October 2, 2020 reflects $375 million of non-cash charges for the impairment of goodwill and other assets in our Commercial Aviation Solutions sector associated with the COVID-19-related downt</w:t>
      </w:r>
      <w:r>
        <w:rPr>
          <w:rFonts w:eastAsia="Times New Roman"/>
          <w:color w:val="000000"/>
          <w:sz w:val="20"/>
          <w:szCs w:val="20"/>
        </w:rPr>
        <w:t>urn in the commercial aviation market and its impact on customer operations, a $14 million non-cash charge for impairment of goodwill recorded in the quarter ended July 3, 2020 in connection with a potential divestiture and a $5 million non-cash charge for</w:t>
      </w:r>
      <w:r>
        <w:rPr>
          <w:rFonts w:eastAsia="Times New Roman"/>
          <w:color w:val="000000"/>
          <w:sz w:val="20"/>
          <w:szCs w:val="20"/>
        </w:rPr>
        <w:t xml:space="preserve"> impairment of goodwill recorded in the quarter ended April 3, 2020 in connection with the then-pending divestiture of our Applied Kilovolts and Analytical Instrumentation business. </w:t>
      </w:r>
    </w:p>
    <w:p w:rsidR="00000000" w:rsidRDefault="005D26B8">
      <w:pPr>
        <w:ind w:firstLine="450"/>
        <w:divId w:val="64690813"/>
        <w:rPr>
          <w:rFonts w:eastAsia="Times New Roman"/>
        </w:rPr>
      </w:pPr>
      <w:r>
        <w:rPr>
          <w:rFonts w:eastAsia="Times New Roman"/>
          <w:color w:val="000000"/>
          <w:sz w:val="20"/>
          <w:szCs w:val="20"/>
        </w:rPr>
        <w:t xml:space="preserve">See </w:t>
      </w:r>
      <w:r>
        <w:rPr>
          <w:rFonts w:eastAsia="Times New Roman"/>
          <w:i/>
          <w:iCs/>
          <w:color w:val="000000"/>
          <w:sz w:val="20"/>
          <w:szCs w:val="20"/>
        </w:rPr>
        <w:t>Note C — Business Divestitures and Assets Sales</w:t>
      </w:r>
      <w:r>
        <w:rPr>
          <w:rFonts w:eastAsia="Times New Roman"/>
          <w:color w:val="000000"/>
          <w:sz w:val="20"/>
          <w:szCs w:val="20"/>
        </w:rPr>
        <w:t xml:space="preserve"> and </w:t>
      </w:r>
      <w:r>
        <w:rPr>
          <w:rFonts w:eastAsia="Times New Roman"/>
          <w:i/>
          <w:iCs/>
          <w:color w:val="000000"/>
          <w:sz w:val="20"/>
          <w:szCs w:val="20"/>
        </w:rPr>
        <w:t>Note K — Goodwill</w:t>
      </w:r>
      <w:r>
        <w:rPr>
          <w:rFonts w:eastAsia="Times New Roman"/>
          <w:i/>
          <w:iCs/>
          <w:color w:val="000000"/>
          <w:sz w:val="20"/>
          <w:szCs w:val="20"/>
        </w:rPr>
        <w:t xml:space="preserve"> and Other Intangible Assets </w:t>
      </w:r>
      <w:r>
        <w:rPr>
          <w:rFonts w:eastAsia="Times New Roman"/>
          <w:color w:val="000000"/>
          <w:sz w:val="20"/>
          <w:szCs w:val="20"/>
        </w:rPr>
        <w:t>in the Notes for further information.</w:t>
      </w:r>
    </w:p>
    <w:p w:rsidR="00000000" w:rsidRDefault="005D26B8">
      <w:pPr>
        <w:jc w:val="center"/>
        <w:divId w:val="1177815803"/>
        <w:rPr>
          <w:rFonts w:eastAsia="Times New Roman"/>
        </w:rPr>
      </w:pPr>
      <w:r>
        <w:rPr>
          <w:rFonts w:eastAsia="Times New Roman"/>
          <w:color w:val="000000"/>
          <w:sz w:val="20"/>
          <w:szCs w:val="20"/>
        </w:rPr>
        <w:t>35</w:t>
      </w:r>
    </w:p>
    <w:p w:rsidR="00000000" w:rsidRDefault="005D26B8">
      <w:pPr>
        <w:rPr>
          <w:rFonts w:eastAsia="Times New Roman"/>
        </w:rPr>
      </w:pPr>
      <w:r>
        <w:rPr>
          <w:rFonts w:eastAsia="Times New Roman"/>
        </w:rPr>
        <w:pict>
          <v:rect id="_x0000_i1062" style="width:0;height:1.5pt" o:hralign="center" o:hrstd="t" o:hr="t" fillcolor="#a0a0a0" stroked="f"/>
        </w:pict>
      </w:r>
    </w:p>
    <w:p w:rsidR="00000000" w:rsidRDefault="005D26B8">
      <w:pPr>
        <w:divId w:val="950167185"/>
        <w:rPr>
          <w:rFonts w:eastAsia="Times New Roman"/>
        </w:rPr>
      </w:pPr>
    </w:p>
    <w:p w:rsidR="00000000" w:rsidRDefault="005D26B8">
      <w:pPr>
        <w:divId w:val="1528523032"/>
        <w:rPr>
          <w:rFonts w:eastAsia="Times New Roman"/>
        </w:rPr>
      </w:pPr>
      <w:r>
        <w:rPr>
          <w:rFonts w:eastAsia="Times New Roman"/>
          <w:b/>
          <w:bCs/>
          <w:i/>
          <w:iCs/>
          <w:color w:val="000000"/>
          <w:sz w:val="20"/>
          <w:szCs w:val="20"/>
        </w:rPr>
        <w:t xml:space="preserve">Non-Operating Income </w:t>
      </w:r>
    </w:p>
    <w:p w:rsidR="00000000" w:rsidRDefault="005D26B8">
      <w:pPr>
        <w:ind w:firstLine="450"/>
        <w:divId w:val="1429427478"/>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increase in non-operating income in the quar</w:t>
      </w:r>
      <w:r>
        <w:rPr>
          <w:rFonts w:eastAsia="Times New Roman"/>
          <w:color w:val="000000"/>
          <w:sz w:val="20"/>
          <w:szCs w:val="20"/>
        </w:rPr>
        <w:t>ter ended October 2, 2020 compared with the quarter ended September 27, 2019 was primarily due to an increase in the non-service cost components of pension and other postretirement benefit plan income.</w:t>
      </w:r>
    </w:p>
    <w:p w:rsidR="00000000" w:rsidRDefault="005D26B8">
      <w:pPr>
        <w:ind w:firstLine="450"/>
        <w:divId w:val="1327857275"/>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 in non-operating income in the three quarters ended October 2, 2020 compared with the three quarters ended September 27, 2019 was primarily due to an i</w:t>
      </w:r>
      <w:r>
        <w:rPr>
          <w:rFonts w:eastAsia="Times New Roman"/>
          <w:color w:val="000000"/>
          <w:sz w:val="20"/>
          <w:szCs w:val="20"/>
        </w:rPr>
        <w:t xml:space="preserve">ncrease in the non-service cost components of pension and other postretirement benefit plan income, reflecting the inclusion of income from benefit plans assumed in connection with the L3Harris Merger. </w:t>
      </w:r>
    </w:p>
    <w:p w:rsidR="00000000" w:rsidRDefault="005D26B8">
      <w:pPr>
        <w:ind w:firstLine="450"/>
        <w:divId w:val="1475561564"/>
        <w:rPr>
          <w:rFonts w:eastAsia="Times New Roman"/>
        </w:rPr>
      </w:pPr>
      <w:r>
        <w:rPr>
          <w:rFonts w:eastAsia="Times New Roman"/>
          <w:color w:val="000000"/>
          <w:sz w:val="20"/>
          <w:szCs w:val="20"/>
        </w:rPr>
        <w:t>See</w:t>
      </w:r>
      <w:r>
        <w:rPr>
          <w:rFonts w:eastAsia="Times New Roman"/>
          <w:i/>
          <w:iCs/>
          <w:color w:val="000000"/>
          <w:sz w:val="20"/>
          <w:szCs w:val="20"/>
        </w:rPr>
        <w:t xml:space="preserve"> Note P — Non-Operating Income</w:t>
      </w:r>
      <w:r>
        <w:rPr>
          <w:rFonts w:eastAsia="Times New Roman"/>
          <w:color w:val="000000"/>
          <w:sz w:val="20"/>
          <w:szCs w:val="20"/>
        </w:rPr>
        <w:t xml:space="preserve"> and </w:t>
      </w:r>
      <w:r>
        <w:rPr>
          <w:rFonts w:eastAsia="Times New Roman"/>
          <w:i/>
          <w:iCs/>
          <w:color w:val="000000"/>
          <w:sz w:val="20"/>
          <w:szCs w:val="20"/>
        </w:rPr>
        <w:t>Note N — Postre</w:t>
      </w:r>
      <w:r>
        <w:rPr>
          <w:rFonts w:eastAsia="Times New Roman"/>
          <w:i/>
          <w:iCs/>
          <w:color w:val="000000"/>
          <w:sz w:val="20"/>
          <w:szCs w:val="20"/>
        </w:rPr>
        <w:t xml:space="preserve">tirement Benefit Plans </w:t>
      </w:r>
      <w:r>
        <w:rPr>
          <w:rFonts w:eastAsia="Times New Roman"/>
          <w:color w:val="000000"/>
          <w:sz w:val="20"/>
          <w:szCs w:val="20"/>
        </w:rPr>
        <w:t>in the Notes for further information.</w:t>
      </w:r>
    </w:p>
    <w:p w:rsidR="00000000" w:rsidRDefault="005D26B8">
      <w:pPr>
        <w:divId w:val="156924324"/>
        <w:rPr>
          <w:rFonts w:eastAsia="Times New Roman"/>
        </w:rPr>
      </w:pPr>
      <w:r>
        <w:rPr>
          <w:rFonts w:eastAsia="Times New Roman"/>
          <w:b/>
          <w:bCs/>
          <w:i/>
          <w:iCs/>
          <w:color w:val="000000"/>
          <w:sz w:val="20"/>
          <w:szCs w:val="20"/>
        </w:rPr>
        <w:t>Net Interest Expense</w:t>
      </w:r>
    </w:p>
    <w:p w:rsidR="00000000" w:rsidRDefault="005D26B8">
      <w:pPr>
        <w:ind w:firstLine="450"/>
        <w:divId w:val="602961355"/>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increase in net interest expense in the quarter ended October 2, 2020 compared with the quar</w:t>
      </w:r>
      <w:r>
        <w:rPr>
          <w:rFonts w:eastAsia="Times New Roman"/>
          <w:color w:val="000000"/>
          <w:sz w:val="20"/>
          <w:szCs w:val="20"/>
        </w:rPr>
        <w:t>ter ended September 27, 2019 was primarily due to lower interest income.</w:t>
      </w:r>
    </w:p>
    <w:p w:rsidR="00000000" w:rsidRDefault="005D26B8">
      <w:pPr>
        <w:ind w:firstLine="450"/>
        <w:divId w:val="536040638"/>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 in net interest expense in the three quarters ended October 2, 2020 compared w</w:t>
      </w:r>
      <w:r>
        <w:rPr>
          <w:rFonts w:eastAsia="Times New Roman"/>
          <w:color w:val="000000"/>
          <w:sz w:val="20"/>
          <w:szCs w:val="20"/>
        </w:rPr>
        <w:t>ith the three quarters ended September 27, 2019 was primarily due to higher average debt levels as a result of the assumption of $3.5 billion of debt in connection with the L3Harris Merger.</w:t>
      </w:r>
    </w:p>
    <w:p w:rsidR="00000000" w:rsidRDefault="005D26B8">
      <w:pPr>
        <w:ind w:firstLine="450"/>
        <w:divId w:val="629672941"/>
        <w:rPr>
          <w:rFonts w:eastAsia="Times New Roman"/>
        </w:rPr>
      </w:pPr>
      <w:r>
        <w:rPr>
          <w:rFonts w:eastAsia="Times New Roman"/>
          <w:color w:val="000000"/>
          <w:sz w:val="20"/>
          <w:szCs w:val="20"/>
        </w:rPr>
        <w:t xml:space="preserve">See </w:t>
      </w:r>
      <w:r>
        <w:rPr>
          <w:rFonts w:eastAsia="Times New Roman"/>
          <w:i/>
          <w:iCs/>
          <w:color w:val="000000"/>
          <w:sz w:val="20"/>
          <w:szCs w:val="20"/>
        </w:rPr>
        <w:t>Note M — Debt</w:t>
      </w:r>
      <w:r>
        <w:rPr>
          <w:rFonts w:eastAsia="Times New Roman"/>
          <w:color w:val="000000"/>
          <w:sz w:val="20"/>
          <w:szCs w:val="20"/>
        </w:rPr>
        <w:t xml:space="preserve"> in the Notes and </w:t>
      </w:r>
      <w:r>
        <w:rPr>
          <w:rFonts w:eastAsia="Times New Roman"/>
          <w:i/>
          <w:iCs/>
          <w:color w:val="000000"/>
          <w:sz w:val="20"/>
          <w:szCs w:val="20"/>
        </w:rPr>
        <w:t>Note 14: “Debt”</w:t>
      </w:r>
      <w:r>
        <w:rPr>
          <w:rFonts w:eastAsia="Times New Roman"/>
          <w:color w:val="000000"/>
          <w:sz w:val="20"/>
          <w:szCs w:val="20"/>
        </w:rPr>
        <w:t xml:space="preserve"> in the Notes to</w:t>
      </w:r>
      <w:r>
        <w:rPr>
          <w:rFonts w:eastAsia="Times New Roman"/>
          <w:color w:val="000000"/>
          <w:sz w:val="20"/>
          <w:szCs w:val="20"/>
        </w:rPr>
        <w:t xml:space="preserve"> Consolidated Financial Statements in our Fiscal Transition Period Form 10-KT for further information.</w:t>
      </w:r>
    </w:p>
    <w:p w:rsidR="00000000" w:rsidRDefault="005D26B8">
      <w:pPr>
        <w:divId w:val="385571224"/>
        <w:rPr>
          <w:rFonts w:eastAsia="Times New Roman"/>
        </w:rPr>
      </w:pPr>
      <w:r>
        <w:rPr>
          <w:rFonts w:eastAsia="Times New Roman"/>
          <w:b/>
          <w:bCs/>
          <w:i/>
          <w:iCs/>
          <w:color w:val="000000"/>
          <w:sz w:val="20"/>
          <w:szCs w:val="20"/>
        </w:rPr>
        <w:t>Income Taxes</w:t>
      </w:r>
    </w:p>
    <w:p w:rsidR="00000000" w:rsidRDefault="005D26B8">
      <w:pPr>
        <w:ind w:firstLine="450"/>
        <w:divId w:val="1312295418"/>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Our effective tax rate (income taxes as a percentage of income</w:t>
      </w:r>
      <w:r>
        <w:rPr>
          <w:rFonts w:eastAsia="Times New Roman"/>
          <w:color w:val="000000"/>
          <w:sz w:val="20"/>
          <w:szCs w:val="20"/>
        </w:rPr>
        <w:t xml:space="preserve"> from continuing operations before income taxes) was 16.8 percent for the quarter ended October 2, 2020 compared with 1.1 percent for the quarter ended September 27, 2019. Our effective tax rate for the quarter ended October 2, 2020 benefited from favorabl</w:t>
      </w:r>
      <w:r>
        <w:rPr>
          <w:rFonts w:eastAsia="Times New Roman"/>
          <w:color w:val="000000"/>
          <w:sz w:val="20"/>
          <w:szCs w:val="20"/>
        </w:rPr>
        <w:t>e adjustments upon the finalization of our Federal tax returns including the benefit of recently released tax regulations and the resolution of audit uncertainties. In the quarter ended September 27, 2019, our effective tax rate benefited from the favorabl</w:t>
      </w:r>
      <w:r>
        <w:rPr>
          <w:rFonts w:eastAsia="Times New Roman"/>
          <w:color w:val="000000"/>
          <w:sz w:val="20"/>
          <w:szCs w:val="20"/>
        </w:rPr>
        <w:t>e impact of excess tax benefits related to equity-based compensation, from the ability to utilize capital loss carryforwards with a full valuation allowance against capital gains generated from the Harris Night Vision business divestiture, and from the rel</w:t>
      </w:r>
      <w:r>
        <w:rPr>
          <w:rFonts w:eastAsia="Times New Roman"/>
          <w:color w:val="000000"/>
          <w:sz w:val="20"/>
          <w:szCs w:val="20"/>
        </w:rPr>
        <w:t xml:space="preserve">ease of uncertain tax positions due to statute of limitations expirations. </w:t>
      </w:r>
    </w:p>
    <w:p w:rsidR="00000000" w:rsidRDefault="005D26B8">
      <w:pPr>
        <w:ind w:firstLine="450"/>
        <w:divId w:val="910234061"/>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Our effective tax rate was 15.9 percent for the three quarters ended October 2, 2020 com</w:t>
      </w:r>
      <w:r>
        <w:rPr>
          <w:rFonts w:eastAsia="Times New Roman"/>
          <w:color w:val="000000"/>
          <w:sz w:val="20"/>
          <w:szCs w:val="20"/>
        </w:rPr>
        <w:t>pared with 7.6 percent for the three quarters ended September 27, 2019. In addition to the items noted above for the quarter ended October 2, 2020, our effective tax rate for the three quarters ended October 2, 2020 benefited from the favorable impact of r</w:t>
      </w:r>
      <w:r>
        <w:rPr>
          <w:rFonts w:eastAsia="Times New Roman"/>
          <w:color w:val="000000"/>
          <w:sz w:val="20"/>
          <w:szCs w:val="20"/>
        </w:rPr>
        <w:t>esearch and development (“R&amp;D”) credits, and the favorable impact of excess tax benefits related to equity-based compensation, partially offset by the unfavorable impact of non-deductible goodwill impairment charges. In addition to the items noted above fo</w:t>
      </w:r>
      <w:r>
        <w:rPr>
          <w:rFonts w:eastAsia="Times New Roman"/>
          <w:color w:val="000000"/>
          <w:sz w:val="20"/>
          <w:szCs w:val="20"/>
        </w:rPr>
        <w:t>r the quarter ended September 27, 2019, our effective tax rate for the three quarters ended September 27, 2019 benefited from additional research credits claimed on our prior year tax returns and favorable adjustments recorded upon the filing of our Federa</w:t>
      </w:r>
      <w:r>
        <w:rPr>
          <w:rFonts w:eastAsia="Times New Roman"/>
          <w:color w:val="000000"/>
          <w:sz w:val="20"/>
          <w:szCs w:val="20"/>
        </w:rPr>
        <w:t xml:space="preserve">l tax returns. </w:t>
      </w:r>
    </w:p>
    <w:p w:rsidR="00000000" w:rsidRDefault="005D26B8">
      <w:pPr>
        <w:divId w:val="1723673841"/>
        <w:rPr>
          <w:rFonts w:eastAsia="Times New Roman"/>
        </w:rPr>
      </w:pPr>
      <w:r>
        <w:rPr>
          <w:rFonts w:eastAsia="Times New Roman"/>
          <w:b/>
          <w:bCs/>
          <w:i/>
          <w:iCs/>
          <w:color w:val="000000"/>
          <w:sz w:val="20"/>
          <w:szCs w:val="20"/>
        </w:rPr>
        <w:t>Income From Continuing Operations</w:t>
      </w:r>
    </w:p>
    <w:p w:rsidR="00000000" w:rsidRDefault="005D26B8">
      <w:pPr>
        <w:ind w:firstLine="450"/>
        <w:divId w:val="1087117100"/>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decrease in income from continuing operations for the quarter ended October 2, 2020 compared with the quarter ended September 27, 2019 was primarily due to the combined effects of the reasons noted above regarding the quarters ended October 2, 2020 and</w:t>
      </w:r>
      <w:r>
        <w:rPr>
          <w:rFonts w:eastAsia="Times New Roman"/>
          <w:color w:val="000000"/>
          <w:sz w:val="20"/>
          <w:szCs w:val="20"/>
        </w:rPr>
        <w:t xml:space="preserve"> September 27, 2019.</w:t>
      </w:r>
    </w:p>
    <w:p w:rsidR="00000000" w:rsidRDefault="005D26B8">
      <w:pPr>
        <w:ind w:firstLine="450"/>
        <w:divId w:val="2087073325"/>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decrease in income from continuing operations for the three quarters ended October 2, 2020 compared with the three quarters ended September</w:t>
      </w:r>
      <w:r>
        <w:rPr>
          <w:rFonts w:eastAsia="Times New Roman"/>
          <w:color w:val="000000"/>
          <w:sz w:val="20"/>
          <w:szCs w:val="20"/>
        </w:rPr>
        <w:t xml:space="preserve"> 27, 2019 was primarily due to the combined effects of the reasons noted above regarding the three quarters ended October 2, 2020 and September 27, 2019.</w:t>
      </w:r>
    </w:p>
    <w:p w:rsidR="00000000" w:rsidRDefault="005D26B8">
      <w:pPr>
        <w:jc w:val="center"/>
        <w:divId w:val="1651902077"/>
        <w:rPr>
          <w:rFonts w:eastAsia="Times New Roman"/>
        </w:rPr>
      </w:pPr>
      <w:r>
        <w:rPr>
          <w:rFonts w:eastAsia="Times New Roman"/>
          <w:color w:val="000000"/>
          <w:sz w:val="20"/>
          <w:szCs w:val="20"/>
        </w:rPr>
        <w:t>36</w:t>
      </w:r>
    </w:p>
    <w:p w:rsidR="00000000" w:rsidRDefault="005D26B8">
      <w:pPr>
        <w:rPr>
          <w:rFonts w:eastAsia="Times New Roman"/>
        </w:rPr>
      </w:pPr>
      <w:r>
        <w:rPr>
          <w:rFonts w:eastAsia="Times New Roman"/>
        </w:rPr>
        <w:pict>
          <v:rect id="_x0000_i1063" style="width:0;height:1.5pt" o:hralign="center" o:hrstd="t" o:hr="t" fillcolor="#a0a0a0" stroked="f"/>
        </w:pict>
      </w:r>
    </w:p>
    <w:p w:rsidR="00000000" w:rsidRDefault="005D26B8">
      <w:pPr>
        <w:divId w:val="1562786283"/>
        <w:rPr>
          <w:rFonts w:eastAsia="Times New Roman"/>
        </w:rPr>
      </w:pPr>
    </w:p>
    <w:p w:rsidR="00000000" w:rsidRDefault="005D26B8">
      <w:pPr>
        <w:divId w:val="1072003467"/>
        <w:rPr>
          <w:rFonts w:eastAsia="Times New Roman"/>
        </w:rPr>
      </w:pPr>
      <w:r>
        <w:rPr>
          <w:rFonts w:eastAsia="Times New Roman"/>
          <w:b/>
          <w:bCs/>
          <w:i/>
          <w:iCs/>
          <w:color w:val="000000"/>
          <w:sz w:val="20"/>
          <w:szCs w:val="20"/>
        </w:rPr>
        <w:t>Income From Continuing Operations Per Diluted Common Share A</w:t>
      </w:r>
      <w:r>
        <w:rPr>
          <w:rFonts w:eastAsia="Times New Roman"/>
          <w:b/>
          <w:bCs/>
          <w:i/>
          <w:iCs/>
          <w:color w:val="000000"/>
          <w:sz w:val="20"/>
          <w:szCs w:val="20"/>
        </w:rPr>
        <w:t>ttributable to L3Harris Common Shareholders</w:t>
      </w:r>
    </w:p>
    <w:p w:rsidR="00000000" w:rsidRDefault="005D26B8">
      <w:pPr>
        <w:ind w:firstLine="450"/>
        <w:divId w:val="1905990355"/>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increase in income from continuing operations per diluted common share attributable to L3Harris common shareholders for the quarte</w:t>
      </w:r>
      <w:r>
        <w:rPr>
          <w:rFonts w:eastAsia="Times New Roman"/>
          <w:color w:val="000000"/>
          <w:sz w:val="20"/>
          <w:szCs w:val="20"/>
        </w:rPr>
        <w:t>r ended October 2, 2020 compared with the quarter ended September 27, 2019 was primarily due to a decrease in our diluted weighted average common shares outstanding from shares of our common stock repurchased under our repurchase program since the L3Harris</w:t>
      </w:r>
      <w:r>
        <w:rPr>
          <w:rFonts w:eastAsia="Times New Roman"/>
          <w:color w:val="000000"/>
          <w:sz w:val="20"/>
          <w:szCs w:val="20"/>
        </w:rPr>
        <w:t xml:space="preserve"> Merger.</w:t>
      </w:r>
    </w:p>
    <w:p w:rsidR="00000000" w:rsidRDefault="005D26B8">
      <w:pPr>
        <w:ind w:firstLine="450"/>
        <w:divId w:val="697925305"/>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decrease in income from continuing operations per diluted common share attributable to L3Harris common shareholders for the three quarters ended Octobe</w:t>
      </w:r>
      <w:r>
        <w:rPr>
          <w:rFonts w:eastAsia="Times New Roman"/>
          <w:color w:val="000000"/>
          <w:sz w:val="20"/>
          <w:szCs w:val="20"/>
        </w:rPr>
        <w:t>r 2, 2020 compared with the three quarters ended September 27, 2019 was primarily due to lower income from continuing operations, as discussed above, and an increase in diluted weighted average common shares outstanding as a result of approximately 104 mil</w:t>
      </w:r>
      <w:r>
        <w:rPr>
          <w:rFonts w:eastAsia="Times New Roman"/>
          <w:color w:val="000000"/>
          <w:sz w:val="20"/>
          <w:szCs w:val="20"/>
        </w:rPr>
        <w:t xml:space="preserve">lion shares issued in connection with the L3Harris Merger. </w:t>
      </w:r>
    </w:p>
    <w:p w:rsidR="00000000" w:rsidRDefault="005D26B8">
      <w:pPr>
        <w:divId w:val="862288275"/>
        <w:rPr>
          <w:rFonts w:eastAsia="Times New Roman"/>
        </w:rPr>
      </w:pPr>
      <w:r>
        <w:rPr>
          <w:rFonts w:eastAsia="Times New Roman"/>
          <w:b/>
          <w:bCs/>
          <w:color w:val="000000"/>
          <w:sz w:val="20"/>
          <w:szCs w:val="20"/>
        </w:rPr>
        <w:t>Pro Forma Basis Discussion for the Three Quarters Ended October 2, 2020 Compared With Three Quarters Ended September 27, 2019</w:t>
      </w:r>
    </w:p>
    <w:p w:rsidR="00000000" w:rsidRDefault="005D26B8">
      <w:pPr>
        <w:divId w:val="847987227"/>
        <w:rPr>
          <w:rFonts w:eastAsia="Times New Roman"/>
        </w:rPr>
      </w:pPr>
      <w:r>
        <w:rPr>
          <w:rFonts w:eastAsia="Times New Roman"/>
          <w:b/>
          <w:bCs/>
          <w:i/>
          <w:iCs/>
          <w:color w:val="000000"/>
          <w:sz w:val="20"/>
          <w:szCs w:val="20"/>
        </w:rPr>
        <w:t>Revenue</w:t>
      </w:r>
    </w:p>
    <w:p w:rsidR="00000000" w:rsidRDefault="005D26B8">
      <w:pPr>
        <w:ind w:firstLine="450"/>
        <w:divId w:val="799416106"/>
        <w:rPr>
          <w:rFonts w:eastAsia="Times New Roman"/>
        </w:rPr>
      </w:pPr>
      <w:r>
        <w:rPr>
          <w:rFonts w:eastAsia="Times New Roman"/>
          <w:color w:val="000000"/>
          <w:sz w:val="20"/>
          <w:szCs w:val="20"/>
        </w:rPr>
        <w:t>The increase in revenue for the three quarters ended October 2</w:t>
      </w:r>
      <w:r>
        <w:rPr>
          <w:rFonts w:eastAsia="Times New Roman"/>
          <w:color w:val="000000"/>
          <w:sz w:val="20"/>
          <w:szCs w:val="20"/>
        </w:rPr>
        <w:t>, 2020 compared with pro forma revenue for the three quarters ended September 27, 2019 was primarily due to higher revenue in our Integrated Mission Systems, Space and Airborne Systems and Communication Systems segments, partially offset by the impact of d</w:t>
      </w:r>
      <w:r>
        <w:rPr>
          <w:rFonts w:eastAsia="Times New Roman"/>
          <w:color w:val="000000"/>
          <w:sz w:val="20"/>
          <w:szCs w:val="20"/>
        </w:rPr>
        <w:t xml:space="preserve">ivestitures as well as the COVID-19-related downturn in the commercial aviation market and its impact on customer operations in the three quarters ended October 2, 2020. </w:t>
      </w:r>
    </w:p>
    <w:p w:rsidR="00000000" w:rsidRDefault="005D26B8">
      <w:pPr>
        <w:ind w:firstLine="450"/>
        <w:divId w:val="283317765"/>
        <w:rPr>
          <w:rFonts w:eastAsia="Times New Roman"/>
        </w:rPr>
      </w:pPr>
      <w:r>
        <w:rPr>
          <w:rFonts w:eastAsia="Times New Roman"/>
          <w:color w:val="000000"/>
          <w:sz w:val="20"/>
          <w:szCs w:val="20"/>
        </w:rPr>
        <w:t>See “Discussion of Business Segment Results of Operations” below in this MD&amp;A for fur</w:t>
      </w:r>
      <w:r>
        <w:rPr>
          <w:rFonts w:eastAsia="Times New Roman"/>
          <w:color w:val="000000"/>
          <w:sz w:val="20"/>
          <w:szCs w:val="20"/>
        </w:rPr>
        <w:t>ther information.</w:t>
      </w:r>
    </w:p>
    <w:p w:rsidR="00000000" w:rsidRDefault="005D26B8">
      <w:pPr>
        <w:divId w:val="1283879764"/>
        <w:rPr>
          <w:rFonts w:eastAsia="Times New Roman"/>
        </w:rPr>
      </w:pPr>
      <w:r>
        <w:rPr>
          <w:rFonts w:eastAsia="Times New Roman"/>
          <w:b/>
          <w:bCs/>
          <w:i/>
          <w:iCs/>
          <w:color w:val="000000"/>
          <w:sz w:val="20"/>
          <w:szCs w:val="20"/>
        </w:rPr>
        <w:t>Gross Margin</w:t>
      </w:r>
    </w:p>
    <w:p w:rsidR="00000000" w:rsidRDefault="005D26B8">
      <w:pPr>
        <w:ind w:firstLine="450"/>
        <w:divId w:val="262348336"/>
        <w:rPr>
          <w:rFonts w:eastAsia="Times New Roman"/>
        </w:rPr>
      </w:pPr>
      <w:r>
        <w:rPr>
          <w:rFonts w:eastAsia="Times New Roman"/>
          <w:color w:val="000000"/>
          <w:sz w:val="20"/>
          <w:szCs w:val="20"/>
        </w:rPr>
        <w:t xml:space="preserve">The increase in gross margin in the three quarters ended October 2, 2020 compared with pro forma gross margin for the three quarters ended September 27, 2019 was primarily due to $61 million of lower cost of sales related to </w:t>
      </w:r>
      <w:r>
        <w:rPr>
          <w:rFonts w:eastAsia="Times New Roman"/>
          <w:color w:val="000000"/>
          <w:sz w:val="20"/>
          <w:szCs w:val="20"/>
        </w:rPr>
        <w:t>the fair value step-up in inventory sold, integration benefits, operational excellence and higher volume</w:t>
      </w:r>
      <w:r>
        <w:rPr>
          <w:rFonts w:eastAsia="Times New Roman"/>
          <w:color w:val="000000"/>
          <w:sz w:val="20"/>
          <w:szCs w:val="20"/>
          <w:shd w:val="clear" w:color="auto" w:fill="FFFFFF"/>
        </w:rPr>
        <w:t xml:space="preserve">, partially offset by </w:t>
      </w:r>
      <w:r>
        <w:rPr>
          <w:rFonts w:eastAsia="Times New Roman"/>
          <w:color w:val="000000"/>
          <w:sz w:val="20"/>
          <w:szCs w:val="20"/>
        </w:rPr>
        <w:t>a mix of program revenue and product sales with relatively lower gross margin percentage</w:t>
      </w:r>
      <w:r>
        <w:rPr>
          <w:rFonts w:eastAsia="Times New Roman"/>
          <w:color w:val="000000"/>
          <w:sz w:val="20"/>
          <w:szCs w:val="20"/>
          <w:shd w:val="clear" w:color="auto" w:fill="FFFFFF"/>
        </w:rPr>
        <w:t xml:space="preserve"> in the </w:t>
      </w:r>
      <w:r>
        <w:rPr>
          <w:rFonts w:eastAsia="Times New Roman"/>
          <w:color w:val="000000"/>
          <w:sz w:val="20"/>
          <w:szCs w:val="20"/>
        </w:rPr>
        <w:t>three quarters ended October 2, 20</w:t>
      </w:r>
      <w:r>
        <w:rPr>
          <w:rFonts w:eastAsia="Times New Roman"/>
          <w:color w:val="000000"/>
          <w:sz w:val="20"/>
          <w:szCs w:val="20"/>
        </w:rPr>
        <w:t>20. Operating margin percentage for the three quarters ended October 2, 2020 was comparable with pro forma operating margin percentage for the three quarters ended September 27, 2019.</w:t>
      </w:r>
    </w:p>
    <w:p w:rsidR="00000000" w:rsidRDefault="005D26B8">
      <w:pPr>
        <w:ind w:firstLine="450"/>
        <w:divId w:val="646478465"/>
        <w:rPr>
          <w:rFonts w:eastAsia="Times New Roman"/>
        </w:rPr>
      </w:pPr>
      <w:r>
        <w:rPr>
          <w:rFonts w:eastAsia="Times New Roman"/>
          <w:color w:val="000000"/>
          <w:sz w:val="20"/>
          <w:szCs w:val="20"/>
        </w:rPr>
        <w:t>See “Discussion of Business Segment Results of Operations” below in this</w:t>
      </w:r>
      <w:r>
        <w:rPr>
          <w:rFonts w:eastAsia="Times New Roman"/>
          <w:color w:val="000000"/>
          <w:sz w:val="20"/>
          <w:szCs w:val="20"/>
        </w:rPr>
        <w:t xml:space="preserve"> MD&amp;A for further information.</w:t>
      </w:r>
    </w:p>
    <w:p w:rsidR="00000000" w:rsidRDefault="005D26B8">
      <w:pPr>
        <w:divId w:val="1651404951"/>
        <w:rPr>
          <w:rFonts w:eastAsia="Times New Roman"/>
        </w:rPr>
      </w:pPr>
      <w:r>
        <w:rPr>
          <w:rFonts w:eastAsia="Times New Roman"/>
          <w:b/>
          <w:bCs/>
          <w:i/>
          <w:iCs/>
          <w:color w:val="000000"/>
          <w:sz w:val="20"/>
          <w:szCs w:val="20"/>
        </w:rPr>
        <w:t>ESA Expenses</w:t>
      </w:r>
    </w:p>
    <w:p w:rsidR="00000000" w:rsidRDefault="005D26B8">
      <w:pPr>
        <w:ind w:firstLine="450"/>
        <w:divId w:val="2095009154"/>
        <w:rPr>
          <w:rFonts w:eastAsia="Times New Roman"/>
        </w:rPr>
      </w:pPr>
      <w:r>
        <w:rPr>
          <w:rFonts w:eastAsia="Times New Roman"/>
          <w:color w:val="000000"/>
          <w:sz w:val="20"/>
          <w:szCs w:val="20"/>
        </w:rPr>
        <w:t xml:space="preserve">The decreases in ESA expenses and ESA percentage in the three quarters ended October 2, 2020 compared with pro forma ESA expenses and ESA percentage for the three quarters ended September 27, 2019 were primarily </w:t>
      </w:r>
      <w:r>
        <w:rPr>
          <w:rFonts w:eastAsia="Times New Roman"/>
          <w:color w:val="000000"/>
          <w:sz w:val="20"/>
          <w:szCs w:val="20"/>
        </w:rPr>
        <w:t>due to $135 million of lower L3Harris Merger-related transaction and integration expenses, $82 million of lower restructuring charges and other items, and integration benefits, partially offset by $88 million of higher amortization of identifiable intangib</w:t>
      </w:r>
      <w:r>
        <w:rPr>
          <w:rFonts w:eastAsia="Times New Roman"/>
          <w:color w:val="000000"/>
          <w:sz w:val="20"/>
          <w:szCs w:val="20"/>
        </w:rPr>
        <w:t>le assets acquired as a result of the L3Harris Merger.</w:t>
      </w:r>
    </w:p>
    <w:p w:rsidR="00000000" w:rsidRDefault="005D26B8">
      <w:pPr>
        <w:ind w:firstLine="450"/>
        <w:divId w:val="620693944"/>
        <w:rPr>
          <w:rFonts w:eastAsia="Times New Roman"/>
        </w:rPr>
      </w:pPr>
      <w:r>
        <w:rPr>
          <w:rFonts w:eastAsia="Times New Roman"/>
          <w:color w:val="000000"/>
          <w:sz w:val="20"/>
          <w:szCs w:val="20"/>
        </w:rPr>
        <w:t>See “Discussion of Business Segment Results of Operations” below in this MD&amp;A for further information.</w:t>
      </w:r>
    </w:p>
    <w:p w:rsidR="00000000" w:rsidRDefault="005D26B8">
      <w:pPr>
        <w:divId w:val="1578637023"/>
        <w:rPr>
          <w:rFonts w:eastAsia="Times New Roman"/>
        </w:rPr>
      </w:pPr>
      <w:r>
        <w:rPr>
          <w:rFonts w:eastAsia="Times New Roman"/>
          <w:b/>
          <w:bCs/>
          <w:i/>
          <w:iCs/>
          <w:color w:val="000000"/>
          <w:sz w:val="20"/>
          <w:szCs w:val="20"/>
        </w:rPr>
        <w:t>Business Divestiture-Related (Losses) Gains</w:t>
      </w:r>
    </w:p>
    <w:p w:rsidR="00000000" w:rsidRDefault="005D26B8">
      <w:pPr>
        <w:ind w:firstLine="450"/>
        <w:divId w:val="1918829893"/>
        <w:rPr>
          <w:rFonts w:eastAsia="Times New Roman"/>
        </w:rPr>
      </w:pPr>
      <w:r>
        <w:rPr>
          <w:rFonts w:eastAsia="Times New Roman"/>
          <w:color w:val="000000"/>
          <w:sz w:val="20"/>
          <w:szCs w:val="20"/>
        </w:rPr>
        <w:t xml:space="preserve">Business divestiture-related (losses) gains for the three quarters ended October 2, 2020 on a pro forma basis included the same charges as noted above for the three quarters ended October 2, 2020 on an as reported basis. </w:t>
      </w:r>
    </w:p>
    <w:p w:rsidR="00000000" w:rsidRDefault="005D26B8">
      <w:pPr>
        <w:ind w:firstLine="450"/>
        <w:divId w:val="546527762"/>
        <w:rPr>
          <w:rFonts w:eastAsia="Times New Roman"/>
        </w:rPr>
      </w:pPr>
      <w:r>
        <w:rPr>
          <w:rFonts w:eastAsia="Times New Roman"/>
          <w:color w:val="000000"/>
          <w:sz w:val="20"/>
          <w:szCs w:val="20"/>
        </w:rPr>
        <w:t xml:space="preserve">See </w:t>
      </w:r>
      <w:r>
        <w:rPr>
          <w:rFonts w:eastAsia="Times New Roman"/>
          <w:i/>
          <w:iCs/>
          <w:color w:val="000000"/>
          <w:sz w:val="20"/>
          <w:szCs w:val="20"/>
        </w:rPr>
        <w:t>Note C — Business Divestitures</w:t>
      </w:r>
      <w:r>
        <w:rPr>
          <w:rFonts w:eastAsia="Times New Roman"/>
          <w:i/>
          <w:iCs/>
          <w:color w:val="000000"/>
          <w:sz w:val="20"/>
          <w:szCs w:val="20"/>
        </w:rPr>
        <w:t xml:space="preserve"> and Asset Sales</w:t>
      </w:r>
      <w:r>
        <w:rPr>
          <w:rFonts w:eastAsia="Times New Roman"/>
          <w:color w:val="000000"/>
          <w:sz w:val="20"/>
          <w:szCs w:val="20"/>
        </w:rPr>
        <w:t xml:space="preserve"> in the Notes for further information.</w:t>
      </w:r>
    </w:p>
    <w:p w:rsidR="00000000" w:rsidRDefault="005D26B8">
      <w:pPr>
        <w:divId w:val="332151046"/>
        <w:rPr>
          <w:rFonts w:eastAsia="Times New Roman"/>
        </w:rPr>
      </w:pPr>
      <w:r>
        <w:rPr>
          <w:rFonts w:eastAsia="Times New Roman"/>
          <w:b/>
          <w:bCs/>
          <w:i/>
          <w:iCs/>
          <w:color w:val="000000"/>
          <w:sz w:val="20"/>
          <w:szCs w:val="20"/>
        </w:rPr>
        <w:t>Impairment of Goodwill and Other Assets</w:t>
      </w:r>
    </w:p>
    <w:p w:rsidR="00000000" w:rsidRDefault="005D26B8">
      <w:pPr>
        <w:ind w:firstLine="450"/>
        <w:divId w:val="993870619"/>
        <w:rPr>
          <w:rFonts w:eastAsia="Times New Roman"/>
        </w:rPr>
      </w:pPr>
      <w:r>
        <w:rPr>
          <w:rFonts w:eastAsia="Times New Roman"/>
          <w:color w:val="000000"/>
          <w:sz w:val="20"/>
          <w:szCs w:val="20"/>
        </w:rPr>
        <w:t xml:space="preserve">Impairment of goodwill and other assets for the three quarters ended October 2, 2020 on a pro forma basis reflects the same charges as noted above for the three </w:t>
      </w:r>
      <w:r>
        <w:rPr>
          <w:rFonts w:eastAsia="Times New Roman"/>
          <w:color w:val="000000"/>
          <w:sz w:val="20"/>
          <w:szCs w:val="20"/>
        </w:rPr>
        <w:t xml:space="preserve">quarters ended October 2, 2020 on an as reported basis. </w:t>
      </w:r>
    </w:p>
    <w:p w:rsidR="00000000" w:rsidRDefault="005D26B8">
      <w:pPr>
        <w:ind w:firstLine="450"/>
        <w:divId w:val="251625315"/>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C — Business Divestitures and Assets Sales </w:t>
      </w:r>
      <w:r>
        <w:rPr>
          <w:rFonts w:eastAsia="Times New Roman"/>
          <w:color w:val="000000"/>
          <w:sz w:val="20"/>
          <w:szCs w:val="20"/>
        </w:rPr>
        <w:t xml:space="preserve">and </w:t>
      </w:r>
      <w:r>
        <w:rPr>
          <w:rFonts w:eastAsia="Times New Roman"/>
          <w:i/>
          <w:iCs/>
          <w:color w:val="000000"/>
          <w:sz w:val="20"/>
          <w:szCs w:val="20"/>
        </w:rPr>
        <w:t xml:space="preserve">Note K — Goodwill and Other Intangible Assets </w:t>
      </w:r>
      <w:r>
        <w:rPr>
          <w:rFonts w:eastAsia="Times New Roman"/>
          <w:color w:val="000000"/>
          <w:sz w:val="20"/>
          <w:szCs w:val="20"/>
        </w:rPr>
        <w:t>in the Notes for further information.</w:t>
      </w:r>
    </w:p>
    <w:p w:rsidR="00000000" w:rsidRDefault="005D26B8">
      <w:pPr>
        <w:divId w:val="886071363"/>
        <w:rPr>
          <w:rFonts w:eastAsia="Times New Roman"/>
        </w:rPr>
      </w:pPr>
      <w:r>
        <w:rPr>
          <w:rFonts w:eastAsia="Times New Roman"/>
          <w:b/>
          <w:bCs/>
          <w:i/>
          <w:iCs/>
          <w:color w:val="000000"/>
          <w:sz w:val="20"/>
          <w:szCs w:val="20"/>
        </w:rPr>
        <w:t xml:space="preserve">Non-Operating Income </w:t>
      </w:r>
    </w:p>
    <w:p w:rsidR="00000000" w:rsidRDefault="005D26B8">
      <w:pPr>
        <w:ind w:firstLine="450"/>
        <w:divId w:val="568424086"/>
        <w:rPr>
          <w:rFonts w:eastAsia="Times New Roman"/>
        </w:rPr>
      </w:pPr>
      <w:r>
        <w:rPr>
          <w:rFonts w:eastAsia="Times New Roman"/>
          <w:color w:val="000000"/>
          <w:sz w:val="20"/>
          <w:szCs w:val="20"/>
        </w:rPr>
        <w:t xml:space="preserve">The increase in non-operating income </w:t>
      </w:r>
      <w:r>
        <w:rPr>
          <w:rFonts w:eastAsia="Times New Roman"/>
          <w:color w:val="000000"/>
          <w:sz w:val="20"/>
          <w:szCs w:val="20"/>
        </w:rPr>
        <w:t>for the three quarters ended October 2, 2020 compared with pro forma non-operating income for the three quarters ended September 27, 2019 was primarily due to an increase in the non-service cost components of pension and other postretirement benefit plan i</w:t>
      </w:r>
      <w:r>
        <w:rPr>
          <w:rFonts w:eastAsia="Times New Roman"/>
          <w:color w:val="000000"/>
          <w:sz w:val="20"/>
          <w:szCs w:val="20"/>
        </w:rPr>
        <w:t>ncome.</w:t>
      </w:r>
    </w:p>
    <w:p w:rsidR="00000000" w:rsidRDefault="005D26B8">
      <w:pPr>
        <w:jc w:val="center"/>
        <w:divId w:val="2136948097"/>
        <w:rPr>
          <w:rFonts w:eastAsia="Times New Roman"/>
        </w:rPr>
      </w:pPr>
      <w:r>
        <w:rPr>
          <w:rFonts w:eastAsia="Times New Roman"/>
          <w:color w:val="000000"/>
          <w:sz w:val="20"/>
          <w:szCs w:val="20"/>
        </w:rPr>
        <w:t>37</w:t>
      </w:r>
    </w:p>
    <w:p w:rsidR="00000000" w:rsidRDefault="005D26B8">
      <w:pPr>
        <w:rPr>
          <w:rFonts w:eastAsia="Times New Roman"/>
        </w:rPr>
      </w:pPr>
      <w:r>
        <w:rPr>
          <w:rFonts w:eastAsia="Times New Roman"/>
        </w:rPr>
        <w:pict>
          <v:rect id="_x0000_i1064" style="width:0;height:1.5pt" o:hralign="center" o:hrstd="t" o:hr="t" fillcolor="#a0a0a0" stroked="f"/>
        </w:pict>
      </w:r>
    </w:p>
    <w:p w:rsidR="00000000" w:rsidRDefault="005D26B8">
      <w:pPr>
        <w:divId w:val="1088307103"/>
        <w:rPr>
          <w:rFonts w:eastAsia="Times New Roman"/>
        </w:rPr>
      </w:pPr>
    </w:p>
    <w:p w:rsidR="00000000" w:rsidRDefault="005D26B8">
      <w:pPr>
        <w:divId w:val="96751090"/>
        <w:rPr>
          <w:rFonts w:eastAsia="Times New Roman"/>
        </w:rPr>
      </w:pPr>
      <w:r>
        <w:rPr>
          <w:rFonts w:eastAsia="Times New Roman"/>
          <w:b/>
          <w:bCs/>
          <w:i/>
          <w:iCs/>
          <w:color w:val="000000"/>
          <w:sz w:val="20"/>
          <w:szCs w:val="20"/>
        </w:rPr>
        <w:t>Net Interest Expense</w:t>
      </w:r>
    </w:p>
    <w:p w:rsidR="00000000" w:rsidRDefault="005D26B8">
      <w:pPr>
        <w:ind w:firstLine="450"/>
        <w:divId w:val="1553155550"/>
        <w:rPr>
          <w:rFonts w:eastAsia="Times New Roman"/>
        </w:rPr>
      </w:pPr>
      <w:r>
        <w:rPr>
          <w:rFonts w:eastAsia="Times New Roman"/>
          <w:color w:val="000000"/>
          <w:sz w:val="20"/>
          <w:szCs w:val="20"/>
        </w:rPr>
        <w:t>Net interest expense for the three quarters ended October 2, 2020 was largely unchanged compared with pro forma net interest expense for the three quarters ended September 27, 2019.</w:t>
      </w:r>
    </w:p>
    <w:p w:rsidR="00000000" w:rsidRDefault="005D26B8">
      <w:pPr>
        <w:ind w:firstLine="450"/>
        <w:divId w:val="2096852498"/>
        <w:rPr>
          <w:rFonts w:eastAsia="Times New Roman"/>
        </w:rPr>
      </w:pPr>
      <w:r>
        <w:rPr>
          <w:rFonts w:eastAsia="Times New Roman"/>
          <w:color w:val="000000"/>
          <w:sz w:val="20"/>
          <w:szCs w:val="20"/>
        </w:rPr>
        <w:t>See “Supplement</w:t>
      </w:r>
      <w:r>
        <w:rPr>
          <w:rFonts w:eastAsia="Times New Roman"/>
          <w:color w:val="000000"/>
          <w:sz w:val="20"/>
          <w:szCs w:val="20"/>
        </w:rPr>
        <w:t>al Unaudited Pro Forma Condensed Combined Income Statement Information” below in this MD&amp;A for further information.</w:t>
      </w:r>
    </w:p>
    <w:p w:rsidR="00000000" w:rsidRDefault="005D26B8">
      <w:pPr>
        <w:divId w:val="1665668813"/>
        <w:rPr>
          <w:rFonts w:eastAsia="Times New Roman"/>
        </w:rPr>
      </w:pPr>
      <w:r>
        <w:rPr>
          <w:rFonts w:eastAsia="Times New Roman"/>
          <w:b/>
          <w:bCs/>
          <w:i/>
          <w:iCs/>
          <w:color w:val="000000"/>
          <w:sz w:val="20"/>
          <w:szCs w:val="20"/>
        </w:rPr>
        <w:t>Income Taxes</w:t>
      </w:r>
    </w:p>
    <w:p w:rsidR="00000000" w:rsidRDefault="005D26B8">
      <w:pPr>
        <w:ind w:firstLine="450"/>
        <w:divId w:val="870263422"/>
        <w:rPr>
          <w:rFonts w:eastAsia="Times New Roman"/>
        </w:rPr>
      </w:pPr>
      <w:r>
        <w:rPr>
          <w:rFonts w:eastAsia="Times New Roman"/>
          <w:color w:val="000000"/>
          <w:sz w:val="20"/>
          <w:szCs w:val="20"/>
        </w:rPr>
        <w:t>Our effective tax rate was 15.9 percent for the three quarters ended October 2, 2020 compared with an 8.8 percent pro forma eff</w:t>
      </w:r>
      <w:r>
        <w:rPr>
          <w:rFonts w:eastAsia="Times New Roman"/>
          <w:color w:val="000000"/>
          <w:sz w:val="20"/>
          <w:szCs w:val="20"/>
        </w:rPr>
        <w:t>ective tax rate for the three quarters ended September 27, 2019. Our effective tax rate for the three quarters ended October 2, 2020 was impacted by the same items as noted above for the three quarters ended October 2, 2020 on an as reported basis.</w:t>
      </w:r>
    </w:p>
    <w:p w:rsidR="00000000" w:rsidRDefault="005D26B8">
      <w:pPr>
        <w:ind w:firstLine="450"/>
        <w:divId w:val="857235665"/>
        <w:rPr>
          <w:rFonts w:eastAsia="Times New Roman"/>
        </w:rPr>
      </w:pPr>
      <w:r>
        <w:rPr>
          <w:rFonts w:eastAsia="Times New Roman"/>
          <w:color w:val="000000"/>
          <w:sz w:val="20"/>
          <w:szCs w:val="20"/>
        </w:rPr>
        <w:t>See “Su</w:t>
      </w:r>
      <w:r>
        <w:rPr>
          <w:rFonts w:eastAsia="Times New Roman"/>
          <w:color w:val="000000"/>
          <w:sz w:val="20"/>
          <w:szCs w:val="20"/>
        </w:rPr>
        <w:t>pplemental Unaudited Pro Forma Condensed Combined Income Statement Information” below in this MD&amp;A for information regarding our pro forma effective tax rate for the quarter and three quarters ended September 27, 2019.</w:t>
      </w:r>
    </w:p>
    <w:p w:rsidR="00000000" w:rsidRDefault="005D26B8">
      <w:pPr>
        <w:divId w:val="1413700817"/>
        <w:rPr>
          <w:rFonts w:eastAsia="Times New Roman"/>
        </w:rPr>
      </w:pPr>
      <w:r>
        <w:rPr>
          <w:rFonts w:eastAsia="Times New Roman"/>
          <w:b/>
          <w:bCs/>
          <w:i/>
          <w:iCs/>
          <w:color w:val="000000"/>
          <w:sz w:val="20"/>
          <w:szCs w:val="20"/>
        </w:rPr>
        <w:t>Income From Continuing Operations</w:t>
      </w:r>
    </w:p>
    <w:p w:rsidR="00000000" w:rsidRDefault="005D26B8">
      <w:pPr>
        <w:ind w:firstLine="450"/>
        <w:divId w:val="1616868118"/>
        <w:rPr>
          <w:rFonts w:eastAsia="Times New Roman"/>
        </w:rPr>
      </w:pPr>
      <w:r>
        <w:rPr>
          <w:rFonts w:eastAsia="Times New Roman"/>
          <w:color w:val="000000"/>
          <w:sz w:val="20"/>
          <w:szCs w:val="20"/>
        </w:rPr>
        <w:t>The</w:t>
      </w:r>
      <w:r>
        <w:rPr>
          <w:rFonts w:eastAsia="Times New Roman"/>
          <w:color w:val="000000"/>
          <w:sz w:val="20"/>
          <w:szCs w:val="20"/>
        </w:rPr>
        <w:t xml:space="preserve"> decrease in income from continuing operations for the three quarters ended October 2, 2020 compared with pro forma income from continuing operations for the three quarters ended September 27, 2019 was primarily due to the combined effects of the reasons n</w:t>
      </w:r>
      <w:r>
        <w:rPr>
          <w:rFonts w:eastAsia="Times New Roman"/>
          <w:color w:val="000000"/>
          <w:sz w:val="20"/>
          <w:szCs w:val="20"/>
        </w:rPr>
        <w:t>oted above in this “Pro Forma Basis Discussion” regarding the three quarters ended October 2, 2020 and September 27, 2019, particularly the charges for impairment of goodwill and other assets in the three quarters ended October 2, 2020.</w:t>
      </w:r>
    </w:p>
    <w:p w:rsidR="00000000" w:rsidRDefault="005D26B8">
      <w:pPr>
        <w:divId w:val="933786019"/>
        <w:rPr>
          <w:rFonts w:eastAsia="Times New Roman"/>
        </w:rPr>
      </w:pPr>
      <w:r>
        <w:rPr>
          <w:rFonts w:eastAsia="Times New Roman"/>
          <w:b/>
          <w:bCs/>
          <w:i/>
          <w:iCs/>
          <w:color w:val="000000"/>
          <w:sz w:val="20"/>
          <w:szCs w:val="20"/>
        </w:rPr>
        <w:t>Income From Continu</w:t>
      </w:r>
      <w:r>
        <w:rPr>
          <w:rFonts w:eastAsia="Times New Roman"/>
          <w:b/>
          <w:bCs/>
          <w:i/>
          <w:iCs/>
          <w:color w:val="000000"/>
          <w:sz w:val="20"/>
          <w:szCs w:val="20"/>
        </w:rPr>
        <w:t>ing Operations Per Diluted Common Share Attributable to L3Harris Common Shareholders</w:t>
      </w:r>
    </w:p>
    <w:p w:rsidR="00000000" w:rsidRDefault="005D26B8">
      <w:pPr>
        <w:ind w:firstLine="450"/>
        <w:divId w:val="497615830"/>
        <w:rPr>
          <w:rFonts w:eastAsia="Times New Roman"/>
        </w:rPr>
      </w:pPr>
      <w:r>
        <w:rPr>
          <w:rFonts w:eastAsia="Times New Roman"/>
          <w:color w:val="000000"/>
          <w:sz w:val="20"/>
          <w:szCs w:val="20"/>
        </w:rPr>
        <w:t>The decrease in income from continuing operations per diluted common share attributable to L3Harris common shareholders for the three quarters ended October 2, 2020 compar</w:t>
      </w:r>
      <w:r>
        <w:rPr>
          <w:rFonts w:eastAsia="Times New Roman"/>
          <w:color w:val="000000"/>
          <w:sz w:val="20"/>
          <w:szCs w:val="20"/>
        </w:rPr>
        <w:t>ed with pro forma income from continuing operations per diluted common share attributable to L3Harris common shareholders for the three quarters ended September 27, 2019 was primarily due to lower income from continuing operations, as discussed above, part</w:t>
      </w:r>
      <w:r>
        <w:rPr>
          <w:rFonts w:eastAsia="Times New Roman"/>
          <w:color w:val="000000"/>
          <w:sz w:val="20"/>
          <w:szCs w:val="20"/>
        </w:rPr>
        <w:t>ially offset by a decrease in our diluted weighted average common shares outstanding from shares of our common stock repurchased under our repurchase program since the L3Harris Merger.</w:t>
      </w:r>
    </w:p>
    <w:p w:rsidR="00000000" w:rsidRDefault="005D26B8">
      <w:pPr>
        <w:ind w:firstLine="450"/>
        <w:divId w:val="1148321876"/>
        <w:rPr>
          <w:rFonts w:eastAsia="Times New Roman"/>
        </w:rPr>
      </w:pPr>
      <w:r>
        <w:rPr>
          <w:rFonts w:eastAsia="Times New Roman"/>
          <w:color w:val="000000"/>
          <w:sz w:val="20"/>
          <w:szCs w:val="20"/>
        </w:rPr>
        <w:t>See “Common Stock Repurchases” below in this MD&amp;A for information regar</w:t>
      </w:r>
      <w:r>
        <w:rPr>
          <w:rFonts w:eastAsia="Times New Roman"/>
          <w:color w:val="000000"/>
          <w:sz w:val="20"/>
          <w:szCs w:val="20"/>
        </w:rPr>
        <w:t>ding our share repurchase program.</w:t>
      </w:r>
    </w:p>
    <w:p w:rsidR="00000000" w:rsidRDefault="005D26B8">
      <w:pPr>
        <w:divId w:val="666179322"/>
        <w:rPr>
          <w:rFonts w:eastAsia="Times New Roman"/>
        </w:rPr>
      </w:pPr>
      <w:r>
        <w:rPr>
          <w:rFonts w:eastAsia="Times New Roman"/>
          <w:b/>
          <w:bCs/>
          <w:color w:val="000000"/>
          <w:sz w:val="20"/>
          <w:szCs w:val="20"/>
        </w:rPr>
        <w:t>Supplemental Unaudited Pro Forma Condensed Combined Income Statement Information</w:t>
      </w:r>
    </w:p>
    <w:p w:rsidR="00000000" w:rsidRDefault="005D26B8">
      <w:pPr>
        <w:ind w:firstLine="450"/>
        <w:divId w:val="1890997244"/>
        <w:rPr>
          <w:rFonts w:eastAsia="Times New Roman"/>
        </w:rPr>
      </w:pPr>
      <w:r>
        <w:rPr>
          <w:rFonts w:eastAsia="Times New Roman"/>
          <w:color w:val="000000"/>
          <w:sz w:val="20"/>
          <w:szCs w:val="20"/>
        </w:rPr>
        <w:t xml:space="preserve">The following supplemental unaudited pro forma condensed combined income statement information prepared in accordance with the requirements </w:t>
      </w:r>
      <w:r>
        <w:rPr>
          <w:rFonts w:eastAsia="Times New Roman"/>
          <w:color w:val="000000"/>
          <w:sz w:val="20"/>
          <w:szCs w:val="20"/>
        </w:rPr>
        <w:t>of Article 11 of Regulation S-X provides further information supporting the preparation of the supplemental unaudited pro forma condensed combined financial information for the three quarters ended September 27, 2019 provided above in the “Consolidated Res</w:t>
      </w:r>
      <w:r>
        <w:rPr>
          <w:rFonts w:eastAsia="Times New Roman"/>
          <w:color w:val="000000"/>
          <w:sz w:val="20"/>
          <w:szCs w:val="20"/>
        </w:rPr>
        <w:t xml:space="preserve">ults of Operations” discussion in this MD&amp;A and has been prepared to give effect to the L3Harris Merger under the acquisition method of accounting. It combines the historical results of operations of Harris and L3 and reflects the L3Harris Merger as if it </w:t>
      </w:r>
      <w:r>
        <w:rPr>
          <w:rFonts w:eastAsia="Times New Roman"/>
          <w:color w:val="000000"/>
          <w:sz w:val="20"/>
          <w:szCs w:val="20"/>
        </w:rPr>
        <w:t>closed on June 30, 2018, the first day of Harris’ fiscal 2019, and gives effect to pro forma events that are (a) directly attributable to the L3Harris Merger, (b) factually supportable and (c) expected to have a continuing impact on our results of operatio</w:t>
      </w:r>
      <w:r>
        <w:rPr>
          <w:rFonts w:eastAsia="Times New Roman"/>
          <w:color w:val="000000"/>
          <w:sz w:val="20"/>
          <w:szCs w:val="20"/>
        </w:rPr>
        <w:t>ns. The adjustments include adjustments to reflect the sale of the Harris Night Vision business, which is directly attributable to the L3Harris Merger, but do not include any adjustments for the use of proceeds from such sale, because the use is not direct</w:t>
      </w:r>
      <w:r>
        <w:rPr>
          <w:rFonts w:eastAsia="Times New Roman"/>
          <w:color w:val="000000"/>
          <w:sz w:val="20"/>
          <w:szCs w:val="20"/>
        </w:rPr>
        <w:t>ly attributable to the L3Harris Merger. The pro forma condensed combined income statement information is provided for informational and supplemental purposes only, and does not purport to indicate what L3Harris’ results of operations would have been, or L3</w:t>
      </w:r>
      <w:r>
        <w:rPr>
          <w:rFonts w:eastAsia="Times New Roman"/>
          <w:color w:val="000000"/>
          <w:sz w:val="20"/>
          <w:szCs w:val="20"/>
        </w:rPr>
        <w:t>Harris’ future results of operations, had the L3Harris Merger actually occurred on June 30, 2018. The supplemental unaudited pro forma condensed combined income statement information should be read in conjunction with other sections of this MD&amp;A, our Conde</w:t>
      </w:r>
      <w:r>
        <w:rPr>
          <w:rFonts w:eastAsia="Times New Roman"/>
          <w:color w:val="000000"/>
          <w:sz w:val="20"/>
          <w:szCs w:val="20"/>
        </w:rPr>
        <w:t>nsed Consolidated Financial Statements (Unaudited) and the Notes appearing elsewhere in this Report.</w:t>
      </w:r>
    </w:p>
    <w:p w:rsidR="00000000" w:rsidRDefault="005D26B8">
      <w:pPr>
        <w:divId w:val="91557929"/>
        <w:rPr>
          <w:rFonts w:eastAsia="Times New Roman"/>
        </w:rPr>
      </w:pPr>
    </w:p>
    <w:p w:rsidR="00000000" w:rsidRDefault="005D26B8">
      <w:pPr>
        <w:jc w:val="center"/>
        <w:divId w:val="1936596418"/>
        <w:rPr>
          <w:rFonts w:eastAsia="Times New Roman"/>
        </w:rPr>
      </w:pPr>
      <w:r>
        <w:rPr>
          <w:rFonts w:eastAsia="Times New Roman"/>
          <w:color w:val="000000"/>
          <w:sz w:val="20"/>
          <w:szCs w:val="20"/>
        </w:rPr>
        <w:t>38</w:t>
      </w:r>
    </w:p>
    <w:p w:rsidR="00000000" w:rsidRDefault="005D26B8">
      <w:pPr>
        <w:rPr>
          <w:rFonts w:eastAsia="Times New Roman"/>
        </w:rPr>
      </w:pPr>
      <w:r>
        <w:rPr>
          <w:rFonts w:eastAsia="Times New Roman"/>
        </w:rPr>
        <w:pict>
          <v:rect id="_x0000_i1065" style="width:0;height:1.5pt" o:hralign="center" o:hrstd="t" o:hr="t" fillcolor="#a0a0a0" stroked="f"/>
        </w:pict>
      </w:r>
    </w:p>
    <w:p w:rsidR="00000000" w:rsidRDefault="005D26B8">
      <w:pPr>
        <w:divId w:val="44820789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293"/>
        <w:gridCol w:w="39"/>
        <w:gridCol w:w="121"/>
        <w:gridCol w:w="614"/>
        <w:gridCol w:w="37"/>
        <w:gridCol w:w="36"/>
        <w:gridCol w:w="36"/>
        <w:gridCol w:w="36"/>
        <w:gridCol w:w="121"/>
        <w:gridCol w:w="619"/>
        <w:gridCol w:w="37"/>
        <w:gridCol w:w="36"/>
        <w:gridCol w:w="36"/>
        <w:gridCol w:w="36"/>
        <w:gridCol w:w="121"/>
        <w:gridCol w:w="811"/>
        <w:gridCol w:w="36"/>
        <w:gridCol w:w="36"/>
        <w:gridCol w:w="36"/>
        <w:gridCol w:w="36"/>
        <w:gridCol w:w="80"/>
        <w:gridCol w:w="273"/>
        <w:gridCol w:w="36"/>
        <w:gridCol w:w="36"/>
        <w:gridCol w:w="36"/>
        <w:gridCol w:w="36"/>
        <w:gridCol w:w="120"/>
        <w:gridCol w:w="500"/>
        <w:gridCol w:w="36"/>
        <w:gridCol w:w="36"/>
        <w:gridCol w:w="36"/>
        <w:gridCol w:w="36"/>
        <w:gridCol w:w="121"/>
        <w:gridCol w:w="698"/>
        <w:gridCol w:w="36"/>
        <w:gridCol w:w="36"/>
        <w:gridCol w:w="36"/>
        <w:gridCol w:w="36"/>
        <w:gridCol w:w="121"/>
        <w:gridCol w:w="698"/>
        <w:gridCol w:w="37"/>
      </w:tblGrid>
      <w:tr w:rsidR="00000000">
        <w:trPr>
          <w:divId w:val="433941677"/>
          <w:jc w:val="center"/>
        </w:trPr>
        <w:tc>
          <w:tcPr>
            <w:tcW w:w="50" w:type="pct"/>
            <w:vAlign w:val="center"/>
            <w:hideMark/>
          </w:tcPr>
          <w:p w:rsidR="00000000" w:rsidRDefault="005D26B8">
            <w:pPr>
              <w:rPr>
                <w:rFonts w:eastAsia="Times New Roman"/>
              </w:rPr>
            </w:pPr>
          </w:p>
        </w:tc>
        <w:tc>
          <w:tcPr>
            <w:tcW w:w="171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3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5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4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7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3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433941677"/>
          <w:jc w:val="center"/>
        </w:trPr>
        <w:tc>
          <w:tcPr>
            <w:tcW w:w="0" w:type="auto"/>
            <w:gridSpan w:val="42"/>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20"/>
                <w:szCs w:val="20"/>
              </w:rPr>
              <w:t>Unaudited Pro Forma Condensed Combined Statement of Income</w:t>
            </w:r>
          </w:p>
        </w:tc>
      </w:tr>
      <w:tr w:rsidR="00000000">
        <w:trPr>
          <w:divId w:val="433941677"/>
          <w:jc w:val="center"/>
        </w:trPr>
        <w:tc>
          <w:tcPr>
            <w:tcW w:w="0" w:type="auto"/>
            <w:gridSpan w:val="42"/>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20"/>
                <w:szCs w:val="20"/>
              </w:rPr>
              <w:t>For the Three Quarters Ended September 27, 2019</w:t>
            </w:r>
          </w:p>
        </w:tc>
      </w:tr>
      <w:tr w:rsidR="00000000">
        <w:trPr>
          <w:divId w:val="433941677"/>
          <w:trHeight w:val="12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Two Quarters Ended June 28,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 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 September 27, 2019</w:t>
            </w:r>
          </w:p>
        </w:tc>
      </w:tr>
      <w:tr w:rsidR="00000000">
        <w:trPr>
          <w:divId w:val="433941677"/>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Harris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 xml:space="preserve">L3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r>
            <w:r>
              <w:rPr>
                <w:rFonts w:eastAsia="Times New Roman"/>
                <w:b/>
                <w:bCs/>
                <w:color w:val="000000"/>
                <w:sz w:val="16"/>
                <w:szCs w:val="16"/>
              </w:rPr>
              <w:t>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Note </w:t>
            </w:r>
            <w:r>
              <w:rPr>
                <w:rFonts w:eastAsia="Times New Roman"/>
                <w:b/>
                <w:bCs/>
                <w:color w:val="000000"/>
                <w:sz w:val="16"/>
                <w:szCs w:val="16"/>
              </w:rPr>
              <w:br/>
              <w:t>Ref.</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Pro Forma </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    L3Harris As Reported </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xml:space="preserve">Pro Forma </w:t>
            </w:r>
          </w:p>
        </w:tc>
      </w:tr>
      <w:tr w:rsidR="00000000">
        <w:trPr>
          <w:divId w:val="433941677"/>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5D26B8">
        <w:trPr>
          <w:divId w:val="43394167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3,593 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5,331 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8,834 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4,431 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13,265 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Cost of product sales and services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(2,362)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(3,875)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(3,242)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(9,423)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FFFF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(1,707)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(999)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(2,706)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d</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e</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f</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433941677"/>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Business divestiture-related gains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 xml:space="preserve">Merger, acquisition and divestiture related expenses </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Interest and other income, net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g</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Debt retirement charge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h</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i</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k</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Noncontrolling interest, net of income taxes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5D26B8">
        <w:trPr>
          <w:divId w:val="433941677"/>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Income from continuing operations attributable to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433941677"/>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Income from continuing operations per basic common share attributable to common shareholders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Income from continuing operations per diluted common share attributable to common shareholders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CCEE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118.1 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104.1 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l</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433941677"/>
          <w:jc w:val="center"/>
        </w:trPr>
        <w:tc>
          <w:tcPr>
            <w:tcW w:w="0" w:type="auto"/>
            <w:gridSpan w:val="3"/>
            <w:shd w:val="clear" w:color="auto" w:fill="FFFFFF"/>
            <w:tcMar>
              <w:top w:w="30" w:type="dxa"/>
              <w:left w:w="45" w:type="dxa"/>
              <w:bottom w:w="30" w:type="dxa"/>
              <w:right w:w="20" w:type="dxa"/>
            </w:tcMar>
            <w:vAlign w:val="bottom"/>
            <w:hideMark/>
          </w:tcPr>
          <w:p w:rsidR="00000000" w:rsidRDefault="005D26B8">
            <w:pPr>
              <w:ind w:hanging="45"/>
              <w:rPr>
                <w:rFonts w:eastAsia="Times New Roman"/>
              </w:rPr>
            </w:pPr>
            <w:r>
              <w:rPr>
                <w:rFonts w:eastAsia="Times New Roman"/>
                <w:color w:val="000000"/>
                <w:sz w:val="20"/>
                <w:szCs w:val="20"/>
              </w:rPr>
              <w:t>Diluted weighted 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120.7 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104.6 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l</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225.3 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1190872237"/>
        <w:rPr>
          <w:rFonts w:eastAsia="Times New Roman"/>
        </w:rPr>
      </w:pPr>
      <w:r>
        <w:rPr>
          <w:rFonts w:eastAsia="Times New Roman"/>
          <w:color w:val="000000"/>
          <w:sz w:val="20"/>
          <w:szCs w:val="20"/>
        </w:rPr>
        <w:t>Notes:</w:t>
      </w:r>
    </w:p>
    <w:p w:rsidR="00000000" w:rsidRDefault="005D26B8">
      <w:pPr>
        <w:ind w:hanging="270"/>
        <w:divId w:val="801078411"/>
        <w:rPr>
          <w:rFonts w:eastAsia="Times New Roman"/>
        </w:rPr>
      </w:pPr>
      <w:r>
        <w:rPr>
          <w:rFonts w:eastAsia="Times New Roman"/>
          <w:color w:val="000000"/>
          <w:sz w:val="20"/>
          <w:szCs w:val="20"/>
        </w:rPr>
        <w:t xml:space="preserve">a.Reflects the elimination of intercompany balances and transactions between </w:t>
      </w:r>
      <w:r>
        <w:rPr>
          <w:rFonts w:eastAsia="Times New Roman"/>
          <w:color w:val="000000"/>
          <w:sz w:val="20"/>
          <w:szCs w:val="20"/>
        </w:rPr>
        <w:t>L3 and Harris.</w:t>
      </w:r>
    </w:p>
    <w:p w:rsidR="00000000" w:rsidRDefault="005D26B8">
      <w:pPr>
        <w:ind w:hanging="270"/>
        <w:divId w:val="208419938"/>
        <w:rPr>
          <w:rFonts w:eastAsia="Times New Roman"/>
        </w:rPr>
      </w:pPr>
      <w:r>
        <w:rPr>
          <w:rFonts w:eastAsia="Times New Roman"/>
          <w:color w:val="000000"/>
          <w:sz w:val="20"/>
          <w:szCs w:val="20"/>
        </w:rPr>
        <w:t xml:space="preserve">b.Reflects the sale of the Harris Night Vision business. </w:t>
      </w:r>
    </w:p>
    <w:p w:rsidR="00000000" w:rsidRDefault="005D26B8">
      <w:pPr>
        <w:jc w:val="center"/>
        <w:divId w:val="666057531"/>
        <w:rPr>
          <w:rFonts w:eastAsia="Times New Roman"/>
        </w:rPr>
      </w:pPr>
      <w:r>
        <w:rPr>
          <w:rFonts w:eastAsia="Times New Roman"/>
          <w:color w:val="000000"/>
          <w:sz w:val="20"/>
          <w:szCs w:val="20"/>
        </w:rPr>
        <w:t>39</w:t>
      </w:r>
    </w:p>
    <w:p w:rsidR="00000000" w:rsidRDefault="005D26B8">
      <w:pPr>
        <w:rPr>
          <w:rFonts w:eastAsia="Times New Roman"/>
        </w:rPr>
      </w:pPr>
      <w:r>
        <w:rPr>
          <w:rFonts w:eastAsia="Times New Roman"/>
        </w:rPr>
        <w:pict>
          <v:rect id="_x0000_i1066" style="width:0;height:1.5pt" o:hralign="center" o:hrstd="t" o:hr="t" fillcolor="#a0a0a0" stroked="f"/>
        </w:pict>
      </w:r>
    </w:p>
    <w:p w:rsidR="00000000" w:rsidRDefault="005D26B8">
      <w:pPr>
        <w:divId w:val="126553578"/>
        <w:rPr>
          <w:rFonts w:eastAsia="Times New Roman"/>
        </w:rPr>
      </w:pPr>
    </w:p>
    <w:p w:rsidR="00000000" w:rsidRDefault="005D26B8">
      <w:pPr>
        <w:ind w:hanging="270"/>
        <w:divId w:val="1659726441"/>
        <w:rPr>
          <w:rFonts w:eastAsia="Times New Roman"/>
        </w:rPr>
      </w:pPr>
      <w:r>
        <w:rPr>
          <w:rFonts w:eastAsia="Times New Roman"/>
          <w:color w:val="000000"/>
          <w:sz w:val="20"/>
          <w:szCs w:val="20"/>
        </w:rPr>
        <w:t xml:space="preserve">c.Reflects the net increase in amortization expense related to the fair value of acquired finite-lived identifiable intangible assets and the </w:t>
      </w:r>
      <w:r>
        <w:rPr>
          <w:rFonts w:eastAsia="Times New Roman"/>
          <w:color w:val="000000"/>
          <w:sz w:val="20"/>
          <w:szCs w:val="20"/>
        </w:rPr>
        <w:t xml:space="preserve">elimination of historical amortization expense recognized by L3 for the two quarters ended June 28, 2019. Assumptions and details are as follows: </w:t>
      </w:r>
    </w:p>
    <w:tbl>
      <w:tblPr>
        <w:tblW w:w="4656" w:type="pct"/>
        <w:tblCellMar>
          <w:top w:w="15" w:type="dxa"/>
          <w:left w:w="15" w:type="dxa"/>
          <w:bottom w:w="15" w:type="dxa"/>
          <w:right w:w="15" w:type="dxa"/>
        </w:tblCellMar>
        <w:tblLook w:val="04A0" w:firstRow="1" w:lastRow="0" w:firstColumn="1" w:lastColumn="0" w:noHBand="0" w:noVBand="1"/>
      </w:tblPr>
      <w:tblGrid>
        <w:gridCol w:w="38"/>
        <w:gridCol w:w="4614"/>
        <w:gridCol w:w="37"/>
        <w:gridCol w:w="77"/>
        <w:gridCol w:w="872"/>
        <w:gridCol w:w="36"/>
        <w:gridCol w:w="36"/>
        <w:gridCol w:w="36"/>
        <w:gridCol w:w="36"/>
        <w:gridCol w:w="120"/>
        <w:gridCol w:w="616"/>
        <w:gridCol w:w="36"/>
        <w:gridCol w:w="36"/>
        <w:gridCol w:w="36"/>
        <w:gridCol w:w="36"/>
        <w:gridCol w:w="36"/>
        <w:gridCol w:w="36"/>
        <w:gridCol w:w="36"/>
        <w:gridCol w:w="36"/>
        <w:gridCol w:w="121"/>
        <w:gridCol w:w="772"/>
        <w:gridCol w:w="36"/>
      </w:tblGrid>
      <w:tr w:rsidR="00000000">
        <w:trPr>
          <w:divId w:val="1517885892"/>
        </w:trPr>
        <w:tc>
          <w:tcPr>
            <w:tcW w:w="50" w:type="pct"/>
            <w:vAlign w:val="center"/>
            <w:hideMark/>
          </w:tcPr>
          <w:p w:rsidR="00000000" w:rsidRDefault="005D26B8">
            <w:pPr>
              <w:ind w:hanging="270"/>
              <w:rPr>
                <w:rFonts w:eastAsia="Times New Roman"/>
              </w:rPr>
            </w:pPr>
          </w:p>
        </w:tc>
        <w:tc>
          <w:tcPr>
            <w:tcW w:w="308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7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7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7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517885892"/>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Weighted Average Amortization Period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Fair Value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Two Quarters ended June 28, 2019</w:t>
            </w:r>
          </w:p>
        </w:tc>
      </w:tr>
      <w:tr w:rsidR="00000000">
        <w:trPr>
          <w:divId w:val="1517885892"/>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hideMark/>
          </w:tcPr>
          <w:p w:rsidR="00000000" w:rsidRDefault="005D26B8">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1517885892"/>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51788589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20"/>
                <w:szCs w:val="20"/>
              </w:rPr>
              <w:t>Identifiable Intangible Assets Acquired:</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517885892"/>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xml:space="preserve">Customer relationships </w:t>
            </w:r>
          </w:p>
        </w:tc>
        <w:tc>
          <w:tcPr>
            <w:tcW w:w="0" w:type="auto"/>
            <w:gridSpan w:val="3"/>
            <w:shd w:val="clear" w:color="auto" w:fill="FFFF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rsidR="00000000" w:rsidRDefault="005D26B8">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5,417 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Trade names — Divisions</w:t>
            </w: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9</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Adjustment to engineering, selling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CCEE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Developed technology</w:t>
            </w:r>
          </w:p>
        </w:tc>
        <w:tc>
          <w:tcPr>
            <w:tcW w:w="0" w:type="auto"/>
            <w:gridSpan w:val="3"/>
            <w:shd w:val="clear" w:color="auto" w:fill="CCEEFF"/>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color w:val="000000"/>
                <w:sz w:val="20"/>
                <w:szCs w:val="20"/>
              </w:rPr>
              <w:t>7</w:t>
            </w:r>
          </w:p>
        </w:tc>
        <w:tc>
          <w:tcPr>
            <w:tcW w:w="0" w:type="auto"/>
            <w:gridSpan w:val="3"/>
            <w:shd w:val="clear" w:color="auto" w:fill="CCEEFF"/>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FFFFFF"/>
            <w:tcMar>
              <w:top w:w="30" w:type="dxa"/>
              <w:left w:w="1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xml:space="preserve">Less: L3 historical amortization </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Adjustment to cost of product sales and services</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Total net adjustment to amortization expense</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517885892"/>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_________</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517885892"/>
        </w:trPr>
        <w:tc>
          <w:tcPr>
            <w:tcW w:w="0" w:type="auto"/>
            <w:gridSpan w:val="16"/>
            <w:shd w:val="clear" w:color="auto" w:fill="FFFFFF"/>
            <w:tcMar>
              <w:top w:w="30" w:type="dxa"/>
              <w:left w:w="20" w:type="dxa"/>
              <w:bottom w:w="30" w:type="dxa"/>
              <w:right w:w="20" w:type="dxa"/>
            </w:tcMar>
            <w:vAlign w:val="bottom"/>
            <w:hideMark/>
          </w:tcPr>
          <w:p w:rsidR="00000000" w:rsidRDefault="005D26B8">
            <w:pPr>
              <w:divId w:val="1658915463"/>
              <w:rPr>
                <w:rFonts w:eastAsia="Times New Roman"/>
              </w:rPr>
            </w:pPr>
            <w:r>
              <w:rPr>
                <w:rFonts w:eastAsia="Times New Roman"/>
                <w:color w:val="000000"/>
                <w:sz w:val="16"/>
                <w:szCs w:val="16"/>
              </w:rPr>
              <w:t xml:space="preserve">(1) </w:t>
            </w:r>
            <w:r>
              <w:rPr>
                <w:rFonts w:eastAsia="Times New Roman"/>
                <w:color w:val="000000"/>
                <w:sz w:val="16"/>
                <w:szCs w:val="16"/>
              </w:rPr>
              <w:t>As of May 4, 2020, the date of filing our Current Report on Form 8-K.</w:t>
            </w: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bl>
    <w:p w:rsidR="00000000" w:rsidRDefault="005D26B8">
      <w:pPr>
        <w:ind w:hanging="270"/>
        <w:divId w:val="213196732"/>
        <w:rPr>
          <w:rFonts w:eastAsia="Times New Roman"/>
        </w:rPr>
      </w:pPr>
      <w:r>
        <w:rPr>
          <w:rFonts w:eastAsia="Times New Roman"/>
          <w:color w:val="000000"/>
          <w:sz w:val="20"/>
          <w:szCs w:val="20"/>
        </w:rPr>
        <w:t>d.</w:t>
      </w:r>
      <w:r>
        <w:rPr>
          <w:rFonts w:eastAsia="Times New Roman"/>
          <w:color w:val="000000"/>
          <w:sz w:val="20"/>
          <w:szCs w:val="20"/>
        </w:rPr>
        <w:t xml:space="preserve">Represents the elimination of transaction costs, which were included in merger, acquisition and divestiture related expenses in L3’s historical statement of operations and in engineering, selling and administrative expenses in Harris’ historical statement </w:t>
      </w:r>
      <w:r>
        <w:rPr>
          <w:rFonts w:eastAsia="Times New Roman"/>
          <w:color w:val="000000"/>
          <w:sz w:val="20"/>
          <w:szCs w:val="20"/>
        </w:rPr>
        <w:t>of income.</w:t>
      </w:r>
    </w:p>
    <w:p w:rsidR="00000000" w:rsidRDefault="005D26B8">
      <w:pPr>
        <w:ind w:hanging="270"/>
        <w:divId w:val="1957515474"/>
        <w:rPr>
          <w:rFonts w:eastAsia="Times New Roman"/>
        </w:rPr>
      </w:pPr>
      <w:r>
        <w:rPr>
          <w:rFonts w:eastAsia="Times New Roman"/>
          <w:color w:val="000000"/>
          <w:sz w:val="20"/>
          <w:szCs w:val="20"/>
        </w:rPr>
        <w:t xml:space="preserve">e.In connection with the L3Harris Merger, on October 12, 2018, each company entered into a letter of agreement with its chief executive officer, to outline the terms of each such person’s role and compensation arrangements following the merger. </w:t>
      </w:r>
      <w:r>
        <w:rPr>
          <w:rFonts w:eastAsia="Times New Roman"/>
          <w:color w:val="000000"/>
          <w:sz w:val="20"/>
          <w:szCs w:val="20"/>
        </w:rPr>
        <w:t>Amounts shown reflect the increase in compensation expense as a result of these modified arrangements.</w:t>
      </w:r>
    </w:p>
    <w:p w:rsidR="00000000" w:rsidRDefault="005D26B8">
      <w:pPr>
        <w:ind w:hanging="270"/>
        <w:divId w:val="849486251"/>
        <w:rPr>
          <w:rFonts w:eastAsia="Times New Roman"/>
        </w:rPr>
      </w:pPr>
      <w:r>
        <w:rPr>
          <w:rFonts w:eastAsia="Times New Roman"/>
          <w:color w:val="000000"/>
          <w:sz w:val="20"/>
          <w:szCs w:val="20"/>
        </w:rPr>
        <w:t>f.</w:t>
      </w:r>
      <w:r>
        <w:rPr>
          <w:rFonts w:eastAsia="Times New Roman"/>
          <w:color w:val="000000"/>
          <w:sz w:val="20"/>
          <w:szCs w:val="20"/>
        </w:rPr>
        <w:t>Reflects the impact of change-in-control payments under certain post-retirement and share-based and deferred compensation arrangements.</w:t>
      </w:r>
    </w:p>
    <w:p w:rsidR="00000000" w:rsidRDefault="005D26B8">
      <w:pPr>
        <w:ind w:hanging="270"/>
        <w:divId w:val="692654987"/>
        <w:rPr>
          <w:rFonts w:eastAsia="Times New Roman"/>
        </w:rPr>
      </w:pPr>
      <w:r>
        <w:rPr>
          <w:rFonts w:eastAsia="Times New Roman"/>
          <w:color w:val="000000"/>
          <w:sz w:val="20"/>
          <w:szCs w:val="20"/>
        </w:rPr>
        <w:t>g.Reflects the elimination of amortization of net actuarial losses from accumulated comprehensive loss related to L3’s p</w:t>
      </w:r>
      <w:r>
        <w:rPr>
          <w:rFonts w:eastAsia="Times New Roman"/>
          <w:color w:val="000000"/>
          <w:sz w:val="20"/>
          <w:szCs w:val="20"/>
        </w:rPr>
        <w:t>ostretirement benefit plans as part of purchase accounting.</w:t>
      </w:r>
    </w:p>
    <w:p w:rsidR="00000000" w:rsidRDefault="005D26B8">
      <w:pPr>
        <w:ind w:hanging="270"/>
        <w:divId w:val="1328166262"/>
        <w:rPr>
          <w:rFonts w:eastAsia="Times New Roman"/>
        </w:rPr>
      </w:pPr>
      <w:r>
        <w:rPr>
          <w:rFonts w:eastAsia="Times New Roman"/>
          <w:color w:val="000000"/>
          <w:sz w:val="20"/>
          <w:szCs w:val="20"/>
        </w:rPr>
        <w:t>h.Reflects the elimination of amortization of deferred debt issuance costs as part of purchase accounting.</w:t>
      </w:r>
    </w:p>
    <w:p w:rsidR="00000000" w:rsidRDefault="005D26B8">
      <w:pPr>
        <w:ind w:hanging="270"/>
        <w:divId w:val="329523955"/>
        <w:rPr>
          <w:rFonts w:eastAsia="Times New Roman"/>
        </w:rPr>
      </w:pPr>
      <w:r>
        <w:rPr>
          <w:rFonts w:eastAsia="Times New Roman"/>
          <w:color w:val="000000"/>
          <w:sz w:val="20"/>
          <w:szCs w:val="20"/>
        </w:rPr>
        <w:t>i.Reflects amortization of the increase to L3’s long-term debt based on a $172 million fa</w:t>
      </w:r>
      <w:r>
        <w:rPr>
          <w:rFonts w:eastAsia="Times New Roman"/>
          <w:color w:val="000000"/>
          <w:sz w:val="20"/>
          <w:szCs w:val="20"/>
        </w:rPr>
        <w:t>ir value adjustment.</w:t>
      </w:r>
    </w:p>
    <w:p w:rsidR="00000000" w:rsidRDefault="005D26B8">
      <w:pPr>
        <w:ind w:hanging="270"/>
        <w:divId w:val="1191338073"/>
        <w:rPr>
          <w:rFonts w:eastAsia="Times New Roman"/>
        </w:rPr>
      </w:pPr>
      <w:r>
        <w:rPr>
          <w:rFonts w:eastAsia="Times New Roman"/>
          <w:color w:val="000000"/>
          <w:sz w:val="20"/>
          <w:szCs w:val="20"/>
        </w:rPr>
        <w:t>j.Certain amounts from L3’s historical statement of operations data were reclassified to conform their presentation to that of Harris. These reclassifications include:</w:t>
      </w:r>
    </w:p>
    <w:p w:rsidR="00000000" w:rsidRDefault="005D26B8">
      <w:pPr>
        <w:ind w:hanging="180"/>
        <w:divId w:val="1274901669"/>
        <w:rPr>
          <w:rFonts w:eastAsia="Times New Roman"/>
        </w:rPr>
      </w:pPr>
      <w:r>
        <w:rPr>
          <w:rFonts w:eastAsia="Times New Roman"/>
          <w:color w:val="000000"/>
          <w:sz w:val="20"/>
          <w:szCs w:val="20"/>
        </w:rPr>
        <w:t xml:space="preserve">1.Merger, acquisition and divestiture-related expenses, which were </w:t>
      </w:r>
      <w:r>
        <w:rPr>
          <w:rFonts w:eastAsia="Times New Roman"/>
          <w:color w:val="000000"/>
          <w:sz w:val="20"/>
          <w:szCs w:val="20"/>
        </w:rPr>
        <w:t>reclassified to engineering, selling and administrative expenses; and</w:t>
      </w:r>
    </w:p>
    <w:p w:rsidR="00000000" w:rsidRDefault="005D26B8">
      <w:pPr>
        <w:ind w:hanging="180"/>
        <w:divId w:val="2044087492"/>
        <w:rPr>
          <w:rFonts w:eastAsia="Times New Roman"/>
        </w:rPr>
      </w:pPr>
      <w:r>
        <w:rPr>
          <w:rFonts w:eastAsia="Times New Roman"/>
          <w:color w:val="000000"/>
          <w:sz w:val="20"/>
          <w:szCs w:val="20"/>
        </w:rPr>
        <w:t>2.Interest and other income, net, which was reclassified to interest income.</w:t>
      </w:r>
    </w:p>
    <w:p w:rsidR="00000000" w:rsidRDefault="005D26B8">
      <w:pPr>
        <w:ind w:hanging="270"/>
        <w:divId w:val="125439773"/>
        <w:rPr>
          <w:rFonts w:eastAsia="Times New Roman"/>
        </w:rPr>
      </w:pPr>
      <w:r>
        <w:rPr>
          <w:rFonts w:eastAsia="Times New Roman"/>
          <w:color w:val="000000"/>
          <w:sz w:val="20"/>
          <w:szCs w:val="20"/>
        </w:rPr>
        <w:t>k.Represents the income tax impact of the pro forma adjustments, using the blended worldwide tax rates for L3</w:t>
      </w:r>
      <w:r>
        <w:rPr>
          <w:rFonts w:eastAsia="Times New Roman"/>
          <w:color w:val="000000"/>
          <w:sz w:val="20"/>
          <w:szCs w:val="20"/>
        </w:rPr>
        <w:t>, in the case of pro forma adjustments to L3’s historical results, and the federal and state statutory tax rates for Harris, in the case of pro forma adjustments to Harris’ historical results. As a result, the combined statutory tax rate used to tax-effect</w:t>
      </w:r>
      <w:r>
        <w:rPr>
          <w:rFonts w:eastAsia="Times New Roman"/>
          <w:color w:val="000000"/>
          <w:sz w:val="20"/>
          <w:szCs w:val="20"/>
        </w:rPr>
        <w:t xml:space="preserve"> the pro forma adjustments was approximately 25.0 percent for the two quarters ended June 28, 2019. This tax rate does not represent the combined company’s effective tax rate, which will include other tax charges and benefits, and does not take into accoun</w:t>
      </w:r>
      <w:r>
        <w:rPr>
          <w:rFonts w:eastAsia="Times New Roman"/>
          <w:color w:val="000000"/>
          <w:sz w:val="20"/>
          <w:szCs w:val="20"/>
        </w:rPr>
        <w:t>t any historical or possible future tax events that may impact the combined company following the consummation of the L3Harris Merger.</w:t>
      </w:r>
    </w:p>
    <w:p w:rsidR="00000000" w:rsidRDefault="005D26B8">
      <w:pPr>
        <w:ind w:hanging="270"/>
        <w:divId w:val="1289968684"/>
        <w:rPr>
          <w:rFonts w:eastAsia="Times New Roman"/>
        </w:rPr>
      </w:pPr>
      <w:r>
        <w:rPr>
          <w:rFonts w:eastAsia="Times New Roman"/>
          <w:color w:val="000000"/>
          <w:sz w:val="20"/>
          <w:szCs w:val="20"/>
        </w:rPr>
        <w:t>l.Increase in common stock due to shares of L3Harris common stock issued for outstanding L3 common stock and in respect o</w:t>
      </w:r>
      <w:r>
        <w:rPr>
          <w:rFonts w:eastAsia="Times New Roman"/>
          <w:color w:val="000000"/>
          <w:sz w:val="20"/>
          <w:szCs w:val="20"/>
        </w:rPr>
        <w:t>f vested L3 restricted stock units and L3 performance stock units. Diluted shares also include the dilutive impact of L3Harris stock options issued in replacement of L3 stock options calculated using the treasury stock method.</w:t>
      </w:r>
    </w:p>
    <w:p w:rsidR="00000000" w:rsidRDefault="005D26B8">
      <w:pPr>
        <w:jc w:val="center"/>
        <w:divId w:val="499347221"/>
        <w:rPr>
          <w:rFonts w:eastAsia="Times New Roman"/>
        </w:rPr>
      </w:pPr>
      <w:r>
        <w:rPr>
          <w:rFonts w:eastAsia="Times New Roman"/>
          <w:color w:val="000000"/>
          <w:sz w:val="20"/>
          <w:szCs w:val="20"/>
        </w:rPr>
        <w:t>40</w:t>
      </w:r>
    </w:p>
    <w:p w:rsidR="00000000" w:rsidRDefault="005D26B8">
      <w:pPr>
        <w:rPr>
          <w:rFonts w:eastAsia="Times New Roman"/>
        </w:rPr>
      </w:pPr>
      <w:r>
        <w:rPr>
          <w:rFonts w:eastAsia="Times New Roman"/>
        </w:rPr>
        <w:pict>
          <v:rect id="_x0000_i1067" style="width:0;height:1.5pt" o:hralign="center" o:hrstd="t" o:hr="t" fillcolor="#a0a0a0" stroked="f"/>
        </w:pict>
      </w:r>
    </w:p>
    <w:p w:rsidR="00000000" w:rsidRDefault="005D26B8">
      <w:pPr>
        <w:divId w:val="1913419574"/>
        <w:rPr>
          <w:rFonts w:eastAsia="Times New Roman"/>
        </w:rPr>
      </w:pPr>
    </w:p>
    <w:p w:rsidR="00000000" w:rsidRDefault="005D26B8">
      <w:pPr>
        <w:jc w:val="both"/>
        <w:divId w:val="1806465403"/>
        <w:rPr>
          <w:rFonts w:eastAsia="Times New Roman"/>
        </w:rPr>
      </w:pPr>
      <w:r>
        <w:rPr>
          <w:rFonts w:eastAsia="Times New Roman"/>
          <w:b/>
          <w:bCs/>
          <w:color w:val="000000"/>
          <w:sz w:val="20"/>
          <w:szCs w:val="20"/>
        </w:rPr>
        <w:t>Discussion of Business Segment Results of Operations</w:t>
      </w:r>
    </w:p>
    <w:p w:rsidR="00000000" w:rsidRDefault="005D26B8">
      <w:pPr>
        <w:divId w:val="185561458"/>
        <w:rPr>
          <w:rFonts w:eastAsia="Times New Roman"/>
        </w:rPr>
      </w:pPr>
      <w:r>
        <w:rPr>
          <w:rFonts w:eastAsia="Times New Roman"/>
          <w:b/>
          <w:bCs/>
          <w:color w:val="000000"/>
          <w:sz w:val="20"/>
          <w:szCs w:val="20"/>
        </w:rPr>
        <w:t>Integrated Mission Systems</w:t>
      </w:r>
    </w:p>
    <w:tbl>
      <w:tblPr>
        <w:tblW w:w="3793" w:type="pct"/>
        <w:tblCellMar>
          <w:top w:w="15" w:type="dxa"/>
          <w:left w:w="15" w:type="dxa"/>
          <w:bottom w:w="15" w:type="dxa"/>
          <w:right w:w="15" w:type="dxa"/>
        </w:tblCellMar>
        <w:tblLook w:val="04A0" w:firstRow="1" w:lastRow="0" w:firstColumn="1" w:lastColumn="0" w:noHBand="0" w:noVBand="1"/>
      </w:tblPr>
      <w:tblGrid>
        <w:gridCol w:w="39"/>
        <w:gridCol w:w="2957"/>
        <w:gridCol w:w="38"/>
        <w:gridCol w:w="120"/>
        <w:gridCol w:w="836"/>
        <w:gridCol w:w="187"/>
        <w:gridCol w:w="36"/>
        <w:gridCol w:w="36"/>
        <w:gridCol w:w="36"/>
        <w:gridCol w:w="120"/>
        <w:gridCol w:w="748"/>
        <w:gridCol w:w="187"/>
        <w:gridCol w:w="36"/>
        <w:gridCol w:w="36"/>
        <w:gridCol w:w="36"/>
        <w:gridCol w:w="53"/>
        <w:gridCol w:w="613"/>
        <w:gridCol w:w="187"/>
      </w:tblGrid>
      <w:tr w:rsidR="00000000">
        <w:trPr>
          <w:divId w:val="318121451"/>
        </w:trPr>
        <w:tc>
          <w:tcPr>
            <w:tcW w:w="50" w:type="pct"/>
            <w:vAlign w:val="center"/>
            <w:hideMark/>
          </w:tcPr>
          <w:p w:rsidR="00000000" w:rsidRDefault="005D26B8">
            <w:pPr>
              <w:rPr>
                <w:rFonts w:eastAsia="Times New Roman"/>
              </w:rPr>
            </w:pPr>
          </w:p>
        </w:tc>
        <w:tc>
          <w:tcPr>
            <w:tcW w:w="25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318121451"/>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r>
      <w:tr w:rsidR="00000000">
        <w:trPr>
          <w:divId w:val="318121451"/>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318121451"/>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r>
      <w:tr w:rsidR="00000000">
        <w:trPr>
          <w:divId w:val="318121451"/>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318121451"/>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1,372 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1,292 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318121451"/>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318121451"/>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318121451"/>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318121451"/>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318121451"/>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318121451"/>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318121451"/>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tbl>
      <w:tblPr>
        <w:tblW w:w="4941" w:type="pct"/>
        <w:jc w:val="center"/>
        <w:tblCellMar>
          <w:top w:w="15" w:type="dxa"/>
          <w:left w:w="15" w:type="dxa"/>
          <w:bottom w:w="15" w:type="dxa"/>
          <w:right w:w="15" w:type="dxa"/>
        </w:tblCellMar>
        <w:tblLook w:val="04A0" w:firstRow="1" w:lastRow="0" w:firstColumn="1" w:lastColumn="0" w:noHBand="0" w:noVBand="1"/>
      </w:tblPr>
      <w:tblGrid>
        <w:gridCol w:w="144"/>
        <w:gridCol w:w="3102"/>
        <w:gridCol w:w="144"/>
        <w:gridCol w:w="144"/>
        <w:gridCol w:w="965"/>
        <w:gridCol w:w="144"/>
        <w:gridCol w:w="144"/>
        <w:gridCol w:w="144"/>
        <w:gridCol w:w="144"/>
        <w:gridCol w:w="144"/>
        <w:gridCol w:w="965"/>
        <w:gridCol w:w="144"/>
        <w:gridCol w:w="144"/>
        <w:gridCol w:w="144"/>
        <w:gridCol w:w="144"/>
        <w:gridCol w:w="144"/>
        <w:gridCol w:w="710"/>
        <w:gridCol w:w="144"/>
        <w:gridCol w:w="144"/>
        <w:gridCol w:w="144"/>
        <w:gridCol w:w="144"/>
        <w:gridCol w:w="144"/>
        <w:gridCol w:w="965"/>
        <w:gridCol w:w="144"/>
        <w:gridCol w:w="144"/>
        <w:gridCol w:w="144"/>
        <w:gridCol w:w="144"/>
        <w:gridCol w:w="144"/>
        <w:gridCol w:w="710"/>
        <w:gridCol w:w="144"/>
      </w:tblGrid>
      <w:tr w:rsidR="00000000">
        <w:trPr>
          <w:jc w:val="center"/>
        </w:trPr>
        <w:tc>
          <w:tcPr>
            <w:tcW w:w="50" w:type="pct"/>
            <w:vAlign w:val="center"/>
            <w:hideMark/>
          </w:tcPr>
          <w:p w:rsidR="00000000" w:rsidRDefault="005D26B8">
            <w:pPr>
              <w:rPr>
                <w:rFonts w:eastAsia="Times New Roman"/>
              </w:rPr>
            </w:pPr>
          </w:p>
        </w:tc>
        <w:tc>
          <w:tcPr>
            <w:tcW w:w="18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Pro Forma</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4,073 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1,317 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3,894 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p w:rsidR="00000000" w:rsidRDefault="005D26B8">
      <w:pPr>
        <w:divId w:val="1886479135"/>
        <w:rPr>
          <w:rFonts w:eastAsia="Times New Roman"/>
        </w:rPr>
      </w:pPr>
      <w:r>
        <w:rPr>
          <w:rFonts w:eastAsia="Times New Roman"/>
          <w:color w:val="000000"/>
          <w:sz w:val="16"/>
          <w:szCs w:val="16"/>
        </w:rPr>
        <w:t>_______________</w:t>
      </w:r>
    </w:p>
    <w:p w:rsidR="00000000" w:rsidRDefault="005D26B8">
      <w:pPr>
        <w:ind w:hanging="270"/>
        <w:divId w:val="1032733068"/>
        <w:rPr>
          <w:rFonts w:eastAsia="Times New Roman"/>
        </w:rPr>
      </w:pPr>
      <w:r>
        <w:rPr>
          <w:rFonts w:eastAsia="Times New Roman"/>
          <w:color w:val="000000"/>
          <w:sz w:val="16"/>
          <w:szCs w:val="16"/>
        </w:rPr>
        <w:t>*    Not meaningful</w:t>
      </w:r>
    </w:p>
    <w:p w:rsidR="00000000" w:rsidRDefault="005D26B8">
      <w:pPr>
        <w:divId w:val="1045174371"/>
        <w:rPr>
          <w:rFonts w:eastAsia="Times New Roman"/>
        </w:rPr>
      </w:pPr>
      <w:r>
        <w:rPr>
          <w:rFonts w:eastAsia="Times New Roman"/>
          <w:b/>
          <w:bCs/>
          <w:color w:val="000000"/>
          <w:sz w:val="20"/>
          <w:szCs w:val="20"/>
        </w:rPr>
        <w:t>As Reported</w:t>
      </w:r>
    </w:p>
    <w:p w:rsidR="00000000" w:rsidRDefault="005D26B8">
      <w:pPr>
        <w:ind w:firstLine="450"/>
        <w:divId w:val="333536458"/>
        <w:rPr>
          <w:rFonts w:eastAsia="Times New Roman"/>
        </w:rPr>
      </w:pPr>
      <w:r>
        <w:rPr>
          <w:rFonts w:eastAsia="Times New Roman"/>
          <w:i/>
          <w:iCs/>
          <w:color w:val="000000"/>
          <w:sz w:val="20"/>
          <w:szCs w:val="20"/>
        </w:rPr>
        <w:t>Quarter Ended October 2, 2020 Compared Wit</w:t>
      </w:r>
      <w:r>
        <w:rPr>
          <w:rFonts w:eastAsia="Times New Roman"/>
          <w:i/>
          <w:iCs/>
          <w:color w:val="000000"/>
          <w:sz w:val="20"/>
          <w:szCs w:val="20"/>
        </w:rPr>
        <w:t xml:space="preserve">h Quarter Ended September 27, 2019: </w:t>
      </w:r>
      <w:r>
        <w:rPr>
          <w:rFonts w:eastAsia="Times New Roman"/>
          <w:color w:val="000000"/>
          <w:sz w:val="20"/>
          <w:szCs w:val="20"/>
        </w:rPr>
        <w:t>The increase in segment revenue in the quarter ended October 2, 2020 compared with the quarter ended September 27, 2019 was primarily due to $52 million of higher revenue in Maritime, from a ramp in manned and classified</w:t>
      </w:r>
      <w:r>
        <w:rPr>
          <w:rFonts w:eastAsia="Times New Roman"/>
          <w:color w:val="000000"/>
          <w:sz w:val="20"/>
          <w:szCs w:val="20"/>
        </w:rPr>
        <w:t xml:space="preserve"> platforms, and $40 million of higher revenue in ISR, driven by aircraft missionization demand, partially offset by lower revenue in Electro Optical due to program timing. </w:t>
      </w:r>
    </w:p>
    <w:p w:rsidR="00000000" w:rsidRDefault="005D26B8">
      <w:pPr>
        <w:ind w:firstLine="450"/>
        <w:divId w:val="1378117969"/>
        <w:rPr>
          <w:rFonts w:eastAsia="Times New Roman"/>
        </w:rPr>
      </w:pPr>
      <w:r>
        <w:rPr>
          <w:rFonts w:eastAsia="Times New Roman"/>
          <w:color w:val="000000"/>
          <w:sz w:val="20"/>
          <w:szCs w:val="20"/>
        </w:rPr>
        <w:t>The increases in segment operating income and operating income as a percentage of revenue (“operating margin percentage”) in the quarter ended October 2, 2020 compared with the quarter ended September 27, 2019 were primarily due to higher volume, operation</w:t>
      </w:r>
      <w:r>
        <w:rPr>
          <w:rFonts w:eastAsia="Times New Roman"/>
          <w:color w:val="000000"/>
          <w:sz w:val="20"/>
          <w:szCs w:val="20"/>
        </w:rPr>
        <w:t>al excellence and integration benefits, partially offset by higher investments.</w:t>
      </w:r>
    </w:p>
    <w:p w:rsidR="00000000" w:rsidRDefault="005D26B8">
      <w:pPr>
        <w:ind w:firstLine="450"/>
        <w:divId w:val="1688558679"/>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changes in segment revenue, operating income and operating margin percentage for</w:t>
      </w:r>
      <w:r>
        <w:rPr>
          <w:rFonts w:eastAsia="Times New Roman"/>
          <w:color w:val="000000"/>
          <w:sz w:val="20"/>
          <w:szCs w:val="20"/>
        </w:rPr>
        <w:t xml:space="preserve"> the three quarters ended October 2, 2020 compared with the three quarters ended September 27, 2019 were primarily due to the inclusion of L3 operations in segment operating results for the two quarters ended July 3, 2020 (but not for the comparable prior-</w:t>
      </w:r>
      <w:r>
        <w:rPr>
          <w:rFonts w:eastAsia="Times New Roman"/>
          <w:color w:val="000000"/>
          <w:sz w:val="20"/>
          <w:szCs w:val="20"/>
        </w:rPr>
        <w:t xml:space="preserve">year two quarters preceding the L3Harris Merger). Because our Integrated Mission Systems segment is almost entirely comprised of L3 businesses, comparisons to the three quarters ended September 27, 2019 segment operating metrics are not meaningful. </w:t>
      </w:r>
    </w:p>
    <w:p w:rsidR="00000000" w:rsidRDefault="005D26B8">
      <w:pPr>
        <w:divId w:val="588387812"/>
        <w:rPr>
          <w:rFonts w:eastAsia="Times New Roman"/>
        </w:rPr>
      </w:pPr>
      <w:r>
        <w:rPr>
          <w:rFonts w:eastAsia="Times New Roman"/>
          <w:b/>
          <w:bCs/>
          <w:color w:val="000000"/>
          <w:sz w:val="20"/>
          <w:szCs w:val="20"/>
        </w:rPr>
        <w:t>Pro Fo</w:t>
      </w:r>
      <w:r>
        <w:rPr>
          <w:rFonts w:eastAsia="Times New Roman"/>
          <w:b/>
          <w:bCs/>
          <w:color w:val="000000"/>
          <w:sz w:val="20"/>
          <w:szCs w:val="20"/>
        </w:rPr>
        <w:t>rma</w:t>
      </w:r>
    </w:p>
    <w:p w:rsidR="00000000" w:rsidRDefault="005D26B8">
      <w:pPr>
        <w:ind w:firstLine="450"/>
        <w:divId w:val="1399471784"/>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 in segment revenue in the three quarters ended October 2, 2020 compared with the three quarters ended September 27, 2019 was due to growth in all t</w:t>
      </w:r>
      <w:r>
        <w:rPr>
          <w:rFonts w:eastAsia="Times New Roman"/>
          <w:color w:val="000000"/>
          <w:sz w:val="20"/>
          <w:szCs w:val="20"/>
        </w:rPr>
        <w:t>hree businesses, including $126 million of higher revenue in Maritime, $42 million of higher revenue in ISR and higher revenue in Electro Optical.</w:t>
      </w:r>
    </w:p>
    <w:p w:rsidR="00000000" w:rsidRDefault="005D26B8">
      <w:pPr>
        <w:ind w:firstLine="450"/>
        <w:divId w:val="1196308890"/>
        <w:rPr>
          <w:rFonts w:eastAsia="Times New Roman"/>
        </w:rPr>
      </w:pPr>
      <w:r>
        <w:rPr>
          <w:rFonts w:eastAsia="Times New Roman"/>
          <w:color w:val="000000"/>
          <w:sz w:val="20"/>
          <w:szCs w:val="20"/>
        </w:rPr>
        <w:t>The increases in segment operating income and operating margin percentage in the three quarters ended October</w:t>
      </w:r>
      <w:r>
        <w:rPr>
          <w:rFonts w:eastAsia="Times New Roman"/>
          <w:color w:val="000000"/>
          <w:sz w:val="20"/>
          <w:szCs w:val="20"/>
        </w:rPr>
        <w:t xml:space="preserve"> 2, 2020 compared with the three quarters ended September 27, 2019 were primarily due to operational excellence, integration benefits and higher volume, partially offset by higher investments.</w:t>
      </w:r>
    </w:p>
    <w:p w:rsidR="00000000" w:rsidRDefault="005D26B8">
      <w:pPr>
        <w:jc w:val="center"/>
        <w:divId w:val="1761489716"/>
        <w:rPr>
          <w:rFonts w:eastAsia="Times New Roman"/>
        </w:rPr>
      </w:pPr>
      <w:r>
        <w:rPr>
          <w:rFonts w:eastAsia="Times New Roman"/>
          <w:color w:val="000000"/>
          <w:sz w:val="20"/>
          <w:szCs w:val="20"/>
        </w:rPr>
        <w:t>41</w:t>
      </w:r>
    </w:p>
    <w:p w:rsidR="00000000" w:rsidRDefault="005D26B8">
      <w:pPr>
        <w:rPr>
          <w:rFonts w:eastAsia="Times New Roman"/>
        </w:rPr>
      </w:pPr>
      <w:r>
        <w:rPr>
          <w:rFonts w:eastAsia="Times New Roman"/>
        </w:rPr>
        <w:pict>
          <v:rect id="_x0000_i1068" style="width:0;height:1.5pt" o:hralign="center" o:hrstd="t" o:hr="t" fillcolor="#a0a0a0" stroked="f"/>
        </w:pict>
      </w:r>
    </w:p>
    <w:p w:rsidR="00000000" w:rsidRDefault="005D26B8">
      <w:pPr>
        <w:divId w:val="653949285"/>
        <w:rPr>
          <w:rFonts w:eastAsia="Times New Roman"/>
        </w:rPr>
      </w:pPr>
    </w:p>
    <w:p w:rsidR="00000000" w:rsidRDefault="005D26B8">
      <w:pPr>
        <w:divId w:val="2045596159"/>
        <w:rPr>
          <w:rFonts w:eastAsia="Times New Roman"/>
        </w:rPr>
      </w:pPr>
      <w:r>
        <w:rPr>
          <w:rFonts w:eastAsia="Times New Roman"/>
          <w:b/>
          <w:bCs/>
          <w:color w:val="000000"/>
          <w:sz w:val="20"/>
          <w:szCs w:val="20"/>
        </w:rPr>
        <w:t>Space and Airborne Systems</w:t>
      </w:r>
    </w:p>
    <w:tbl>
      <w:tblPr>
        <w:tblW w:w="3793" w:type="pct"/>
        <w:tblCellMar>
          <w:top w:w="15" w:type="dxa"/>
          <w:left w:w="15" w:type="dxa"/>
          <w:bottom w:w="15" w:type="dxa"/>
          <w:right w:w="15" w:type="dxa"/>
        </w:tblCellMar>
        <w:tblLook w:val="04A0" w:firstRow="1" w:lastRow="0" w:firstColumn="1" w:lastColumn="0" w:noHBand="0" w:noVBand="1"/>
      </w:tblPr>
      <w:tblGrid>
        <w:gridCol w:w="39"/>
        <w:gridCol w:w="2957"/>
        <w:gridCol w:w="38"/>
        <w:gridCol w:w="120"/>
        <w:gridCol w:w="836"/>
        <w:gridCol w:w="187"/>
        <w:gridCol w:w="36"/>
        <w:gridCol w:w="36"/>
        <w:gridCol w:w="36"/>
        <w:gridCol w:w="120"/>
        <w:gridCol w:w="748"/>
        <w:gridCol w:w="187"/>
        <w:gridCol w:w="36"/>
        <w:gridCol w:w="36"/>
        <w:gridCol w:w="36"/>
        <w:gridCol w:w="53"/>
        <w:gridCol w:w="613"/>
        <w:gridCol w:w="187"/>
      </w:tblGrid>
      <w:tr w:rsidR="00000000">
        <w:trPr>
          <w:divId w:val="850948664"/>
        </w:trPr>
        <w:tc>
          <w:tcPr>
            <w:tcW w:w="50" w:type="pct"/>
            <w:vAlign w:val="center"/>
            <w:hideMark/>
          </w:tcPr>
          <w:p w:rsidR="00000000" w:rsidRDefault="005D26B8">
            <w:pPr>
              <w:rPr>
                <w:rFonts w:eastAsia="Times New Roman"/>
              </w:rPr>
            </w:pPr>
          </w:p>
        </w:tc>
        <w:tc>
          <w:tcPr>
            <w:tcW w:w="25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85094866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r>
      <w:tr w:rsidR="00000000">
        <w:trPr>
          <w:divId w:val="850948664"/>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85094866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r>
      <w:tr w:rsidR="00000000">
        <w:trPr>
          <w:divId w:val="850948664"/>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divId w:val="850948664"/>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850948664"/>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85094866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85094866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85094866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850948664"/>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850948664"/>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850948664"/>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101"/>
        <w:gridCol w:w="144"/>
        <w:gridCol w:w="144"/>
        <w:gridCol w:w="964"/>
        <w:gridCol w:w="144"/>
        <w:gridCol w:w="144"/>
        <w:gridCol w:w="144"/>
        <w:gridCol w:w="144"/>
        <w:gridCol w:w="144"/>
        <w:gridCol w:w="964"/>
        <w:gridCol w:w="144"/>
        <w:gridCol w:w="144"/>
        <w:gridCol w:w="144"/>
        <w:gridCol w:w="144"/>
        <w:gridCol w:w="144"/>
        <w:gridCol w:w="722"/>
        <w:gridCol w:w="144"/>
        <w:gridCol w:w="144"/>
        <w:gridCol w:w="144"/>
        <w:gridCol w:w="144"/>
        <w:gridCol w:w="144"/>
        <w:gridCol w:w="964"/>
        <w:gridCol w:w="144"/>
        <w:gridCol w:w="144"/>
        <w:gridCol w:w="144"/>
        <w:gridCol w:w="144"/>
        <w:gridCol w:w="144"/>
        <w:gridCol w:w="722"/>
        <w:gridCol w:w="144"/>
      </w:tblGrid>
      <w:tr w:rsidR="00000000">
        <w:trPr>
          <w:jc w:val="center"/>
        </w:trPr>
        <w:tc>
          <w:tcPr>
            <w:tcW w:w="50" w:type="pct"/>
            <w:vAlign w:val="center"/>
            <w:hideMark/>
          </w:tcPr>
          <w:p w:rsidR="00000000" w:rsidRDefault="005D26B8">
            <w:pPr>
              <w:rPr>
                <w:rFonts w:eastAsia="Times New Roman"/>
              </w:rPr>
            </w:pPr>
          </w:p>
        </w:tc>
        <w:tc>
          <w:tcPr>
            <w:tcW w:w="188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Pro Forma</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3,485 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p w:rsidR="00000000" w:rsidRDefault="005D26B8">
      <w:pPr>
        <w:divId w:val="725376575"/>
        <w:rPr>
          <w:rFonts w:eastAsia="Times New Roman"/>
        </w:rPr>
      </w:pPr>
      <w:r>
        <w:rPr>
          <w:rFonts w:eastAsia="Times New Roman"/>
          <w:b/>
          <w:bCs/>
          <w:color w:val="000000"/>
          <w:sz w:val="20"/>
          <w:szCs w:val="20"/>
        </w:rPr>
        <w:t>As Reported</w:t>
      </w:r>
    </w:p>
    <w:p w:rsidR="00000000" w:rsidRDefault="005D26B8">
      <w:pPr>
        <w:ind w:firstLine="450"/>
        <w:divId w:val="876431520"/>
        <w:rPr>
          <w:rFonts w:eastAsia="Times New Roman"/>
        </w:rPr>
      </w:pPr>
      <w:r>
        <w:rPr>
          <w:rFonts w:eastAsia="Times New Roman"/>
          <w:i/>
          <w:iCs/>
          <w:color w:val="000000"/>
          <w:sz w:val="20"/>
          <w:szCs w:val="20"/>
        </w:rPr>
        <w:t xml:space="preserve">Quarter Ended October 2, 2020 Compared With Quarter </w:t>
      </w:r>
      <w:r>
        <w:rPr>
          <w:rFonts w:eastAsia="Times New Roman"/>
          <w:i/>
          <w:iCs/>
          <w:color w:val="000000"/>
          <w:sz w:val="20"/>
          <w:szCs w:val="20"/>
        </w:rPr>
        <w:t xml:space="preserve">Ended September 27, 2019: </w:t>
      </w:r>
      <w:r>
        <w:rPr>
          <w:rFonts w:eastAsia="Times New Roman"/>
          <w:color w:val="000000"/>
          <w:sz w:val="20"/>
          <w:szCs w:val="20"/>
        </w:rPr>
        <w:t>The increase in segment revenue in the quarter ended October 2, 2020 compared with the quarter ended September 27, 2019 was primarily due to $78 million of higher revenue in Mission Avionics, driven by a ramp on the F-35 platform,</w:t>
      </w:r>
      <w:r>
        <w:rPr>
          <w:rFonts w:eastAsia="Times New Roman"/>
          <w:color w:val="000000"/>
          <w:sz w:val="20"/>
          <w:szCs w:val="20"/>
        </w:rPr>
        <w:t xml:space="preserve"> and $16 million of higher revenue in Intel and Cyber from growth on classified programs, partially offset by lower revenue in Space and Electronic Warfare, reflecting program timing.</w:t>
      </w:r>
    </w:p>
    <w:p w:rsidR="00000000" w:rsidRDefault="005D26B8">
      <w:pPr>
        <w:ind w:firstLine="450"/>
        <w:divId w:val="989866935"/>
        <w:rPr>
          <w:rFonts w:eastAsia="Times New Roman"/>
        </w:rPr>
      </w:pPr>
      <w:r>
        <w:rPr>
          <w:rFonts w:eastAsia="Times New Roman"/>
          <w:color w:val="000000"/>
          <w:sz w:val="20"/>
          <w:szCs w:val="20"/>
        </w:rPr>
        <w:t>Segment operating income was comparable and segment operating margin per</w:t>
      </w:r>
      <w:r>
        <w:rPr>
          <w:rFonts w:eastAsia="Times New Roman"/>
          <w:color w:val="000000"/>
          <w:sz w:val="20"/>
          <w:szCs w:val="20"/>
        </w:rPr>
        <w:t>centage decreased in the quarter ended October 2, 2020 compared with the quarter ended September 27, 2019, reflecting savings from operational excellence and integration, more than offset by a mix of program revenue with relatively lower operating margin p</w:t>
      </w:r>
      <w:r>
        <w:rPr>
          <w:rFonts w:eastAsia="Times New Roman"/>
          <w:color w:val="000000"/>
          <w:sz w:val="20"/>
          <w:szCs w:val="20"/>
        </w:rPr>
        <w:t>ercentage.</w:t>
      </w:r>
    </w:p>
    <w:p w:rsidR="00000000" w:rsidRDefault="005D26B8">
      <w:pPr>
        <w:ind w:firstLine="450"/>
        <w:divId w:val="551620392"/>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increases in segment revenue and operating income in the three quarters ended October 2, 2020 compared with the three quarters ended September 27, 20</w:t>
      </w:r>
      <w:r>
        <w:rPr>
          <w:rFonts w:eastAsia="Times New Roman"/>
          <w:color w:val="000000"/>
          <w:sz w:val="20"/>
          <w:szCs w:val="20"/>
        </w:rPr>
        <w:t>19 were primarily due to the inclusion of L3 operations in segment operating results for the two quarters ended July 3, 2020 (but not for the comparable prior-year two quarters preceding the L3Harris Merger) as well as the same reasons as noted above regar</w:t>
      </w:r>
      <w:r>
        <w:rPr>
          <w:rFonts w:eastAsia="Times New Roman"/>
          <w:color w:val="000000"/>
          <w:sz w:val="20"/>
          <w:szCs w:val="20"/>
        </w:rPr>
        <w:t>ding revenue and operating income for the quarters ended October 2, 2020 and September 27, 2019. Segment operating margin percentage for the three quarters ended October 2, 2020 was comparable with the three quarters ended September 27, 2019.</w:t>
      </w:r>
      <w:r>
        <w:rPr>
          <w:rFonts w:eastAsia="Times New Roman"/>
          <w:i/>
          <w:iCs/>
          <w:color w:val="000000"/>
          <w:sz w:val="20"/>
          <w:szCs w:val="20"/>
        </w:rPr>
        <w:t xml:space="preserve"> </w:t>
      </w:r>
    </w:p>
    <w:p w:rsidR="00000000" w:rsidRDefault="005D26B8">
      <w:pPr>
        <w:divId w:val="196164649"/>
        <w:rPr>
          <w:rFonts w:eastAsia="Times New Roman"/>
        </w:rPr>
      </w:pPr>
      <w:r>
        <w:rPr>
          <w:rFonts w:eastAsia="Times New Roman"/>
          <w:b/>
          <w:bCs/>
          <w:color w:val="000000"/>
          <w:sz w:val="20"/>
          <w:szCs w:val="20"/>
        </w:rPr>
        <w:t>Pro Forma</w:t>
      </w:r>
    </w:p>
    <w:p w:rsidR="00000000" w:rsidRDefault="005D26B8">
      <w:pPr>
        <w:ind w:firstLine="450"/>
        <w:divId w:val="48309788"/>
        <w:rPr>
          <w:rFonts w:eastAsia="Times New Roman"/>
        </w:rPr>
      </w:pPr>
      <w:r>
        <w:rPr>
          <w:rFonts w:eastAsia="Times New Roman"/>
          <w:i/>
          <w:iCs/>
          <w:color w:val="000000"/>
          <w:sz w:val="20"/>
          <w:szCs w:val="20"/>
        </w:rPr>
        <w:t>Th</w:t>
      </w:r>
      <w:r>
        <w:rPr>
          <w:rFonts w:eastAsia="Times New Roman"/>
          <w:i/>
          <w:iCs/>
          <w:color w:val="000000"/>
          <w:sz w:val="20"/>
          <w:szCs w:val="20"/>
        </w:rPr>
        <w:t xml:space="preserve">ree Quarters Ended October 2, 2020 Compared With Three Quarters Ended September 27, 2019: </w:t>
      </w:r>
      <w:r>
        <w:rPr>
          <w:rFonts w:eastAsia="Times New Roman"/>
          <w:color w:val="000000"/>
          <w:sz w:val="20"/>
          <w:szCs w:val="20"/>
        </w:rPr>
        <w:t>The increase in segment revenue in the three quarters ended October 2, 2020 compared with the three quarters ended September 27, 2019 was primarily due to $264 millio</w:t>
      </w:r>
      <w:r>
        <w:rPr>
          <w:rFonts w:eastAsia="Times New Roman"/>
          <w:color w:val="000000"/>
          <w:sz w:val="20"/>
          <w:szCs w:val="20"/>
        </w:rPr>
        <w:t>n of higher revenue in Mission Avionics, driven by a ramp on the F-35 platform, and $76 million of higher revenue in Intel and Cyber from growth on classified programs, partially offset by lower revenue in Space and Electronic Warfare, reflecting program t</w:t>
      </w:r>
      <w:r>
        <w:rPr>
          <w:rFonts w:eastAsia="Times New Roman"/>
          <w:color w:val="000000"/>
          <w:sz w:val="20"/>
          <w:szCs w:val="20"/>
        </w:rPr>
        <w:t>iming.</w:t>
      </w:r>
    </w:p>
    <w:p w:rsidR="00000000" w:rsidRDefault="005D26B8">
      <w:pPr>
        <w:ind w:firstLine="450"/>
        <w:divId w:val="542795505"/>
        <w:rPr>
          <w:rFonts w:eastAsia="Times New Roman"/>
        </w:rPr>
      </w:pPr>
      <w:r>
        <w:rPr>
          <w:rFonts w:eastAsia="Times New Roman"/>
          <w:color w:val="000000"/>
          <w:sz w:val="20"/>
          <w:szCs w:val="20"/>
        </w:rPr>
        <w:t>The increase in segment operating income in the three quarters ended October 2, 2020 compared with the three quarters ended September 27, 2019 was primarily due to higher volume, operational excellence and integration benefits, partially offset by h</w:t>
      </w:r>
      <w:r>
        <w:rPr>
          <w:rFonts w:eastAsia="Times New Roman"/>
          <w:color w:val="000000"/>
          <w:sz w:val="20"/>
          <w:szCs w:val="20"/>
        </w:rPr>
        <w:t>igher investments. Segment operating margin percentage for the three quarters ended October 2, 2020 was comparable with the three quarters ended September 27, 2019.</w:t>
      </w:r>
      <w:r>
        <w:rPr>
          <w:rFonts w:eastAsia="Times New Roman"/>
          <w:i/>
          <w:iCs/>
          <w:color w:val="000000"/>
          <w:sz w:val="20"/>
          <w:szCs w:val="20"/>
        </w:rPr>
        <w:t xml:space="preserve"> </w:t>
      </w:r>
    </w:p>
    <w:p w:rsidR="00000000" w:rsidRDefault="005D26B8">
      <w:pPr>
        <w:jc w:val="center"/>
        <w:divId w:val="1649432851"/>
        <w:rPr>
          <w:rFonts w:eastAsia="Times New Roman"/>
        </w:rPr>
      </w:pPr>
      <w:r>
        <w:rPr>
          <w:rFonts w:eastAsia="Times New Roman"/>
          <w:color w:val="000000"/>
          <w:sz w:val="20"/>
          <w:szCs w:val="20"/>
        </w:rPr>
        <w:t>42</w:t>
      </w:r>
    </w:p>
    <w:p w:rsidR="00000000" w:rsidRDefault="005D26B8">
      <w:pPr>
        <w:rPr>
          <w:rFonts w:eastAsia="Times New Roman"/>
        </w:rPr>
      </w:pPr>
      <w:r>
        <w:rPr>
          <w:rFonts w:eastAsia="Times New Roman"/>
        </w:rPr>
        <w:pict>
          <v:rect id="_x0000_i1069" style="width:0;height:1.5pt" o:hralign="center" o:hrstd="t" o:hr="t" fillcolor="#a0a0a0" stroked="f"/>
        </w:pict>
      </w:r>
    </w:p>
    <w:p w:rsidR="00000000" w:rsidRDefault="005D26B8">
      <w:pPr>
        <w:divId w:val="323820765"/>
        <w:rPr>
          <w:rFonts w:eastAsia="Times New Roman"/>
        </w:rPr>
      </w:pPr>
    </w:p>
    <w:p w:rsidR="00000000" w:rsidRDefault="005D26B8">
      <w:pPr>
        <w:divId w:val="1985623998"/>
        <w:rPr>
          <w:rFonts w:eastAsia="Times New Roman"/>
        </w:rPr>
      </w:pPr>
      <w:r>
        <w:rPr>
          <w:rFonts w:eastAsia="Times New Roman"/>
          <w:b/>
          <w:bCs/>
          <w:color w:val="000000"/>
          <w:sz w:val="20"/>
          <w:szCs w:val="20"/>
        </w:rPr>
        <w:t>Communication Systems</w:t>
      </w:r>
    </w:p>
    <w:tbl>
      <w:tblPr>
        <w:tblW w:w="3793" w:type="pct"/>
        <w:tblCellMar>
          <w:top w:w="15" w:type="dxa"/>
          <w:left w:w="15" w:type="dxa"/>
          <w:bottom w:w="15" w:type="dxa"/>
          <w:right w:w="15" w:type="dxa"/>
        </w:tblCellMar>
        <w:tblLook w:val="04A0" w:firstRow="1" w:lastRow="0" w:firstColumn="1" w:lastColumn="0" w:noHBand="0" w:noVBand="1"/>
      </w:tblPr>
      <w:tblGrid>
        <w:gridCol w:w="39"/>
        <w:gridCol w:w="2957"/>
        <w:gridCol w:w="38"/>
        <w:gridCol w:w="120"/>
        <w:gridCol w:w="836"/>
        <w:gridCol w:w="187"/>
        <w:gridCol w:w="36"/>
        <w:gridCol w:w="36"/>
        <w:gridCol w:w="36"/>
        <w:gridCol w:w="120"/>
        <w:gridCol w:w="748"/>
        <w:gridCol w:w="187"/>
        <w:gridCol w:w="36"/>
        <w:gridCol w:w="36"/>
        <w:gridCol w:w="36"/>
        <w:gridCol w:w="53"/>
        <w:gridCol w:w="613"/>
        <w:gridCol w:w="187"/>
      </w:tblGrid>
      <w:tr w:rsidR="00000000">
        <w:trPr>
          <w:divId w:val="1608659138"/>
        </w:trPr>
        <w:tc>
          <w:tcPr>
            <w:tcW w:w="50" w:type="pct"/>
            <w:vAlign w:val="center"/>
            <w:hideMark/>
          </w:tcPr>
          <w:p w:rsidR="00000000" w:rsidRDefault="005D26B8">
            <w:pPr>
              <w:rPr>
                <w:rFonts w:eastAsia="Times New Roman"/>
              </w:rPr>
            </w:pPr>
          </w:p>
        </w:tc>
        <w:tc>
          <w:tcPr>
            <w:tcW w:w="25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60865913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r>
      <w:tr w:rsidR="00000000">
        <w:trPr>
          <w:divId w:val="1608659138"/>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160865913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r>
      <w:tr w:rsidR="00000000">
        <w:trPr>
          <w:divId w:val="1608659138"/>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divId w:val="1608659138"/>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1,032 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1608659138"/>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608659138"/>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608659138"/>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608659138"/>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608659138"/>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608659138"/>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1608659138"/>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101"/>
        <w:gridCol w:w="144"/>
        <w:gridCol w:w="144"/>
        <w:gridCol w:w="964"/>
        <w:gridCol w:w="144"/>
        <w:gridCol w:w="144"/>
        <w:gridCol w:w="144"/>
        <w:gridCol w:w="144"/>
        <w:gridCol w:w="144"/>
        <w:gridCol w:w="964"/>
        <w:gridCol w:w="144"/>
        <w:gridCol w:w="144"/>
        <w:gridCol w:w="144"/>
        <w:gridCol w:w="144"/>
        <w:gridCol w:w="144"/>
        <w:gridCol w:w="722"/>
        <w:gridCol w:w="144"/>
        <w:gridCol w:w="144"/>
        <w:gridCol w:w="144"/>
        <w:gridCol w:w="144"/>
        <w:gridCol w:w="144"/>
        <w:gridCol w:w="964"/>
        <w:gridCol w:w="144"/>
        <w:gridCol w:w="144"/>
        <w:gridCol w:w="144"/>
        <w:gridCol w:w="144"/>
        <w:gridCol w:w="144"/>
        <w:gridCol w:w="722"/>
        <w:gridCol w:w="144"/>
      </w:tblGrid>
      <w:tr w:rsidR="00000000">
        <w:trPr>
          <w:jc w:val="center"/>
        </w:trPr>
        <w:tc>
          <w:tcPr>
            <w:tcW w:w="50" w:type="pct"/>
            <w:vAlign w:val="center"/>
            <w:hideMark/>
          </w:tcPr>
          <w:p w:rsidR="00000000" w:rsidRDefault="005D26B8">
            <w:pPr>
              <w:rPr>
                <w:rFonts w:eastAsia="Times New Roman"/>
              </w:rPr>
            </w:pPr>
          </w:p>
        </w:tc>
        <w:tc>
          <w:tcPr>
            <w:tcW w:w="188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Pro Forma</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27"/>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3,300 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3,159 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p w:rsidR="00000000" w:rsidRDefault="005D26B8">
      <w:pPr>
        <w:divId w:val="195821633"/>
        <w:rPr>
          <w:rFonts w:eastAsia="Times New Roman"/>
        </w:rPr>
      </w:pPr>
      <w:r>
        <w:rPr>
          <w:rFonts w:eastAsia="Times New Roman"/>
          <w:b/>
          <w:bCs/>
          <w:color w:val="000000"/>
          <w:sz w:val="20"/>
          <w:szCs w:val="20"/>
        </w:rPr>
        <w:t>As Reported</w:t>
      </w:r>
    </w:p>
    <w:p w:rsidR="00000000" w:rsidRDefault="005D26B8">
      <w:pPr>
        <w:ind w:firstLine="450"/>
        <w:divId w:val="1085103949"/>
        <w:rPr>
          <w:rFonts w:eastAsia="Times New Roman"/>
        </w:rPr>
      </w:pPr>
      <w:r>
        <w:rPr>
          <w:rFonts w:eastAsia="Times New Roman"/>
          <w:i/>
          <w:iCs/>
          <w:color w:val="000000"/>
          <w:sz w:val="20"/>
          <w:szCs w:val="20"/>
        </w:rPr>
        <w:t xml:space="preserve">Quarter Ended October 2, 2020 Compared With Quarter </w:t>
      </w:r>
      <w:r>
        <w:rPr>
          <w:rFonts w:eastAsia="Times New Roman"/>
          <w:i/>
          <w:iCs/>
          <w:color w:val="000000"/>
          <w:sz w:val="20"/>
          <w:szCs w:val="20"/>
        </w:rPr>
        <w:t xml:space="preserve">Ended September 27, 2019: </w:t>
      </w:r>
      <w:r>
        <w:rPr>
          <w:rFonts w:eastAsia="Times New Roman"/>
          <w:color w:val="000000"/>
          <w:sz w:val="20"/>
          <w:szCs w:val="20"/>
        </w:rPr>
        <w:t>The increase in segment revenue in the quarter ended October 2, 2020 compared with the quarter ended September 27, 2019 was primarily due to $59 million of higher Tactical Communications revenue, from strong demand in the Middle E</w:t>
      </w:r>
      <w:r>
        <w:rPr>
          <w:rFonts w:eastAsia="Times New Roman"/>
          <w:color w:val="000000"/>
          <w:sz w:val="20"/>
          <w:szCs w:val="20"/>
        </w:rPr>
        <w:t>ast, Europe and Asia Pacific as well as continued ramp in U.S. Department of Defense (“DoD”) modernization programs that also benefited Integration Vision Systems, partially offset by lower revenue in Public Safety, reflecting COVID-19-related pressures on</w:t>
      </w:r>
      <w:r>
        <w:rPr>
          <w:rFonts w:eastAsia="Times New Roman"/>
          <w:color w:val="000000"/>
          <w:sz w:val="20"/>
          <w:szCs w:val="20"/>
        </w:rPr>
        <w:t xml:space="preserve"> state and local government customers.</w:t>
      </w:r>
    </w:p>
    <w:p w:rsidR="00000000" w:rsidRDefault="005D26B8">
      <w:pPr>
        <w:ind w:firstLine="450"/>
        <w:divId w:val="1007485748"/>
        <w:rPr>
          <w:rFonts w:eastAsia="Times New Roman"/>
        </w:rPr>
      </w:pPr>
      <w:r>
        <w:rPr>
          <w:rFonts w:eastAsia="Times New Roman"/>
          <w:color w:val="000000"/>
          <w:sz w:val="20"/>
          <w:szCs w:val="20"/>
        </w:rPr>
        <w:t>The increases in segment operating income and operating margin percentage in the quarter ended October 2, 2020 compared with the quarter ended September 27, 2019 were primarily due to higher volume, operational excell</w:t>
      </w:r>
      <w:r>
        <w:rPr>
          <w:rFonts w:eastAsia="Times New Roman"/>
          <w:color w:val="000000"/>
          <w:sz w:val="20"/>
          <w:szCs w:val="20"/>
        </w:rPr>
        <w:t xml:space="preserve">ence and integration benefits, partially offset by the timing of expense accruals in the quarter ended October 2, 2020. </w:t>
      </w:r>
    </w:p>
    <w:p w:rsidR="00000000" w:rsidRDefault="005D26B8">
      <w:pPr>
        <w:ind w:firstLine="450"/>
        <w:divId w:val="2061319476"/>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increases in segment revenue and operat</w:t>
      </w:r>
      <w:r>
        <w:rPr>
          <w:rFonts w:eastAsia="Times New Roman"/>
          <w:color w:val="000000"/>
          <w:sz w:val="20"/>
          <w:szCs w:val="20"/>
        </w:rPr>
        <w:t>ing income in the three quarters ended October 2, 2020 compared with the three quarters ended September 27, 2019 were primarily due to the inclusion of L3 operations in segment operating results for the two quarters ended July 3, 2020 (but not for the comp</w:t>
      </w:r>
      <w:r>
        <w:rPr>
          <w:rFonts w:eastAsia="Times New Roman"/>
          <w:color w:val="000000"/>
          <w:sz w:val="20"/>
          <w:szCs w:val="20"/>
        </w:rPr>
        <w:t xml:space="preserve">arable prior-year two quarters preceding the L3Harris Merger) as well as the same reasons as noted above regarding revenue and operating income for the quarters ended October 2, 2020 and September 27, 2019. </w:t>
      </w:r>
    </w:p>
    <w:p w:rsidR="00000000" w:rsidRDefault="005D26B8">
      <w:pPr>
        <w:ind w:firstLine="450"/>
        <w:divId w:val="72971186"/>
        <w:rPr>
          <w:rFonts w:eastAsia="Times New Roman"/>
        </w:rPr>
      </w:pPr>
      <w:r>
        <w:rPr>
          <w:rFonts w:eastAsia="Times New Roman"/>
          <w:color w:val="000000"/>
          <w:sz w:val="20"/>
          <w:szCs w:val="20"/>
        </w:rPr>
        <w:t>Segment operating margin percentage decreased in</w:t>
      </w:r>
      <w:r>
        <w:rPr>
          <w:rFonts w:eastAsia="Times New Roman"/>
          <w:color w:val="000000"/>
          <w:sz w:val="20"/>
          <w:szCs w:val="20"/>
        </w:rPr>
        <w:t xml:space="preserve"> the three quarters ended October 2, 2020 compared with the three quarters ended September 27, 2019 primarily due to a mix of product sales and program revenue with a relatively lower operating margin percentage.</w:t>
      </w:r>
    </w:p>
    <w:p w:rsidR="00000000" w:rsidRDefault="005D26B8">
      <w:pPr>
        <w:divId w:val="483787082"/>
        <w:rPr>
          <w:rFonts w:eastAsia="Times New Roman"/>
        </w:rPr>
      </w:pPr>
      <w:r>
        <w:rPr>
          <w:rFonts w:eastAsia="Times New Roman"/>
          <w:b/>
          <w:bCs/>
          <w:color w:val="000000"/>
          <w:sz w:val="20"/>
          <w:szCs w:val="20"/>
        </w:rPr>
        <w:t>Pro Forma</w:t>
      </w:r>
    </w:p>
    <w:p w:rsidR="00000000" w:rsidRDefault="005D26B8">
      <w:pPr>
        <w:ind w:firstLine="450"/>
        <w:divId w:val="2120028830"/>
        <w:rPr>
          <w:rFonts w:eastAsia="Times New Roman"/>
        </w:rPr>
      </w:pPr>
      <w:r>
        <w:rPr>
          <w:rFonts w:eastAsia="Times New Roman"/>
          <w:i/>
          <w:iCs/>
          <w:color w:val="000000"/>
          <w:sz w:val="20"/>
          <w:szCs w:val="20"/>
        </w:rPr>
        <w:t>Three Quarters Ended October 2, 2</w:t>
      </w:r>
      <w:r>
        <w:rPr>
          <w:rFonts w:eastAsia="Times New Roman"/>
          <w:i/>
          <w:iCs/>
          <w:color w:val="000000"/>
          <w:sz w:val="20"/>
          <w:szCs w:val="20"/>
        </w:rPr>
        <w:t xml:space="preserve">020 Compared With Three Quarters Ended September 27, 2019: </w:t>
      </w:r>
      <w:r>
        <w:rPr>
          <w:rFonts w:eastAsia="Times New Roman"/>
          <w:color w:val="000000"/>
          <w:sz w:val="20"/>
          <w:szCs w:val="20"/>
        </w:rPr>
        <w:t>The increase in revenue in the three quarters ended October 2, 2020 compared with the three quarters ended September 27, 2019 was primarily due to $148 million of higher Tactical Communications rev</w:t>
      </w:r>
      <w:r>
        <w:rPr>
          <w:rFonts w:eastAsia="Times New Roman"/>
          <w:color w:val="000000"/>
          <w:sz w:val="20"/>
          <w:szCs w:val="20"/>
        </w:rPr>
        <w:t>enue, primarily due to a ramp in U.S. DoD modernization programs, and higher revenue in Integration Vision Systems, partially offset by $47 million of lower revenue in Public Safety, reflecting COVID-19-related pressures on state and local government munic</w:t>
      </w:r>
      <w:r>
        <w:rPr>
          <w:rFonts w:eastAsia="Times New Roman"/>
          <w:color w:val="000000"/>
          <w:sz w:val="20"/>
          <w:szCs w:val="20"/>
        </w:rPr>
        <w:t>ipality customers.</w:t>
      </w:r>
    </w:p>
    <w:p w:rsidR="00000000" w:rsidRDefault="005D26B8">
      <w:pPr>
        <w:ind w:firstLine="450"/>
        <w:divId w:val="1190486814"/>
        <w:rPr>
          <w:rFonts w:eastAsia="Times New Roman"/>
        </w:rPr>
      </w:pPr>
      <w:r>
        <w:rPr>
          <w:rFonts w:eastAsia="Times New Roman"/>
          <w:color w:val="000000"/>
          <w:sz w:val="20"/>
          <w:szCs w:val="20"/>
        </w:rPr>
        <w:t>The increases in segment operating income and operating margin percentage in the three quarters ended October 2, 2020 compared with the three quarters ended September 27, 2019 were primarily due to higher volume, operational excellence a</w:t>
      </w:r>
      <w:r>
        <w:rPr>
          <w:rFonts w:eastAsia="Times New Roman"/>
          <w:color w:val="000000"/>
          <w:sz w:val="20"/>
          <w:szCs w:val="20"/>
        </w:rPr>
        <w:t xml:space="preserve">nd integration benefits, partially offset by a mix of product sales and program revenue with a relatively lower operating margin percentage. </w:t>
      </w:r>
    </w:p>
    <w:p w:rsidR="00000000" w:rsidRDefault="005D26B8">
      <w:pPr>
        <w:divId w:val="711350352"/>
        <w:rPr>
          <w:rFonts w:eastAsia="Times New Roman"/>
        </w:rPr>
      </w:pPr>
      <w:r>
        <w:rPr>
          <w:rFonts w:eastAsia="Times New Roman"/>
          <w:b/>
          <w:bCs/>
          <w:color w:val="000000"/>
          <w:sz w:val="20"/>
          <w:szCs w:val="20"/>
        </w:rPr>
        <w:t>Additional Information on Known Trends and Uncertainties</w:t>
      </w:r>
    </w:p>
    <w:p w:rsidR="00000000" w:rsidRDefault="005D26B8">
      <w:pPr>
        <w:ind w:firstLine="450"/>
        <w:divId w:val="266813512"/>
        <w:rPr>
          <w:rFonts w:eastAsia="Times New Roman"/>
        </w:rPr>
      </w:pPr>
      <w:r>
        <w:rPr>
          <w:rFonts w:eastAsia="Times New Roman"/>
          <w:color w:val="000000"/>
          <w:sz w:val="20"/>
          <w:szCs w:val="20"/>
        </w:rPr>
        <w:t xml:space="preserve">Revenue and operating income in the Public Safety sector </w:t>
      </w:r>
      <w:r>
        <w:rPr>
          <w:rFonts w:eastAsia="Times New Roman"/>
          <w:color w:val="000000"/>
          <w:sz w:val="20"/>
          <w:szCs w:val="20"/>
        </w:rPr>
        <w:t>has been, and we expect will continue to be, adversely impacted by COVID-19-related pressures on state and local government customers, including reduced staffing, limited remote work technology capabilities, significant reductions in near-term tax revenues</w:t>
      </w:r>
      <w:r>
        <w:rPr>
          <w:rFonts w:eastAsia="Times New Roman"/>
          <w:color w:val="000000"/>
          <w:sz w:val="20"/>
          <w:szCs w:val="20"/>
        </w:rPr>
        <w:t xml:space="preserve"> and competing budget priorities. We currently expect revenue in our Public Safety sector to decrease by approximately $85 million in fiscal 2020 compared with the four quarters ended January 3, 2020; however, the ultimate extent of the COVID-19-related im</w:t>
      </w:r>
      <w:r>
        <w:rPr>
          <w:rFonts w:eastAsia="Times New Roman"/>
          <w:color w:val="000000"/>
          <w:sz w:val="20"/>
          <w:szCs w:val="20"/>
        </w:rPr>
        <w:t>pact to our Public Safety sector remains uncertain and unpredictable.</w:t>
      </w:r>
    </w:p>
    <w:p w:rsidR="00000000" w:rsidRDefault="005D26B8">
      <w:pPr>
        <w:jc w:val="center"/>
        <w:divId w:val="722487319"/>
        <w:rPr>
          <w:rFonts w:eastAsia="Times New Roman"/>
        </w:rPr>
      </w:pPr>
      <w:r>
        <w:rPr>
          <w:rFonts w:eastAsia="Times New Roman"/>
          <w:color w:val="000000"/>
          <w:sz w:val="20"/>
          <w:szCs w:val="20"/>
        </w:rPr>
        <w:t>43</w:t>
      </w:r>
    </w:p>
    <w:p w:rsidR="00000000" w:rsidRDefault="005D26B8">
      <w:pPr>
        <w:rPr>
          <w:rFonts w:eastAsia="Times New Roman"/>
        </w:rPr>
      </w:pPr>
      <w:r>
        <w:rPr>
          <w:rFonts w:eastAsia="Times New Roman"/>
        </w:rPr>
        <w:pict>
          <v:rect id="_x0000_i1070" style="width:0;height:1.5pt" o:hralign="center" o:hrstd="t" o:hr="t" fillcolor="#a0a0a0" stroked="f"/>
        </w:pict>
      </w:r>
    </w:p>
    <w:p w:rsidR="00000000" w:rsidRDefault="005D26B8">
      <w:pPr>
        <w:divId w:val="730227927"/>
        <w:rPr>
          <w:rFonts w:eastAsia="Times New Roman"/>
        </w:rPr>
      </w:pPr>
    </w:p>
    <w:p w:rsidR="00000000" w:rsidRDefault="005D26B8">
      <w:pPr>
        <w:divId w:val="2033527011"/>
        <w:rPr>
          <w:rFonts w:eastAsia="Times New Roman"/>
        </w:rPr>
      </w:pPr>
      <w:r>
        <w:rPr>
          <w:rFonts w:eastAsia="Times New Roman"/>
          <w:b/>
          <w:bCs/>
          <w:color w:val="000000"/>
          <w:sz w:val="20"/>
          <w:szCs w:val="20"/>
        </w:rPr>
        <w:t>Aviation Systems</w:t>
      </w:r>
    </w:p>
    <w:tbl>
      <w:tblPr>
        <w:tblW w:w="3793" w:type="pct"/>
        <w:tblCellMar>
          <w:top w:w="15" w:type="dxa"/>
          <w:left w:w="15" w:type="dxa"/>
          <w:bottom w:w="15" w:type="dxa"/>
          <w:right w:w="15" w:type="dxa"/>
        </w:tblCellMar>
        <w:tblLook w:val="04A0" w:firstRow="1" w:lastRow="0" w:firstColumn="1" w:lastColumn="0" w:noHBand="0" w:noVBand="1"/>
      </w:tblPr>
      <w:tblGrid>
        <w:gridCol w:w="39"/>
        <w:gridCol w:w="2957"/>
        <w:gridCol w:w="38"/>
        <w:gridCol w:w="120"/>
        <w:gridCol w:w="836"/>
        <w:gridCol w:w="187"/>
        <w:gridCol w:w="36"/>
        <w:gridCol w:w="36"/>
        <w:gridCol w:w="36"/>
        <w:gridCol w:w="121"/>
        <w:gridCol w:w="747"/>
        <w:gridCol w:w="187"/>
        <w:gridCol w:w="36"/>
        <w:gridCol w:w="36"/>
        <w:gridCol w:w="36"/>
        <w:gridCol w:w="53"/>
        <w:gridCol w:w="613"/>
        <w:gridCol w:w="187"/>
      </w:tblGrid>
      <w:tr w:rsidR="00000000">
        <w:trPr>
          <w:divId w:val="1094521619"/>
        </w:trPr>
        <w:tc>
          <w:tcPr>
            <w:tcW w:w="50" w:type="pct"/>
            <w:vAlign w:val="center"/>
            <w:hideMark/>
          </w:tcPr>
          <w:p w:rsidR="00000000" w:rsidRDefault="005D26B8">
            <w:pPr>
              <w:rPr>
                <w:rFonts w:eastAsia="Times New Roman"/>
              </w:rPr>
            </w:pPr>
          </w:p>
        </w:tc>
        <w:tc>
          <w:tcPr>
            <w:tcW w:w="25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7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3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9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09452161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r>
      <w:tr w:rsidR="00000000">
        <w:trPr>
          <w:divId w:val="1094521619"/>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109452161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r>
      <w:tr w:rsidR="00000000">
        <w:trPr>
          <w:divId w:val="109452161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divId w:val="1094521619"/>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1094521619"/>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0945216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0945216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0945216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094521619"/>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divId w:val="1094521619"/>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 (loss)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1094521619"/>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101"/>
        <w:gridCol w:w="144"/>
        <w:gridCol w:w="144"/>
        <w:gridCol w:w="964"/>
        <w:gridCol w:w="144"/>
        <w:gridCol w:w="144"/>
        <w:gridCol w:w="144"/>
        <w:gridCol w:w="144"/>
        <w:gridCol w:w="144"/>
        <w:gridCol w:w="964"/>
        <w:gridCol w:w="144"/>
        <w:gridCol w:w="144"/>
        <w:gridCol w:w="144"/>
        <w:gridCol w:w="144"/>
        <w:gridCol w:w="144"/>
        <w:gridCol w:w="722"/>
        <w:gridCol w:w="144"/>
        <w:gridCol w:w="144"/>
        <w:gridCol w:w="144"/>
        <w:gridCol w:w="144"/>
        <w:gridCol w:w="144"/>
        <w:gridCol w:w="964"/>
        <w:gridCol w:w="144"/>
        <w:gridCol w:w="144"/>
        <w:gridCol w:w="144"/>
        <w:gridCol w:w="144"/>
        <w:gridCol w:w="144"/>
        <w:gridCol w:w="722"/>
        <w:gridCol w:w="144"/>
      </w:tblGrid>
      <w:tr w:rsidR="00000000">
        <w:trPr>
          <w:jc w:val="center"/>
        </w:trPr>
        <w:tc>
          <w:tcPr>
            <w:tcW w:w="50" w:type="pct"/>
            <w:vAlign w:val="center"/>
            <w:hideMark/>
          </w:tcPr>
          <w:p w:rsidR="00000000" w:rsidRDefault="005D26B8">
            <w:pPr>
              <w:rPr>
                <w:rFonts w:eastAsia="Times New Roman"/>
              </w:rPr>
            </w:pPr>
          </w:p>
        </w:tc>
        <w:tc>
          <w:tcPr>
            <w:tcW w:w="188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Pro Forma</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 </w:t>
            </w:r>
          </w:p>
        </w:tc>
        <w:tc>
          <w:tcPr>
            <w:tcW w:w="0" w:type="auto"/>
            <w:gridSpan w:val="27"/>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2,603 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1,278 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2,827 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vAlign w:val="center"/>
            <w:hideMark/>
          </w:tcPr>
          <w:p w:rsidR="00000000" w:rsidRDefault="005D26B8">
            <w:pPr>
              <w:jc w:val="right"/>
              <w:rPr>
                <w:rFonts w:eastAsia="Times New Roman"/>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Segment operating income (loss)</w:t>
            </w: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5D26B8">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i/>
                <w:iCs/>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bl>
    <w:p w:rsidR="00000000" w:rsidRDefault="005D26B8">
      <w:pPr>
        <w:divId w:val="654335018"/>
        <w:rPr>
          <w:rFonts w:eastAsia="Times New Roman"/>
        </w:rPr>
      </w:pPr>
      <w:r>
        <w:rPr>
          <w:rFonts w:eastAsia="Times New Roman"/>
          <w:color w:val="000000"/>
          <w:sz w:val="16"/>
          <w:szCs w:val="16"/>
        </w:rPr>
        <w:t>_______________</w:t>
      </w:r>
    </w:p>
    <w:p w:rsidR="00000000" w:rsidRDefault="005D26B8">
      <w:pPr>
        <w:ind w:hanging="270"/>
        <w:divId w:val="1215116140"/>
        <w:rPr>
          <w:rFonts w:eastAsia="Times New Roman"/>
        </w:rPr>
      </w:pPr>
      <w:r>
        <w:rPr>
          <w:rFonts w:eastAsia="Times New Roman"/>
          <w:color w:val="000000"/>
          <w:sz w:val="16"/>
          <w:szCs w:val="16"/>
        </w:rPr>
        <w:t>*    Not meaningful</w:t>
      </w:r>
    </w:p>
    <w:p w:rsidR="00000000" w:rsidRDefault="005D26B8">
      <w:pPr>
        <w:divId w:val="1557666331"/>
        <w:rPr>
          <w:rFonts w:eastAsia="Times New Roman"/>
        </w:rPr>
      </w:pPr>
      <w:r>
        <w:rPr>
          <w:rFonts w:eastAsia="Times New Roman"/>
          <w:b/>
          <w:bCs/>
          <w:color w:val="000000"/>
          <w:sz w:val="20"/>
          <w:szCs w:val="20"/>
        </w:rPr>
        <w:t>As Reported</w:t>
      </w:r>
    </w:p>
    <w:p w:rsidR="00000000" w:rsidRDefault="005D26B8">
      <w:pPr>
        <w:ind w:firstLine="450"/>
        <w:divId w:val="353920356"/>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dec</w:t>
      </w:r>
      <w:r>
        <w:rPr>
          <w:rFonts w:eastAsia="Times New Roman"/>
          <w:color w:val="000000"/>
          <w:sz w:val="20"/>
          <w:szCs w:val="20"/>
        </w:rPr>
        <w:t>rease in segment revenue in the quarter ended October 2, 2020 compared with the quarter ended September 27, 2019 was primarily due to $216 million of lower revenue in Commercial Aviation Solutions, including a $122 million revenue impact from the airport s</w:t>
      </w:r>
      <w:r>
        <w:rPr>
          <w:rFonts w:eastAsia="Times New Roman"/>
          <w:color w:val="000000"/>
          <w:sz w:val="20"/>
          <w:szCs w:val="20"/>
        </w:rPr>
        <w:t>ecurity and automation business divestiture on May 4, 2020 and lower revenue from the downturn in the commercial aviation market and its impact on customer operations, partially offset by $65 million of higher revenue in Defense Aviation Products, reflecti</w:t>
      </w:r>
      <w:r>
        <w:rPr>
          <w:rFonts w:eastAsia="Times New Roman"/>
          <w:color w:val="000000"/>
          <w:sz w:val="20"/>
          <w:szCs w:val="20"/>
        </w:rPr>
        <w:t xml:space="preserve">ng a ramp in fuzing and ordnance systems, and higher revenue in Mission Networks. </w:t>
      </w:r>
    </w:p>
    <w:p w:rsidR="00000000" w:rsidRDefault="005D26B8">
      <w:pPr>
        <w:ind w:firstLine="450"/>
        <w:divId w:val="1439183869"/>
        <w:rPr>
          <w:rFonts w:eastAsia="Times New Roman"/>
        </w:rPr>
      </w:pPr>
      <w:r>
        <w:rPr>
          <w:rFonts w:eastAsia="Times New Roman"/>
          <w:color w:val="000000"/>
          <w:sz w:val="20"/>
          <w:szCs w:val="20"/>
        </w:rPr>
        <w:t xml:space="preserve">Segment operating income decreased in the quarter ended October 2, 2020 compared with the quarter ended September 27, 2019 as operational efficiencies, integration benefits </w:t>
      </w:r>
      <w:r>
        <w:rPr>
          <w:rFonts w:eastAsia="Times New Roman"/>
          <w:color w:val="000000"/>
          <w:sz w:val="20"/>
          <w:szCs w:val="20"/>
        </w:rPr>
        <w:t>and cost management were more than offset by the airport security and automation business divestiture and COVID-19-related impacts. Segment operating margin percentage for the quarter ended October 2, 2020 was comparable with the quarter ended September 27</w:t>
      </w:r>
      <w:r>
        <w:rPr>
          <w:rFonts w:eastAsia="Times New Roman"/>
          <w:color w:val="000000"/>
          <w:sz w:val="20"/>
          <w:szCs w:val="20"/>
        </w:rPr>
        <w:t>, 2019.</w:t>
      </w:r>
    </w:p>
    <w:p w:rsidR="00000000" w:rsidRDefault="005D26B8">
      <w:pPr>
        <w:ind w:firstLine="450"/>
        <w:divId w:val="362096001"/>
        <w:rPr>
          <w:rFonts w:eastAsia="Times New Roman"/>
        </w:rPr>
      </w:pPr>
      <w:r>
        <w:rPr>
          <w:rFonts w:eastAsia="Times New Roman"/>
          <w:i/>
          <w:iCs/>
          <w:color w:val="000000"/>
          <w:sz w:val="20"/>
          <w:szCs w:val="20"/>
        </w:rPr>
        <w:t xml:space="preserve">Three Quarters Ended October 2, 2020 Compared With Three Quarters Ended September 27, 2019: </w:t>
      </w:r>
      <w:r>
        <w:rPr>
          <w:rFonts w:eastAsia="Times New Roman"/>
          <w:color w:val="000000"/>
          <w:sz w:val="20"/>
          <w:szCs w:val="20"/>
        </w:rPr>
        <w:t>The increase in segment revenue in the three quarters ended October 2, 2020 compared with the three quarters ended September 27, 2019 was primarily due to t</w:t>
      </w:r>
      <w:r>
        <w:rPr>
          <w:rFonts w:eastAsia="Times New Roman"/>
          <w:color w:val="000000"/>
          <w:sz w:val="20"/>
          <w:szCs w:val="20"/>
        </w:rPr>
        <w:t>he inclusion of L3 operations in segment operating results for the two quarters ended July 3, 2020 (but not for the comparable prior-year two quarters preceding the L3Harris Merger) as well as the same reasons as noted above regarding revenue for the quart</w:t>
      </w:r>
      <w:r>
        <w:rPr>
          <w:rFonts w:eastAsia="Times New Roman"/>
          <w:color w:val="000000"/>
          <w:sz w:val="20"/>
          <w:szCs w:val="20"/>
        </w:rPr>
        <w:t xml:space="preserve">ers ended October 2, 2020 and September 27, 2019. Because the majority of our Aviation Systems segment is comprised of L3 businesses, comparisons to the three quarters ended September 27, 2019 segment operating metrics are not meaningful. </w:t>
      </w:r>
    </w:p>
    <w:p w:rsidR="00000000" w:rsidRDefault="005D26B8">
      <w:pPr>
        <w:ind w:firstLine="450"/>
        <w:divId w:val="1401947778"/>
        <w:rPr>
          <w:rFonts w:eastAsia="Times New Roman"/>
        </w:rPr>
      </w:pPr>
      <w:r>
        <w:rPr>
          <w:rFonts w:eastAsia="Times New Roman"/>
          <w:color w:val="000000"/>
          <w:sz w:val="20"/>
          <w:szCs w:val="20"/>
        </w:rPr>
        <w:t>The segment oper</w:t>
      </w:r>
      <w:r>
        <w:rPr>
          <w:rFonts w:eastAsia="Times New Roman"/>
          <w:color w:val="000000"/>
          <w:sz w:val="20"/>
          <w:szCs w:val="20"/>
        </w:rPr>
        <w:t xml:space="preserve">ating loss in the three quarters ended October 2, 2020 compared with segment operating income in the three quarters ended September 27, 2019 was primarily due to $396 million of impairment of goodwill and other assets, restructuring charges and other exit </w:t>
      </w:r>
      <w:r>
        <w:rPr>
          <w:rFonts w:eastAsia="Times New Roman"/>
          <w:color w:val="000000"/>
          <w:sz w:val="20"/>
          <w:szCs w:val="20"/>
        </w:rPr>
        <w:t>costs recorded in the three quarters ended October 2, 2020 in our Commercial Aviation Solutions sector due to the downturn in the commercial aviation market mentioned above as well as the divestiture of the airport security and automation business</w:t>
      </w:r>
      <w:r>
        <w:rPr>
          <w:rFonts w:eastAsia="Times New Roman"/>
          <w:color w:val="000000"/>
          <w:sz w:val="20"/>
          <w:szCs w:val="20"/>
          <w:shd w:val="clear" w:color="auto" w:fill="FFFFFF"/>
        </w:rPr>
        <w:t>, partial</w:t>
      </w:r>
      <w:r>
        <w:rPr>
          <w:rFonts w:eastAsia="Times New Roman"/>
          <w:color w:val="000000"/>
          <w:sz w:val="20"/>
          <w:szCs w:val="20"/>
          <w:shd w:val="clear" w:color="auto" w:fill="FFFFFF"/>
        </w:rPr>
        <w:t xml:space="preserve">ly offset by </w:t>
      </w:r>
      <w:r>
        <w:rPr>
          <w:rFonts w:eastAsia="Times New Roman"/>
          <w:color w:val="000000"/>
          <w:sz w:val="20"/>
          <w:szCs w:val="20"/>
        </w:rPr>
        <w:t>the inclusion of L3 operations in segment operating results (principally Defense Aviation Products and Military Training operations) in the three quarters ended October 2, 2020.</w:t>
      </w:r>
    </w:p>
    <w:p w:rsidR="00000000" w:rsidRDefault="005D26B8">
      <w:pPr>
        <w:divId w:val="999891521"/>
        <w:rPr>
          <w:rFonts w:eastAsia="Times New Roman"/>
        </w:rPr>
      </w:pPr>
      <w:r>
        <w:rPr>
          <w:rFonts w:eastAsia="Times New Roman"/>
          <w:b/>
          <w:bCs/>
          <w:color w:val="000000"/>
          <w:sz w:val="20"/>
          <w:szCs w:val="20"/>
        </w:rPr>
        <w:t>Pro Forma</w:t>
      </w:r>
    </w:p>
    <w:p w:rsidR="00000000" w:rsidRDefault="005D26B8">
      <w:pPr>
        <w:ind w:firstLine="450"/>
        <w:divId w:val="516581838"/>
        <w:rPr>
          <w:rFonts w:eastAsia="Times New Roman"/>
        </w:rPr>
      </w:pPr>
      <w:r>
        <w:rPr>
          <w:rFonts w:eastAsia="Times New Roman"/>
          <w:i/>
          <w:iCs/>
          <w:color w:val="000000"/>
          <w:sz w:val="20"/>
          <w:szCs w:val="20"/>
        </w:rPr>
        <w:t>Three Quarters Ended October 2, 2020 Compared With Thre</w:t>
      </w:r>
      <w:r>
        <w:rPr>
          <w:rFonts w:eastAsia="Times New Roman"/>
          <w:i/>
          <w:iCs/>
          <w:color w:val="000000"/>
          <w:sz w:val="20"/>
          <w:szCs w:val="20"/>
        </w:rPr>
        <w:t xml:space="preserve">e Quarters Ended September 27, 2019: </w:t>
      </w:r>
      <w:r>
        <w:rPr>
          <w:rFonts w:eastAsia="Times New Roman"/>
          <w:color w:val="000000"/>
          <w:sz w:val="20"/>
          <w:szCs w:val="20"/>
        </w:rPr>
        <w:t xml:space="preserve">The decrease in segment revenue in the three quarters ended October 2, 2020 compared with the three quarters ended September 27, 2019 was primarily due to $405 million of lower revenue in Commercial Aviation Solutions, </w:t>
      </w:r>
      <w:r>
        <w:rPr>
          <w:rFonts w:eastAsia="Times New Roman"/>
          <w:color w:val="000000"/>
          <w:sz w:val="20"/>
          <w:szCs w:val="20"/>
        </w:rPr>
        <w:t>including a $223 million impact from the airport security and automation business divestiture, partially offset by $166 million of higher revenue in Defense Aviation Products and higher revenue in Mission Networks.</w:t>
      </w:r>
    </w:p>
    <w:p w:rsidR="00000000" w:rsidRDefault="005D26B8">
      <w:pPr>
        <w:ind w:firstLine="450"/>
        <w:divId w:val="685907687"/>
        <w:rPr>
          <w:rFonts w:eastAsia="Times New Roman"/>
        </w:rPr>
      </w:pPr>
      <w:r>
        <w:rPr>
          <w:rFonts w:eastAsia="Times New Roman"/>
          <w:color w:val="000000"/>
          <w:sz w:val="20"/>
          <w:szCs w:val="20"/>
        </w:rPr>
        <w:t>The segment operating loss in the three q</w:t>
      </w:r>
      <w:r>
        <w:rPr>
          <w:rFonts w:eastAsia="Times New Roman"/>
          <w:color w:val="000000"/>
          <w:sz w:val="20"/>
          <w:szCs w:val="20"/>
        </w:rPr>
        <w:t>uarters ended October 2, 2020 compared with segment operating income in the three quarters ended September 27, 2019 was primarily due to $396 million of impairment of goodwill and other assets, restructuring charges and other exit costs recorded in the thr</w:t>
      </w:r>
      <w:r>
        <w:rPr>
          <w:rFonts w:eastAsia="Times New Roman"/>
          <w:color w:val="000000"/>
          <w:sz w:val="20"/>
          <w:szCs w:val="20"/>
        </w:rPr>
        <w:t xml:space="preserve">ee quarters ended October 2, 2020 in our Commercial Aviation Solutions sector due to the downturn in the commercial aviation market mentioned above as well as the divestiture of the airport </w:t>
      </w:r>
    </w:p>
    <w:p w:rsidR="00000000" w:rsidRDefault="005D26B8">
      <w:pPr>
        <w:jc w:val="center"/>
        <w:divId w:val="247616340"/>
        <w:rPr>
          <w:rFonts w:eastAsia="Times New Roman"/>
        </w:rPr>
      </w:pPr>
      <w:r>
        <w:rPr>
          <w:rFonts w:eastAsia="Times New Roman"/>
          <w:color w:val="000000"/>
          <w:sz w:val="20"/>
          <w:szCs w:val="20"/>
        </w:rPr>
        <w:t>44</w:t>
      </w:r>
    </w:p>
    <w:p w:rsidR="00000000" w:rsidRDefault="005D26B8">
      <w:pPr>
        <w:rPr>
          <w:rFonts w:eastAsia="Times New Roman"/>
        </w:rPr>
      </w:pPr>
      <w:r>
        <w:rPr>
          <w:rFonts w:eastAsia="Times New Roman"/>
        </w:rPr>
        <w:pict>
          <v:rect id="_x0000_i1071" style="width:0;height:1.5pt" o:hralign="center" o:hrstd="t" o:hr="t" fillcolor="#a0a0a0" stroked="f"/>
        </w:pict>
      </w:r>
    </w:p>
    <w:p w:rsidR="00000000" w:rsidRDefault="005D26B8">
      <w:pPr>
        <w:divId w:val="1458795523"/>
        <w:rPr>
          <w:rFonts w:eastAsia="Times New Roman"/>
        </w:rPr>
      </w:pPr>
    </w:p>
    <w:p w:rsidR="00000000" w:rsidRDefault="005D26B8">
      <w:pPr>
        <w:divId w:val="1936589468"/>
        <w:rPr>
          <w:rFonts w:eastAsia="Times New Roman"/>
        </w:rPr>
      </w:pPr>
      <w:r>
        <w:rPr>
          <w:rFonts w:eastAsia="Times New Roman"/>
          <w:color w:val="000000"/>
          <w:sz w:val="20"/>
          <w:szCs w:val="20"/>
        </w:rPr>
        <w:t>security and automation business</w:t>
      </w:r>
      <w:r>
        <w:rPr>
          <w:rFonts w:eastAsia="Times New Roman"/>
          <w:color w:val="000000"/>
          <w:sz w:val="20"/>
          <w:szCs w:val="20"/>
          <w:shd w:val="clear" w:color="auto" w:fill="FFFFFF"/>
        </w:rPr>
        <w:t xml:space="preserve">, partially offset by </w:t>
      </w:r>
      <w:r>
        <w:rPr>
          <w:rFonts w:eastAsia="Times New Roman"/>
          <w:color w:val="000000"/>
          <w:sz w:val="20"/>
          <w:szCs w:val="20"/>
        </w:rPr>
        <w:t>operational efficiencies, integration benefits and cost management in the three quarters ended October 2, 2020.</w:t>
      </w:r>
    </w:p>
    <w:p w:rsidR="00000000" w:rsidRDefault="005D26B8">
      <w:pPr>
        <w:divId w:val="620192609"/>
        <w:rPr>
          <w:rFonts w:eastAsia="Times New Roman"/>
        </w:rPr>
      </w:pPr>
      <w:r>
        <w:rPr>
          <w:rFonts w:eastAsia="Times New Roman"/>
          <w:b/>
          <w:bCs/>
          <w:color w:val="000000"/>
          <w:sz w:val="20"/>
          <w:szCs w:val="20"/>
        </w:rPr>
        <w:t>Additional Information on Known Trends and Uncertain</w:t>
      </w:r>
      <w:r>
        <w:rPr>
          <w:rFonts w:eastAsia="Times New Roman"/>
          <w:b/>
          <w:bCs/>
          <w:color w:val="000000"/>
          <w:sz w:val="20"/>
          <w:szCs w:val="20"/>
        </w:rPr>
        <w:t>ties</w:t>
      </w:r>
    </w:p>
    <w:p w:rsidR="00000000" w:rsidRDefault="005D26B8">
      <w:pPr>
        <w:ind w:firstLine="450"/>
        <w:divId w:val="584151647"/>
        <w:rPr>
          <w:rFonts w:eastAsia="Times New Roman"/>
        </w:rPr>
      </w:pPr>
      <w:r>
        <w:rPr>
          <w:rFonts w:eastAsia="Times New Roman"/>
          <w:color w:val="000000"/>
          <w:sz w:val="20"/>
          <w:szCs w:val="20"/>
        </w:rPr>
        <w:t>Revenue and operating income from our Commercial Aviation Solutions sector are expected to continue to decline for the remainder of 2020 due to decreased commercial training and commercial avionics sales volume, reflecting the COVID-19 pandemic and it</w:t>
      </w:r>
      <w:r>
        <w:rPr>
          <w:rFonts w:eastAsia="Times New Roman"/>
          <w:color w:val="000000"/>
          <w:sz w:val="20"/>
          <w:szCs w:val="20"/>
        </w:rPr>
        <w:t>s impact on global air traffic and customer operations. We currently expect revenue in our Commercial Aviation Solutions sector to decrease by approximately $310 million in fiscal 2020 compared with the four quarters ended January 3, 2020 from COVID-19-rel</w:t>
      </w:r>
      <w:r>
        <w:rPr>
          <w:rFonts w:eastAsia="Times New Roman"/>
          <w:color w:val="000000"/>
          <w:sz w:val="20"/>
          <w:szCs w:val="20"/>
        </w:rPr>
        <w:t>ated impacts; however, the ultimate extent of the COVID-19-related impact to our Commercial Aviation Solutions sector remains uncertain and unpredictable. In addition, the divestiture of our airport security and automation business on May 4, 2020 will decr</w:t>
      </w:r>
      <w:r>
        <w:rPr>
          <w:rFonts w:eastAsia="Times New Roman"/>
          <w:color w:val="000000"/>
          <w:sz w:val="20"/>
          <w:szCs w:val="20"/>
        </w:rPr>
        <w:t>ease segment revenue and operating income in calendar year 2020 compared with calendar year 2019. Customer revenue from the airport security and automation business through the date of divestiture was approximately $147 million compared with $353 million f</w:t>
      </w:r>
      <w:r>
        <w:rPr>
          <w:rFonts w:eastAsia="Times New Roman"/>
          <w:color w:val="000000"/>
          <w:sz w:val="20"/>
          <w:szCs w:val="20"/>
        </w:rPr>
        <w:t xml:space="preserve">or the three quarters ended September 27, 2019 on a pro forma basis. </w:t>
      </w:r>
    </w:p>
    <w:p w:rsidR="00000000" w:rsidRDefault="005D26B8">
      <w:pPr>
        <w:divId w:val="1288195450"/>
        <w:rPr>
          <w:rFonts w:eastAsia="Times New Roman"/>
        </w:rPr>
      </w:pPr>
      <w:r>
        <w:rPr>
          <w:rFonts w:eastAsia="Times New Roman"/>
          <w:b/>
          <w:bCs/>
          <w:color w:val="000000"/>
          <w:sz w:val="20"/>
          <w:szCs w:val="20"/>
        </w:rPr>
        <w:t>Unallocated Corporate Expenses</w:t>
      </w:r>
    </w:p>
    <w:tbl>
      <w:tblPr>
        <w:tblW w:w="4948" w:type="pct"/>
        <w:tblCellMar>
          <w:top w:w="15" w:type="dxa"/>
          <w:left w:w="15" w:type="dxa"/>
          <w:bottom w:w="15" w:type="dxa"/>
          <w:right w:w="15" w:type="dxa"/>
        </w:tblCellMar>
        <w:tblLook w:val="04A0" w:firstRow="1" w:lastRow="0" w:firstColumn="1" w:lastColumn="0" w:noHBand="0" w:noVBand="1"/>
      </w:tblPr>
      <w:tblGrid>
        <w:gridCol w:w="39"/>
        <w:gridCol w:w="4455"/>
        <w:gridCol w:w="37"/>
        <w:gridCol w:w="121"/>
        <w:gridCol w:w="1067"/>
        <w:gridCol w:w="36"/>
        <w:gridCol w:w="36"/>
        <w:gridCol w:w="36"/>
        <w:gridCol w:w="36"/>
        <w:gridCol w:w="121"/>
        <w:gridCol w:w="1019"/>
        <w:gridCol w:w="36"/>
        <w:gridCol w:w="36"/>
        <w:gridCol w:w="36"/>
        <w:gridCol w:w="36"/>
        <w:gridCol w:w="53"/>
        <w:gridCol w:w="833"/>
        <w:gridCol w:w="187"/>
      </w:tblGrid>
      <w:tr w:rsidR="00000000">
        <w:trPr>
          <w:divId w:val="20711869"/>
        </w:trPr>
        <w:tc>
          <w:tcPr>
            <w:tcW w:w="50" w:type="pct"/>
            <w:vAlign w:val="center"/>
            <w:hideMark/>
          </w:tcPr>
          <w:p w:rsidR="00000000" w:rsidRDefault="005D26B8">
            <w:pPr>
              <w:rPr>
                <w:rFonts w:eastAsia="Times New Roman"/>
              </w:rPr>
            </w:pPr>
          </w:p>
        </w:tc>
        <w:tc>
          <w:tcPr>
            <w:tcW w:w="275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071186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r>
      <w:tr w:rsidR="00000000">
        <w:trPr>
          <w:divId w:val="20711869"/>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divId w:val="2071186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r>
      <w:tr w:rsidR="00000000">
        <w:trPr>
          <w:divId w:val="20711869"/>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15"/>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divId w:val="20711869"/>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 xml:space="preserve">Unallocated corporate expenses </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0711869"/>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L3Harris Merger-related transaction and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0711869"/>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L3Harris Merger-related restructuring charges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0711869"/>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divId w:val="20711869"/>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 xml:space="preserve">Business divestiture-related losses (gains) </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101"/>
        <w:gridCol w:w="144"/>
        <w:gridCol w:w="144"/>
        <w:gridCol w:w="964"/>
        <w:gridCol w:w="144"/>
        <w:gridCol w:w="144"/>
        <w:gridCol w:w="144"/>
        <w:gridCol w:w="144"/>
        <w:gridCol w:w="144"/>
        <w:gridCol w:w="964"/>
        <w:gridCol w:w="144"/>
        <w:gridCol w:w="144"/>
        <w:gridCol w:w="144"/>
        <w:gridCol w:w="144"/>
        <w:gridCol w:w="144"/>
        <w:gridCol w:w="722"/>
        <w:gridCol w:w="144"/>
        <w:gridCol w:w="144"/>
        <w:gridCol w:w="144"/>
        <w:gridCol w:w="144"/>
        <w:gridCol w:w="144"/>
        <w:gridCol w:w="964"/>
        <w:gridCol w:w="144"/>
        <w:gridCol w:w="144"/>
        <w:gridCol w:w="144"/>
        <w:gridCol w:w="144"/>
        <w:gridCol w:w="144"/>
        <w:gridCol w:w="722"/>
        <w:gridCol w:w="144"/>
      </w:tblGrid>
      <w:tr w:rsidR="00000000">
        <w:trPr>
          <w:jc w:val="center"/>
        </w:trPr>
        <w:tc>
          <w:tcPr>
            <w:tcW w:w="50" w:type="pct"/>
            <w:vAlign w:val="center"/>
            <w:hideMark/>
          </w:tcPr>
          <w:p w:rsidR="00000000" w:rsidRDefault="005D26B8">
            <w:pPr>
              <w:rPr>
                <w:rFonts w:eastAsia="Times New Roman"/>
              </w:rPr>
            </w:pPr>
          </w:p>
        </w:tc>
        <w:tc>
          <w:tcPr>
            <w:tcW w:w="188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5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3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 Inc/(Dec)</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Pro Forma</w:t>
            </w:r>
          </w:p>
        </w:tc>
      </w:tr>
      <w:tr w:rsidR="00000000">
        <w:trPr>
          <w:jc w:val="center"/>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27"/>
            <w:tcBorders>
              <w:top w:val="single" w:sz="8" w:space="0" w:color="000000"/>
            </w:tcBorders>
            <w:tcMar>
              <w:top w:w="0" w:type="dxa"/>
              <w:left w:w="20" w:type="dxa"/>
              <w:bottom w:w="0" w:type="dxa"/>
              <w:right w:w="20" w:type="dxa"/>
            </w:tcMar>
            <w:vAlign w:val="center"/>
            <w:hideMark/>
          </w:tcPr>
          <w:p w:rsidR="00000000" w:rsidRDefault="005D26B8">
            <w:pPr>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 xml:space="preserve">Unallocated corporate expenses </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L3Harris Merger-related transaction and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L3Harris Merger-related restructuring charges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 xml:space="preserve">Business divestiture-related losses (gains) </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D26B8">
            <w:pPr>
              <w:jc w:val="right"/>
              <w:rPr>
                <w:rFonts w:eastAsia="Times New Roman"/>
              </w:rPr>
            </w:pPr>
            <w:r>
              <w:rPr>
                <w:rFonts w:eastAsia="Times New Roman"/>
                <w:color w:val="000000"/>
                <w:sz w:val="20"/>
                <w:szCs w:val="20"/>
              </w:rPr>
              <w:t>*</w:t>
            </w:r>
          </w:p>
        </w:tc>
      </w:tr>
    </w:tbl>
    <w:p w:rsidR="00000000" w:rsidRDefault="005D26B8">
      <w:pPr>
        <w:divId w:val="1999068429"/>
        <w:rPr>
          <w:rFonts w:eastAsia="Times New Roman"/>
        </w:rPr>
      </w:pPr>
    </w:p>
    <w:p w:rsidR="00000000" w:rsidRDefault="005D26B8">
      <w:pPr>
        <w:ind w:firstLine="450"/>
        <w:divId w:val="1865705026"/>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decrease in unallocated corporate expenses in the quarter ended October 2, 2020 compared with the quarter ended September 27, 2019 was primarily due to $92 million of additional cost of sales related to the fair value step-up in inventory sold recogniz</w:t>
      </w:r>
      <w:r>
        <w:rPr>
          <w:rFonts w:eastAsia="Times New Roman"/>
          <w:color w:val="000000"/>
          <w:sz w:val="20"/>
          <w:szCs w:val="20"/>
        </w:rPr>
        <w:t>ed in the quarter ended September 27, 2019, partially offset by an increase in L3Harris Merger-related equity compensation expense and the timing of expense accruals in the quarter ended October 2, 2020.</w:t>
      </w:r>
    </w:p>
    <w:p w:rsidR="00000000" w:rsidRDefault="005D26B8">
      <w:pPr>
        <w:ind w:firstLine="450"/>
        <w:divId w:val="668564279"/>
        <w:rPr>
          <w:rFonts w:eastAsia="Times New Roman"/>
        </w:rPr>
      </w:pPr>
      <w:r>
        <w:rPr>
          <w:rFonts w:eastAsia="Times New Roman"/>
          <w:i/>
          <w:iCs/>
          <w:color w:val="000000"/>
          <w:sz w:val="20"/>
          <w:szCs w:val="20"/>
        </w:rPr>
        <w:t>Three Quarters Ended October 2, 2020 Compared With T</w:t>
      </w:r>
      <w:r>
        <w:rPr>
          <w:rFonts w:eastAsia="Times New Roman"/>
          <w:i/>
          <w:iCs/>
          <w:color w:val="000000"/>
          <w:sz w:val="20"/>
          <w:szCs w:val="20"/>
        </w:rPr>
        <w:t xml:space="preserve">hree Quarters Ended September 27, 2019: </w:t>
      </w:r>
      <w:r>
        <w:rPr>
          <w:rFonts w:eastAsia="Times New Roman"/>
          <w:color w:val="000000"/>
          <w:sz w:val="20"/>
          <w:szCs w:val="20"/>
        </w:rPr>
        <w:t>The increase in unallocated corporate expense in the three quarters ended October 2, 2020 compared with the three quarters ended September 27, 2019 on both an as reported and pro forma basis was primarily due to high</w:t>
      </w:r>
      <w:r>
        <w:rPr>
          <w:rFonts w:eastAsia="Times New Roman"/>
          <w:color w:val="000000"/>
          <w:sz w:val="20"/>
          <w:szCs w:val="20"/>
        </w:rPr>
        <w:t>er L3Harris Merger-related equity compensation expense, the timing of expense accruals and a $14 million non-cash goodwill impairment charge related to a potential divestiture, partially offset by $61 million of lower cost of sales related to the fair valu</w:t>
      </w:r>
      <w:r>
        <w:rPr>
          <w:rFonts w:eastAsia="Times New Roman"/>
          <w:color w:val="000000"/>
          <w:sz w:val="20"/>
          <w:szCs w:val="20"/>
        </w:rPr>
        <w:t>e step-up in inventory sold in the three quarters ended October 2, 2020.</w:t>
      </w:r>
    </w:p>
    <w:p w:rsidR="00000000" w:rsidRDefault="005D26B8">
      <w:pPr>
        <w:ind w:firstLine="450"/>
        <w:divId w:val="620234501"/>
        <w:rPr>
          <w:rFonts w:eastAsia="Times New Roman"/>
        </w:rPr>
      </w:pPr>
    </w:p>
    <w:p w:rsidR="00000000" w:rsidRDefault="005D26B8">
      <w:pPr>
        <w:jc w:val="center"/>
        <w:divId w:val="1146512252"/>
        <w:rPr>
          <w:rFonts w:eastAsia="Times New Roman"/>
        </w:rPr>
      </w:pPr>
      <w:r>
        <w:rPr>
          <w:rFonts w:eastAsia="Times New Roman"/>
          <w:color w:val="000000"/>
          <w:sz w:val="20"/>
          <w:szCs w:val="20"/>
        </w:rPr>
        <w:t>45</w:t>
      </w:r>
    </w:p>
    <w:p w:rsidR="00000000" w:rsidRDefault="005D26B8">
      <w:pPr>
        <w:rPr>
          <w:rFonts w:eastAsia="Times New Roman"/>
        </w:rPr>
      </w:pPr>
      <w:r>
        <w:rPr>
          <w:rFonts w:eastAsia="Times New Roman"/>
        </w:rPr>
        <w:pict>
          <v:rect id="_x0000_i1072" style="width:0;height:1.5pt" o:hralign="center" o:hrstd="t" o:hr="t" fillcolor="#a0a0a0" stroked="f"/>
        </w:pict>
      </w:r>
    </w:p>
    <w:p w:rsidR="00000000" w:rsidRDefault="005D26B8">
      <w:pPr>
        <w:divId w:val="1763527980"/>
        <w:rPr>
          <w:rFonts w:eastAsia="Times New Roman"/>
        </w:rPr>
      </w:pPr>
    </w:p>
    <w:p w:rsidR="00000000" w:rsidRDefault="005D26B8">
      <w:pPr>
        <w:jc w:val="both"/>
        <w:divId w:val="2074086208"/>
        <w:rPr>
          <w:rFonts w:eastAsia="Times New Roman"/>
        </w:rPr>
      </w:pPr>
      <w:r>
        <w:rPr>
          <w:rFonts w:eastAsia="Times New Roman"/>
          <w:b/>
          <w:bCs/>
          <w:color w:val="000000"/>
          <w:sz w:val="20"/>
          <w:szCs w:val="20"/>
        </w:rPr>
        <w:t>LIQUIDITY, CAPITAL RESOURCES AND FINANCIAL STRATEGIES</w:t>
      </w:r>
    </w:p>
    <w:p w:rsidR="00000000" w:rsidRDefault="005D26B8">
      <w:pPr>
        <w:jc w:val="both"/>
        <w:divId w:val="483357833"/>
        <w:rPr>
          <w:rFonts w:eastAsia="Times New Roman"/>
        </w:rPr>
      </w:pPr>
      <w:r>
        <w:rPr>
          <w:rFonts w:eastAsia="Times New Roman"/>
          <w:b/>
          <w:bCs/>
          <w:color w:val="000000"/>
          <w:sz w:val="20"/>
          <w:szCs w:val="20"/>
        </w:rPr>
        <w:t>Cash Flows</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0"/>
        <w:gridCol w:w="36"/>
        <w:gridCol w:w="36"/>
        <w:gridCol w:w="36"/>
        <w:gridCol w:w="36"/>
        <w:gridCol w:w="121"/>
        <w:gridCol w:w="1046"/>
        <w:gridCol w:w="36"/>
      </w:tblGrid>
      <w:tr w:rsidR="00000000">
        <w:trPr>
          <w:divId w:val="1036546570"/>
        </w:trPr>
        <w:tc>
          <w:tcPr>
            <w:tcW w:w="50" w:type="pct"/>
            <w:vAlign w:val="center"/>
            <w:hideMark/>
          </w:tcPr>
          <w:p w:rsidR="00000000" w:rsidRDefault="005D26B8">
            <w:pPr>
              <w:jc w:val="both"/>
              <w:rPr>
                <w:rFonts w:eastAsia="Times New Roman"/>
              </w:rPr>
            </w:pPr>
          </w:p>
        </w:tc>
        <w:tc>
          <w:tcPr>
            <w:tcW w:w="341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7"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89"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036546570"/>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1036546570"/>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1036546570"/>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036546570"/>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2,092 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797 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36546570"/>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provided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798 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36546570"/>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(2,373)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(1,453)</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36546570"/>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36546570"/>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Net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36546570"/>
        </w:trPr>
        <w:tc>
          <w:tcPr>
            <w:tcW w:w="0" w:type="auto"/>
            <w:gridSpan w:val="3"/>
            <w:shd w:val="clear" w:color="auto" w:fill="FFFF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1036546570"/>
        </w:trPr>
        <w:tc>
          <w:tcPr>
            <w:tcW w:w="0" w:type="auto"/>
            <w:gridSpan w:val="3"/>
            <w:shd w:val="clear" w:color="auto" w:fill="CCEEFF"/>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divId w:val="526528533"/>
        <w:rPr>
          <w:rFonts w:eastAsia="Times New Roman"/>
        </w:rPr>
      </w:pPr>
      <w:r>
        <w:rPr>
          <w:rFonts w:eastAsia="Times New Roman"/>
          <w:b/>
          <w:bCs/>
          <w:i/>
          <w:iCs/>
          <w:color w:val="000000"/>
          <w:sz w:val="20"/>
          <w:szCs w:val="20"/>
        </w:rPr>
        <w:t>Cash and cash equivalents</w:t>
      </w:r>
    </w:p>
    <w:p w:rsidR="00000000" w:rsidRDefault="005D26B8">
      <w:pPr>
        <w:ind w:firstLine="450"/>
        <w:divId w:val="824049835"/>
        <w:rPr>
          <w:rFonts w:eastAsia="Times New Roman"/>
        </w:rPr>
      </w:pPr>
      <w:r>
        <w:rPr>
          <w:rFonts w:eastAsia="Times New Roman"/>
          <w:color w:val="000000"/>
          <w:sz w:val="20"/>
          <w:szCs w:val="20"/>
        </w:rPr>
        <w:t>The $517 million net increase in cash and cash equivalents in the three quarters ended October 2, 2020 was primarily due to:</w:t>
      </w:r>
    </w:p>
    <w:p w:rsidR="00000000" w:rsidRDefault="005D26B8">
      <w:pPr>
        <w:ind w:hanging="180"/>
        <w:divId w:val="844246485"/>
        <w:rPr>
          <w:rFonts w:eastAsia="Times New Roman"/>
        </w:rPr>
      </w:pPr>
      <w:r>
        <w:rPr>
          <w:rFonts w:eastAsia="Times New Roman"/>
          <w:color w:val="000000"/>
          <w:sz w:val="20"/>
          <w:szCs w:val="20"/>
        </w:rPr>
        <w:t xml:space="preserve">•$2,092 million of net cash provided by operating activities; </w:t>
      </w:r>
    </w:p>
    <w:p w:rsidR="00000000" w:rsidRDefault="005D26B8">
      <w:pPr>
        <w:ind w:hanging="180"/>
        <w:divId w:val="1407193595"/>
        <w:rPr>
          <w:rFonts w:eastAsia="Times New Roman"/>
        </w:rPr>
      </w:pPr>
      <w:r>
        <w:rPr>
          <w:rFonts w:eastAsia="Times New Roman"/>
          <w:color w:val="000000"/>
          <w:sz w:val="20"/>
          <w:szCs w:val="20"/>
        </w:rPr>
        <w:t>•</w:t>
      </w:r>
      <w:r>
        <w:rPr>
          <w:rFonts w:eastAsia="Times New Roman"/>
          <w:color w:val="000000"/>
          <w:sz w:val="20"/>
          <w:szCs w:val="20"/>
        </w:rPr>
        <w:t>$1,002 million of net proceeds from sales of businesses; and</w:t>
      </w:r>
    </w:p>
    <w:p w:rsidR="00000000" w:rsidRDefault="005D26B8">
      <w:pPr>
        <w:ind w:hanging="180"/>
        <w:divId w:val="1524709055"/>
        <w:rPr>
          <w:rFonts w:eastAsia="Times New Roman"/>
        </w:rPr>
      </w:pPr>
      <w:r>
        <w:rPr>
          <w:rFonts w:eastAsia="Times New Roman"/>
          <w:color w:val="000000"/>
          <w:sz w:val="20"/>
          <w:szCs w:val="20"/>
        </w:rPr>
        <w:t>•$249 million of net proceeds from borrowings from issuance of Floating Rate Notes due March 10, 2023; partially offset by</w:t>
      </w:r>
    </w:p>
    <w:p w:rsidR="00000000" w:rsidRDefault="005D26B8">
      <w:pPr>
        <w:ind w:hanging="180"/>
        <w:divId w:val="1550529429"/>
        <w:rPr>
          <w:rFonts w:eastAsia="Times New Roman"/>
        </w:rPr>
      </w:pPr>
      <w:r>
        <w:rPr>
          <w:rFonts w:eastAsia="Times New Roman"/>
          <w:color w:val="000000"/>
          <w:sz w:val="20"/>
          <w:szCs w:val="20"/>
        </w:rPr>
        <w:t xml:space="preserve">•$1,850 million used to repurchase shares of our common stock; </w:t>
      </w:r>
    </w:p>
    <w:p w:rsidR="00000000" w:rsidRDefault="005D26B8">
      <w:pPr>
        <w:ind w:hanging="180"/>
        <w:divId w:val="2043288572"/>
        <w:rPr>
          <w:rFonts w:eastAsia="Times New Roman"/>
        </w:rPr>
      </w:pPr>
      <w:r>
        <w:rPr>
          <w:rFonts w:eastAsia="Times New Roman"/>
          <w:color w:val="000000"/>
          <w:sz w:val="20"/>
          <w:szCs w:val="20"/>
        </w:rPr>
        <w:t>•$546 mi</w:t>
      </w:r>
      <w:r>
        <w:rPr>
          <w:rFonts w:eastAsia="Times New Roman"/>
          <w:color w:val="000000"/>
          <w:sz w:val="20"/>
          <w:szCs w:val="20"/>
        </w:rPr>
        <w:t xml:space="preserve">llion used to pay cash dividends; </w:t>
      </w:r>
    </w:p>
    <w:p w:rsidR="00000000" w:rsidRDefault="005D26B8">
      <w:pPr>
        <w:ind w:hanging="180"/>
        <w:divId w:val="278532322"/>
        <w:rPr>
          <w:rFonts w:eastAsia="Times New Roman"/>
        </w:rPr>
      </w:pPr>
      <w:r>
        <w:rPr>
          <w:rFonts w:eastAsia="Times New Roman"/>
          <w:color w:val="000000"/>
          <w:sz w:val="20"/>
          <w:szCs w:val="20"/>
        </w:rPr>
        <w:t>•$257 million of repayments of borrowings, including $250 million used for repayment at maturity of the entire principal amount of our Floating Rate Notes due April 30, 2020; and</w:t>
      </w:r>
    </w:p>
    <w:p w:rsidR="00000000" w:rsidRDefault="005D26B8">
      <w:pPr>
        <w:ind w:hanging="180"/>
        <w:divId w:val="1305351981"/>
        <w:rPr>
          <w:rFonts w:eastAsia="Times New Roman"/>
        </w:rPr>
      </w:pPr>
      <w:r>
        <w:rPr>
          <w:rFonts w:eastAsia="Times New Roman"/>
          <w:color w:val="000000"/>
          <w:sz w:val="20"/>
          <w:szCs w:val="20"/>
        </w:rPr>
        <w:t>•$194 million used for net additions of pr</w:t>
      </w:r>
      <w:r>
        <w:rPr>
          <w:rFonts w:eastAsia="Times New Roman"/>
          <w:color w:val="000000"/>
          <w:sz w:val="20"/>
          <w:szCs w:val="20"/>
        </w:rPr>
        <w:t>operty, plant and equipment.</w:t>
      </w:r>
    </w:p>
    <w:p w:rsidR="00000000" w:rsidRDefault="005D26B8">
      <w:pPr>
        <w:ind w:firstLine="450"/>
        <w:divId w:val="441344127"/>
        <w:rPr>
          <w:rFonts w:eastAsia="Times New Roman"/>
        </w:rPr>
      </w:pPr>
      <w:r>
        <w:rPr>
          <w:rFonts w:eastAsia="Times New Roman"/>
          <w:color w:val="000000"/>
          <w:sz w:val="20"/>
          <w:szCs w:val="20"/>
        </w:rPr>
        <w:t>The $658 million net increase in cash and cash equivalents in the three quarters ended September 27, 2019 was primarily due to:</w:t>
      </w:r>
    </w:p>
    <w:p w:rsidR="00000000" w:rsidRDefault="005D26B8">
      <w:pPr>
        <w:ind w:hanging="180"/>
        <w:divId w:val="331420773"/>
        <w:rPr>
          <w:rFonts w:eastAsia="Times New Roman"/>
        </w:rPr>
      </w:pPr>
      <w:r>
        <w:rPr>
          <w:rFonts w:eastAsia="Times New Roman"/>
          <w:color w:val="000000"/>
          <w:sz w:val="20"/>
          <w:szCs w:val="20"/>
        </w:rPr>
        <w:t xml:space="preserve">•$1,132 million of net cash acquired in L3Harris Merger; </w:t>
      </w:r>
    </w:p>
    <w:p w:rsidR="00000000" w:rsidRDefault="005D26B8">
      <w:pPr>
        <w:ind w:hanging="180"/>
        <w:divId w:val="1820611535"/>
        <w:rPr>
          <w:rFonts w:eastAsia="Times New Roman"/>
        </w:rPr>
      </w:pPr>
      <w:r>
        <w:rPr>
          <w:rFonts w:eastAsia="Times New Roman"/>
          <w:color w:val="000000"/>
          <w:sz w:val="20"/>
          <w:szCs w:val="20"/>
        </w:rPr>
        <w:t>•$797 million of net cash provided by ope</w:t>
      </w:r>
      <w:r>
        <w:rPr>
          <w:rFonts w:eastAsia="Times New Roman"/>
          <w:color w:val="000000"/>
          <w:sz w:val="20"/>
          <w:szCs w:val="20"/>
        </w:rPr>
        <w:t>rating activities;</w:t>
      </w:r>
    </w:p>
    <w:p w:rsidR="00000000" w:rsidRDefault="005D26B8">
      <w:pPr>
        <w:ind w:hanging="180"/>
        <w:divId w:val="1546453129"/>
        <w:rPr>
          <w:rFonts w:eastAsia="Times New Roman"/>
        </w:rPr>
      </w:pPr>
      <w:r>
        <w:rPr>
          <w:rFonts w:eastAsia="Times New Roman"/>
          <w:color w:val="000000"/>
          <w:sz w:val="20"/>
          <w:szCs w:val="20"/>
        </w:rPr>
        <w:t>•$346 million of net proceeds from sale of business; and</w:t>
      </w:r>
    </w:p>
    <w:p w:rsidR="00000000" w:rsidRDefault="005D26B8">
      <w:pPr>
        <w:ind w:hanging="180"/>
        <w:divId w:val="452482006"/>
        <w:rPr>
          <w:rFonts w:eastAsia="Times New Roman"/>
        </w:rPr>
      </w:pPr>
      <w:r>
        <w:rPr>
          <w:rFonts w:eastAsia="Times New Roman"/>
          <w:color w:val="000000"/>
          <w:sz w:val="20"/>
          <w:szCs w:val="20"/>
        </w:rPr>
        <w:t>•$127 million of proceeds from exercises of employee stock options; partially offset by</w:t>
      </w:r>
    </w:p>
    <w:p w:rsidR="00000000" w:rsidRDefault="005D26B8">
      <w:pPr>
        <w:ind w:hanging="180"/>
        <w:divId w:val="1613393465"/>
        <w:rPr>
          <w:rFonts w:eastAsia="Times New Roman"/>
        </w:rPr>
      </w:pPr>
      <w:r>
        <w:rPr>
          <w:rFonts w:eastAsia="Times New Roman"/>
          <w:color w:val="000000"/>
          <w:sz w:val="20"/>
          <w:szCs w:val="20"/>
        </w:rPr>
        <w:t>•$750 million used to repurchase shares of our common stock;</w:t>
      </w:r>
    </w:p>
    <w:p w:rsidR="00000000" w:rsidRDefault="005D26B8">
      <w:pPr>
        <w:ind w:hanging="180"/>
        <w:divId w:val="724724472"/>
        <w:rPr>
          <w:rFonts w:eastAsia="Times New Roman"/>
        </w:rPr>
      </w:pPr>
      <w:r>
        <w:rPr>
          <w:rFonts w:eastAsia="Times New Roman"/>
          <w:color w:val="000000"/>
          <w:sz w:val="20"/>
          <w:szCs w:val="20"/>
        </w:rPr>
        <w:t xml:space="preserve">•$405 million of repayments of </w:t>
      </w:r>
      <w:r>
        <w:rPr>
          <w:rFonts w:eastAsia="Times New Roman"/>
          <w:color w:val="000000"/>
          <w:sz w:val="20"/>
          <w:szCs w:val="20"/>
        </w:rPr>
        <w:t>borrowings;</w:t>
      </w:r>
    </w:p>
    <w:p w:rsidR="00000000" w:rsidRDefault="005D26B8">
      <w:pPr>
        <w:ind w:hanging="180"/>
        <w:divId w:val="1158960501"/>
        <w:rPr>
          <w:rFonts w:eastAsia="Times New Roman"/>
        </w:rPr>
      </w:pPr>
      <w:r>
        <w:rPr>
          <w:rFonts w:eastAsia="Times New Roman"/>
          <w:color w:val="000000"/>
          <w:sz w:val="20"/>
          <w:szCs w:val="20"/>
        </w:rPr>
        <w:t xml:space="preserve">•$334 million used to pay cash dividends; </w:t>
      </w:r>
    </w:p>
    <w:p w:rsidR="00000000" w:rsidRDefault="005D26B8">
      <w:pPr>
        <w:ind w:hanging="180"/>
        <w:divId w:val="490484656"/>
        <w:rPr>
          <w:rFonts w:eastAsia="Times New Roman"/>
        </w:rPr>
      </w:pPr>
      <w:r>
        <w:rPr>
          <w:rFonts w:eastAsia="Times New Roman"/>
          <w:color w:val="000000"/>
          <w:sz w:val="20"/>
          <w:szCs w:val="20"/>
        </w:rPr>
        <w:t>•$178 million used for net additions of property, plant and equipment; and</w:t>
      </w:r>
    </w:p>
    <w:p w:rsidR="00000000" w:rsidRDefault="005D26B8">
      <w:pPr>
        <w:ind w:hanging="180"/>
        <w:divId w:val="1921329801"/>
        <w:rPr>
          <w:rFonts w:eastAsia="Times New Roman"/>
        </w:rPr>
      </w:pPr>
      <w:r>
        <w:rPr>
          <w:rFonts w:eastAsia="Times New Roman"/>
          <w:color w:val="000000"/>
          <w:sz w:val="20"/>
          <w:szCs w:val="20"/>
        </w:rPr>
        <w:t>•$88 million used for payments of tax withholding associated with vested share-based awards.</w:t>
      </w:r>
    </w:p>
    <w:p w:rsidR="00000000" w:rsidRDefault="005D26B8">
      <w:pPr>
        <w:ind w:firstLine="450"/>
        <w:divId w:val="1335761789"/>
        <w:rPr>
          <w:rFonts w:eastAsia="Times New Roman"/>
        </w:rPr>
      </w:pPr>
      <w:r>
        <w:rPr>
          <w:rFonts w:eastAsia="Times New Roman"/>
          <w:color w:val="000000"/>
          <w:sz w:val="20"/>
          <w:szCs w:val="20"/>
        </w:rPr>
        <w:t>At October 2, 2020, we had cash a</w:t>
      </w:r>
      <w:r>
        <w:rPr>
          <w:rFonts w:eastAsia="Times New Roman"/>
          <w:color w:val="000000"/>
          <w:sz w:val="20"/>
          <w:szCs w:val="20"/>
        </w:rPr>
        <w:t xml:space="preserve">nd cash equivalents of $1.3 billion, and we have a senior unsecured $2 billion revolving credit facility that expires in June 2024 (all of which was available to us as of October 2, 2020). Additionally, we had $6.9 billion of long-term debt outstanding at </w:t>
      </w:r>
      <w:r>
        <w:rPr>
          <w:rFonts w:eastAsia="Times New Roman"/>
          <w:color w:val="000000"/>
          <w:sz w:val="20"/>
          <w:szCs w:val="20"/>
        </w:rPr>
        <w:t>October 2, 2020, the majority of which was assumed in connection with the L3Harris Merger in the Fiscal Transition Period and the acquisition of Exelis Inc. in the fourth quarter of fiscal 2015. Our $1.3 billion of cash and cash equivalents at October 2, 2</w:t>
      </w:r>
      <w:r>
        <w:rPr>
          <w:rFonts w:eastAsia="Times New Roman"/>
          <w:color w:val="000000"/>
          <w:sz w:val="20"/>
          <w:szCs w:val="20"/>
        </w:rPr>
        <w:t>020 included $336 million held by our foreign subsidiaries, a significant portion of which we believe can be repatriated to the U.S. with minimal tax cost.</w:t>
      </w:r>
    </w:p>
    <w:p w:rsidR="00000000" w:rsidRDefault="005D26B8">
      <w:pPr>
        <w:ind w:firstLine="450"/>
        <w:divId w:val="547378552"/>
        <w:rPr>
          <w:rFonts w:eastAsia="Times New Roman"/>
        </w:rPr>
      </w:pPr>
      <w:r>
        <w:rPr>
          <w:rFonts w:eastAsia="Times New Roman"/>
          <w:color w:val="000000"/>
          <w:sz w:val="20"/>
          <w:szCs w:val="20"/>
        </w:rPr>
        <w:t>Given our current cash position, outlook for funds generated from operations, credit ratings, availa</w:t>
      </w:r>
      <w:r>
        <w:rPr>
          <w:rFonts w:eastAsia="Times New Roman"/>
          <w:color w:val="000000"/>
          <w:sz w:val="20"/>
          <w:szCs w:val="20"/>
        </w:rPr>
        <w:t>ble credit facility, cash needs and debt structure, we have not experienced to date, and do not expect to experience, any material issues with liquidity, although we can give no assurances concerning our future liquidity, particularly in light of our overa</w:t>
      </w:r>
      <w:r>
        <w:rPr>
          <w:rFonts w:eastAsia="Times New Roman"/>
          <w:color w:val="000000"/>
          <w:sz w:val="20"/>
          <w:szCs w:val="20"/>
        </w:rPr>
        <w:t>ll level of debt, U.S. Government budget uncertainties and the state of global commerce and general political and financial uncertainty. We cannot predict the impact that COVID-19, among other potential risks and uncertainties, will have on our cash from o</w:t>
      </w:r>
      <w:r>
        <w:rPr>
          <w:rFonts w:eastAsia="Times New Roman"/>
          <w:color w:val="000000"/>
          <w:sz w:val="20"/>
          <w:szCs w:val="20"/>
        </w:rPr>
        <w:t>perations. For further information regarding COVID-19-related risks and uncertainties, see Part II, Item 1A. “Risk Factors” in this Report.</w:t>
      </w:r>
    </w:p>
    <w:p w:rsidR="00000000" w:rsidRDefault="005D26B8">
      <w:pPr>
        <w:ind w:firstLine="450"/>
        <w:divId w:val="1809131329"/>
        <w:rPr>
          <w:rFonts w:eastAsia="Times New Roman"/>
        </w:rPr>
      </w:pPr>
      <w:r>
        <w:rPr>
          <w:rFonts w:eastAsia="Times New Roman"/>
          <w:color w:val="000000"/>
          <w:sz w:val="20"/>
          <w:szCs w:val="20"/>
        </w:rPr>
        <w:t>Based on our current business plan and revenue prospects, we believe that our existing cash, funds generated from op</w:t>
      </w:r>
      <w:r>
        <w:rPr>
          <w:rFonts w:eastAsia="Times New Roman"/>
          <w:color w:val="000000"/>
          <w:sz w:val="20"/>
          <w:szCs w:val="20"/>
        </w:rPr>
        <w:t>erations, our credit facility and access to the public and private debt and equity markets will be sufficient to provide for our anticipated working capital requirements, capital expenditures, dividend payments, repurchases under our share repurchase progr</w:t>
      </w:r>
      <w:r>
        <w:rPr>
          <w:rFonts w:eastAsia="Times New Roman"/>
          <w:color w:val="000000"/>
          <w:sz w:val="20"/>
          <w:szCs w:val="20"/>
        </w:rPr>
        <w:t xml:space="preserve">am and repayments of our debt securities at maturity for the next twelve months and the reasonably foreseeable future thereafter. Our total capital expenditures for 2020 are expected to be approximately $350 million. We anticipate tax payments </w:t>
      </w:r>
    </w:p>
    <w:p w:rsidR="00000000" w:rsidRDefault="005D26B8">
      <w:pPr>
        <w:jc w:val="center"/>
        <w:divId w:val="1926499622"/>
        <w:rPr>
          <w:rFonts w:eastAsia="Times New Roman"/>
        </w:rPr>
      </w:pPr>
      <w:r>
        <w:rPr>
          <w:rFonts w:eastAsia="Times New Roman"/>
          <w:color w:val="000000"/>
          <w:sz w:val="20"/>
          <w:szCs w:val="20"/>
        </w:rPr>
        <w:t>46</w:t>
      </w:r>
    </w:p>
    <w:p w:rsidR="00000000" w:rsidRDefault="005D26B8">
      <w:pPr>
        <w:rPr>
          <w:rFonts w:eastAsia="Times New Roman"/>
        </w:rPr>
      </w:pPr>
      <w:r>
        <w:rPr>
          <w:rFonts w:eastAsia="Times New Roman"/>
        </w:rPr>
        <w:pict>
          <v:rect id="_x0000_i1073" style="width:0;height:1.5pt" o:hralign="center" o:hrstd="t" o:hr="t" fillcolor="#a0a0a0" stroked="f"/>
        </w:pict>
      </w:r>
    </w:p>
    <w:p w:rsidR="00000000" w:rsidRDefault="005D26B8">
      <w:pPr>
        <w:divId w:val="1706952042"/>
        <w:rPr>
          <w:rFonts w:eastAsia="Times New Roman"/>
        </w:rPr>
      </w:pPr>
    </w:p>
    <w:p w:rsidR="00000000" w:rsidRDefault="005D26B8">
      <w:pPr>
        <w:divId w:val="951866714"/>
        <w:rPr>
          <w:rFonts w:eastAsia="Times New Roman"/>
        </w:rPr>
      </w:pPr>
      <w:r>
        <w:rPr>
          <w:rFonts w:eastAsia="Times New Roman"/>
          <w:color w:val="000000"/>
          <w:sz w:val="20"/>
          <w:szCs w:val="20"/>
        </w:rPr>
        <w:t>in 2020 to be approximately equal to our tax expense for the same period, subject to adjustment for certain timing differences. Other than those cash outlays noted in “Contractual Obligations” in Item 7. “Management’s Discussi</w:t>
      </w:r>
      <w:r>
        <w:rPr>
          <w:rFonts w:eastAsia="Times New Roman"/>
          <w:color w:val="000000"/>
          <w:sz w:val="20"/>
          <w:szCs w:val="20"/>
        </w:rPr>
        <w:t>on and Analysis of Financial Condition and Results of Operations” in our Fiscal Transition Period Form 10-KT and in the “Commercial Commitments and Contractual Obligations” section below in this MD&amp;A, capital expenditures, dividend payments, repurchases un</w:t>
      </w:r>
      <w:r>
        <w:rPr>
          <w:rFonts w:eastAsia="Times New Roman"/>
          <w:color w:val="000000"/>
          <w:sz w:val="20"/>
          <w:szCs w:val="20"/>
        </w:rPr>
        <w:t xml:space="preserve">der our share repurchase program, L3Harris Merger-related integration and other costs, cash payments to counterparties upon termination of yield-based treasury lock agreements (see </w:t>
      </w:r>
      <w:r>
        <w:rPr>
          <w:rFonts w:eastAsia="Times New Roman"/>
          <w:i/>
          <w:iCs/>
          <w:color w:val="000000"/>
          <w:sz w:val="20"/>
          <w:szCs w:val="20"/>
        </w:rPr>
        <w:t>Note S — Derivative Instruments and Hedging Activities</w:t>
      </w:r>
      <w:r>
        <w:rPr>
          <w:rFonts w:eastAsia="Times New Roman"/>
          <w:color w:val="000000"/>
          <w:sz w:val="20"/>
          <w:szCs w:val="20"/>
        </w:rPr>
        <w:t xml:space="preserve"> </w:t>
      </w:r>
      <w:r>
        <w:rPr>
          <w:rFonts w:eastAsia="Times New Roman"/>
          <w:color w:val="000000"/>
          <w:sz w:val="20"/>
          <w:szCs w:val="20"/>
        </w:rPr>
        <w:t>in the Notes for additional information regarding derivative instruments) and expected repayment in the fourth quarter of 2020 of the entire $650 million principal amount of 4.95% notes due February 15, 2021, we do not anticipate any significant cash outla</w:t>
      </w:r>
      <w:r>
        <w:rPr>
          <w:rFonts w:eastAsia="Times New Roman"/>
          <w:color w:val="000000"/>
          <w:sz w:val="20"/>
          <w:szCs w:val="20"/>
        </w:rPr>
        <w:t>ys during the remainder of 2020. For further information regarding COVID-19-related risks and uncertainties, see Part II, Item 1A. “Risk Factors” in this Report.</w:t>
      </w:r>
    </w:p>
    <w:p w:rsidR="00000000" w:rsidRDefault="005D26B8">
      <w:pPr>
        <w:ind w:firstLine="450"/>
        <w:divId w:val="1858036326"/>
        <w:rPr>
          <w:rFonts w:eastAsia="Times New Roman"/>
        </w:rPr>
      </w:pPr>
      <w:r>
        <w:rPr>
          <w:rFonts w:eastAsia="Times New Roman"/>
          <w:color w:val="000000"/>
          <w:sz w:val="20"/>
          <w:szCs w:val="20"/>
        </w:rPr>
        <w:t xml:space="preserve">There can be no assurance, however, that our business will continue to generate cash flows at </w:t>
      </w:r>
      <w:r>
        <w:rPr>
          <w:rFonts w:eastAsia="Times New Roman"/>
          <w:color w:val="000000"/>
          <w:sz w:val="20"/>
          <w:szCs w:val="20"/>
        </w:rPr>
        <w:t xml:space="preserve">current levels or that the cost or availability of future borrowings, if any, under our commercial paper program or our credit facility or in the debt markets will not be impacted by any potential future credit or capital markets disruptions. For example, </w:t>
      </w:r>
      <w:r>
        <w:rPr>
          <w:rFonts w:eastAsia="Times New Roman"/>
          <w:color w:val="000000"/>
          <w:sz w:val="20"/>
          <w:szCs w:val="20"/>
        </w:rPr>
        <w:t xml:space="preserve">the commercial paper market was temporarily disrupted in March 2020 as a result of COVID-19, and although commercial paper markets are currently functioning in a normal manner, depending on future market conditions and volatility, commercial paper may not </w:t>
      </w:r>
      <w:r>
        <w:rPr>
          <w:rFonts w:eastAsia="Times New Roman"/>
          <w:color w:val="000000"/>
          <w:sz w:val="20"/>
          <w:szCs w:val="20"/>
        </w:rPr>
        <w:t>be available on favorable terms or at all, or in the capacity desired. If we are unable to maintain cash balances, generate cash flow from operations or borrow under our commercial paper program or our credit facility sufficient to service our obligations,</w:t>
      </w:r>
      <w:r>
        <w:rPr>
          <w:rFonts w:eastAsia="Times New Roman"/>
          <w:color w:val="000000"/>
          <w:sz w:val="20"/>
          <w:szCs w:val="20"/>
        </w:rPr>
        <w:t xml:space="preserve"> we may be required to reduce capital expenditures, reduce or eliminate strategic acquisitions, reduce or terminate our share repurchases, reduce or eliminate dividends, refinance all or a portion of our existing debt, obtain additional financing or sell a</w:t>
      </w:r>
      <w:r>
        <w:rPr>
          <w:rFonts w:eastAsia="Times New Roman"/>
          <w:color w:val="000000"/>
          <w:sz w:val="20"/>
          <w:szCs w:val="20"/>
        </w:rPr>
        <w:t>ssets. Our ability to make principal payments or pay interest on or refinance our indebtedness depends on our future performance and financial results, which, to a certain extent, are subject to general conditions in or affecting the defense, government an</w:t>
      </w:r>
      <w:r>
        <w:rPr>
          <w:rFonts w:eastAsia="Times New Roman"/>
          <w:color w:val="000000"/>
          <w:sz w:val="20"/>
          <w:szCs w:val="20"/>
        </w:rPr>
        <w:t>d other markets we serve and to general economic, political, financial, competitive, legislative and regulatory factors beyond our control.</w:t>
      </w:r>
    </w:p>
    <w:p w:rsidR="00000000" w:rsidRDefault="005D26B8">
      <w:pPr>
        <w:ind w:firstLine="450"/>
        <w:divId w:val="73167958"/>
        <w:rPr>
          <w:rFonts w:eastAsia="Times New Roman"/>
        </w:rPr>
      </w:pPr>
      <w:r>
        <w:rPr>
          <w:rFonts w:eastAsia="Times New Roman"/>
          <w:b/>
          <w:bCs/>
          <w:i/>
          <w:iCs/>
          <w:color w:val="000000"/>
          <w:sz w:val="20"/>
          <w:szCs w:val="20"/>
        </w:rPr>
        <w:t xml:space="preserve">Net cash provided by operating activities: </w:t>
      </w:r>
      <w:r>
        <w:rPr>
          <w:rFonts w:eastAsia="Times New Roman"/>
          <w:color w:val="000000"/>
          <w:sz w:val="20"/>
          <w:szCs w:val="20"/>
        </w:rPr>
        <w:t xml:space="preserve">The $1,295 million increase in net cash provided by operating activities </w:t>
      </w:r>
      <w:r>
        <w:rPr>
          <w:rFonts w:eastAsia="Times New Roman"/>
          <w:color w:val="000000"/>
          <w:sz w:val="20"/>
          <w:szCs w:val="20"/>
        </w:rPr>
        <w:t xml:space="preserve">in the three quarters ended October 2, 2020 compared with the three quarters ended September 27, 2019 was primarily due to the impact of higher income (excluding the impact of non-cash items such as depreciation and amortization and impairment of goodwill </w:t>
      </w:r>
      <w:r>
        <w:rPr>
          <w:rFonts w:eastAsia="Times New Roman"/>
          <w:color w:val="000000"/>
          <w:sz w:val="20"/>
          <w:szCs w:val="20"/>
        </w:rPr>
        <w:t>and other assets), reflecting the inclusion of cash flows from L3 operations following the L3Harris Merger, as well as a $302 million voluntary contribution to our U.S. qualified pension plans and $275 million of cash used for L3Harris Merger transaction c</w:t>
      </w:r>
      <w:r>
        <w:rPr>
          <w:rFonts w:eastAsia="Times New Roman"/>
          <w:color w:val="000000"/>
          <w:sz w:val="20"/>
          <w:szCs w:val="20"/>
        </w:rPr>
        <w:t xml:space="preserve">osts, including change in control charges, in the quarter ended September 27, 2019, partially offset by a $167 million increase in cash used to fund working capital in the three quarters ended October 2, 2020. </w:t>
      </w:r>
    </w:p>
    <w:p w:rsidR="00000000" w:rsidRDefault="005D26B8">
      <w:pPr>
        <w:ind w:firstLine="450"/>
        <w:divId w:val="601570374"/>
        <w:rPr>
          <w:rFonts w:eastAsia="Times New Roman"/>
        </w:rPr>
      </w:pPr>
      <w:r>
        <w:rPr>
          <w:rFonts w:eastAsia="Times New Roman"/>
          <w:b/>
          <w:bCs/>
          <w:i/>
          <w:iCs/>
          <w:color w:val="000000"/>
          <w:sz w:val="20"/>
          <w:szCs w:val="20"/>
        </w:rPr>
        <w:t xml:space="preserve">Net cash used in investing activities: </w:t>
      </w:r>
      <w:r>
        <w:rPr>
          <w:rFonts w:eastAsia="Times New Roman"/>
          <w:color w:val="000000"/>
          <w:sz w:val="20"/>
          <w:szCs w:val="20"/>
        </w:rPr>
        <w:t>The $5</w:t>
      </w:r>
      <w:r>
        <w:rPr>
          <w:rFonts w:eastAsia="Times New Roman"/>
          <w:color w:val="000000"/>
          <w:sz w:val="20"/>
          <w:szCs w:val="20"/>
        </w:rPr>
        <w:t>24 million decrease in net cash provided by investing activities in the three quarters ended October 2, 2020 compared with the three quarters ended September 27, 2019 was primarily due to $1,132 million of net cash received from the L3Harris Merger and $34</w:t>
      </w:r>
      <w:r>
        <w:rPr>
          <w:rFonts w:eastAsia="Times New Roman"/>
          <w:color w:val="000000"/>
          <w:sz w:val="20"/>
          <w:szCs w:val="20"/>
        </w:rPr>
        <w:t>3 million of net proceeds from the sale of the Harris Night Vision business in the quarter ended September 27, 2019, partially offset by $950 million of net cash proceeds from the sale of the airport security and automation business in the quarter ended Ju</w:t>
      </w:r>
      <w:r>
        <w:rPr>
          <w:rFonts w:eastAsia="Times New Roman"/>
          <w:color w:val="000000"/>
          <w:sz w:val="20"/>
          <w:szCs w:val="20"/>
        </w:rPr>
        <w:t>ly 3, 2020.</w:t>
      </w:r>
    </w:p>
    <w:p w:rsidR="00000000" w:rsidRDefault="005D26B8">
      <w:pPr>
        <w:ind w:firstLine="450"/>
        <w:divId w:val="1592662196"/>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xml:space="preserve"> </w:t>
      </w:r>
      <w:r>
        <w:rPr>
          <w:rFonts w:eastAsia="Times New Roman"/>
          <w:color w:val="000000"/>
          <w:sz w:val="20"/>
          <w:szCs w:val="20"/>
        </w:rPr>
        <w:t>The $920 million increase in net cash used in financing activities in the three quarters ended October 2, 2020 compared with the three quarters ended September 27, 2019 was primarily due to a $1,100 million increase in cash used to repurchase shares of our</w:t>
      </w:r>
      <w:r>
        <w:rPr>
          <w:rFonts w:eastAsia="Times New Roman"/>
          <w:color w:val="000000"/>
          <w:sz w:val="20"/>
          <w:szCs w:val="20"/>
        </w:rPr>
        <w:t xml:space="preserve"> common stock and an increase of $212 million in cash dividends paid, partially offset by $245 million of higher net proceeds from borrowings and $148 million of lower repayments of borrowings.</w:t>
      </w:r>
    </w:p>
    <w:p w:rsidR="00000000" w:rsidRDefault="005D26B8">
      <w:pPr>
        <w:divId w:val="1342900012"/>
        <w:rPr>
          <w:rFonts w:eastAsia="Times New Roman"/>
        </w:rPr>
      </w:pPr>
      <w:r>
        <w:rPr>
          <w:rFonts w:eastAsia="Times New Roman"/>
          <w:b/>
          <w:bCs/>
          <w:color w:val="000000"/>
          <w:sz w:val="20"/>
          <w:szCs w:val="20"/>
        </w:rPr>
        <w:t>Funding of Pension Plans</w:t>
      </w:r>
    </w:p>
    <w:p w:rsidR="00000000" w:rsidRDefault="005D26B8">
      <w:pPr>
        <w:ind w:firstLine="450"/>
        <w:divId w:val="677197607"/>
        <w:rPr>
          <w:rFonts w:eastAsia="Times New Roman"/>
        </w:rPr>
      </w:pPr>
      <w:r>
        <w:rPr>
          <w:rFonts w:eastAsia="Times New Roman"/>
          <w:color w:val="000000"/>
          <w:sz w:val="20"/>
          <w:szCs w:val="20"/>
        </w:rPr>
        <w:t>Funding requirements under applicable</w:t>
      </w:r>
      <w:r>
        <w:rPr>
          <w:rFonts w:eastAsia="Times New Roman"/>
          <w:color w:val="000000"/>
          <w:sz w:val="20"/>
          <w:szCs w:val="20"/>
        </w:rPr>
        <w:t xml:space="preserve"> laws and regulations are a major consideration in making contributions to our U.S. pension plans. Although we have significant discretion in making voluntary contributions, the Employee Retirement Income Security Act of 1974, as amended by the Pension Pro</w:t>
      </w:r>
      <w:r>
        <w:rPr>
          <w:rFonts w:eastAsia="Times New Roman"/>
          <w:color w:val="000000"/>
          <w:sz w:val="20"/>
          <w:szCs w:val="20"/>
        </w:rPr>
        <w:t>tection Act of 2006 and further amended by the Worker, Retiree, and Employer Recovery Act of 2008, the Moving Ahead for Progress in the 21st Century Act (“MAP-21”), and applicable Internal Revenue Code regulations mandate minimum funding thresholds. Failur</w:t>
      </w:r>
      <w:r>
        <w:rPr>
          <w:rFonts w:eastAsia="Times New Roman"/>
          <w:color w:val="000000"/>
          <w:sz w:val="20"/>
          <w:szCs w:val="20"/>
        </w:rPr>
        <w:t>e to satisfy the minimum funding thresholds could result in restrictions on our ability to amend the plans or make benefit payments. With respect to our U.S. qualified defined benefit pension plans, we intend to contribute annually not less than the requir</w:t>
      </w:r>
      <w:r>
        <w:rPr>
          <w:rFonts w:eastAsia="Times New Roman"/>
          <w:color w:val="000000"/>
          <w:sz w:val="20"/>
          <w:szCs w:val="20"/>
        </w:rPr>
        <w:t>ed minimum funding thresholds.</w:t>
      </w:r>
    </w:p>
    <w:p w:rsidR="00000000" w:rsidRDefault="005D26B8">
      <w:pPr>
        <w:ind w:firstLine="450"/>
        <w:divId w:val="1962373630"/>
        <w:rPr>
          <w:rFonts w:eastAsia="Times New Roman"/>
        </w:rPr>
      </w:pPr>
      <w:r>
        <w:rPr>
          <w:rFonts w:eastAsia="Times New Roman"/>
          <w:color w:val="000000"/>
          <w:sz w:val="20"/>
          <w:szCs w:val="20"/>
        </w:rPr>
        <w:t>The Highway and Transportation Funding Act of 2014 and the Bipartisan Budget Act of 2015 further extended the interest rate stabilization provision of MAP-21 until 2020. We made a voluntary contribution of $302 million to our</w:t>
      </w:r>
      <w:r>
        <w:rPr>
          <w:rFonts w:eastAsia="Times New Roman"/>
          <w:color w:val="000000"/>
          <w:sz w:val="20"/>
          <w:szCs w:val="20"/>
        </w:rPr>
        <w:t xml:space="preserve"> U.S. qualified defined benefit pension plans during the Fiscal Transition Period. As a result, we are not required to make any contributions to our U.S. qualified defined benefit pension plans during the remainder of 2020. </w:t>
      </w:r>
    </w:p>
    <w:p w:rsidR="00000000" w:rsidRDefault="005D26B8">
      <w:pPr>
        <w:ind w:firstLine="450"/>
        <w:divId w:val="1472554143"/>
        <w:rPr>
          <w:rFonts w:eastAsia="Times New Roman"/>
        </w:rPr>
      </w:pPr>
      <w:r>
        <w:rPr>
          <w:rFonts w:eastAsia="Times New Roman"/>
          <w:color w:val="000000"/>
          <w:sz w:val="20"/>
          <w:szCs w:val="20"/>
        </w:rPr>
        <w:t>Future required contributions p</w:t>
      </w:r>
      <w:r>
        <w:rPr>
          <w:rFonts w:eastAsia="Times New Roman"/>
          <w:color w:val="000000"/>
          <w:sz w:val="20"/>
          <w:szCs w:val="20"/>
        </w:rPr>
        <w:t>rimarily will depend on the actual annual return on assets and the discount rate used to measure the benefit obligation at the end of each year. Depending on these factors, and the resulting funded status of our pension plans, the level of future statutory</w:t>
      </w:r>
      <w:r>
        <w:rPr>
          <w:rFonts w:eastAsia="Times New Roman"/>
          <w:color w:val="000000"/>
          <w:sz w:val="20"/>
          <w:szCs w:val="20"/>
        </w:rPr>
        <w:t xml:space="preserve"> required minimum contributions could be material. We had net unfunded defined </w:t>
      </w:r>
    </w:p>
    <w:p w:rsidR="00000000" w:rsidRDefault="005D26B8">
      <w:pPr>
        <w:jc w:val="center"/>
        <w:divId w:val="1285691077"/>
        <w:rPr>
          <w:rFonts w:eastAsia="Times New Roman"/>
        </w:rPr>
      </w:pPr>
      <w:r>
        <w:rPr>
          <w:rFonts w:eastAsia="Times New Roman"/>
          <w:color w:val="000000"/>
          <w:sz w:val="20"/>
          <w:szCs w:val="20"/>
        </w:rPr>
        <w:t>47</w:t>
      </w:r>
    </w:p>
    <w:p w:rsidR="00000000" w:rsidRDefault="005D26B8">
      <w:pPr>
        <w:rPr>
          <w:rFonts w:eastAsia="Times New Roman"/>
        </w:rPr>
      </w:pPr>
      <w:r>
        <w:rPr>
          <w:rFonts w:eastAsia="Times New Roman"/>
        </w:rPr>
        <w:pict>
          <v:rect id="_x0000_i1074" style="width:0;height:1.5pt" o:hralign="center" o:hrstd="t" o:hr="t" fillcolor="#a0a0a0" stroked="f"/>
        </w:pict>
      </w:r>
    </w:p>
    <w:p w:rsidR="00000000" w:rsidRDefault="005D26B8">
      <w:pPr>
        <w:divId w:val="1887138900"/>
        <w:rPr>
          <w:rFonts w:eastAsia="Times New Roman"/>
        </w:rPr>
      </w:pPr>
    </w:p>
    <w:p w:rsidR="00000000" w:rsidRDefault="005D26B8">
      <w:pPr>
        <w:divId w:val="837424829"/>
        <w:rPr>
          <w:rFonts w:eastAsia="Times New Roman"/>
        </w:rPr>
      </w:pPr>
      <w:r>
        <w:rPr>
          <w:rFonts w:eastAsia="Times New Roman"/>
          <w:color w:val="000000"/>
          <w:sz w:val="20"/>
          <w:szCs w:val="20"/>
        </w:rPr>
        <w:t xml:space="preserve">benefit plan obligations of $1.6 billion at October 2, 2020. See </w:t>
      </w:r>
      <w:r>
        <w:rPr>
          <w:rFonts w:eastAsia="Times New Roman"/>
          <w:i/>
          <w:iCs/>
          <w:color w:val="000000"/>
          <w:sz w:val="20"/>
          <w:szCs w:val="20"/>
        </w:rPr>
        <w:t>Note 15: “Pension and Other Postretirement Benefits”</w:t>
      </w:r>
      <w:r>
        <w:rPr>
          <w:rFonts w:eastAsia="Times New Roman"/>
          <w:color w:val="000000"/>
          <w:sz w:val="20"/>
          <w:szCs w:val="20"/>
        </w:rPr>
        <w:t xml:space="preserve"> in the Notes to </w:t>
      </w:r>
      <w:r>
        <w:rPr>
          <w:rFonts w:eastAsia="Times New Roman"/>
          <w:color w:val="000000"/>
          <w:sz w:val="20"/>
          <w:szCs w:val="20"/>
        </w:rPr>
        <w:t xml:space="preserve">the Consolidated Financial Statements in our Fiscal Transition Period Form 10-KT and </w:t>
      </w:r>
      <w:r>
        <w:rPr>
          <w:rFonts w:eastAsia="Times New Roman"/>
          <w:i/>
          <w:iCs/>
          <w:color w:val="000000"/>
          <w:sz w:val="20"/>
          <w:szCs w:val="20"/>
        </w:rPr>
        <w:t>Note N — Postretirement Benefit Plans</w:t>
      </w:r>
      <w:r>
        <w:rPr>
          <w:rFonts w:eastAsia="Times New Roman"/>
          <w:color w:val="000000"/>
          <w:sz w:val="20"/>
          <w:szCs w:val="20"/>
        </w:rPr>
        <w:t xml:space="preserve"> in the Notes for further information regarding our pension plans.</w:t>
      </w:r>
    </w:p>
    <w:p w:rsidR="00000000" w:rsidRDefault="005D26B8">
      <w:pPr>
        <w:divId w:val="1710639957"/>
        <w:rPr>
          <w:rFonts w:eastAsia="Times New Roman"/>
        </w:rPr>
      </w:pPr>
      <w:r>
        <w:rPr>
          <w:rFonts w:eastAsia="Times New Roman"/>
          <w:b/>
          <w:bCs/>
          <w:color w:val="000000"/>
          <w:sz w:val="20"/>
          <w:szCs w:val="20"/>
        </w:rPr>
        <w:t xml:space="preserve">Common Stock Repurchases </w:t>
      </w:r>
    </w:p>
    <w:p w:rsidR="00000000" w:rsidRDefault="005D26B8">
      <w:pPr>
        <w:ind w:firstLine="450"/>
        <w:divId w:val="386103349"/>
        <w:rPr>
          <w:rFonts w:eastAsia="Times New Roman"/>
        </w:rPr>
      </w:pPr>
      <w:r>
        <w:rPr>
          <w:rFonts w:eastAsia="Times New Roman"/>
          <w:color w:val="000000"/>
          <w:sz w:val="20"/>
          <w:szCs w:val="20"/>
        </w:rPr>
        <w:t>During the three quarters ended October 2</w:t>
      </w:r>
      <w:r>
        <w:rPr>
          <w:rFonts w:eastAsia="Times New Roman"/>
          <w:color w:val="000000"/>
          <w:sz w:val="20"/>
          <w:szCs w:val="20"/>
        </w:rPr>
        <w:t xml:space="preserve">, 2020, we used $1,850 million to repurchase 9.7 million shares of our common stock under our current repurchase program at an average price per share of $191.33, including commissions of $.02 per share. During the three quarters ended September 27, 2019, </w:t>
      </w:r>
      <w:r>
        <w:rPr>
          <w:rFonts w:eastAsia="Times New Roman"/>
          <w:color w:val="000000"/>
          <w:sz w:val="20"/>
          <w:szCs w:val="20"/>
        </w:rPr>
        <w:t xml:space="preserve">we used $750 million to repurchase 3.6 million shares of our common stock under our current repurchase program at an average price per share of $209.40, including commissions of $.02 per share. During the three quarters ended October 2, 2020 and September </w:t>
      </w:r>
      <w:r>
        <w:rPr>
          <w:rFonts w:eastAsia="Times New Roman"/>
          <w:color w:val="000000"/>
          <w:sz w:val="20"/>
          <w:szCs w:val="20"/>
        </w:rPr>
        <w:t xml:space="preserve">27, 2019, $2 million and $88 million, respectively, in shares of our common stock were delivered to us or withheld by us to satisfy withholding taxes on employee share-based awards. Shares purchased by us are canceled and retired. </w:t>
      </w:r>
    </w:p>
    <w:p w:rsidR="00000000" w:rsidRDefault="005D26B8">
      <w:pPr>
        <w:ind w:firstLine="450"/>
        <w:divId w:val="1052536649"/>
        <w:rPr>
          <w:rFonts w:eastAsia="Times New Roman"/>
        </w:rPr>
      </w:pPr>
      <w:r>
        <w:rPr>
          <w:rFonts w:eastAsia="Times New Roman"/>
          <w:color w:val="000000"/>
          <w:sz w:val="20"/>
          <w:szCs w:val="20"/>
        </w:rPr>
        <w:t>At October 2, 2020, we h</w:t>
      </w:r>
      <w:r>
        <w:rPr>
          <w:rFonts w:eastAsia="Times New Roman"/>
          <w:color w:val="000000"/>
          <w:sz w:val="20"/>
          <w:szCs w:val="20"/>
        </w:rPr>
        <w:t>ad a remaining, unused authorization of approximately $650 million under our current repurchase program, which does not have an expiration date. Repurchases under our current repurchase program may be made through open-market transactions, private transact</w:t>
      </w:r>
      <w:r>
        <w:rPr>
          <w:rFonts w:eastAsia="Times New Roman"/>
          <w:color w:val="000000"/>
          <w:sz w:val="20"/>
          <w:szCs w:val="20"/>
        </w:rPr>
        <w:t>ions, transactions structured through investment banking institutions or any combination thereof. The level of our repurchases depends on a number of factors, including our financial condition, capital requirements, cash flows, results of operations, futur</w:t>
      </w:r>
      <w:r>
        <w:rPr>
          <w:rFonts w:eastAsia="Times New Roman"/>
          <w:color w:val="000000"/>
          <w:sz w:val="20"/>
          <w:szCs w:val="20"/>
        </w:rPr>
        <w:t>e business prospects, impacts of COVID-19 and other factors our Board and management may deem relevant. The timing, volume and nature of repurchases are subject to market conditions, applicable securities laws and other factors and are at our discretion an</w:t>
      </w:r>
      <w:r>
        <w:rPr>
          <w:rFonts w:eastAsia="Times New Roman"/>
          <w:color w:val="000000"/>
          <w:sz w:val="20"/>
          <w:szCs w:val="20"/>
        </w:rPr>
        <w:t xml:space="preserve">d may be suspended or discontinued at any time. Additional information regarding our current repurchase program is set forth in this Report under Part II. Item 2. “Unregistered Sales of Equity Securities and Use of Proceeds.” </w:t>
      </w:r>
    </w:p>
    <w:p w:rsidR="00000000" w:rsidRDefault="005D26B8">
      <w:pPr>
        <w:divId w:val="2070491413"/>
        <w:rPr>
          <w:rFonts w:eastAsia="Times New Roman"/>
        </w:rPr>
      </w:pPr>
      <w:r>
        <w:rPr>
          <w:rFonts w:eastAsia="Times New Roman"/>
          <w:b/>
          <w:bCs/>
          <w:color w:val="000000"/>
          <w:sz w:val="20"/>
          <w:szCs w:val="20"/>
        </w:rPr>
        <w:t>Dividends</w:t>
      </w:r>
    </w:p>
    <w:p w:rsidR="00000000" w:rsidRDefault="005D26B8">
      <w:pPr>
        <w:ind w:firstLine="450"/>
        <w:divId w:val="2077629828"/>
        <w:rPr>
          <w:rFonts w:eastAsia="Times New Roman"/>
        </w:rPr>
      </w:pPr>
      <w:r>
        <w:rPr>
          <w:rFonts w:eastAsia="Times New Roman"/>
          <w:color w:val="000000"/>
          <w:sz w:val="20"/>
          <w:szCs w:val="20"/>
        </w:rPr>
        <w:t>On February 28, 202</w:t>
      </w:r>
      <w:r>
        <w:rPr>
          <w:rFonts w:eastAsia="Times New Roman"/>
          <w:color w:val="000000"/>
          <w:sz w:val="20"/>
          <w:szCs w:val="20"/>
        </w:rPr>
        <w:t>0, our Board of Directors increased the quarterly cash dividend rate on our common stock from $.75 per share to $.85 per share,</w:t>
      </w:r>
      <w:r>
        <w:rPr>
          <w:rFonts w:eastAsia="Times New Roman"/>
          <w:color w:val="FF0000"/>
          <w:sz w:val="20"/>
          <w:szCs w:val="20"/>
        </w:rPr>
        <w:t xml:space="preserve"> </w:t>
      </w:r>
      <w:r>
        <w:rPr>
          <w:rFonts w:eastAsia="Times New Roman"/>
          <w:color w:val="000000"/>
          <w:sz w:val="20"/>
          <w:szCs w:val="20"/>
        </w:rPr>
        <w:t>for an annualized cash dividend rate</w:t>
      </w:r>
      <w:r>
        <w:rPr>
          <w:rFonts w:eastAsia="Times New Roman"/>
          <w:color w:val="FF0000"/>
          <w:sz w:val="20"/>
          <w:szCs w:val="20"/>
        </w:rPr>
        <w:t xml:space="preserve"> </w:t>
      </w:r>
      <w:r>
        <w:rPr>
          <w:rFonts w:eastAsia="Times New Roman"/>
          <w:color w:val="000000"/>
          <w:sz w:val="20"/>
          <w:szCs w:val="20"/>
        </w:rPr>
        <w:t>of $3.40 per share, which was our nineteenth consecutive annual increase in our quarterly c</w:t>
      </w:r>
      <w:r>
        <w:rPr>
          <w:rFonts w:eastAsia="Times New Roman"/>
          <w:color w:val="000000"/>
          <w:sz w:val="20"/>
          <w:szCs w:val="20"/>
        </w:rPr>
        <w:t>ash dividend rate. Our annualized cash dividend rate was $3.00 per share in the Fiscal Transition Period. Quarterly cash dividends are typically paid in March, June, September and December. We currently expect that cash dividends will continue to be paid i</w:t>
      </w:r>
      <w:r>
        <w:rPr>
          <w:rFonts w:eastAsia="Times New Roman"/>
          <w:color w:val="000000"/>
          <w:sz w:val="20"/>
          <w:szCs w:val="20"/>
        </w:rPr>
        <w:t xml:space="preserve">n the near future, but we can give no assurances concerning payment of future dividends or future dividend increases, which could be impacted by, among other things, the COVID-19 pandemic. The declaration of dividends and the amount thereof will depend on </w:t>
      </w:r>
      <w:r>
        <w:rPr>
          <w:rFonts w:eastAsia="Times New Roman"/>
          <w:color w:val="000000"/>
          <w:sz w:val="20"/>
          <w:szCs w:val="20"/>
        </w:rPr>
        <w:t xml:space="preserve">a number of factors, including our financial condition, capital requirements, cash flows, results of operations, future business prospects and other factors our Board of Directors may deem relevant. </w:t>
      </w:r>
    </w:p>
    <w:p w:rsidR="00000000" w:rsidRDefault="005D26B8">
      <w:pPr>
        <w:divId w:val="1491864736"/>
        <w:rPr>
          <w:rFonts w:eastAsia="Times New Roman"/>
        </w:rPr>
      </w:pPr>
      <w:r>
        <w:rPr>
          <w:rFonts w:eastAsia="Times New Roman"/>
          <w:b/>
          <w:bCs/>
          <w:color w:val="000000"/>
          <w:sz w:val="20"/>
          <w:szCs w:val="20"/>
        </w:rPr>
        <w:t>Capital Structure and Resources</w:t>
      </w:r>
    </w:p>
    <w:p w:rsidR="00000000" w:rsidRDefault="005D26B8">
      <w:pPr>
        <w:ind w:firstLine="450"/>
        <w:divId w:val="1800566517"/>
        <w:rPr>
          <w:rFonts w:eastAsia="Times New Roman"/>
        </w:rPr>
      </w:pPr>
      <w:r>
        <w:rPr>
          <w:rFonts w:eastAsia="Times New Roman"/>
          <w:b/>
          <w:bCs/>
          <w:i/>
          <w:iCs/>
          <w:color w:val="000000"/>
          <w:sz w:val="20"/>
          <w:szCs w:val="20"/>
        </w:rPr>
        <w:t>2019 Credit Agreement:</w:t>
      </w:r>
      <w:r>
        <w:rPr>
          <w:rFonts w:eastAsia="Times New Roman"/>
          <w:color w:val="000000"/>
          <w:sz w:val="20"/>
          <w:szCs w:val="20"/>
        </w:rPr>
        <w:t> W</w:t>
      </w:r>
      <w:r>
        <w:rPr>
          <w:rFonts w:eastAsia="Times New Roman"/>
          <w:color w:val="000000"/>
          <w:sz w:val="20"/>
          <w:szCs w:val="20"/>
        </w:rPr>
        <w:t>e have a $2 billion, 5-year senior unsecured revolving credit facility (the “2019 Credit Facility”) under a Revolving Credit Agreement (the “2019 Credit Agreement”) entered into on June 28, 2019 with a syndicate of lenders. For a description of the 2019 Cr</w:t>
      </w:r>
      <w:r>
        <w:rPr>
          <w:rFonts w:eastAsia="Times New Roman"/>
          <w:color w:val="000000"/>
          <w:sz w:val="20"/>
          <w:szCs w:val="20"/>
        </w:rPr>
        <w:t xml:space="preserve">edit Facility and the 2019 Credit Agreement, see </w:t>
      </w:r>
      <w:r>
        <w:rPr>
          <w:rFonts w:eastAsia="Times New Roman"/>
          <w:i/>
          <w:iCs/>
          <w:color w:val="000000"/>
          <w:sz w:val="20"/>
          <w:szCs w:val="20"/>
        </w:rPr>
        <w:t>Note 13: “Credit Arrangements”</w:t>
      </w:r>
      <w:r>
        <w:rPr>
          <w:rFonts w:eastAsia="Times New Roman"/>
          <w:color w:val="000000"/>
          <w:sz w:val="20"/>
          <w:szCs w:val="20"/>
        </w:rPr>
        <w:t xml:space="preserve"> in the Notes to Consolidated Financial Statements in our Fiscal Transition Period Form 10-KT.</w:t>
      </w:r>
    </w:p>
    <w:p w:rsidR="00000000" w:rsidRDefault="005D26B8">
      <w:pPr>
        <w:ind w:firstLine="495"/>
        <w:divId w:val="1018582324"/>
        <w:rPr>
          <w:rFonts w:eastAsia="Times New Roman"/>
        </w:rPr>
      </w:pPr>
      <w:r>
        <w:rPr>
          <w:rFonts w:eastAsia="Times New Roman"/>
          <w:color w:val="000000"/>
          <w:sz w:val="20"/>
          <w:szCs w:val="20"/>
        </w:rPr>
        <w:t>We were in compliance with the covenants in the 2019 Credit Agreement at October 2</w:t>
      </w:r>
      <w:r>
        <w:rPr>
          <w:rFonts w:eastAsia="Times New Roman"/>
          <w:color w:val="000000"/>
          <w:sz w:val="20"/>
          <w:szCs w:val="20"/>
        </w:rPr>
        <w:t>, 2020, including the covenant requiring that we not permit our ratio of consolidated total indebtedness to total capital, each as defined in the 2019 Credit Agreement, to be greater than 0.65 to 1.00. At October 2, 2020, we had no borrowings outstanding u</w:t>
      </w:r>
      <w:r>
        <w:rPr>
          <w:rFonts w:eastAsia="Times New Roman"/>
          <w:color w:val="000000"/>
          <w:sz w:val="20"/>
          <w:szCs w:val="20"/>
        </w:rPr>
        <w:t xml:space="preserve">nder the 2019 Credit Agreement. </w:t>
      </w:r>
    </w:p>
    <w:p w:rsidR="00000000" w:rsidRDefault="005D26B8">
      <w:pPr>
        <w:ind w:firstLine="450"/>
        <w:divId w:val="1246258038"/>
        <w:rPr>
          <w:rFonts w:eastAsia="Times New Roman"/>
        </w:rPr>
      </w:pPr>
      <w:r>
        <w:rPr>
          <w:rFonts w:eastAsia="Times New Roman"/>
          <w:b/>
          <w:bCs/>
          <w:i/>
          <w:iCs/>
          <w:color w:val="000000"/>
          <w:sz w:val="20"/>
          <w:szCs w:val="20"/>
        </w:rPr>
        <w:t xml:space="preserve">Exchange Offer: </w:t>
      </w:r>
      <w:r>
        <w:rPr>
          <w:rFonts w:eastAsia="Times New Roman"/>
          <w:color w:val="000000"/>
          <w:sz w:val="20"/>
          <w:szCs w:val="20"/>
        </w:rPr>
        <w:t>On March 31, 2020, we commenced offers to eligible holders to exchange any and all outstanding notes previously issued by L3Harris pursuant to an exemption from the registration requirements of the Securitie</w:t>
      </w:r>
      <w:r>
        <w:rPr>
          <w:rFonts w:eastAsia="Times New Roman"/>
          <w:color w:val="000000"/>
          <w:sz w:val="20"/>
          <w:szCs w:val="20"/>
        </w:rPr>
        <w:t xml:space="preserve">s Act of 1933, as amended (“Original Notes”) for an equal principal amount of new notes registered under the Securities Act (the “Exchange Notes”). The terms of the Exchange Notes are substantially identical to the terms of the corresponding series of the </w:t>
      </w:r>
      <w:r>
        <w:rPr>
          <w:rFonts w:eastAsia="Times New Roman"/>
          <w:color w:val="000000"/>
          <w:sz w:val="20"/>
          <w:szCs w:val="20"/>
        </w:rPr>
        <w:t>Original Notes, except that the Exchange Notes are registered under the Securities Act of 1933, as amended, and the transfer restrictions, registration rights and related special interest provisions applicable to the Original Notes do not apply to the Exch</w:t>
      </w:r>
      <w:r>
        <w:rPr>
          <w:rFonts w:eastAsia="Times New Roman"/>
          <w:color w:val="000000"/>
          <w:sz w:val="20"/>
          <w:szCs w:val="20"/>
        </w:rPr>
        <w:t xml:space="preserve">ange Notes. The Exchange Offers expired at 5:00 p.m., New York City time, on May 1, 2020 (“Expiration Date”). On May 5, 2020, we settled the Exchange Offers and issued Exchange Notes for validly tendered Original Notes. See </w:t>
      </w:r>
      <w:r>
        <w:rPr>
          <w:rFonts w:eastAsia="Times New Roman"/>
          <w:i/>
          <w:iCs/>
          <w:color w:val="000000"/>
          <w:sz w:val="20"/>
          <w:szCs w:val="20"/>
        </w:rPr>
        <w:t>Note M — Debt</w:t>
      </w:r>
      <w:r>
        <w:rPr>
          <w:rFonts w:eastAsia="Times New Roman"/>
          <w:color w:val="000000"/>
          <w:sz w:val="20"/>
          <w:szCs w:val="20"/>
        </w:rPr>
        <w:t xml:space="preserve"> in the Notes for a</w:t>
      </w:r>
      <w:r>
        <w:rPr>
          <w:rFonts w:eastAsia="Times New Roman"/>
          <w:color w:val="000000"/>
          <w:sz w:val="20"/>
          <w:szCs w:val="20"/>
        </w:rPr>
        <w:t>dditional information.</w:t>
      </w:r>
    </w:p>
    <w:p w:rsidR="00000000" w:rsidRDefault="005D26B8">
      <w:pPr>
        <w:ind w:firstLine="450"/>
        <w:divId w:val="1244024433"/>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M — Debt</w:t>
      </w:r>
      <w:r>
        <w:rPr>
          <w:rFonts w:eastAsia="Times New Roman"/>
          <w:color w:val="000000"/>
          <w:sz w:val="20"/>
          <w:szCs w:val="20"/>
        </w:rPr>
        <w:t xml:space="preserve"> in the Notes. As discussed in </w:t>
      </w:r>
      <w:r>
        <w:rPr>
          <w:rFonts w:eastAsia="Times New Roman"/>
          <w:i/>
          <w:iCs/>
          <w:color w:val="000000"/>
          <w:sz w:val="20"/>
          <w:szCs w:val="20"/>
        </w:rPr>
        <w:t>Note M — Debt</w:t>
      </w:r>
      <w:r>
        <w:rPr>
          <w:rFonts w:eastAsia="Times New Roman"/>
          <w:color w:val="000000"/>
          <w:sz w:val="20"/>
          <w:szCs w:val="20"/>
        </w:rPr>
        <w:t xml:space="preserve"> in the Notes, in the first quarter of 2020, we completed the issuance and sale of $25</w:t>
      </w:r>
      <w:r>
        <w:rPr>
          <w:rFonts w:eastAsia="Times New Roman"/>
          <w:color w:val="000000"/>
          <w:sz w:val="20"/>
          <w:szCs w:val="20"/>
        </w:rPr>
        <w:t>0 million in aggregate principal amount of Floating Rate Notes due March 10, 2023 and used the net proceeds from the sale to repay at maturity the $250 million in aggregate principal amount of our Floating Rate Notes due April 30, 2020.</w:t>
      </w:r>
    </w:p>
    <w:p w:rsidR="00000000" w:rsidRDefault="005D26B8">
      <w:pPr>
        <w:jc w:val="center"/>
        <w:divId w:val="1637880146"/>
        <w:rPr>
          <w:rFonts w:eastAsia="Times New Roman"/>
        </w:rPr>
      </w:pPr>
      <w:r>
        <w:rPr>
          <w:rFonts w:eastAsia="Times New Roman"/>
          <w:color w:val="000000"/>
          <w:sz w:val="20"/>
          <w:szCs w:val="20"/>
        </w:rPr>
        <w:t>48</w:t>
      </w:r>
    </w:p>
    <w:p w:rsidR="00000000" w:rsidRDefault="005D26B8">
      <w:pPr>
        <w:rPr>
          <w:rFonts w:eastAsia="Times New Roman"/>
        </w:rPr>
      </w:pPr>
      <w:r>
        <w:rPr>
          <w:rFonts w:eastAsia="Times New Roman"/>
        </w:rPr>
        <w:pict>
          <v:rect id="_x0000_i1075" style="width:0;height:1.5pt" o:hralign="center" o:hrstd="t" o:hr="t" fillcolor="#a0a0a0" stroked="f"/>
        </w:pict>
      </w:r>
    </w:p>
    <w:p w:rsidR="00000000" w:rsidRDefault="005D26B8">
      <w:pPr>
        <w:divId w:val="685403705"/>
        <w:rPr>
          <w:rFonts w:eastAsia="Times New Roman"/>
        </w:rPr>
      </w:pPr>
    </w:p>
    <w:p w:rsidR="00000000" w:rsidRDefault="005D26B8">
      <w:pPr>
        <w:ind w:firstLine="450"/>
        <w:divId w:val="1450851980"/>
        <w:rPr>
          <w:rFonts w:eastAsia="Times New Roman"/>
        </w:rPr>
      </w:pPr>
      <w:r>
        <w:rPr>
          <w:rFonts w:eastAsia="Times New Roman"/>
          <w:b/>
          <w:bCs/>
          <w:i/>
          <w:iCs/>
          <w:color w:val="000000"/>
          <w:sz w:val="20"/>
          <w:szCs w:val="20"/>
        </w:rPr>
        <w:t>Short-Term Debt:</w:t>
      </w:r>
      <w:r>
        <w:rPr>
          <w:rFonts w:eastAsia="Times New Roman"/>
          <w:color w:val="000000"/>
          <w:sz w:val="20"/>
          <w:szCs w:val="20"/>
        </w:rPr>
        <w:t xml:space="preserve"> Our short-term debt at October 2, 2020 and January </w:t>
      </w:r>
      <w:r>
        <w:rPr>
          <w:rFonts w:eastAsia="Times New Roman"/>
          <w:color w:val="000000"/>
          <w:sz w:val="20"/>
          <w:szCs w:val="20"/>
        </w:rPr>
        <w:t xml:space="preserve">3, 2020 was $2 million and $3 million, respectively, consisting of local borrowing by international subsidiaries for working capital needs. </w:t>
      </w:r>
    </w:p>
    <w:p w:rsidR="00000000" w:rsidRDefault="005D26B8">
      <w:pPr>
        <w:ind w:firstLine="450"/>
        <w:divId w:val="273176772"/>
        <w:rPr>
          <w:rFonts w:eastAsia="Times New Roman"/>
        </w:rPr>
      </w:pPr>
      <w:r>
        <w:rPr>
          <w:rFonts w:eastAsia="Times New Roman"/>
          <w:b/>
          <w:bCs/>
          <w:i/>
          <w:iCs/>
          <w:color w:val="000000"/>
          <w:sz w:val="20"/>
          <w:szCs w:val="20"/>
        </w:rPr>
        <w:t xml:space="preserve">Other Agreements: </w:t>
      </w:r>
      <w:r>
        <w:rPr>
          <w:rFonts w:eastAsia="Times New Roman"/>
          <w:color w:val="000000"/>
          <w:sz w:val="20"/>
          <w:szCs w:val="20"/>
        </w:rPr>
        <w:t>We have a RSA with a third-party financial institution that permits us to sell, on a non-recourse</w:t>
      </w:r>
      <w:r>
        <w:rPr>
          <w:rFonts w:eastAsia="Times New Roman"/>
          <w:color w:val="000000"/>
          <w:sz w:val="20"/>
          <w:szCs w:val="20"/>
        </w:rPr>
        <w:t xml:space="preserve"> basis, up to $100 million of outstanding receivables at any given time. From time to time, we have sold certain customer receivables under the RSA, which we continue to service and collect on behalf of the third-party financial institution and which we ac</w:t>
      </w:r>
      <w:r>
        <w:rPr>
          <w:rFonts w:eastAsia="Times New Roman"/>
          <w:color w:val="000000"/>
          <w:sz w:val="20"/>
          <w:szCs w:val="20"/>
        </w:rPr>
        <w:t xml:space="preserve">count for as sales of receivables with sale proceeds included in net cash from operating activities. </w:t>
      </w:r>
    </w:p>
    <w:p w:rsidR="00000000" w:rsidRDefault="005D26B8">
      <w:pPr>
        <w:divId w:val="2030138056"/>
        <w:rPr>
          <w:rFonts w:eastAsia="Times New Roman"/>
        </w:rPr>
      </w:pPr>
      <w:r>
        <w:rPr>
          <w:rFonts w:eastAsia="Times New Roman"/>
          <w:b/>
          <w:bCs/>
          <w:color w:val="000000"/>
          <w:sz w:val="20"/>
          <w:szCs w:val="20"/>
        </w:rPr>
        <w:t>Off-Balance Sheet Arrangements</w:t>
      </w:r>
    </w:p>
    <w:p w:rsidR="00000000" w:rsidRDefault="005D26B8">
      <w:pPr>
        <w:ind w:firstLine="450"/>
        <w:divId w:val="2110200954"/>
        <w:rPr>
          <w:rFonts w:eastAsia="Times New Roman"/>
        </w:rPr>
      </w:pPr>
      <w:r>
        <w:rPr>
          <w:rFonts w:eastAsia="Times New Roman"/>
          <w:color w:val="000000"/>
          <w:sz w:val="20"/>
          <w:szCs w:val="20"/>
        </w:rPr>
        <w:t>In accordance with the definition under SEC rules, any of the following qualify as off-balance sheet arrangements:</w:t>
      </w:r>
    </w:p>
    <w:p w:rsidR="00000000" w:rsidRDefault="005D26B8">
      <w:pPr>
        <w:ind w:hanging="180"/>
        <w:divId w:val="26179539"/>
        <w:rPr>
          <w:rFonts w:eastAsia="Times New Roman"/>
        </w:rPr>
      </w:pPr>
      <w:r>
        <w:rPr>
          <w:rFonts w:eastAsia="Times New Roman"/>
          <w:color w:val="000000"/>
          <w:sz w:val="20"/>
          <w:szCs w:val="20"/>
        </w:rPr>
        <w:t>•Any obl</w:t>
      </w:r>
      <w:r>
        <w:rPr>
          <w:rFonts w:eastAsia="Times New Roman"/>
          <w:color w:val="000000"/>
          <w:sz w:val="20"/>
          <w:szCs w:val="20"/>
        </w:rPr>
        <w:t>igation under certain guarantee contracts;</w:t>
      </w:r>
    </w:p>
    <w:p w:rsidR="00000000" w:rsidRDefault="005D26B8">
      <w:pPr>
        <w:ind w:hanging="180"/>
        <w:divId w:val="2073964405"/>
        <w:rPr>
          <w:rFonts w:eastAsia="Times New Roman"/>
        </w:rPr>
      </w:pPr>
      <w:r>
        <w:rPr>
          <w:rFonts w:eastAsia="Times New Roman"/>
          <w:color w:val="000000"/>
          <w:sz w:val="20"/>
          <w:szCs w:val="20"/>
        </w:rPr>
        <w:t>•</w:t>
      </w:r>
      <w:r>
        <w:rPr>
          <w:rFonts w:eastAsia="Times New Roman"/>
          <w:color w:val="000000"/>
          <w:sz w:val="20"/>
          <w:szCs w:val="20"/>
        </w:rPr>
        <w:t>A retained or contingent interest in assets transferred to an unconsolidated entity or similar arrangement that serves as credit, liquidity or market risk support to that entity for such assets;</w:t>
      </w:r>
    </w:p>
    <w:p w:rsidR="00000000" w:rsidRDefault="005D26B8">
      <w:pPr>
        <w:ind w:hanging="180"/>
        <w:divId w:val="996767993"/>
        <w:rPr>
          <w:rFonts w:eastAsia="Times New Roman"/>
        </w:rPr>
      </w:pPr>
      <w:r>
        <w:rPr>
          <w:rFonts w:eastAsia="Times New Roman"/>
          <w:color w:val="000000"/>
          <w:sz w:val="20"/>
          <w:szCs w:val="20"/>
        </w:rPr>
        <w:t>•Any obligation, including a contingent obligation, under cer</w:t>
      </w:r>
      <w:r>
        <w:rPr>
          <w:rFonts w:eastAsia="Times New Roman"/>
          <w:color w:val="000000"/>
          <w:sz w:val="20"/>
          <w:szCs w:val="20"/>
        </w:rPr>
        <w:t>tain derivative instruments; and</w:t>
      </w:r>
    </w:p>
    <w:p w:rsidR="00000000" w:rsidRDefault="005D26B8">
      <w:pPr>
        <w:ind w:hanging="180"/>
        <w:divId w:val="487553915"/>
        <w:rPr>
          <w:rFonts w:eastAsia="Times New Roman"/>
        </w:rPr>
      </w:pPr>
      <w:r>
        <w:rPr>
          <w:rFonts w:eastAsia="Times New Roman"/>
          <w:color w:val="000000"/>
          <w:sz w:val="20"/>
          <w:szCs w:val="20"/>
        </w:rPr>
        <w:t>•Any obligation, including a contingent obligation, under a material variable interest in an unconsolidated entity that is held by, and material to, the registrant, where such entity provides financing, liquidity, market ri</w:t>
      </w:r>
      <w:r>
        <w:rPr>
          <w:rFonts w:eastAsia="Times New Roman"/>
          <w:color w:val="000000"/>
          <w:sz w:val="20"/>
          <w:szCs w:val="20"/>
        </w:rPr>
        <w:t>sk or credit risk support to the registrant, or engages in leasing, hedging or R&amp;D services with the registrant.</w:t>
      </w:r>
    </w:p>
    <w:p w:rsidR="00000000" w:rsidRDefault="005D26B8">
      <w:pPr>
        <w:ind w:firstLine="450"/>
        <w:divId w:val="1144159156"/>
        <w:rPr>
          <w:rFonts w:eastAsia="Times New Roman"/>
        </w:rPr>
      </w:pPr>
      <w:r>
        <w:rPr>
          <w:rFonts w:eastAsia="Times New Roman"/>
          <w:color w:val="000000"/>
          <w:sz w:val="20"/>
          <w:szCs w:val="20"/>
        </w:rPr>
        <w:t>As of October 2, 2020, we were not participating in any material transactions that generated relationships with unconsolidated entities or fina</w:t>
      </w:r>
      <w:r>
        <w:rPr>
          <w:rFonts w:eastAsia="Times New Roman"/>
          <w:color w:val="000000"/>
          <w:sz w:val="20"/>
          <w:szCs w:val="20"/>
        </w:rPr>
        <w:t xml:space="preserve">ncial partnerships, including variable interest entities, and we did not have any material retained or contingent interest in assets as defined above. As of October 2, 2020, we </w:t>
      </w:r>
      <w:r>
        <w:rPr>
          <w:rFonts w:eastAsia="Times New Roman"/>
          <w:color w:val="000000"/>
          <w:sz w:val="20"/>
          <w:szCs w:val="20"/>
          <w:shd w:val="clear" w:color="auto" w:fill="FFFFFF"/>
        </w:rPr>
        <w:t xml:space="preserve">did not have material financial guarantees or other contractual commitments </w:t>
      </w:r>
      <w:r>
        <w:rPr>
          <w:rFonts w:eastAsia="Times New Roman"/>
          <w:color w:val="000000"/>
          <w:sz w:val="20"/>
          <w:szCs w:val="20"/>
        </w:rPr>
        <w:t>tha</w:t>
      </w:r>
      <w:r>
        <w:rPr>
          <w:rFonts w:eastAsia="Times New Roman"/>
          <w:color w:val="000000"/>
          <w:sz w:val="20"/>
          <w:szCs w:val="20"/>
        </w:rPr>
        <w:t>t we believe are reasonably likely to adversely affect our financial condition, results of operations, cash flows and equity, and we were not a party to any related party transactions that materially affect our financial condition, results of operations, c</w:t>
      </w:r>
      <w:r>
        <w:rPr>
          <w:rFonts w:eastAsia="Times New Roman"/>
          <w:color w:val="000000"/>
          <w:sz w:val="20"/>
          <w:szCs w:val="20"/>
        </w:rPr>
        <w:t>ash flows and equity.</w:t>
      </w:r>
    </w:p>
    <w:p w:rsidR="00000000" w:rsidRDefault="005D26B8">
      <w:pPr>
        <w:ind w:firstLine="450"/>
        <w:divId w:val="1180775734"/>
        <w:rPr>
          <w:rFonts w:eastAsia="Times New Roman"/>
        </w:rPr>
      </w:pPr>
      <w:r>
        <w:rPr>
          <w:rFonts w:eastAsia="Times New Roman"/>
          <w:color w:val="000000"/>
          <w:sz w:val="20"/>
          <w:szCs w:val="20"/>
        </w:rPr>
        <w:t xml:space="preserve">We have, from time to time, divested certain of our businesses and assets. In connection with these divestitures, we often provide representations, warranties and/or indemnities to cover various risks and unknown liabilities, such as </w:t>
      </w:r>
      <w:r>
        <w:rPr>
          <w:rFonts w:eastAsia="Times New Roman"/>
          <w:color w:val="000000"/>
          <w:sz w:val="20"/>
          <w:szCs w:val="20"/>
        </w:rPr>
        <w:t>environmental liabilities and tax liabilities. We cannot estimate the potential liability from such representations, warranties and indemnities because they relate to unknown conditions. We do not believe, however, that the liabilities relating to these re</w:t>
      </w:r>
      <w:r>
        <w:rPr>
          <w:rFonts w:eastAsia="Times New Roman"/>
          <w:color w:val="000000"/>
          <w:sz w:val="20"/>
          <w:szCs w:val="20"/>
        </w:rPr>
        <w:t>presentations, warranties and indemnities will have a material adverse effect on our financial condition, results of operations, cash flows or equity.</w:t>
      </w:r>
    </w:p>
    <w:p w:rsidR="00000000" w:rsidRDefault="005D26B8">
      <w:pPr>
        <w:ind w:firstLine="450"/>
        <w:divId w:val="2081293982"/>
        <w:rPr>
          <w:rFonts w:eastAsia="Times New Roman"/>
        </w:rPr>
      </w:pPr>
      <w:r>
        <w:rPr>
          <w:rFonts w:eastAsia="Times New Roman"/>
          <w:color w:val="000000"/>
          <w:sz w:val="20"/>
          <w:szCs w:val="20"/>
        </w:rPr>
        <w:t>Due to our downsizing of certain operations pursuant to acquisitions, divestitures, restructuring plans o</w:t>
      </w:r>
      <w:r>
        <w:rPr>
          <w:rFonts w:eastAsia="Times New Roman"/>
          <w:color w:val="000000"/>
          <w:sz w:val="20"/>
          <w:szCs w:val="20"/>
        </w:rPr>
        <w:t>r otherwise, certain properties leased by us have been sublet to third parties. If any of these third parties vacates any of these premises, we would be legally obligated under master lease arrangements. We believe that the financial risk of default by suc</w:t>
      </w:r>
      <w:r>
        <w:rPr>
          <w:rFonts w:eastAsia="Times New Roman"/>
          <w:color w:val="000000"/>
          <w:sz w:val="20"/>
          <w:szCs w:val="20"/>
        </w:rPr>
        <w:t>h sub-lessees is individually and in the aggregate not material to our financial condition, results of operations, cash flows or equity.</w:t>
      </w:r>
    </w:p>
    <w:p w:rsidR="00000000" w:rsidRDefault="005D26B8">
      <w:pPr>
        <w:divId w:val="1572081909"/>
        <w:rPr>
          <w:rFonts w:eastAsia="Times New Roman"/>
        </w:rPr>
      </w:pPr>
      <w:r>
        <w:rPr>
          <w:rFonts w:eastAsia="Times New Roman"/>
          <w:b/>
          <w:bCs/>
          <w:color w:val="000000"/>
          <w:sz w:val="20"/>
          <w:szCs w:val="20"/>
        </w:rPr>
        <w:t xml:space="preserve">Commercial Commitments and Contractual Obligations </w:t>
      </w:r>
    </w:p>
    <w:p w:rsidR="00000000" w:rsidRDefault="005D26B8">
      <w:pPr>
        <w:ind w:firstLine="450"/>
        <w:divId w:val="394665797"/>
        <w:rPr>
          <w:rFonts w:eastAsia="Times New Roman"/>
        </w:rPr>
      </w:pPr>
      <w:r>
        <w:rPr>
          <w:rFonts w:eastAsia="Times New Roman"/>
          <w:color w:val="000000"/>
          <w:sz w:val="20"/>
          <w:szCs w:val="20"/>
        </w:rPr>
        <w:t>The amounts disclosed in our Fiscal Transition Period Form 10-KT in</w:t>
      </w:r>
      <w:r>
        <w:rPr>
          <w:rFonts w:eastAsia="Times New Roman"/>
          <w:color w:val="000000"/>
          <w:sz w:val="20"/>
          <w:szCs w:val="20"/>
        </w:rPr>
        <w:t xml:space="preserve">clude our commercial commitments and contractual obligations. Except for changes in our debt as described under “Capital Structure and Resources” in this MD&amp;A as well as other changes resulting from the L3Harris Merger, no material changes occurred during </w:t>
      </w:r>
      <w:r>
        <w:rPr>
          <w:rFonts w:eastAsia="Times New Roman"/>
          <w:color w:val="000000"/>
          <w:sz w:val="20"/>
          <w:szCs w:val="20"/>
        </w:rPr>
        <w:t>the three quarters ended October 2, 2020 in our contractual cash obligations to repay debt, to purchase goods and services, to make payments under operating leases or our commercial commitments, or in our contingent liabilities on outstanding surety bonds,</w:t>
      </w:r>
      <w:r>
        <w:rPr>
          <w:rFonts w:eastAsia="Times New Roman"/>
          <w:color w:val="000000"/>
          <w:sz w:val="20"/>
          <w:szCs w:val="20"/>
        </w:rPr>
        <w:t xml:space="preserve"> standby letters of credit or other arrangements as disclosed in our Fiscal Transition Period Form 10-KT. </w:t>
      </w:r>
    </w:p>
    <w:p w:rsidR="00000000" w:rsidRDefault="005D26B8">
      <w:pPr>
        <w:divId w:val="873230814"/>
        <w:rPr>
          <w:rFonts w:eastAsia="Times New Roman"/>
        </w:rPr>
      </w:pPr>
      <w:r>
        <w:rPr>
          <w:rFonts w:eastAsia="Times New Roman"/>
          <w:b/>
          <w:bCs/>
          <w:color w:val="000000"/>
          <w:sz w:val="20"/>
          <w:szCs w:val="20"/>
        </w:rPr>
        <w:t>CRITICAL ACCOUNTING POLICIES AND ESTIMATES</w:t>
      </w:r>
    </w:p>
    <w:p w:rsidR="00000000" w:rsidRDefault="005D26B8">
      <w:pPr>
        <w:ind w:firstLine="450"/>
        <w:divId w:val="33582152"/>
        <w:rPr>
          <w:rFonts w:eastAsia="Times New Roman"/>
        </w:rPr>
      </w:pPr>
      <w:r>
        <w:rPr>
          <w:rFonts w:eastAsia="Times New Roman"/>
          <w:color w:val="000000"/>
          <w:sz w:val="20"/>
          <w:szCs w:val="20"/>
        </w:rPr>
        <w:t>Our Condensed Consolidated Financial Statements (Unaudited) and accompanying Notes are prepared in accorda</w:t>
      </w:r>
      <w:r>
        <w:rPr>
          <w:rFonts w:eastAsia="Times New Roman"/>
          <w:color w:val="000000"/>
          <w:sz w:val="20"/>
          <w:szCs w:val="20"/>
        </w:rPr>
        <w:t>nce with GAAP. Preparing financial statements requires us to make estimates and assumptions that affect the reported amounts of assets, liabilities, revenue, expenses and backlog as well as disclosures of contingent assets and liabilities. Actual results m</w:t>
      </w:r>
      <w:r>
        <w:rPr>
          <w:rFonts w:eastAsia="Times New Roman"/>
          <w:color w:val="000000"/>
          <w:sz w:val="20"/>
          <w:szCs w:val="20"/>
        </w:rPr>
        <w:t>ay differ from our estimates. These estimates and assumptions are affected by the application of our accounting policies. Critical accounting policies and estimates are those that require application of management’s most difficult, subjective or complex ju</w:t>
      </w:r>
      <w:r>
        <w:rPr>
          <w:rFonts w:eastAsia="Times New Roman"/>
          <w:color w:val="000000"/>
          <w:sz w:val="20"/>
          <w:szCs w:val="20"/>
        </w:rPr>
        <w:t>dgments, often as a result of matters that are inherently uncertain and may change in subsequent periods. Critical accounting policies and estimates for us include: (i) revenue recognition on contracts and contract estimates; (ii) postretirement benefit pl</w:t>
      </w:r>
      <w:r>
        <w:rPr>
          <w:rFonts w:eastAsia="Times New Roman"/>
          <w:color w:val="000000"/>
          <w:sz w:val="20"/>
          <w:szCs w:val="20"/>
        </w:rPr>
        <w:t>ans; (iii) provisions for excess and obsolete inventory losses; (iv) impairment testing of goodwill; (v) accounting for business combinations; and (vi) income taxes and tax valuation allowances. For additional discussion of our critical accounting policies</w:t>
      </w:r>
      <w:r>
        <w:rPr>
          <w:rFonts w:eastAsia="Times New Roman"/>
          <w:color w:val="000000"/>
          <w:sz w:val="20"/>
          <w:szCs w:val="20"/>
        </w:rPr>
        <w:t xml:space="preserve"> and estimates, see “Critical Accounting Policies and Estimates” in Item 7. “Management’s Discussion and Analysis of Financial Condition and Results of Operations” in our Fiscal Transition Period Form 10-KT. </w:t>
      </w:r>
    </w:p>
    <w:p w:rsidR="00000000" w:rsidRDefault="005D26B8">
      <w:pPr>
        <w:jc w:val="center"/>
        <w:divId w:val="695811752"/>
        <w:rPr>
          <w:rFonts w:eastAsia="Times New Roman"/>
        </w:rPr>
      </w:pPr>
      <w:r>
        <w:rPr>
          <w:rFonts w:eastAsia="Times New Roman"/>
          <w:color w:val="000000"/>
          <w:sz w:val="20"/>
          <w:szCs w:val="20"/>
        </w:rPr>
        <w:t>49</w:t>
      </w:r>
    </w:p>
    <w:p w:rsidR="00000000" w:rsidRDefault="005D26B8">
      <w:pPr>
        <w:rPr>
          <w:rFonts w:eastAsia="Times New Roman"/>
        </w:rPr>
      </w:pPr>
      <w:r>
        <w:rPr>
          <w:rFonts w:eastAsia="Times New Roman"/>
        </w:rPr>
        <w:pict>
          <v:rect id="_x0000_i1076" style="width:0;height:1.5pt" o:hralign="center" o:hrstd="t" o:hr="t" fillcolor="#a0a0a0" stroked="f"/>
        </w:pict>
      </w:r>
    </w:p>
    <w:p w:rsidR="00000000" w:rsidRDefault="005D26B8">
      <w:pPr>
        <w:divId w:val="258687391"/>
        <w:rPr>
          <w:rFonts w:eastAsia="Times New Roman"/>
        </w:rPr>
      </w:pPr>
    </w:p>
    <w:p w:rsidR="00000000" w:rsidRDefault="005D26B8">
      <w:pPr>
        <w:divId w:val="1171725044"/>
        <w:rPr>
          <w:rFonts w:eastAsia="Times New Roman"/>
        </w:rPr>
      </w:pPr>
      <w:r>
        <w:rPr>
          <w:rFonts w:eastAsia="Times New Roman"/>
          <w:b/>
          <w:bCs/>
          <w:color w:val="000000"/>
          <w:sz w:val="20"/>
          <w:szCs w:val="20"/>
        </w:rPr>
        <w:t>Revenu</w:t>
      </w:r>
      <w:r>
        <w:rPr>
          <w:rFonts w:eastAsia="Times New Roman"/>
          <w:b/>
          <w:bCs/>
          <w:color w:val="000000"/>
          <w:sz w:val="20"/>
          <w:szCs w:val="20"/>
        </w:rPr>
        <w:t>e Recognition</w:t>
      </w:r>
    </w:p>
    <w:p w:rsidR="00000000" w:rsidRDefault="005D26B8">
      <w:pPr>
        <w:ind w:firstLine="450"/>
        <w:divId w:val="313684515"/>
        <w:rPr>
          <w:rFonts w:eastAsia="Times New Roman"/>
        </w:rPr>
      </w:pPr>
      <w:r>
        <w:rPr>
          <w:rFonts w:eastAsia="Times New Roman"/>
          <w:color w:val="000000"/>
          <w:sz w:val="20"/>
          <w:szCs w:val="20"/>
        </w:rPr>
        <w:t>A significant portion of our business is derived from development and production contracts. Revenue and profit related to development and production contracts are generally recognized over time, typically using the percentage of completion (“</w:t>
      </w:r>
      <w:r>
        <w:rPr>
          <w:rFonts w:eastAsia="Times New Roman"/>
          <w:color w:val="000000"/>
          <w:sz w:val="20"/>
          <w:szCs w:val="20"/>
        </w:rPr>
        <w:t>POC”) cost-to-cost method of revenue recognition, whereby we measure our progress toward completion of performance obligations based on the ratio of costs incurred to date to estimated total costs at completion under the contract. Because costs incurred re</w:t>
      </w:r>
      <w:r>
        <w:rPr>
          <w:rFonts w:eastAsia="Times New Roman"/>
          <w:color w:val="000000"/>
          <w:sz w:val="20"/>
          <w:szCs w:val="20"/>
        </w:rPr>
        <w:t>present work performed, we believe this method best depicts the transfer of control to the customer. Under the POC cost-to-cost method of revenue recognition, a single estimated profit margin is used to recognize profit for each performance obligation over</w:t>
      </w:r>
      <w:r>
        <w:rPr>
          <w:rFonts w:eastAsia="Times New Roman"/>
          <w:color w:val="000000"/>
          <w:sz w:val="20"/>
          <w:szCs w:val="20"/>
        </w:rPr>
        <w:t xml:space="preserve"> its period of performance. Recognition of profit on a contract requires estimates of the total cost at completion and transaction price as well as measurement of progress towards completion. Due to the long-term nature of many of our contracts, developing</w:t>
      </w:r>
      <w:r>
        <w:rPr>
          <w:rFonts w:eastAsia="Times New Roman"/>
          <w:color w:val="000000"/>
          <w:sz w:val="20"/>
          <w:szCs w:val="20"/>
        </w:rPr>
        <w:t xml:space="preserve"> the estimated total cost at completion and total transaction price often requires judgment. Factors that must be considered in estimating the cost of the work to be completed include: the nature and complexity of the work to be performed, subcontractor pe</w:t>
      </w:r>
      <w:r>
        <w:rPr>
          <w:rFonts w:eastAsia="Times New Roman"/>
          <w:color w:val="000000"/>
          <w:sz w:val="20"/>
          <w:szCs w:val="20"/>
        </w:rPr>
        <w:t>rformance and the risk and impact of delayed performance. Factors that must be considered in estimating the total transaction price include contractual cost or performance incentives (such as incentive fees, award fees and penalties) and other forms of var</w:t>
      </w:r>
      <w:r>
        <w:rPr>
          <w:rFonts w:eastAsia="Times New Roman"/>
          <w:color w:val="000000"/>
          <w:sz w:val="20"/>
          <w:szCs w:val="20"/>
        </w:rPr>
        <w:t>iable consideration as well as our historical experience and expectation for performance on the contract. These variable amounts generally are awarded upon achievement of certain negotiated performance metrics, program milestones or cost targets and can be</w:t>
      </w:r>
      <w:r>
        <w:rPr>
          <w:rFonts w:eastAsia="Times New Roman"/>
          <w:color w:val="000000"/>
          <w:sz w:val="20"/>
          <w:szCs w:val="20"/>
        </w:rPr>
        <w:t xml:space="preserve"> based upon customer discretion. We include such estimated amounts in the transaction price to the extent it is probable that a significant reversal of cumulative revenue recognized will not occur when the uncertainty associated with the variable considera</w:t>
      </w:r>
      <w:r>
        <w:rPr>
          <w:rFonts w:eastAsia="Times New Roman"/>
          <w:color w:val="000000"/>
          <w:sz w:val="20"/>
          <w:szCs w:val="20"/>
        </w:rPr>
        <w:t>tion is resolved.</w:t>
      </w:r>
    </w:p>
    <w:p w:rsidR="00000000" w:rsidRDefault="005D26B8">
      <w:pPr>
        <w:ind w:firstLine="450"/>
        <w:divId w:val="1430345964"/>
        <w:rPr>
          <w:rFonts w:eastAsia="Times New Roman"/>
        </w:rPr>
      </w:pPr>
      <w:r>
        <w:rPr>
          <w:rFonts w:eastAsia="Times New Roman"/>
          <w:color w:val="000000"/>
          <w:sz w:val="20"/>
          <w:szCs w:val="20"/>
        </w:rPr>
        <w:t>At the outset of each contract, we gauge its complexity and perceived risks and establish an estimated total cost at completion in line with these expectations. After establishing the estimated total cost at completion, we follow a standa</w:t>
      </w:r>
      <w:r>
        <w:rPr>
          <w:rFonts w:eastAsia="Times New Roman"/>
          <w:color w:val="000000"/>
          <w:sz w:val="20"/>
          <w:szCs w:val="20"/>
        </w:rPr>
        <w:t>rd Estimate at Completion (“EAC”) process in which we review the progress and performance on our ongoing contracts at least quarterly and, in many cases, more frequently. If we successfully retire risks associated with the technical, schedule and cost aspe</w:t>
      </w:r>
      <w:r>
        <w:rPr>
          <w:rFonts w:eastAsia="Times New Roman"/>
          <w:color w:val="000000"/>
          <w:sz w:val="20"/>
          <w:szCs w:val="20"/>
        </w:rPr>
        <w:t>cts of a contract, we may lower our estimated total cost at completion commensurate with the retirement of these risks. Conversely, if we are not successful in retiring these risks, we may increase our estimated total cost at completion. Additionally, as t</w:t>
      </w:r>
      <w:r>
        <w:rPr>
          <w:rFonts w:eastAsia="Times New Roman"/>
          <w:color w:val="000000"/>
          <w:sz w:val="20"/>
          <w:szCs w:val="20"/>
        </w:rPr>
        <w:t>he contract progresses, our estimates of total transaction price may increase or decrease if, for example, we receive award fees that are higher or lower than expected. When adjustments in estimated total costs at completion or in estimated total transacti</w:t>
      </w:r>
      <w:r>
        <w:rPr>
          <w:rFonts w:eastAsia="Times New Roman"/>
          <w:color w:val="000000"/>
          <w:sz w:val="20"/>
          <w:szCs w:val="20"/>
        </w:rPr>
        <w:t>on price are determined, the related impact on operating income is recognized using the cumulative catch-up method, which recognizes in the current period the cumulative effect of such adjustments for all prior periods. Any anticipated losses on these cont</w:t>
      </w:r>
      <w:r>
        <w:rPr>
          <w:rFonts w:eastAsia="Times New Roman"/>
          <w:color w:val="000000"/>
          <w:sz w:val="20"/>
          <w:szCs w:val="20"/>
        </w:rPr>
        <w:t>racts are fully recognized in the period in which the losses become evident.</w:t>
      </w:r>
    </w:p>
    <w:p w:rsidR="00000000" w:rsidRDefault="005D26B8">
      <w:pPr>
        <w:ind w:firstLine="450"/>
        <w:divId w:val="2085563138"/>
        <w:rPr>
          <w:rFonts w:eastAsia="Times New Roman"/>
        </w:rPr>
      </w:pPr>
      <w:r>
        <w:rPr>
          <w:rFonts w:eastAsia="Times New Roman"/>
          <w:color w:val="000000"/>
          <w:sz w:val="20"/>
          <w:szCs w:val="20"/>
        </w:rPr>
        <w:t>EAC adjustments resulted in the following impacts to operating income for the periods presented: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121"/>
        <w:gridCol w:w="36"/>
        <w:gridCol w:w="121"/>
        <w:gridCol w:w="1072"/>
        <w:gridCol w:w="36"/>
        <w:gridCol w:w="36"/>
        <w:gridCol w:w="36"/>
        <w:gridCol w:w="36"/>
        <w:gridCol w:w="121"/>
        <w:gridCol w:w="1028"/>
        <w:gridCol w:w="36"/>
        <w:gridCol w:w="36"/>
        <w:gridCol w:w="36"/>
        <w:gridCol w:w="36"/>
        <w:gridCol w:w="121"/>
        <w:gridCol w:w="1028"/>
        <w:gridCol w:w="37"/>
        <w:gridCol w:w="36"/>
        <w:gridCol w:w="36"/>
        <w:gridCol w:w="36"/>
        <w:gridCol w:w="121"/>
        <w:gridCol w:w="1030"/>
        <w:gridCol w:w="36"/>
      </w:tblGrid>
      <w:tr w:rsidR="00000000">
        <w:trPr>
          <w:divId w:val="995769781"/>
        </w:trPr>
        <w:tc>
          <w:tcPr>
            <w:tcW w:w="50" w:type="pct"/>
            <w:vAlign w:val="center"/>
            <w:hideMark/>
          </w:tcPr>
          <w:p w:rsidR="00000000" w:rsidRDefault="005D26B8">
            <w:pPr>
              <w:ind w:firstLine="450"/>
              <w:rPr>
                <w:rFonts w:eastAsia="Times New Roman"/>
              </w:rPr>
            </w:pPr>
          </w:p>
        </w:tc>
        <w:tc>
          <w:tcPr>
            <w:tcW w:w="191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2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7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995769781"/>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Three Quarters Ended</w:t>
            </w:r>
          </w:p>
        </w:tc>
      </w:tr>
      <w:tr w:rsidR="00000000">
        <w:trPr>
          <w:divId w:val="995769781"/>
        </w:trPr>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September 27, 2019</w:t>
            </w:r>
          </w:p>
        </w:tc>
      </w:tr>
      <w:tr w:rsidR="00000000">
        <w:trPr>
          <w:divId w:val="995769781"/>
          <w:trHeight w:val="60"/>
        </w:trPr>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995769781"/>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523 </w:t>
            </w:r>
          </w:p>
        </w:tc>
        <w:tc>
          <w:tcPr>
            <w:tcW w:w="0" w:type="auto"/>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r>
      <w:tr w:rsidR="00000000">
        <w:trPr>
          <w:divId w:val="995769781"/>
        </w:trPr>
        <w:tc>
          <w:tcPr>
            <w:tcW w:w="0" w:type="auto"/>
            <w:gridSpan w:val="3"/>
            <w:shd w:val="clear" w:color="auto" w:fill="FFFF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(223)</w:t>
            </w:r>
          </w:p>
        </w:tc>
        <w:tc>
          <w:tcPr>
            <w:tcW w:w="0" w:type="auto"/>
            <w:shd w:val="clear" w:color="auto" w:fill="FFFF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center"/>
            <w:hideMark/>
          </w:tcPr>
          <w:p w:rsidR="00000000" w:rsidRDefault="005D26B8">
            <w:pPr>
              <w:jc w:val="right"/>
              <w:rPr>
                <w:rFonts w:eastAsia="Times New Roman"/>
              </w:rPr>
            </w:pPr>
          </w:p>
        </w:tc>
      </w:tr>
      <w:tr w:rsidR="00000000">
        <w:trPr>
          <w:divId w:val="995769781"/>
        </w:trPr>
        <w:tc>
          <w:tcPr>
            <w:tcW w:w="0" w:type="auto"/>
            <w:gridSpan w:val="3"/>
            <w:shd w:val="clear" w:color="auto" w:fill="CCEEFF"/>
            <w:tcMar>
              <w:top w:w="30" w:type="dxa"/>
              <w:left w:w="20" w:type="dxa"/>
              <w:bottom w:w="30" w:type="dxa"/>
              <w:right w:w="20" w:type="dxa"/>
            </w:tcMar>
            <w:vAlign w:val="center"/>
            <w:hideMark/>
          </w:tcPr>
          <w:p w:rsidR="00000000" w:rsidRDefault="005D26B8">
            <w:pPr>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D26B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D26B8">
            <w:pPr>
              <w:jc w:val="right"/>
              <w:rPr>
                <w:rFonts w:eastAsia="Times New Roman"/>
              </w:rPr>
            </w:pPr>
            <w:r>
              <w:rPr>
                <w:rFonts w:eastAsia="Times New Roman"/>
                <w:color w:val="000000"/>
                <w:sz w:val="20"/>
                <w:szCs w:val="20"/>
              </w:rPr>
              <w:t>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D26B8">
            <w:pPr>
              <w:jc w:val="right"/>
              <w:rPr>
                <w:rFonts w:eastAsia="Times New Roman"/>
              </w:rPr>
            </w:pPr>
          </w:p>
        </w:tc>
      </w:tr>
    </w:tbl>
    <w:p w:rsidR="00000000" w:rsidRDefault="005D26B8">
      <w:pPr>
        <w:ind w:firstLine="450"/>
        <w:divId w:val="1614437587"/>
        <w:rPr>
          <w:rFonts w:eastAsia="Times New Roman"/>
        </w:rPr>
      </w:pPr>
      <w:r>
        <w:rPr>
          <w:rFonts w:eastAsia="Times New Roman"/>
          <w:i/>
          <w:iCs/>
          <w:color w:val="000000"/>
          <w:sz w:val="20"/>
          <w:szCs w:val="20"/>
        </w:rPr>
        <w:t xml:space="preserve">Quarter Ended October 2, 2020 Compared With Quarter Ended September 27, 2019: </w:t>
      </w:r>
      <w:r>
        <w:rPr>
          <w:rFonts w:eastAsia="Times New Roman"/>
          <w:color w:val="000000"/>
          <w:sz w:val="20"/>
          <w:szCs w:val="20"/>
        </w:rPr>
        <w:t>The net favorable EAC adjustments in</w:t>
      </w:r>
      <w:r>
        <w:rPr>
          <w:rFonts w:eastAsia="Times New Roman"/>
          <w:color w:val="000000"/>
          <w:sz w:val="20"/>
          <w:szCs w:val="20"/>
          <w:shd w:val="clear" w:color="auto" w:fill="FFFFFF"/>
        </w:rPr>
        <w:t xml:space="preserve"> the quarter ended October 2, 2020</w:t>
      </w:r>
      <w:r>
        <w:rPr>
          <w:rFonts w:eastAsia="Times New Roman"/>
          <w:color w:val="000000"/>
          <w:sz w:val="20"/>
          <w:szCs w:val="20"/>
        </w:rPr>
        <w:t xml:space="preserve"> </w:t>
      </w:r>
      <w:r>
        <w:rPr>
          <w:rFonts w:eastAsia="Times New Roman"/>
          <w:color w:val="000000"/>
          <w:sz w:val="20"/>
          <w:szCs w:val="20"/>
        </w:rPr>
        <w:t>reflect benefits of operational performance on programs, including retirement of risks and schedule improvements, achievement of incentive payments and realization of synergy savings. The net favorable EAC adjustments in</w:t>
      </w:r>
      <w:r>
        <w:rPr>
          <w:rFonts w:eastAsia="Times New Roman"/>
          <w:color w:val="000000"/>
          <w:sz w:val="20"/>
          <w:szCs w:val="20"/>
          <w:shd w:val="clear" w:color="auto" w:fill="FFFFFF"/>
        </w:rPr>
        <w:t xml:space="preserve"> the quarter ended October 2, 2020 </w:t>
      </w:r>
      <w:r>
        <w:rPr>
          <w:rFonts w:eastAsia="Times New Roman"/>
          <w:color w:val="000000"/>
          <w:sz w:val="20"/>
          <w:szCs w:val="20"/>
        </w:rPr>
        <w:t>w</w:t>
      </w:r>
      <w:r>
        <w:rPr>
          <w:rFonts w:eastAsia="Times New Roman"/>
          <w:color w:val="000000"/>
          <w:sz w:val="20"/>
          <w:szCs w:val="20"/>
        </w:rPr>
        <w:t>ere realized in all four of our business segments across numerous contracts. There were no EAC adjustments on any individual program with impacts to operating income in the quarters ended October 2, 2020 or September 27, 2019 that were material to our resu</w:t>
      </w:r>
      <w:r>
        <w:rPr>
          <w:rFonts w:eastAsia="Times New Roman"/>
          <w:color w:val="000000"/>
          <w:sz w:val="20"/>
          <w:szCs w:val="20"/>
        </w:rPr>
        <w:t>lts of operations on a consolidated or segment basis for such periods.</w:t>
      </w:r>
    </w:p>
    <w:p w:rsidR="00000000" w:rsidRDefault="005D26B8">
      <w:pPr>
        <w:ind w:firstLine="450"/>
        <w:divId w:val="830953393"/>
        <w:rPr>
          <w:rFonts w:eastAsia="Times New Roman"/>
        </w:rPr>
      </w:pPr>
      <w:r>
        <w:rPr>
          <w:rFonts w:eastAsia="Times New Roman"/>
          <w:i/>
          <w:iCs/>
          <w:color w:val="000000"/>
          <w:sz w:val="20"/>
          <w:szCs w:val="20"/>
        </w:rPr>
        <w:t>Three Quarters Ended October 2, 2020 Compared With Three Quarters Ended September 27, 2019</w:t>
      </w:r>
      <w:r>
        <w:rPr>
          <w:rFonts w:eastAsia="Times New Roman"/>
          <w:i/>
          <w:iCs/>
          <w:color w:val="000000"/>
          <w:sz w:val="20"/>
          <w:szCs w:val="20"/>
          <w:shd w:val="clear" w:color="auto" w:fill="FFFFFF"/>
        </w:rPr>
        <w:t xml:space="preserve">: </w:t>
      </w:r>
      <w:r>
        <w:rPr>
          <w:rFonts w:eastAsia="Times New Roman"/>
          <w:color w:val="000000"/>
          <w:sz w:val="20"/>
          <w:szCs w:val="20"/>
        </w:rPr>
        <w:t>The net favorable EAC adjustments in the three quarters ended October 2, 2020 reflect the sam</w:t>
      </w:r>
      <w:r>
        <w:rPr>
          <w:rFonts w:eastAsia="Times New Roman"/>
          <w:color w:val="000000"/>
          <w:sz w:val="20"/>
          <w:szCs w:val="20"/>
        </w:rPr>
        <w:t>e items noted above for the quarters ended October 2, 2020 and September 27, 2019. The net favorable EAC adjustments in the three quarters ended October 2, 2020 were realized in all four of our business segments across numerous contracts. There were no EAC</w:t>
      </w:r>
      <w:r>
        <w:rPr>
          <w:rFonts w:eastAsia="Times New Roman"/>
          <w:color w:val="000000"/>
          <w:sz w:val="20"/>
          <w:szCs w:val="20"/>
        </w:rPr>
        <w:t xml:space="preserve"> adjustments on any individual program with impacts to operating income in the three quarters ended October 2, 2020 or September 27, 2019 that were material to our results of operations on a consolidated or segment basis for such periods. </w:t>
      </w:r>
    </w:p>
    <w:p w:rsidR="00000000" w:rsidRDefault="005D26B8">
      <w:pPr>
        <w:ind w:firstLine="450"/>
        <w:divId w:val="1195002566"/>
        <w:rPr>
          <w:rFonts w:eastAsia="Times New Roman"/>
        </w:rPr>
      </w:pPr>
      <w:r>
        <w:rPr>
          <w:rFonts w:eastAsia="Times New Roman"/>
          <w:color w:val="000000"/>
          <w:sz w:val="20"/>
          <w:szCs w:val="20"/>
        </w:rPr>
        <w:t>We recognize rev</w:t>
      </w:r>
      <w:r>
        <w:rPr>
          <w:rFonts w:eastAsia="Times New Roman"/>
          <w:color w:val="000000"/>
          <w:sz w:val="20"/>
          <w:szCs w:val="20"/>
        </w:rPr>
        <w:t>enue from numerous contracts with multiple performance obligations. For these contracts, we allocate the transaction price to each performance obligation based on the relative standalone selling price of the good or service underlying each performance obli</w:t>
      </w:r>
      <w:r>
        <w:rPr>
          <w:rFonts w:eastAsia="Times New Roman"/>
          <w:color w:val="000000"/>
          <w:sz w:val="20"/>
          <w:szCs w:val="20"/>
        </w:rPr>
        <w:t>gation. The standalone selling price represents the amount for which we would sell the good or service to a customer on a standalone basis (i.e., not sold as a bundled sale with any other products or services). The allocation of transaction price among sep</w:t>
      </w:r>
      <w:r>
        <w:rPr>
          <w:rFonts w:eastAsia="Times New Roman"/>
          <w:color w:val="000000"/>
          <w:sz w:val="20"/>
          <w:szCs w:val="20"/>
        </w:rPr>
        <w:t xml:space="preserve">arate performance obligations may impact the timing of revenue recognition but will not change the total revenue recognized on the contract. </w:t>
      </w:r>
    </w:p>
    <w:p w:rsidR="00000000" w:rsidRDefault="005D26B8">
      <w:pPr>
        <w:jc w:val="center"/>
        <w:divId w:val="1004750136"/>
        <w:rPr>
          <w:rFonts w:eastAsia="Times New Roman"/>
        </w:rPr>
      </w:pPr>
      <w:r>
        <w:rPr>
          <w:rFonts w:eastAsia="Times New Roman"/>
          <w:color w:val="000000"/>
          <w:sz w:val="20"/>
          <w:szCs w:val="20"/>
        </w:rPr>
        <w:t>50</w:t>
      </w:r>
    </w:p>
    <w:p w:rsidR="00000000" w:rsidRDefault="005D26B8">
      <w:pPr>
        <w:rPr>
          <w:rFonts w:eastAsia="Times New Roman"/>
        </w:rPr>
      </w:pPr>
      <w:r>
        <w:rPr>
          <w:rFonts w:eastAsia="Times New Roman"/>
        </w:rPr>
        <w:pict>
          <v:rect id="_x0000_i1077" style="width:0;height:1.5pt" o:hralign="center" o:hrstd="t" o:hr="t" fillcolor="#a0a0a0" stroked="f"/>
        </w:pict>
      </w:r>
    </w:p>
    <w:p w:rsidR="00000000" w:rsidRDefault="005D26B8">
      <w:pPr>
        <w:divId w:val="1998149808"/>
        <w:rPr>
          <w:rFonts w:eastAsia="Times New Roman"/>
        </w:rPr>
      </w:pPr>
    </w:p>
    <w:p w:rsidR="00000000" w:rsidRDefault="005D26B8">
      <w:pPr>
        <w:ind w:firstLine="450"/>
        <w:divId w:val="1950886969"/>
        <w:rPr>
          <w:rFonts w:eastAsia="Times New Roman"/>
        </w:rPr>
      </w:pPr>
      <w:r>
        <w:rPr>
          <w:rFonts w:eastAsia="Times New Roman"/>
          <w:color w:val="000000"/>
          <w:sz w:val="20"/>
          <w:szCs w:val="20"/>
        </w:rPr>
        <w:t>A substantial majority of our revenue is derived from contracts with the</w:t>
      </w:r>
      <w:r>
        <w:rPr>
          <w:rFonts w:eastAsia="Times New Roman"/>
          <w:color w:val="000000"/>
          <w:sz w:val="20"/>
          <w:szCs w:val="20"/>
        </w:rPr>
        <w:t xml:space="preserve"> U.S. Government, including foreign military sales contracts. These contracts are subject to the Federal Acquisition Regulations and the prices of our contract deliverables are typically based on our estimated or actual costs plus a reasonable profit margi</w:t>
      </w:r>
      <w:r>
        <w:rPr>
          <w:rFonts w:eastAsia="Times New Roman"/>
          <w:color w:val="000000"/>
          <w:sz w:val="20"/>
          <w:szCs w:val="20"/>
        </w:rPr>
        <w:t>n. As a result, the standalone selling prices of the goods and services in these contracts are typically equal to the selling prices stated in the contract, thereby eliminating the need to allocate (or reallocate) the transaction price to the multiple perf</w:t>
      </w:r>
      <w:r>
        <w:rPr>
          <w:rFonts w:eastAsia="Times New Roman"/>
          <w:color w:val="000000"/>
          <w:sz w:val="20"/>
          <w:szCs w:val="20"/>
        </w:rPr>
        <w:t>ormance obligations. In our non-U.S. Government contracts, when standalone selling prices are not directly observable, we also generally use the expected cost plus a margin approach to determine standalone selling price. In determining the appropriate marg</w:t>
      </w:r>
      <w:r>
        <w:rPr>
          <w:rFonts w:eastAsia="Times New Roman"/>
          <w:color w:val="000000"/>
          <w:sz w:val="20"/>
          <w:szCs w:val="20"/>
        </w:rPr>
        <w:t>in under the cost plus margin approach, we consider historical margins on similar products sold to similar customers or within similar geographies where objective evidence is available. We may also consider our cost structure and profit objectives, the nat</w:t>
      </w:r>
      <w:r>
        <w:rPr>
          <w:rFonts w:eastAsia="Times New Roman"/>
          <w:color w:val="000000"/>
          <w:sz w:val="20"/>
          <w:szCs w:val="20"/>
        </w:rPr>
        <w:t>ure of the proposal, the effects of customization of pricing, our practices used to establish pricing of bundled products, the expected technological life of the product, margins earned on similar contracts with different customers and other factors to det</w:t>
      </w:r>
      <w:r>
        <w:rPr>
          <w:rFonts w:eastAsia="Times New Roman"/>
          <w:color w:val="000000"/>
          <w:sz w:val="20"/>
          <w:szCs w:val="20"/>
        </w:rPr>
        <w:t xml:space="preserve">ermine the appropriate margin. </w:t>
      </w:r>
    </w:p>
    <w:p w:rsidR="00000000" w:rsidRDefault="005D26B8">
      <w:pPr>
        <w:divId w:val="277025797"/>
        <w:rPr>
          <w:rFonts w:eastAsia="Times New Roman"/>
        </w:rPr>
      </w:pPr>
      <w:r>
        <w:rPr>
          <w:rFonts w:eastAsia="Times New Roman"/>
          <w:b/>
          <w:bCs/>
          <w:color w:val="000000"/>
          <w:sz w:val="20"/>
          <w:szCs w:val="20"/>
        </w:rPr>
        <w:t>Goodwill</w:t>
      </w:r>
    </w:p>
    <w:p w:rsidR="00000000" w:rsidRDefault="005D26B8">
      <w:pPr>
        <w:ind w:firstLine="450"/>
        <w:divId w:val="550121533"/>
        <w:rPr>
          <w:rFonts w:eastAsia="Times New Roman"/>
        </w:rPr>
      </w:pPr>
      <w:r>
        <w:rPr>
          <w:rFonts w:eastAsia="Times New Roman"/>
          <w:color w:val="000000"/>
          <w:sz w:val="20"/>
          <w:szCs w:val="20"/>
        </w:rPr>
        <w:t>Goodwill in our Condensed Consolidated Balance Sheet (Unaudited) as of October 2, 2020 and January 3, 2020 was $19 billion and $20 billion, respectively. Goodwill is not amortized. We perform annual (or under certai</w:t>
      </w:r>
      <w:r>
        <w:rPr>
          <w:rFonts w:eastAsia="Times New Roman"/>
          <w:color w:val="000000"/>
          <w:sz w:val="20"/>
          <w:szCs w:val="20"/>
        </w:rPr>
        <w:t>n circumstances, more frequent) impairment tests of our goodwill. We identify potential impairment by comparing the fair value of each of our reporting units with its carrying amount, including goodwill, which is adjusted for allocations of Corporate asset</w:t>
      </w:r>
      <w:r>
        <w:rPr>
          <w:rFonts w:eastAsia="Times New Roman"/>
          <w:color w:val="000000"/>
          <w:sz w:val="20"/>
          <w:szCs w:val="20"/>
        </w:rPr>
        <w:t>s and liabilities as appropriate. If the fair value of a reporting unit exceeds its carrying amount, goodwill of the reporting unit is considered not impaired. If the carrying amount of a reporting unit exceeds its fair value, an impairment loss is recogni</w:t>
      </w:r>
      <w:r>
        <w:rPr>
          <w:rFonts w:eastAsia="Times New Roman"/>
          <w:color w:val="000000"/>
          <w:sz w:val="20"/>
          <w:szCs w:val="20"/>
        </w:rPr>
        <w:t xml:space="preserve">zed in an amount equal to that excess. </w:t>
      </w:r>
    </w:p>
    <w:p w:rsidR="00000000" w:rsidRDefault="005D26B8">
      <w:pPr>
        <w:divId w:val="484706351"/>
        <w:rPr>
          <w:rFonts w:eastAsia="Times New Roman"/>
        </w:rPr>
      </w:pPr>
      <w:r>
        <w:rPr>
          <w:rFonts w:eastAsia="Times New Roman"/>
          <w:b/>
          <w:bCs/>
          <w:i/>
          <w:iCs/>
          <w:color w:val="000000"/>
          <w:sz w:val="20"/>
          <w:szCs w:val="20"/>
        </w:rPr>
        <w:t>2020 Interim Impairment Tests</w:t>
      </w:r>
    </w:p>
    <w:p w:rsidR="00000000" w:rsidRDefault="005D26B8">
      <w:pPr>
        <w:ind w:firstLine="450"/>
        <w:divId w:val="2080249979"/>
        <w:rPr>
          <w:rFonts w:eastAsia="Times New Roman"/>
        </w:rPr>
      </w:pPr>
      <w:r>
        <w:rPr>
          <w:rFonts w:eastAsia="Times New Roman"/>
          <w:color w:val="000000"/>
          <w:sz w:val="20"/>
          <w:szCs w:val="20"/>
        </w:rPr>
        <w:t xml:space="preserve">We test goodwill for impairment at a level within the Company referred to as the reporting unit, which is our business segment level or one level below the business segment. Some of our </w:t>
      </w:r>
      <w:r>
        <w:rPr>
          <w:rFonts w:eastAsia="Times New Roman"/>
          <w:color w:val="000000"/>
          <w:sz w:val="20"/>
          <w:szCs w:val="20"/>
        </w:rPr>
        <w:t>segments are comprised of several reporting units. Allocation of goodwill to several reporting units could make it more likely that we will have an impairment charge in the future. An impairment charge to one of our reporting units could have a material im</w:t>
      </w:r>
      <w:r>
        <w:rPr>
          <w:rFonts w:eastAsia="Times New Roman"/>
          <w:color w:val="000000"/>
          <w:sz w:val="20"/>
          <w:szCs w:val="20"/>
        </w:rPr>
        <w:t>pact on our financial condition and results of operations.</w:t>
      </w:r>
    </w:p>
    <w:p w:rsidR="00000000" w:rsidRDefault="005D26B8">
      <w:pPr>
        <w:ind w:firstLine="450"/>
        <w:divId w:val="869026383"/>
        <w:rPr>
          <w:rFonts w:eastAsia="Times New Roman"/>
        </w:rPr>
      </w:pPr>
      <w:r>
        <w:rPr>
          <w:rFonts w:eastAsia="Times New Roman"/>
          <w:color w:val="000000"/>
          <w:sz w:val="20"/>
          <w:szCs w:val="20"/>
        </w:rPr>
        <w:t xml:space="preserve">Indications of potential impairment of goodwill related to our Commercial Aviation Solutions reporting unit (which is part of our Aviation Systems segment) were present at April 3, 2020 and July 3, 2020 due to COVID-19 and its impact on global air traffic </w:t>
      </w:r>
      <w:r>
        <w:rPr>
          <w:rFonts w:eastAsia="Times New Roman"/>
          <w:color w:val="000000"/>
          <w:sz w:val="20"/>
          <w:szCs w:val="20"/>
        </w:rPr>
        <w:t>and customer operations, which resulted in a decrease in the fiscal 2020 outlook for the reporting unit. Although our cash flow projections for the Commercial Aviation Solutions reporting unit did not change significantly compared with the projected cash f</w:t>
      </w:r>
      <w:r>
        <w:rPr>
          <w:rFonts w:eastAsia="Times New Roman"/>
          <w:color w:val="000000"/>
          <w:sz w:val="20"/>
          <w:szCs w:val="20"/>
        </w:rPr>
        <w:t>lows as of April 3, 2020, we determined it was more-likely-than-not that the fair value of our Commercial Aviation Solutions reporting unit was less than its carrying amount as of July 3, 2020 due to the amount by which the fair value of the Commercial Avi</w:t>
      </w:r>
      <w:r>
        <w:rPr>
          <w:rFonts w:eastAsia="Times New Roman"/>
          <w:color w:val="000000"/>
          <w:sz w:val="20"/>
          <w:szCs w:val="20"/>
        </w:rPr>
        <w:t>ation Solutions reporting unit exceeded its carrying amount as of April 3, 2020 and heightened uncertainty regarding the timing of expected recovery for the overall commercial aviation market. Consequently, in connection with the preparation of our financi</w:t>
      </w:r>
      <w:r>
        <w:rPr>
          <w:rFonts w:eastAsia="Times New Roman"/>
          <w:color w:val="000000"/>
          <w:sz w:val="20"/>
          <w:szCs w:val="20"/>
        </w:rPr>
        <w:t>al statements for the quarters ended April 3, 2020 and July 3, 2020, we performed quantitative impairment tests on an interim basis. To test for potential impairment of goodwill related to our Commercial Aviation Solutions reporting unit, we prepared an es</w:t>
      </w:r>
      <w:r>
        <w:rPr>
          <w:rFonts w:eastAsia="Times New Roman"/>
          <w:color w:val="000000"/>
          <w:sz w:val="20"/>
          <w:szCs w:val="20"/>
        </w:rPr>
        <w:t>timate of the fair value of the reporting unit based on a combination of market-based valuation techniques, utilizing quoted market prices and comparable publicly reported transactions, and projected discounted cash flows. Given the level of uncertainty as</w:t>
      </w:r>
      <w:r>
        <w:rPr>
          <w:rFonts w:eastAsia="Times New Roman"/>
          <w:color w:val="000000"/>
          <w:sz w:val="20"/>
          <w:szCs w:val="20"/>
        </w:rPr>
        <w:t xml:space="preserve"> of April 3, 2020 and July 3, 2020 in the outlook for the commercial aviation industry caused by the impact of the COVID-19 pandemic on global air traffic, our methodology for determining the fair value of the reporting unit placed the greatest weight on t</w:t>
      </w:r>
      <w:r>
        <w:rPr>
          <w:rFonts w:eastAsia="Times New Roman"/>
          <w:color w:val="000000"/>
          <w:sz w:val="20"/>
          <w:szCs w:val="20"/>
        </w:rPr>
        <w:t>he expected fair value technique, and was dependent on our best estimates of future sales, operating costs and balance sheet metrics under a range of scenarios for future economic conditions. We assigned a probability to each scenario to calculate a set of</w:t>
      </w:r>
      <w:r>
        <w:rPr>
          <w:rFonts w:eastAsia="Times New Roman"/>
          <w:color w:val="000000"/>
          <w:sz w:val="20"/>
          <w:szCs w:val="20"/>
        </w:rPr>
        <w:t xml:space="preserve"> probability-weighted projected cash flows, and an appropriate discount rate reflecting the risk in the projected cash flows was used to discount the expected cash flows to present value. </w:t>
      </w:r>
    </w:p>
    <w:p w:rsidR="00000000" w:rsidRDefault="005D26B8">
      <w:pPr>
        <w:ind w:firstLine="450"/>
        <w:divId w:val="1705984154"/>
        <w:rPr>
          <w:rFonts w:eastAsia="Times New Roman"/>
        </w:rPr>
      </w:pPr>
      <w:r>
        <w:rPr>
          <w:rFonts w:eastAsia="Times New Roman"/>
          <w:color w:val="000000"/>
          <w:sz w:val="20"/>
          <w:szCs w:val="20"/>
        </w:rPr>
        <w:t>As a result of these impairment tests, we concluded that goodwill r</w:t>
      </w:r>
      <w:r>
        <w:rPr>
          <w:rFonts w:eastAsia="Times New Roman"/>
          <w:color w:val="000000"/>
          <w:sz w:val="20"/>
          <w:szCs w:val="20"/>
        </w:rPr>
        <w:t>elated to our Commercial Aviation Solutions reporting unit was impaired as of April 3, 2020 and July 3, 2020, and we recorded non-cash impairment charges of $296 million (including $28 million attributable to noncontrolling interests) during the quarter en</w:t>
      </w:r>
      <w:r>
        <w:rPr>
          <w:rFonts w:eastAsia="Times New Roman"/>
          <w:color w:val="000000"/>
          <w:sz w:val="20"/>
          <w:szCs w:val="20"/>
        </w:rPr>
        <w:t>ded April 3, 2020 and $54 million (including $8 million attributable to noncontrolling interests) during the quarter ended July 3, 2020. The goodwill impairment charge recorded during the quarter ended July 3, 2020 was primarily due to a significant increa</w:t>
      </w:r>
      <w:r>
        <w:rPr>
          <w:rFonts w:eastAsia="Times New Roman"/>
          <w:color w:val="000000"/>
          <w:sz w:val="20"/>
          <w:szCs w:val="20"/>
        </w:rPr>
        <w:t xml:space="preserve">se in the weighted-average cost of capital rate used to discount the projected cash flows of our Commercial Aviation Solutions reporting unit to their present values. These charges are included in the “Impairment of goodwill and other assets” line item in </w:t>
      </w:r>
      <w:r>
        <w:rPr>
          <w:rFonts w:eastAsia="Times New Roman"/>
          <w:color w:val="000000"/>
          <w:sz w:val="20"/>
          <w:szCs w:val="20"/>
        </w:rPr>
        <w:t xml:space="preserve">our Condensed Consolidated Statement of Income (Unaudited) for the three quarters ended October 2, 2020 and are primarily not deductible for tax purposes. </w:t>
      </w:r>
    </w:p>
    <w:p w:rsidR="00000000" w:rsidRDefault="005D26B8">
      <w:pPr>
        <w:ind w:firstLine="450"/>
        <w:divId w:val="1968312585"/>
        <w:rPr>
          <w:rFonts w:eastAsia="Times New Roman"/>
        </w:rPr>
      </w:pPr>
      <w:r>
        <w:rPr>
          <w:rFonts w:eastAsia="Times New Roman"/>
          <w:color w:val="000000"/>
          <w:sz w:val="20"/>
          <w:szCs w:val="20"/>
        </w:rPr>
        <w:t xml:space="preserve">See </w:t>
      </w:r>
      <w:r>
        <w:rPr>
          <w:rFonts w:eastAsia="Times New Roman"/>
          <w:i/>
          <w:iCs/>
          <w:color w:val="000000"/>
          <w:sz w:val="20"/>
          <w:szCs w:val="20"/>
        </w:rPr>
        <w:t>Note K — Goodwill and Other Intangible Assets</w:t>
      </w:r>
      <w:r>
        <w:rPr>
          <w:rFonts w:eastAsia="Times New Roman"/>
          <w:color w:val="000000"/>
          <w:sz w:val="20"/>
          <w:szCs w:val="20"/>
        </w:rPr>
        <w:t xml:space="preserve"> in the Notes for additional information. </w:t>
      </w:r>
    </w:p>
    <w:p w:rsidR="00000000" w:rsidRDefault="005D26B8">
      <w:pPr>
        <w:ind w:firstLine="450"/>
        <w:divId w:val="97678446"/>
        <w:rPr>
          <w:rFonts w:eastAsia="Times New Roman"/>
        </w:rPr>
      </w:pPr>
      <w:r>
        <w:rPr>
          <w:rFonts w:eastAsia="Times New Roman"/>
          <w:color w:val="000000"/>
          <w:sz w:val="20"/>
          <w:szCs w:val="20"/>
        </w:rPr>
        <w:t>As of Ju</w:t>
      </w:r>
      <w:r>
        <w:rPr>
          <w:rFonts w:eastAsia="Times New Roman"/>
          <w:color w:val="000000"/>
          <w:sz w:val="20"/>
          <w:szCs w:val="20"/>
        </w:rPr>
        <w:t xml:space="preserve">ly 3, 2020, the date of our latest interim impairment assessment, the estimated fair values for each of our reporting units exceed their carrying values. However, for six of those reporting units, which had approximately $10 billion of goodwill </w:t>
      </w:r>
    </w:p>
    <w:p w:rsidR="00000000" w:rsidRDefault="005D26B8">
      <w:pPr>
        <w:jc w:val="center"/>
        <w:divId w:val="1244871592"/>
        <w:rPr>
          <w:rFonts w:eastAsia="Times New Roman"/>
        </w:rPr>
      </w:pPr>
      <w:r>
        <w:rPr>
          <w:rFonts w:eastAsia="Times New Roman"/>
          <w:color w:val="000000"/>
          <w:sz w:val="20"/>
          <w:szCs w:val="20"/>
        </w:rPr>
        <w:t>51</w:t>
      </w:r>
    </w:p>
    <w:p w:rsidR="00000000" w:rsidRDefault="005D26B8">
      <w:pPr>
        <w:rPr>
          <w:rFonts w:eastAsia="Times New Roman"/>
        </w:rPr>
      </w:pPr>
      <w:r>
        <w:rPr>
          <w:rFonts w:eastAsia="Times New Roman"/>
        </w:rPr>
        <w:pict>
          <v:rect id="_x0000_i1078" style="width:0;height:1.5pt" o:hralign="center" o:hrstd="t" o:hr="t" fillcolor="#a0a0a0" stroked="f"/>
        </w:pict>
      </w:r>
    </w:p>
    <w:p w:rsidR="00000000" w:rsidRDefault="005D26B8">
      <w:pPr>
        <w:divId w:val="1425956474"/>
        <w:rPr>
          <w:rFonts w:eastAsia="Times New Roman"/>
        </w:rPr>
      </w:pPr>
    </w:p>
    <w:p w:rsidR="00000000" w:rsidRDefault="005D26B8">
      <w:pPr>
        <w:divId w:val="494995019"/>
        <w:rPr>
          <w:rFonts w:eastAsia="Times New Roman"/>
        </w:rPr>
      </w:pPr>
      <w:r>
        <w:rPr>
          <w:rFonts w:eastAsia="Times New Roman"/>
          <w:color w:val="000000"/>
          <w:sz w:val="20"/>
          <w:szCs w:val="20"/>
        </w:rPr>
        <w:t>in aggregate, the estimated fair value of the reporting unit exceeded the carrying value of the reporting unit by less than 10 percent, primarily due to the limited amount of time that has elapsed since the carrying values w</w:t>
      </w:r>
      <w:r>
        <w:rPr>
          <w:rFonts w:eastAsia="Times New Roman"/>
          <w:color w:val="000000"/>
          <w:sz w:val="20"/>
          <w:szCs w:val="20"/>
        </w:rPr>
        <w:t>ere established in connection with the L3Harris Merger. We are monitoring the impacts of COVID-19 on the fair value of our reporting units and do not currently anticipate any further material goodwill impairment charges as a result of COVID-19. However, an</w:t>
      </w:r>
      <w:r>
        <w:rPr>
          <w:rFonts w:eastAsia="Times New Roman"/>
          <w:color w:val="000000"/>
          <w:sz w:val="20"/>
          <w:szCs w:val="20"/>
        </w:rPr>
        <w:t xml:space="preserve"> impairment of goodwill could result from a number of circumstances, including different assumptions used in determining the fair value of the reporting units, future deterioration in the business, including from the impact of COVID-19, or a sharp increase</w:t>
      </w:r>
      <w:r>
        <w:rPr>
          <w:rFonts w:eastAsia="Times New Roman"/>
          <w:color w:val="000000"/>
          <w:sz w:val="20"/>
          <w:szCs w:val="20"/>
        </w:rPr>
        <w:t xml:space="preserve"> in interest rates without a corresponding increase in future revenue. We will perform our annual goodwill impairment assessment during the fourth quarter of 2020.</w:t>
      </w:r>
    </w:p>
    <w:p w:rsidR="00000000" w:rsidRDefault="005D26B8">
      <w:pPr>
        <w:divId w:val="127555466"/>
        <w:rPr>
          <w:rFonts w:eastAsia="Times New Roman"/>
        </w:rPr>
      </w:pPr>
      <w:r>
        <w:rPr>
          <w:rFonts w:eastAsia="Times New Roman"/>
          <w:b/>
          <w:bCs/>
          <w:i/>
          <w:iCs/>
          <w:color w:val="000000"/>
          <w:sz w:val="20"/>
          <w:szCs w:val="20"/>
        </w:rPr>
        <w:t>Goodwill Allocation</w:t>
      </w:r>
      <w:r>
        <w:rPr>
          <w:rFonts w:eastAsia="Times New Roman"/>
          <w:i/>
          <w:iCs/>
          <w:color w:val="000000"/>
          <w:sz w:val="20"/>
          <w:szCs w:val="20"/>
        </w:rPr>
        <w:t xml:space="preserve"> </w:t>
      </w:r>
    </w:p>
    <w:p w:rsidR="00000000" w:rsidRDefault="005D26B8">
      <w:pPr>
        <w:ind w:firstLine="450"/>
        <w:divId w:val="1794204937"/>
        <w:rPr>
          <w:rFonts w:eastAsia="Times New Roman"/>
        </w:rPr>
      </w:pPr>
      <w:r>
        <w:rPr>
          <w:rFonts w:eastAsia="Times New Roman"/>
          <w:i/>
          <w:iCs/>
          <w:color w:val="000000"/>
          <w:sz w:val="20"/>
          <w:szCs w:val="20"/>
        </w:rPr>
        <w:t xml:space="preserve">Airport security and automation business goodwill allocation: </w:t>
      </w:r>
      <w:r>
        <w:rPr>
          <w:rFonts w:eastAsia="Times New Roman"/>
          <w:color w:val="000000"/>
          <w:sz w:val="20"/>
          <w:szCs w:val="20"/>
        </w:rPr>
        <w:t>As descri</w:t>
      </w:r>
      <w:r>
        <w:rPr>
          <w:rFonts w:eastAsia="Times New Roman"/>
          <w:color w:val="000000"/>
          <w:sz w:val="20"/>
          <w:szCs w:val="20"/>
        </w:rPr>
        <w:t xml:space="preserve">bed in more detail in </w:t>
      </w:r>
      <w:r>
        <w:rPr>
          <w:rFonts w:eastAsia="Times New Roman"/>
          <w:i/>
          <w:iCs/>
          <w:color w:val="000000"/>
          <w:sz w:val="20"/>
          <w:szCs w:val="20"/>
        </w:rPr>
        <w:t>Note C — Business Divestitures and Assets Sales</w:t>
      </w:r>
      <w:r>
        <w:rPr>
          <w:rFonts w:eastAsia="Times New Roman"/>
          <w:color w:val="000000"/>
          <w:sz w:val="20"/>
          <w:szCs w:val="20"/>
        </w:rPr>
        <w:t xml:space="preserve"> in the Notes, we entered into a definitive agreement to sell our airport security and automation business on February 4, 2020 and completed the sale on May 4, 2020. Because the divestitu</w:t>
      </w:r>
      <w:r>
        <w:rPr>
          <w:rFonts w:eastAsia="Times New Roman"/>
          <w:color w:val="000000"/>
          <w:sz w:val="20"/>
          <w:szCs w:val="20"/>
        </w:rPr>
        <w:t>re of the airport security and automation business represented the disposal of a portion of a reporting unit within our Aviation Systems segment, we assigned $531 million of goodwill to the airport security and automation business disposal group on a relat</w:t>
      </w:r>
      <w:r>
        <w:rPr>
          <w:rFonts w:eastAsia="Times New Roman"/>
          <w:color w:val="000000"/>
          <w:sz w:val="20"/>
          <w:szCs w:val="20"/>
        </w:rPr>
        <w:t xml:space="preserve">ive fair value basis. In conjunction with the relative fair value allocation, we tested goodwill assigned to the disposal group and goodwill assigned to the retained businesses of the reporting unit for impairment and concluded that no goodwill impairment </w:t>
      </w:r>
      <w:r>
        <w:rPr>
          <w:rFonts w:eastAsia="Times New Roman"/>
          <w:color w:val="000000"/>
          <w:sz w:val="20"/>
          <w:szCs w:val="20"/>
        </w:rPr>
        <w:t xml:space="preserve">existed at the time the held for sale criteria were met in late January 2020. </w:t>
      </w:r>
    </w:p>
    <w:p w:rsidR="00000000" w:rsidRDefault="005D26B8">
      <w:pPr>
        <w:ind w:firstLine="450"/>
        <w:divId w:val="534002424"/>
        <w:rPr>
          <w:rFonts w:eastAsia="Times New Roman"/>
        </w:rPr>
      </w:pPr>
      <w:r>
        <w:rPr>
          <w:rFonts w:eastAsia="Times New Roman"/>
          <w:i/>
          <w:iCs/>
          <w:color w:val="000000"/>
          <w:sz w:val="20"/>
          <w:szCs w:val="20"/>
        </w:rPr>
        <w:t xml:space="preserve">EOTech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C — Business Divestitures and Assets Sales</w:t>
      </w:r>
      <w:r>
        <w:rPr>
          <w:rFonts w:eastAsia="Times New Roman"/>
          <w:color w:val="000000"/>
          <w:sz w:val="20"/>
          <w:szCs w:val="20"/>
        </w:rPr>
        <w:t xml:space="preserve"> in the Notes, we entered into a definitive agreement to sell </w:t>
      </w:r>
      <w:r>
        <w:rPr>
          <w:rFonts w:eastAsia="Times New Roman"/>
          <w:color w:val="000000"/>
          <w:sz w:val="20"/>
          <w:szCs w:val="20"/>
        </w:rPr>
        <w:t>our EOTech business on March 20, 2020 and completed the sale on July 31, 2020. Because the divestiture of the EOTech business represented the disposal of a portion of a reporting unit within our Communication Systems segment, we assigned $9 million of good</w:t>
      </w:r>
      <w:r>
        <w:rPr>
          <w:rFonts w:eastAsia="Times New Roman"/>
          <w:color w:val="000000"/>
          <w:sz w:val="20"/>
          <w:szCs w:val="20"/>
        </w:rPr>
        <w:t xml:space="preserve">will to the EOTech business disposal group on a relative fair value basis. In conjunction with the relative fair value allocation, we tested goodwill assigned to the disposal group and goodwill assigned to the retained businesses of the reporting unit for </w:t>
      </w:r>
      <w:r>
        <w:rPr>
          <w:rFonts w:eastAsia="Times New Roman"/>
          <w:color w:val="000000"/>
          <w:sz w:val="20"/>
          <w:szCs w:val="20"/>
        </w:rPr>
        <w:t>impairment and concluded that no goodwill impairment existed.</w:t>
      </w:r>
    </w:p>
    <w:p w:rsidR="00000000" w:rsidRDefault="005D26B8">
      <w:pPr>
        <w:ind w:firstLine="450"/>
        <w:divId w:val="1485706865"/>
        <w:rPr>
          <w:rFonts w:eastAsia="Times New Roman"/>
        </w:rPr>
      </w:pPr>
      <w:r>
        <w:rPr>
          <w:rFonts w:eastAsia="Times New Roman"/>
          <w:i/>
          <w:iCs/>
          <w:color w:val="000000"/>
          <w:sz w:val="20"/>
          <w:szCs w:val="20"/>
        </w:rPr>
        <w:t xml:space="preserve">Other AS Disposal Group goodwill allocation: </w:t>
      </w:r>
      <w:r>
        <w:rPr>
          <w:rFonts w:eastAsia="Times New Roman"/>
          <w:color w:val="000000"/>
          <w:sz w:val="20"/>
          <w:szCs w:val="20"/>
        </w:rPr>
        <w:t xml:space="preserve">As described in more detail in </w:t>
      </w:r>
      <w:r>
        <w:rPr>
          <w:rFonts w:eastAsia="Times New Roman"/>
          <w:i/>
          <w:iCs/>
          <w:color w:val="000000"/>
          <w:sz w:val="20"/>
          <w:szCs w:val="20"/>
        </w:rPr>
        <w:t>Note C — Business Divestitures and Assets Sales</w:t>
      </w:r>
      <w:r>
        <w:rPr>
          <w:rFonts w:eastAsia="Times New Roman"/>
          <w:color w:val="000000"/>
          <w:sz w:val="20"/>
          <w:szCs w:val="20"/>
        </w:rPr>
        <w:t xml:space="preserve"> </w:t>
      </w:r>
      <w:r>
        <w:rPr>
          <w:rFonts w:eastAsia="Times New Roman"/>
          <w:color w:val="000000"/>
          <w:sz w:val="20"/>
          <w:szCs w:val="20"/>
        </w:rPr>
        <w:t>in the Notes, during the quarter ended July 3, 2020, we determined the criteria to be classified as held for sale were met with respect to another business within our Aviation Systems segment (“other AS disposal group”). The income before income taxes of t</w:t>
      </w:r>
      <w:r>
        <w:rPr>
          <w:rFonts w:eastAsia="Times New Roman"/>
          <w:color w:val="000000"/>
          <w:sz w:val="20"/>
          <w:szCs w:val="20"/>
        </w:rPr>
        <w:t>he other AS disposal group were not material for the quarter and three quarters ended October 2, 2020. We assigned $14 million of goodwill to the other AS disposal group on a relative fair value basis during the quarter ended July 3, 2020, when the held fo</w:t>
      </w:r>
      <w:r>
        <w:rPr>
          <w:rFonts w:eastAsia="Times New Roman"/>
          <w:color w:val="000000"/>
          <w:sz w:val="20"/>
          <w:szCs w:val="20"/>
        </w:rPr>
        <w:t>r sale criteria were met. In connection with the preparation of our financial statements for the quarter ended July 3, 2020, we concluded that goodwill related to the other AS disposal group was impaired and recorded a non-cash impairment charge of $14 mil</w:t>
      </w:r>
      <w:r>
        <w:rPr>
          <w:rFonts w:eastAsia="Times New Roman"/>
          <w:color w:val="000000"/>
          <w:sz w:val="20"/>
          <w:szCs w:val="20"/>
        </w:rPr>
        <w:t xml:space="preserve">lion, which is included in the “Impairment of goodwill and other assets” line item in our Condensed Consolidated Statement of Income (Unaudited) for the three quarters ended October 2, 2020. </w:t>
      </w:r>
    </w:p>
    <w:p w:rsidR="00000000" w:rsidRDefault="005D26B8">
      <w:pPr>
        <w:ind w:firstLine="450"/>
        <w:divId w:val="1857301675"/>
        <w:rPr>
          <w:rFonts w:eastAsia="Times New Roman"/>
        </w:rPr>
      </w:pPr>
      <w:r>
        <w:rPr>
          <w:rFonts w:eastAsia="Times New Roman"/>
          <w:color w:val="000000"/>
          <w:sz w:val="20"/>
          <w:szCs w:val="20"/>
        </w:rPr>
        <w:t>For purposes of allocating goodwill to the disposal groups above</w:t>
      </w:r>
      <w:r>
        <w:rPr>
          <w:rFonts w:eastAsia="Times New Roman"/>
          <w:color w:val="000000"/>
          <w:sz w:val="20"/>
          <w:szCs w:val="20"/>
        </w:rPr>
        <w:t>, we determined the fair value of each disposal group based on the respective negotiated selling price (or estimated net cash proceeds, in the case of no negotiated selling price), and the fair value of the retained businesses of the respective reporting u</w:t>
      </w:r>
      <w:r>
        <w:rPr>
          <w:rFonts w:eastAsia="Times New Roman"/>
          <w:color w:val="000000"/>
          <w:sz w:val="20"/>
          <w:szCs w:val="20"/>
        </w:rPr>
        <w:t>nit based on a combination of market-based valuation techniques, utilizing quoted market prices and comparable publicly reported transactions, and projected discounted cash flows. These fair value determinations are categorized as Level 3 in the fair value</w:t>
      </w:r>
      <w:r>
        <w:rPr>
          <w:rFonts w:eastAsia="Times New Roman"/>
          <w:color w:val="000000"/>
          <w:sz w:val="20"/>
          <w:szCs w:val="20"/>
        </w:rPr>
        <w:t xml:space="preserve"> hierarchy due to their use of internal projections and unobservable measurement inputs. See Note 1: "Significant Accounting Policies" in the Notes to Consolidated Financial Statements in our Fiscal Transition Period Form 10-KT for additional information r</w:t>
      </w:r>
      <w:r>
        <w:rPr>
          <w:rFonts w:eastAsia="Times New Roman"/>
          <w:color w:val="000000"/>
          <w:sz w:val="20"/>
          <w:szCs w:val="20"/>
        </w:rPr>
        <w:t>egarding the fair value hierarchy.</w:t>
      </w:r>
    </w:p>
    <w:p w:rsidR="00000000" w:rsidRDefault="005D26B8">
      <w:pPr>
        <w:divId w:val="761220514"/>
        <w:rPr>
          <w:rFonts w:eastAsia="Times New Roman"/>
        </w:rPr>
      </w:pPr>
      <w:r>
        <w:rPr>
          <w:rFonts w:eastAsia="Times New Roman"/>
          <w:b/>
          <w:bCs/>
          <w:color w:val="000000"/>
          <w:sz w:val="20"/>
          <w:szCs w:val="20"/>
        </w:rPr>
        <w:t>Accounting for Business Combinations</w:t>
      </w:r>
    </w:p>
    <w:p w:rsidR="00000000" w:rsidRDefault="005D26B8">
      <w:pPr>
        <w:ind w:firstLine="450"/>
        <w:divId w:val="1413887622"/>
        <w:rPr>
          <w:rFonts w:eastAsia="Times New Roman"/>
        </w:rPr>
      </w:pPr>
      <w:r>
        <w:rPr>
          <w:rFonts w:eastAsia="Times New Roman"/>
          <w:color w:val="000000"/>
          <w:sz w:val="20"/>
          <w:szCs w:val="20"/>
        </w:rPr>
        <w:t>We follow the acquisition method of accounting to record identifiable assets acquired, liabilities assumed and noncontrolling interests recognized in connection with acquired businesse</w:t>
      </w:r>
      <w:r>
        <w:rPr>
          <w:rFonts w:eastAsia="Times New Roman"/>
          <w:color w:val="000000"/>
          <w:sz w:val="20"/>
          <w:szCs w:val="20"/>
        </w:rPr>
        <w:t xml:space="preserve">s at their estimated fair value as of the date of acquisition. Amounts recorded associated with these assets and liabilities are based on preliminary calculations, and our estimates and assumptions are subject to change as we obtain additional information </w:t>
      </w:r>
      <w:r>
        <w:rPr>
          <w:rFonts w:eastAsia="Times New Roman"/>
          <w:color w:val="000000"/>
          <w:sz w:val="20"/>
          <w:szCs w:val="20"/>
        </w:rPr>
        <w:t>during the measurement period (up to one year from the closing date of the business combination).</w:t>
      </w:r>
    </w:p>
    <w:p w:rsidR="00000000" w:rsidRDefault="005D26B8">
      <w:pPr>
        <w:ind w:firstLine="450"/>
        <w:divId w:val="1436098617"/>
        <w:rPr>
          <w:rFonts w:eastAsia="Times New Roman"/>
        </w:rPr>
      </w:pPr>
      <w:r>
        <w:rPr>
          <w:rFonts w:eastAsia="Times New Roman"/>
          <w:color w:val="000000"/>
          <w:sz w:val="20"/>
          <w:szCs w:val="20"/>
        </w:rPr>
        <w:t>Identifiable intangible assets from business combinations are recognized at their estimated fair values as of the date of acquisition and generally consist of</w:t>
      </w:r>
      <w:r>
        <w:rPr>
          <w:rFonts w:eastAsia="Times New Roman"/>
          <w:color w:val="000000"/>
          <w:sz w:val="20"/>
          <w:szCs w:val="20"/>
        </w:rPr>
        <w:t xml:space="preserve"> customer relationships, trade names, developed technology and in-process R&amp;D. Determination of the estimated fair value of identifiable intangible assets requires judgment. The fair value of customer contractual relationships is determined based on estima</w:t>
      </w:r>
      <w:r>
        <w:rPr>
          <w:rFonts w:eastAsia="Times New Roman"/>
          <w:color w:val="000000"/>
          <w:sz w:val="20"/>
          <w:szCs w:val="20"/>
        </w:rPr>
        <w:t>tes and judgments regarding future after-tax earnings and cash flows arising from follow-on sales on contract renewals expected from customer contractual relationships over their estimated lives, including the probability of expected future contract renewa</w:t>
      </w:r>
      <w:r>
        <w:rPr>
          <w:rFonts w:eastAsia="Times New Roman"/>
          <w:color w:val="000000"/>
          <w:sz w:val="20"/>
          <w:szCs w:val="20"/>
        </w:rPr>
        <w:t>ls and sales, less a contributory asset charge, all of which is discounted to present value. The fair value of trade name identifiable intangible assets is determined utilizing the relief from royalty method. Under this form of the income approach, a royal</w:t>
      </w:r>
      <w:r>
        <w:rPr>
          <w:rFonts w:eastAsia="Times New Roman"/>
          <w:color w:val="000000"/>
          <w:sz w:val="20"/>
          <w:szCs w:val="20"/>
        </w:rPr>
        <w:t xml:space="preserve">ty rate based on observed market royalties is applied to </w:t>
      </w:r>
    </w:p>
    <w:p w:rsidR="00000000" w:rsidRDefault="005D26B8">
      <w:pPr>
        <w:jc w:val="center"/>
        <w:divId w:val="850025976"/>
        <w:rPr>
          <w:rFonts w:eastAsia="Times New Roman"/>
        </w:rPr>
      </w:pPr>
      <w:r>
        <w:rPr>
          <w:rFonts w:eastAsia="Times New Roman"/>
          <w:color w:val="000000"/>
          <w:sz w:val="20"/>
          <w:szCs w:val="20"/>
        </w:rPr>
        <w:t>52</w:t>
      </w:r>
    </w:p>
    <w:p w:rsidR="00000000" w:rsidRDefault="005D26B8">
      <w:pPr>
        <w:rPr>
          <w:rFonts w:eastAsia="Times New Roman"/>
        </w:rPr>
      </w:pPr>
      <w:r>
        <w:rPr>
          <w:rFonts w:eastAsia="Times New Roman"/>
        </w:rPr>
        <w:pict>
          <v:rect id="_x0000_i1079" style="width:0;height:1.5pt" o:hralign="center" o:hrstd="t" o:hr="t" fillcolor="#a0a0a0" stroked="f"/>
        </w:pict>
      </w:r>
    </w:p>
    <w:p w:rsidR="00000000" w:rsidRDefault="005D26B8">
      <w:pPr>
        <w:divId w:val="1884360876"/>
        <w:rPr>
          <w:rFonts w:eastAsia="Times New Roman"/>
        </w:rPr>
      </w:pPr>
    </w:p>
    <w:p w:rsidR="00000000" w:rsidRDefault="005D26B8">
      <w:pPr>
        <w:divId w:val="1159424680"/>
        <w:rPr>
          <w:rFonts w:eastAsia="Times New Roman"/>
        </w:rPr>
      </w:pPr>
      <w:r>
        <w:rPr>
          <w:rFonts w:eastAsia="Times New Roman"/>
          <w:color w:val="000000"/>
          <w:sz w:val="20"/>
          <w:szCs w:val="20"/>
        </w:rPr>
        <w:t>projected revenue supporting the trade name and discounted to present value using an appropriate discount rate. Identifiable intangible assets deemed to hav</w:t>
      </w:r>
      <w:r>
        <w:rPr>
          <w:rFonts w:eastAsia="Times New Roman"/>
          <w:color w:val="000000"/>
          <w:sz w:val="20"/>
          <w:szCs w:val="20"/>
        </w:rPr>
        <w:t>e indefinite lives are not amortized, but are subject to annual impairment testing. Finite-lived identifiable intangible assets are amortized to expense over their useful lives, generally ranging from three to twenty years. The fair value of identifiable i</w:t>
      </w:r>
      <w:r>
        <w:rPr>
          <w:rFonts w:eastAsia="Times New Roman"/>
          <w:color w:val="000000"/>
          <w:sz w:val="20"/>
          <w:szCs w:val="20"/>
        </w:rPr>
        <w:t xml:space="preserve">ntangible assets acquired in connection with the L3Harris Merger was approximately $8.5 billion. </w:t>
      </w:r>
    </w:p>
    <w:p w:rsidR="00000000" w:rsidRDefault="005D26B8">
      <w:pPr>
        <w:ind w:firstLine="450"/>
        <w:divId w:val="1641575157"/>
        <w:rPr>
          <w:rFonts w:eastAsia="Times New Roman"/>
        </w:rPr>
      </w:pPr>
      <w:r>
        <w:rPr>
          <w:rFonts w:eastAsia="Times New Roman"/>
          <w:color w:val="000000"/>
          <w:sz w:val="20"/>
          <w:szCs w:val="20"/>
        </w:rPr>
        <w:t>We assess the recoverability of finite-lived identifiable intangible assets whenever events or changes in circumstances indicate the carrying amount of the as</w:t>
      </w:r>
      <w:r>
        <w:rPr>
          <w:rFonts w:eastAsia="Times New Roman"/>
          <w:color w:val="000000"/>
          <w:sz w:val="20"/>
          <w:szCs w:val="20"/>
        </w:rPr>
        <w:t>sets may not be recoverable. We evaluate the recoverability of such assets based on the expectations of undiscounted cash flows of the assets. If the sum of expected future undiscounted cash flows were less than the carrying amount of the asset, a loss wou</w:t>
      </w:r>
      <w:r>
        <w:rPr>
          <w:rFonts w:eastAsia="Times New Roman"/>
          <w:color w:val="000000"/>
          <w:sz w:val="20"/>
          <w:szCs w:val="20"/>
        </w:rPr>
        <w:t xml:space="preserve">ld be recognized for the difference between the fair value and the carrying amount. See </w:t>
      </w:r>
      <w:r>
        <w:rPr>
          <w:rFonts w:eastAsia="Times New Roman"/>
          <w:i/>
          <w:iCs/>
          <w:color w:val="000000"/>
          <w:sz w:val="20"/>
          <w:szCs w:val="20"/>
        </w:rPr>
        <w:t>Note B — Business Combination</w:t>
      </w:r>
      <w:r>
        <w:rPr>
          <w:rFonts w:eastAsia="Times New Roman"/>
          <w:color w:val="000000"/>
          <w:sz w:val="20"/>
          <w:szCs w:val="20"/>
        </w:rPr>
        <w:t xml:space="preserve"> and </w:t>
      </w:r>
      <w:r>
        <w:rPr>
          <w:rFonts w:eastAsia="Times New Roman"/>
          <w:i/>
          <w:iCs/>
          <w:color w:val="000000"/>
          <w:sz w:val="20"/>
          <w:szCs w:val="20"/>
        </w:rPr>
        <w:t xml:space="preserve">Note K — Goodwill and Other Intangible Assets </w:t>
      </w:r>
      <w:r>
        <w:rPr>
          <w:rFonts w:eastAsia="Times New Roman"/>
          <w:color w:val="000000"/>
          <w:sz w:val="20"/>
          <w:szCs w:val="20"/>
        </w:rPr>
        <w:t xml:space="preserve">in the Notes for additional information. </w:t>
      </w:r>
    </w:p>
    <w:p w:rsidR="00000000" w:rsidRDefault="005D26B8">
      <w:pPr>
        <w:divId w:val="1434939477"/>
        <w:rPr>
          <w:rFonts w:eastAsia="Times New Roman"/>
        </w:rPr>
      </w:pPr>
      <w:r>
        <w:rPr>
          <w:rFonts w:eastAsia="Times New Roman"/>
          <w:b/>
          <w:bCs/>
          <w:color w:val="000000"/>
          <w:sz w:val="20"/>
          <w:szCs w:val="20"/>
        </w:rPr>
        <w:t>Impact of Recently Issued Accounting Standards</w:t>
      </w:r>
    </w:p>
    <w:p w:rsidR="00000000" w:rsidRDefault="005D26B8">
      <w:pPr>
        <w:ind w:firstLine="450"/>
        <w:divId w:val="501434808"/>
        <w:rPr>
          <w:rFonts w:eastAsia="Times New Roman"/>
        </w:rPr>
      </w:pPr>
      <w:r>
        <w:rPr>
          <w:rFonts w:eastAsia="Times New Roman"/>
          <w:color w:val="000000"/>
          <w:sz w:val="20"/>
          <w:szCs w:val="20"/>
        </w:rPr>
        <w:t xml:space="preserve">Accounting standards that have been recently issued, but are not yet effective for us, are described in </w:t>
      </w:r>
      <w:r>
        <w:rPr>
          <w:rFonts w:eastAsia="Times New Roman"/>
          <w:i/>
          <w:iCs/>
          <w:color w:val="000000"/>
          <w:sz w:val="20"/>
          <w:szCs w:val="20"/>
        </w:rPr>
        <w:t>Note A — Significant Accounting Policies and Recent Accounting Standards</w:t>
      </w:r>
      <w:r>
        <w:rPr>
          <w:rFonts w:eastAsia="Times New Roman"/>
          <w:b/>
          <w:bCs/>
          <w:color w:val="000000"/>
          <w:sz w:val="20"/>
          <w:szCs w:val="20"/>
        </w:rPr>
        <w:t xml:space="preserve"> </w:t>
      </w:r>
      <w:r>
        <w:rPr>
          <w:rFonts w:eastAsia="Times New Roman"/>
          <w:color w:val="000000"/>
          <w:sz w:val="20"/>
          <w:szCs w:val="20"/>
        </w:rPr>
        <w:t>in the Notes, which describes the potential impact that these standards are ex</w:t>
      </w:r>
      <w:r>
        <w:rPr>
          <w:rFonts w:eastAsia="Times New Roman"/>
          <w:color w:val="000000"/>
          <w:sz w:val="20"/>
          <w:szCs w:val="20"/>
        </w:rPr>
        <w:t>pected to have on our financial condition, results of operations, cash flows or equity.</w:t>
      </w:r>
    </w:p>
    <w:p w:rsidR="00000000" w:rsidRDefault="005D26B8">
      <w:pPr>
        <w:divId w:val="966013357"/>
        <w:rPr>
          <w:rFonts w:eastAsia="Times New Roman"/>
        </w:rPr>
      </w:pPr>
      <w:r>
        <w:rPr>
          <w:rFonts w:eastAsia="Times New Roman"/>
          <w:b/>
          <w:bCs/>
          <w:color w:val="000000"/>
          <w:sz w:val="20"/>
          <w:szCs w:val="20"/>
        </w:rPr>
        <w:t>FORWARD-LOOKING STATEMENTS AND FACTORS THAT MAY AFFECT FUTURE RESULTS</w:t>
      </w:r>
    </w:p>
    <w:p w:rsidR="00000000" w:rsidRDefault="005D26B8">
      <w:pPr>
        <w:ind w:firstLine="450"/>
        <w:divId w:val="1248424840"/>
        <w:rPr>
          <w:rFonts w:eastAsia="Times New Roman"/>
        </w:rPr>
      </w:pPr>
      <w:r>
        <w:rPr>
          <w:rFonts w:eastAsia="Times New Roman"/>
          <w:color w:val="000000"/>
          <w:sz w:val="20"/>
          <w:szCs w:val="20"/>
        </w:rPr>
        <w:t>This Report contains forward-looking statements that involve risks and uncertainties, as well as a</w:t>
      </w:r>
      <w:r>
        <w:rPr>
          <w:rFonts w:eastAsia="Times New Roman"/>
          <w:color w:val="000000"/>
          <w:sz w:val="20"/>
          <w:szCs w:val="20"/>
        </w:rPr>
        <w:t>ssumptions that may not materialize or prove to be correct, which could cause our results to differ materially from those expressed in or implied by such forward-looking statements. All statements other than statements of historical fact are statements tha</w:t>
      </w:r>
      <w:r>
        <w:rPr>
          <w:rFonts w:eastAsia="Times New Roman"/>
          <w:color w:val="000000"/>
          <w:sz w:val="20"/>
          <w:szCs w:val="20"/>
        </w:rPr>
        <w:t>t could be deemed forward-looking statements, including, but not limited to, statements concerning: our plans, strategies and objectives for future operations; new products, systems, technologies, services or developments; future economic conditions, perfo</w:t>
      </w:r>
      <w:r>
        <w:rPr>
          <w:rFonts w:eastAsia="Times New Roman"/>
          <w:color w:val="000000"/>
          <w:sz w:val="20"/>
          <w:szCs w:val="20"/>
        </w:rPr>
        <w:t>rmance or outlook; future political conditions; the outcome of contingencies; the potential level of share repurchases, dividends or pension contributions; potential acquisitions or divestitures; the value of contract awards and programs; expected cash flo</w:t>
      </w:r>
      <w:r>
        <w:rPr>
          <w:rFonts w:eastAsia="Times New Roman"/>
          <w:color w:val="000000"/>
          <w:sz w:val="20"/>
          <w:szCs w:val="20"/>
        </w:rPr>
        <w:t>ws or capital expenditures; our beliefs or expectations; activities, events or developments that we intend, expect, project, believe or anticipate will or may occur in the future, including expected COVID-19-related impacts in our Public Safety and Commerc</w:t>
      </w:r>
      <w:r>
        <w:rPr>
          <w:rFonts w:eastAsia="Times New Roman"/>
          <w:color w:val="000000"/>
          <w:sz w:val="20"/>
          <w:szCs w:val="20"/>
        </w:rPr>
        <w:t xml:space="preserve">ial Aviation Solutions sectors; and assumptions underlying any of the foregoing. Forward-looking statements may be identified by their use of forward-looking terminology, such as “believes,” “expects,” “may,” “should,” “would,” “will,” “intends,” “plans,” </w:t>
      </w:r>
      <w:r>
        <w:rPr>
          <w:rFonts w:eastAsia="Times New Roman"/>
          <w:color w:val="000000"/>
          <w:sz w:val="20"/>
          <w:szCs w:val="20"/>
        </w:rPr>
        <w:t>“estimates,” “anticipates,” “projects” and similar words or expressions. You should not place undue reliance on these forward-looking statements, which reflect our management’s opinions only as of the date of filing of this Report and are not guarantees of</w:t>
      </w:r>
      <w:r>
        <w:rPr>
          <w:rFonts w:eastAsia="Times New Roman"/>
          <w:color w:val="000000"/>
          <w:sz w:val="20"/>
          <w:szCs w:val="20"/>
        </w:rPr>
        <w:t xml:space="preserve"> future performance or actual results. Forward-looking statements are made in reliance on the safe harbor provisions of Section 27A of the Securities Act of 1933, as amended (the “Securities Act”), and Section 21E of the Securities Exchange Act of 1934, as</w:t>
      </w:r>
      <w:r>
        <w:rPr>
          <w:rFonts w:eastAsia="Times New Roman"/>
          <w:color w:val="000000"/>
          <w:sz w:val="20"/>
          <w:szCs w:val="20"/>
        </w:rPr>
        <w:t xml:space="preserve"> amended (the “Exchange Act”). The following are some of the factors we believe could cause our actual results to differ materially from our historical results or our current expectations or projections:</w:t>
      </w:r>
    </w:p>
    <w:p w:rsidR="00000000" w:rsidRDefault="005D26B8">
      <w:pPr>
        <w:ind w:hanging="180"/>
        <w:divId w:val="1556889072"/>
        <w:rPr>
          <w:rFonts w:eastAsia="Times New Roman"/>
        </w:rPr>
      </w:pPr>
      <w:r>
        <w:rPr>
          <w:rFonts w:eastAsia="Times New Roman"/>
          <w:color w:val="000000"/>
          <w:sz w:val="20"/>
          <w:szCs w:val="20"/>
        </w:rPr>
        <w:t>•The COVID-19 pandemic could have a material adverse</w:t>
      </w:r>
      <w:r>
        <w:rPr>
          <w:rFonts w:eastAsia="Times New Roman"/>
          <w:color w:val="000000"/>
          <w:sz w:val="20"/>
          <w:szCs w:val="20"/>
        </w:rPr>
        <w:t xml:space="preserve"> effect on our business operations, financial condition, results of operations and cash flows.</w:t>
      </w:r>
    </w:p>
    <w:p w:rsidR="00000000" w:rsidRDefault="005D26B8">
      <w:pPr>
        <w:ind w:hanging="180"/>
        <w:divId w:val="705644601"/>
        <w:rPr>
          <w:rFonts w:eastAsia="Times New Roman"/>
        </w:rPr>
      </w:pPr>
      <w:r>
        <w:rPr>
          <w:rFonts w:eastAsia="Times New Roman"/>
          <w:color w:val="000000"/>
          <w:sz w:val="20"/>
          <w:szCs w:val="20"/>
        </w:rPr>
        <w:t xml:space="preserve">•We depend on U.S. Government customers for a significant portion of our revenue, and the loss of these relationships, a reduction in U.S. Government funding or </w:t>
      </w:r>
      <w:r>
        <w:rPr>
          <w:rFonts w:eastAsia="Times New Roman"/>
          <w:color w:val="000000"/>
          <w:sz w:val="20"/>
          <w:szCs w:val="20"/>
        </w:rPr>
        <w:t>a change in U.S. Government spending priorities could have an adverse impact on our business, financial condition, results of operations and cash flows.</w:t>
      </w:r>
    </w:p>
    <w:p w:rsidR="00000000" w:rsidRDefault="005D26B8">
      <w:pPr>
        <w:ind w:hanging="180"/>
        <w:divId w:val="1432044482"/>
        <w:rPr>
          <w:rFonts w:eastAsia="Times New Roman"/>
        </w:rPr>
      </w:pPr>
      <w:r>
        <w:rPr>
          <w:rFonts w:eastAsia="Times New Roman"/>
          <w:color w:val="000000"/>
          <w:sz w:val="20"/>
          <w:szCs w:val="20"/>
        </w:rPr>
        <w:t>•We depend significantly on U.S. </w:t>
      </w:r>
      <w:r>
        <w:rPr>
          <w:rFonts w:eastAsia="Times New Roman"/>
          <w:color w:val="000000"/>
          <w:sz w:val="20"/>
          <w:szCs w:val="20"/>
        </w:rPr>
        <w:t>Government contracts, which often are only partially funded, subject to immediate termination, and heavily regulated and audited. The termination or failure to fund, or negative audit findings for, one or more of these contracts could have an adverse impac</w:t>
      </w:r>
      <w:r>
        <w:rPr>
          <w:rFonts w:eastAsia="Times New Roman"/>
          <w:color w:val="000000"/>
          <w:sz w:val="20"/>
          <w:szCs w:val="20"/>
        </w:rPr>
        <w:t>t on our business, financial condition, results of operations and cash flows.</w:t>
      </w:r>
    </w:p>
    <w:p w:rsidR="00000000" w:rsidRDefault="005D26B8">
      <w:pPr>
        <w:ind w:hanging="180"/>
        <w:divId w:val="254941554"/>
        <w:rPr>
          <w:rFonts w:eastAsia="Times New Roman"/>
        </w:rPr>
      </w:pPr>
      <w:r>
        <w:rPr>
          <w:rFonts w:eastAsia="Times New Roman"/>
          <w:color w:val="000000"/>
          <w:sz w:val="20"/>
          <w:szCs w:val="20"/>
        </w:rPr>
        <w:t>•The U.S. Government’s budget deficit and the national debt, as well as any inability of the U.S. Government to complete its budget process for any government fiscal year and con</w:t>
      </w:r>
      <w:r>
        <w:rPr>
          <w:rFonts w:eastAsia="Times New Roman"/>
          <w:color w:val="000000"/>
          <w:sz w:val="20"/>
          <w:szCs w:val="20"/>
        </w:rPr>
        <w:t>sequently having to shut down or operate on funding levels equivalent to its prior fiscal year pursuant to a “continuing resolution,” could have an adverse impact on our business, financial condition, results of operations and cash flows.</w:t>
      </w:r>
    </w:p>
    <w:p w:rsidR="00000000" w:rsidRDefault="005D26B8">
      <w:pPr>
        <w:ind w:hanging="180"/>
        <w:divId w:val="811097158"/>
        <w:rPr>
          <w:rFonts w:eastAsia="Times New Roman"/>
        </w:rPr>
      </w:pPr>
      <w:r>
        <w:rPr>
          <w:rFonts w:eastAsia="Times New Roman"/>
          <w:color w:val="000000"/>
          <w:sz w:val="20"/>
          <w:szCs w:val="20"/>
        </w:rPr>
        <w:t>•We could be nega</w:t>
      </w:r>
      <w:r>
        <w:rPr>
          <w:rFonts w:eastAsia="Times New Roman"/>
          <w:color w:val="000000"/>
          <w:sz w:val="20"/>
          <w:szCs w:val="20"/>
        </w:rPr>
        <w:t>tively impacted by a security breach, through cyber attack, cyber intrusion, insider threats or otherwise, or other significant disruption of our IT networks and related systems or of those we operate for certain of our customers.</w:t>
      </w:r>
    </w:p>
    <w:p w:rsidR="00000000" w:rsidRDefault="005D26B8">
      <w:pPr>
        <w:ind w:hanging="180"/>
        <w:divId w:val="363749421"/>
        <w:rPr>
          <w:rFonts w:eastAsia="Times New Roman"/>
        </w:rPr>
      </w:pPr>
      <w:r>
        <w:rPr>
          <w:rFonts w:eastAsia="Times New Roman"/>
          <w:color w:val="000000"/>
          <w:sz w:val="20"/>
          <w:szCs w:val="20"/>
        </w:rPr>
        <w:t>•Our ability to successfu</w:t>
      </w:r>
      <w:r>
        <w:rPr>
          <w:rFonts w:eastAsia="Times New Roman"/>
          <w:color w:val="000000"/>
          <w:sz w:val="20"/>
          <w:szCs w:val="20"/>
        </w:rPr>
        <w:t>lly manage ongoing business and organizational changes could impact our business results.</w:t>
      </w:r>
    </w:p>
    <w:p w:rsidR="00000000" w:rsidRDefault="005D26B8">
      <w:pPr>
        <w:ind w:hanging="180"/>
        <w:divId w:val="911160292"/>
        <w:rPr>
          <w:rFonts w:eastAsia="Times New Roman"/>
        </w:rPr>
      </w:pPr>
      <w:r>
        <w:rPr>
          <w:rFonts w:eastAsia="Times New Roman"/>
          <w:color w:val="000000"/>
          <w:sz w:val="20"/>
          <w:szCs w:val="20"/>
        </w:rPr>
        <w:t>•Our results of operations and cash flows are substantially affected by our mix of fixed-price, cost-plus and time-and-material type contracts. In particular, our fix</w:t>
      </w:r>
      <w:r>
        <w:rPr>
          <w:rFonts w:eastAsia="Times New Roman"/>
          <w:color w:val="000000"/>
          <w:sz w:val="20"/>
          <w:szCs w:val="20"/>
        </w:rPr>
        <w:t>ed-price contracts could subject us to losses in the event of cost overruns or a significant increase in inflation.</w:t>
      </w:r>
    </w:p>
    <w:p w:rsidR="00000000" w:rsidRDefault="005D26B8">
      <w:pPr>
        <w:ind w:hanging="180"/>
        <w:divId w:val="1047949474"/>
        <w:rPr>
          <w:rFonts w:eastAsia="Times New Roman"/>
        </w:rPr>
      </w:pPr>
      <w:r>
        <w:rPr>
          <w:rFonts w:eastAsia="Times New Roman"/>
          <w:color w:val="000000"/>
          <w:sz w:val="20"/>
          <w:szCs w:val="20"/>
        </w:rPr>
        <w:t>•We use estimates in accounting for many of our programs, and changes in our estimates could adversely affect our future financial results.</w:t>
      </w:r>
    </w:p>
    <w:p w:rsidR="00000000" w:rsidRDefault="005D26B8">
      <w:pPr>
        <w:ind w:hanging="180"/>
        <w:divId w:val="245461043"/>
        <w:rPr>
          <w:rFonts w:eastAsia="Times New Roman"/>
        </w:rPr>
      </w:pPr>
      <w:r>
        <w:rPr>
          <w:rFonts w:eastAsia="Times New Roman"/>
          <w:color w:val="000000"/>
          <w:sz w:val="20"/>
          <w:szCs w:val="20"/>
        </w:rPr>
        <w:t>•We derive a significant portion of our revenue from international operations and are subject to the risks of doing business internationally, including fluctuations in currency exchange rates.</w:t>
      </w:r>
    </w:p>
    <w:p w:rsidR="00000000" w:rsidRDefault="005D26B8">
      <w:pPr>
        <w:jc w:val="center"/>
        <w:divId w:val="41443577"/>
        <w:rPr>
          <w:rFonts w:eastAsia="Times New Roman"/>
        </w:rPr>
      </w:pPr>
      <w:r>
        <w:rPr>
          <w:rFonts w:eastAsia="Times New Roman"/>
          <w:color w:val="000000"/>
          <w:sz w:val="20"/>
          <w:szCs w:val="20"/>
        </w:rPr>
        <w:t>53</w:t>
      </w:r>
    </w:p>
    <w:p w:rsidR="00000000" w:rsidRDefault="005D26B8">
      <w:pPr>
        <w:rPr>
          <w:rFonts w:eastAsia="Times New Roman"/>
        </w:rPr>
      </w:pPr>
      <w:r>
        <w:rPr>
          <w:rFonts w:eastAsia="Times New Roman"/>
        </w:rPr>
        <w:pict>
          <v:rect id="_x0000_i1080" style="width:0;height:1.5pt" o:hralign="center" o:hrstd="t" o:hr="t" fillcolor="#a0a0a0" stroked="f"/>
        </w:pict>
      </w:r>
    </w:p>
    <w:p w:rsidR="00000000" w:rsidRDefault="005D26B8">
      <w:pPr>
        <w:divId w:val="1567183791"/>
        <w:rPr>
          <w:rFonts w:eastAsia="Times New Roman"/>
        </w:rPr>
      </w:pPr>
    </w:p>
    <w:p w:rsidR="00000000" w:rsidRDefault="005D26B8">
      <w:pPr>
        <w:ind w:hanging="180"/>
        <w:divId w:val="361055260"/>
        <w:rPr>
          <w:rFonts w:eastAsia="Times New Roman"/>
        </w:rPr>
      </w:pPr>
      <w:r>
        <w:rPr>
          <w:rFonts w:eastAsia="Times New Roman"/>
          <w:color w:val="000000"/>
          <w:sz w:val="20"/>
          <w:szCs w:val="20"/>
        </w:rPr>
        <w:t xml:space="preserve">•The level of returns </w:t>
      </w:r>
      <w:r>
        <w:rPr>
          <w:rFonts w:eastAsia="Times New Roman"/>
          <w:color w:val="000000"/>
          <w:sz w:val="20"/>
          <w:szCs w:val="20"/>
        </w:rPr>
        <w:t>on defined benefit plan assets, changes in interest rates and other factors could affect our financial condition, results of operations, cash flows and equity in future periods.</w:t>
      </w:r>
    </w:p>
    <w:p w:rsidR="00000000" w:rsidRDefault="005D26B8">
      <w:pPr>
        <w:ind w:hanging="180"/>
        <w:divId w:val="2122219094"/>
        <w:rPr>
          <w:rFonts w:eastAsia="Times New Roman"/>
        </w:rPr>
      </w:pPr>
      <w:r>
        <w:rPr>
          <w:rFonts w:eastAsia="Times New Roman"/>
          <w:color w:val="000000"/>
          <w:sz w:val="20"/>
          <w:szCs w:val="20"/>
        </w:rPr>
        <w:t>•We may not be successful in obtaining the necessary export licenses to conduc</w:t>
      </w:r>
      <w:r>
        <w:rPr>
          <w:rFonts w:eastAsia="Times New Roman"/>
          <w:color w:val="000000"/>
          <w:sz w:val="20"/>
          <w:szCs w:val="20"/>
        </w:rPr>
        <w:t>t certain operations abroad, and Congress may prevent proposed sales to certain foreign governments.</w:t>
      </w:r>
    </w:p>
    <w:p w:rsidR="00000000" w:rsidRDefault="005D26B8">
      <w:pPr>
        <w:ind w:hanging="180"/>
        <w:divId w:val="1567951846"/>
        <w:rPr>
          <w:rFonts w:eastAsia="Times New Roman"/>
        </w:rPr>
      </w:pPr>
      <w:r>
        <w:rPr>
          <w:rFonts w:eastAsia="Times New Roman"/>
          <w:color w:val="000000"/>
          <w:sz w:val="20"/>
          <w:szCs w:val="20"/>
        </w:rPr>
        <w:t>•Disputes with our subcontractors or the inability of our subcontractors to perform, or our key suppliers to timely deliver our components, parts or servic</w:t>
      </w:r>
      <w:r>
        <w:rPr>
          <w:rFonts w:eastAsia="Times New Roman"/>
          <w:color w:val="000000"/>
          <w:sz w:val="20"/>
          <w:szCs w:val="20"/>
        </w:rPr>
        <w:t>es, could cause our products, systems or services to be produced or delivered in an untimely or unsatisfactory manner.</w:t>
      </w:r>
    </w:p>
    <w:p w:rsidR="00000000" w:rsidRDefault="005D26B8">
      <w:pPr>
        <w:ind w:hanging="180"/>
        <w:divId w:val="2018775310"/>
        <w:rPr>
          <w:rFonts w:eastAsia="Times New Roman"/>
        </w:rPr>
      </w:pPr>
      <w:r>
        <w:rPr>
          <w:rFonts w:eastAsia="Times New Roman"/>
          <w:color w:val="000000"/>
          <w:sz w:val="20"/>
          <w:szCs w:val="20"/>
        </w:rPr>
        <w:t>•Our reputation and ability to do business may be impacted by the improper conduct of our employees, agents or business partners.</w:t>
      </w:r>
    </w:p>
    <w:p w:rsidR="00000000" w:rsidRDefault="005D26B8">
      <w:pPr>
        <w:ind w:hanging="180"/>
        <w:divId w:val="1267468900"/>
        <w:rPr>
          <w:rFonts w:eastAsia="Times New Roman"/>
        </w:rPr>
      </w:pPr>
      <w:r>
        <w:rPr>
          <w:rFonts w:eastAsia="Times New Roman"/>
          <w:color w:val="000000"/>
          <w:sz w:val="20"/>
          <w:szCs w:val="20"/>
        </w:rPr>
        <w:t>•Our fu</w:t>
      </w:r>
      <w:r>
        <w:rPr>
          <w:rFonts w:eastAsia="Times New Roman"/>
          <w:color w:val="000000"/>
          <w:sz w:val="20"/>
          <w:szCs w:val="20"/>
        </w:rPr>
        <w:t>ture success will depend on our ability to develop new products, systems, services and technologies that achieve market acceptance in our current and future markets.</w:t>
      </w:r>
    </w:p>
    <w:p w:rsidR="00000000" w:rsidRDefault="005D26B8">
      <w:pPr>
        <w:ind w:hanging="180"/>
        <w:divId w:val="662010953"/>
        <w:rPr>
          <w:rFonts w:eastAsia="Times New Roman"/>
        </w:rPr>
      </w:pPr>
      <w:r>
        <w:rPr>
          <w:rFonts w:eastAsia="Times New Roman"/>
          <w:color w:val="000000"/>
          <w:sz w:val="20"/>
          <w:szCs w:val="20"/>
        </w:rPr>
        <w:t xml:space="preserve">•We participate in markets that are often subject to uncertain economic conditions, which </w:t>
      </w:r>
      <w:r>
        <w:rPr>
          <w:rFonts w:eastAsia="Times New Roman"/>
          <w:color w:val="000000"/>
          <w:sz w:val="20"/>
          <w:szCs w:val="20"/>
        </w:rPr>
        <w:t>makes it difficult to estimate growth in our markets and, as a result, future income and expenditures.</w:t>
      </w:r>
    </w:p>
    <w:p w:rsidR="00000000" w:rsidRDefault="005D26B8">
      <w:pPr>
        <w:ind w:hanging="180"/>
        <w:divId w:val="988707531"/>
        <w:rPr>
          <w:rFonts w:eastAsia="Times New Roman"/>
        </w:rPr>
      </w:pPr>
      <w:r>
        <w:rPr>
          <w:rFonts w:eastAsia="Times New Roman"/>
          <w:color w:val="000000"/>
          <w:sz w:val="20"/>
          <w:szCs w:val="20"/>
        </w:rPr>
        <w:t xml:space="preserve">•We cannot predict the consequences of future geo-political events, but they may adversely affect the markets in which we operate, our ability to insure </w:t>
      </w:r>
      <w:r>
        <w:rPr>
          <w:rFonts w:eastAsia="Times New Roman"/>
          <w:color w:val="000000"/>
          <w:sz w:val="20"/>
          <w:szCs w:val="20"/>
        </w:rPr>
        <w:t>against risks, our operations or our profitability.</w:t>
      </w:r>
    </w:p>
    <w:p w:rsidR="00000000" w:rsidRDefault="005D26B8">
      <w:pPr>
        <w:ind w:hanging="180"/>
        <w:divId w:val="1854103686"/>
        <w:rPr>
          <w:rFonts w:eastAsia="Times New Roman"/>
        </w:rPr>
      </w:pPr>
      <w:r>
        <w:rPr>
          <w:rFonts w:eastAsia="Times New Roman"/>
          <w:color w:val="000000"/>
          <w:sz w:val="20"/>
          <w:szCs w:val="20"/>
        </w:rPr>
        <w:t xml:space="preserve">•Strategic transactions, including mergers, acquisitions and divestitures, involve significant risks and uncertainties that could adversely affect our business, financial condition, results of operations </w:t>
      </w:r>
      <w:r>
        <w:rPr>
          <w:rFonts w:eastAsia="Times New Roman"/>
          <w:color w:val="000000"/>
          <w:sz w:val="20"/>
          <w:szCs w:val="20"/>
        </w:rPr>
        <w:t>and cash flows.</w:t>
      </w:r>
    </w:p>
    <w:p w:rsidR="00000000" w:rsidRDefault="005D26B8">
      <w:pPr>
        <w:ind w:hanging="180"/>
        <w:divId w:val="338311323"/>
        <w:rPr>
          <w:rFonts w:eastAsia="Times New Roman"/>
        </w:rPr>
      </w:pPr>
      <w:r>
        <w:rPr>
          <w:rFonts w:eastAsia="Times New Roman"/>
          <w:color w:val="000000"/>
          <w:sz w:val="20"/>
          <w:szCs w:val="20"/>
        </w:rPr>
        <w:t>•The outcome of litigation or arbitration in which we are involved from time to time is unpredictable, and an adverse decision in any such matter could have a material adverse effect on our financial condition, results of operations, cash f</w:t>
      </w:r>
      <w:r>
        <w:rPr>
          <w:rFonts w:eastAsia="Times New Roman"/>
          <w:color w:val="000000"/>
          <w:sz w:val="20"/>
          <w:szCs w:val="20"/>
        </w:rPr>
        <w:t>lows and equity.</w:t>
      </w:r>
    </w:p>
    <w:p w:rsidR="00000000" w:rsidRDefault="005D26B8">
      <w:pPr>
        <w:ind w:hanging="180"/>
        <w:divId w:val="738408056"/>
        <w:rPr>
          <w:rFonts w:eastAsia="Times New Roman"/>
        </w:rPr>
      </w:pPr>
      <w:r>
        <w:rPr>
          <w:rFonts w:eastAsia="Times New Roman"/>
          <w:color w:val="000000"/>
          <w:sz w:val="20"/>
          <w:szCs w:val="20"/>
        </w:rPr>
        <w:t>•We are subject to government investigations, which could have a material adverse effect on our business, financial condition, results of operations, cash flows and future prospects.</w:t>
      </w:r>
    </w:p>
    <w:p w:rsidR="00000000" w:rsidRDefault="005D26B8">
      <w:pPr>
        <w:ind w:hanging="180"/>
        <w:divId w:val="778256612"/>
        <w:rPr>
          <w:rFonts w:eastAsia="Times New Roman"/>
        </w:rPr>
      </w:pPr>
      <w:r>
        <w:rPr>
          <w:rFonts w:eastAsia="Times New Roman"/>
          <w:color w:val="000000"/>
          <w:sz w:val="20"/>
          <w:szCs w:val="20"/>
        </w:rPr>
        <w:t>•</w:t>
      </w:r>
      <w:r>
        <w:rPr>
          <w:rFonts w:eastAsia="Times New Roman"/>
          <w:color w:val="000000"/>
          <w:sz w:val="20"/>
          <w:szCs w:val="20"/>
        </w:rPr>
        <w:t>Third parties have claimed in the past and may claim in the future that we are infringing directly or indirectly upon their intellectual property rights, and third parties may infringe upon our intellectual property rights.</w:t>
      </w:r>
    </w:p>
    <w:p w:rsidR="00000000" w:rsidRDefault="005D26B8">
      <w:pPr>
        <w:ind w:hanging="180"/>
        <w:divId w:val="94254713"/>
        <w:rPr>
          <w:rFonts w:eastAsia="Times New Roman"/>
        </w:rPr>
      </w:pPr>
      <w:r>
        <w:rPr>
          <w:rFonts w:eastAsia="Times New Roman"/>
          <w:color w:val="000000"/>
          <w:sz w:val="20"/>
          <w:szCs w:val="20"/>
        </w:rPr>
        <w:t>•Our commercial aviation product</w:t>
      </w:r>
      <w:r>
        <w:rPr>
          <w:rFonts w:eastAsia="Times New Roman"/>
          <w:color w:val="000000"/>
          <w:sz w:val="20"/>
          <w:szCs w:val="20"/>
        </w:rPr>
        <w:t>s, systems and services business is affected by global demand and economic factors that could negatively impact our financial results.</w:t>
      </w:r>
    </w:p>
    <w:p w:rsidR="00000000" w:rsidRDefault="005D26B8">
      <w:pPr>
        <w:ind w:hanging="180"/>
        <w:divId w:val="1654750179"/>
        <w:rPr>
          <w:rFonts w:eastAsia="Times New Roman"/>
        </w:rPr>
      </w:pPr>
      <w:r>
        <w:rPr>
          <w:rFonts w:eastAsia="Times New Roman"/>
          <w:color w:val="000000"/>
          <w:sz w:val="20"/>
          <w:szCs w:val="20"/>
        </w:rPr>
        <w:t xml:space="preserve">•We face certain significant risk exposures and potential liabilities that may not be covered adequately by insurance or </w:t>
      </w:r>
      <w:r>
        <w:rPr>
          <w:rFonts w:eastAsia="Times New Roman"/>
          <w:color w:val="000000"/>
          <w:sz w:val="20"/>
          <w:szCs w:val="20"/>
        </w:rPr>
        <w:t>indemnity.</w:t>
      </w:r>
    </w:p>
    <w:p w:rsidR="00000000" w:rsidRDefault="005D26B8">
      <w:pPr>
        <w:ind w:hanging="180"/>
        <w:divId w:val="1620142267"/>
        <w:rPr>
          <w:rFonts w:eastAsia="Times New Roman"/>
        </w:rPr>
      </w:pPr>
      <w:r>
        <w:rPr>
          <w:rFonts w:eastAsia="Times New Roman"/>
          <w:color w:val="000000"/>
          <w:sz w:val="20"/>
          <w:szCs w:val="20"/>
        </w:rPr>
        <w:t>•Changes in our effective tax rate may have an adverse effect on our results of operations.</w:t>
      </w:r>
    </w:p>
    <w:p w:rsidR="00000000" w:rsidRDefault="005D26B8">
      <w:pPr>
        <w:ind w:hanging="180"/>
        <w:divId w:val="1918394372"/>
        <w:rPr>
          <w:rFonts w:eastAsia="Times New Roman"/>
        </w:rPr>
      </w:pPr>
      <w:r>
        <w:rPr>
          <w:rFonts w:eastAsia="Times New Roman"/>
          <w:color w:val="000000"/>
          <w:sz w:val="20"/>
          <w:szCs w:val="20"/>
        </w:rPr>
        <w:t>•Our level of indebtedness and our ability to make payments on or service our indebtedness and our unfunded defined benefit plans liability may adversely</w:t>
      </w:r>
      <w:r>
        <w:rPr>
          <w:rFonts w:eastAsia="Times New Roman"/>
          <w:color w:val="000000"/>
          <w:sz w:val="20"/>
          <w:szCs w:val="20"/>
        </w:rPr>
        <w:t xml:space="preserve"> affect our financial and operating activities or our ability to incur additional debt.</w:t>
      </w:r>
    </w:p>
    <w:p w:rsidR="00000000" w:rsidRDefault="005D26B8">
      <w:pPr>
        <w:ind w:hanging="180"/>
        <w:divId w:val="388187795"/>
        <w:rPr>
          <w:rFonts w:eastAsia="Times New Roman"/>
        </w:rPr>
      </w:pPr>
      <w:r>
        <w:rPr>
          <w:rFonts w:eastAsia="Times New Roman"/>
          <w:color w:val="000000"/>
          <w:sz w:val="20"/>
          <w:szCs w:val="20"/>
        </w:rPr>
        <w:t>•A downgrade in our credit ratings could materially adversely affect our business.</w:t>
      </w:r>
    </w:p>
    <w:p w:rsidR="00000000" w:rsidRDefault="005D26B8">
      <w:pPr>
        <w:ind w:hanging="180"/>
        <w:divId w:val="270093884"/>
        <w:rPr>
          <w:rFonts w:eastAsia="Times New Roman"/>
        </w:rPr>
      </w:pPr>
      <w:r>
        <w:rPr>
          <w:rFonts w:eastAsia="Times New Roman"/>
          <w:color w:val="000000"/>
          <w:sz w:val="20"/>
          <w:szCs w:val="20"/>
        </w:rPr>
        <w:t>•Unforeseen environmental issues could have a material adverse effect on our business</w:t>
      </w:r>
      <w:r>
        <w:rPr>
          <w:rFonts w:eastAsia="Times New Roman"/>
          <w:color w:val="000000"/>
          <w:sz w:val="20"/>
          <w:szCs w:val="20"/>
        </w:rPr>
        <w:t>, financial condition, results of operations and cash flows.</w:t>
      </w:r>
    </w:p>
    <w:p w:rsidR="00000000" w:rsidRDefault="005D26B8">
      <w:pPr>
        <w:ind w:hanging="180"/>
        <w:divId w:val="2055422223"/>
        <w:rPr>
          <w:rFonts w:eastAsia="Times New Roman"/>
        </w:rPr>
      </w:pPr>
      <w:r>
        <w:rPr>
          <w:rFonts w:eastAsia="Times New Roman"/>
          <w:color w:val="000000"/>
          <w:sz w:val="20"/>
          <w:szCs w:val="20"/>
        </w:rPr>
        <w:t>•We have significant operations in locations that could be materially and adversely impacted in the event of a natural disaster or other significant disruption.</w:t>
      </w:r>
    </w:p>
    <w:p w:rsidR="00000000" w:rsidRDefault="005D26B8">
      <w:pPr>
        <w:ind w:hanging="180"/>
        <w:divId w:val="1697542070"/>
        <w:rPr>
          <w:rFonts w:eastAsia="Times New Roman"/>
        </w:rPr>
      </w:pPr>
      <w:r>
        <w:rPr>
          <w:rFonts w:eastAsia="Times New Roman"/>
          <w:color w:val="000000"/>
          <w:sz w:val="20"/>
          <w:szCs w:val="20"/>
        </w:rPr>
        <w:t>•</w:t>
      </w:r>
      <w:r>
        <w:rPr>
          <w:rFonts w:eastAsia="Times New Roman"/>
          <w:color w:val="000000"/>
          <w:sz w:val="20"/>
          <w:szCs w:val="20"/>
        </w:rPr>
        <w:t>Changes in future business or other market conditions could cause business investments and/or recorded goodwill or other long-term assets to become impaired, resulting in substantial losses and write-downs that would adversely affect our results of operati</w:t>
      </w:r>
      <w:r>
        <w:rPr>
          <w:rFonts w:eastAsia="Times New Roman"/>
          <w:color w:val="000000"/>
          <w:sz w:val="20"/>
          <w:szCs w:val="20"/>
        </w:rPr>
        <w:t>ons.</w:t>
      </w:r>
    </w:p>
    <w:p w:rsidR="00000000" w:rsidRDefault="005D26B8">
      <w:pPr>
        <w:ind w:hanging="180"/>
        <w:divId w:val="1003123978"/>
        <w:rPr>
          <w:rFonts w:eastAsia="Times New Roman"/>
        </w:rPr>
      </w:pPr>
      <w:r>
        <w:rPr>
          <w:rFonts w:eastAsia="Times New Roman"/>
          <w:color w:val="000000"/>
          <w:sz w:val="20"/>
          <w:szCs w:val="20"/>
        </w:rPr>
        <w:t>•We must attract and retain key employees, and any failure to do so could seriously harm us.</w:t>
      </w:r>
    </w:p>
    <w:p w:rsidR="00000000" w:rsidRDefault="005D26B8">
      <w:pPr>
        <w:ind w:hanging="180"/>
        <w:divId w:val="949895970"/>
        <w:rPr>
          <w:rFonts w:eastAsia="Times New Roman"/>
        </w:rPr>
      </w:pPr>
      <w:r>
        <w:rPr>
          <w:rFonts w:eastAsia="Times New Roman"/>
          <w:color w:val="000000"/>
          <w:sz w:val="20"/>
          <w:szCs w:val="20"/>
        </w:rPr>
        <w:t>•Some of our workforce is represented by labor unions, so our business could be harmed in the event of a prolonged work stoppage.</w:t>
      </w:r>
    </w:p>
    <w:p w:rsidR="00000000" w:rsidRDefault="005D26B8">
      <w:pPr>
        <w:ind w:hanging="180"/>
        <w:divId w:val="161707254"/>
        <w:rPr>
          <w:rFonts w:eastAsia="Times New Roman"/>
        </w:rPr>
      </w:pPr>
      <w:r>
        <w:rPr>
          <w:rFonts w:eastAsia="Times New Roman"/>
          <w:color w:val="000000"/>
          <w:sz w:val="20"/>
          <w:szCs w:val="20"/>
        </w:rPr>
        <w:t xml:space="preserve">•We may fail to realize all </w:t>
      </w:r>
      <w:r>
        <w:rPr>
          <w:rFonts w:eastAsia="Times New Roman"/>
          <w:color w:val="000000"/>
          <w:sz w:val="20"/>
          <w:szCs w:val="20"/>
        </w:rPr>
        <w:t>of the anticipated benefits of the L3Harris Merger or those benefits may take longer to realize than expected. We may also encounter significant difficulties in integrating the businesses.</w:t>
      </w:r>
    </w:p>
    <w:p w:rsidR="00000000" w:rsidRDefault="005D26B8">
      <w:pPr>
        <w:ind w:hanging="180"/>
        <w:divId w:val="635721814"/>
        <w:rPr>
          <w:rFonts w:eastAsia="Times New Roman"/>
        </w:rPr>
      </w:pPr>
      <w:r>
        <w:rPr>
          <w:rFonts w:eastAsia="Times New Roman"/>
          <w:color w:val="000000"/>
          <w:sz w:val="20"/>
          <w:szCs w:val="20"/>
        </w:rPr>
        <w:t>•Certain business uncertainties arising from the L3Harris Merger co</w:t>
      </w:r>
      <w:r>
        <w:rPr>
          <w:rFonts w:eastAsia="Times New Roman"/>
          <w:color w:val="000000"/>
          <w:sz w:val="20"/>
          <w:szCs w:val="20"/>
        </w:rPr>
        <w:t>uld adversely affect our businesses and operations.</w:t>
      </w:r>
    </w:p>
    <w:p w:rsidR="00000000" w:rsidRDefault="005D26B8">
      <w:pPr>
        <w:ind w:hanging="180"/>
        <w:divId w:val="122817171"/>
        <w:rPr>
          <w:rFonts w:eastAsia="Times New Roman"/>
        </w:rPr>
      </w:pPr>
      <w:r>
        <w:rPr>
          <w:rFonts w:eastAsia="Times New Roman"/>
          <w:color w:val="000000"/>
          <w:sz w:val="20"/>
          <w:szCs w:val="20"/>
        </w:rPr>
        <w:t>•We have incurred and will incur direct and indirect costs as a result of the L3Harris Merger.</w:t>
      </w:r>
    </w:p>
    <w:p w:rsidR="00000000" w:rsidRDefault="005D26B8">
      <w:pPr>
        <w:ind w:firstLine="450"/>
        <w:divId w:val="776172620"/>
        <w:rPr>
          <w:rFonts w:eastAsia="Times New Roman"/>
        </w:rPr>
      </w:pPr>
      <w:r>
        <w:rPr>
          <w:rFonts w:eastAsia="Times New Roman"/>
          <w:color w:val="000000"/>
          <w:sz w:val="20"/>
          <w:szCs w:val="20"/>
        </w:rPr>
        <w:t>Additional details and discussions concerning some of the factors that could affect our forward-looking state</w:t>
      </w:r>
      <w:r>
        <w:rPr>
          <w:rFonts w:eastAsia="Times New Roman"/>
          <w:color w:val="000000"/>
          <w:sz w:val="20"/>
          <w:szCs w:val="20"/>
        </w:rPr>
        <w:t>ments or future results are set forth in our Fiscal Transition Period Form 10-KT under Item 1A. “Risk Factors” and in Part II. Item 1A. “Risk Factors” in this Report. The foregoing list of factors and the factors set forth in Item 1A. “Risk Factors” includ</w:t>
      </w:r>
      <w:r>
        <w:rPr>
          <w:rFonts w:eastAsia="Times New Roman"/>
          <w:color w:val="000000"/>
          <w:sz w:val="20"/>
          <w:szCs w:val="20"/>
        </w:rPr>
        <w:t>ed in our Fiscal Transition Period Form 10-KT and in Part II. Item 1A. “Risk Factors” in this Report are not exhaustive. Additional risks and uncertainties not known to us or that we currently believe not to be material also may adversely impact our busine</w:t>
      </w:r>
      <w:r>
        <w:rPr>
          <w:rFonts w:eastAsia="Times New Roman"/>
          <w:color w:val="000000"/>
          <w:sz w:val="20"/>
          <w:szCs w:val="20"/>
        </w:rPr>
        <w:t>ss, financial condition, results of operations and cash flows. Should any risks or uncertainties develop into actual events, these developments could have a material adverse effect on our business, financial condition, results of operations and cash flows.</w:t>
      </w:r>
      <w:r>
        <w:rPr>
          <w:rFonts w:eastAsia="Times New Roman"/>
          <w:color w:val="000000"/>
          <w:sz w:val="20"/>
          <w:szCs w:val="20"/>
        </w:rPr>
        <w:t xml:space="preserve"> The forward-looking statements contained in this Report are made as of the date of filing of this Report, and we disclaim any intention or obligation, other than imposed by law, to update or revise any forward-looking statements or to update the reasons </w:t>
      </w:r>
    </w:p>
    <w:p w:rsidR="00000000" w:rsidRDefault="005D26B8">
      <w:pPr>
        <w:jc w:val="center"/>
        <w:divId w:val="740251837"/>
        <w:rPr>
          <w:rFonts w:eastAsia="Times New Roman"/>
        </w:rPr>
      </w:pPr>
      <w:r>
        <w:rPr>
          <w:rFonts w:eastAsia="Times New Roman"/>
          <w:color w:val="000000"/>
          <w:sz w:val="20"/>
          <w:szCs w:val="20"/>
        </w:rPr>
        <w:t>54</w:t>
      </w:r>
    </w:p>
    <w:p w:rsidR="00000000" w:rsidRDefault="005D26B8">
      <w:pPr>
        <w:rPr>
          <w:rFonts w:eastAsia="Times New Roman"/>
        </w:rPr>
      </w:pPr>
      <w:r>
        <w:rPr>
          <w:rFonts w:eastAsia="Times New Roman"/>
        </w:rPr>
        <w:pict>
          <v:rect id="_x0000_i1081" style="width:0;height:1.5pt" o:hralign="center" o:hrstd="t" o:hr="t" fillcolor="#a0a0a0" stroked="f"/>
        </w:pict>
      </w:r>
    </w:p>
    <w:p w:rsidR="00000000" w:rsidRDefault="005D26B8">
      <w:pPr>
        <w:divId w:val="1108430732"/>
        <w:rPr>
          <w:rFonts w:eastAsia="Times New Roman"/>
        </w:rPr>
      </w:pPr>
    </w:p>
    <w:p w:rsidR="00000000" w:rsidRDefault="005D26B8">
      <w:pPr>
        <w:divId w:val="578638986"/>
        <w:rPr>
          <w:rFonts w:eastAsia="Times New Roman"/>
        </w:rPr>
      </w:pPr>
      <w:r>
        <w:rPr>
          <w:rFonts w:eastAsia="Times New Roman"/>
          <w:color w:val="000000"/>
          <w:sz w:val="20"/>
          <w:szCs w:val="20"/>
        </w:rPr>
        <w:t xml:space="preserve">actual results could differ materially from those projected in the forward-looking statements, whether as a result of new information, future events or developments or otherwise. </w:t>
      </w:r>
    </w:p>
    <w:p w:rsidR="00000000" w:rsidRDefault="005D26B8">
      <w:pPr>
        <w:divId w:val="1155100300"/>
        <w:rPr>
          <w:rFonts w:eastAsia="Times New Roman"/>
        </w:rPr>
      </w:pPr>
      <w:r>
        <w:rPr>
          <w:rFonts w:eastAsia="Times New Roman"/>
          <w:b/>
          <w:bCs/>
          <w:color w:val="000000"/>
          <w:sz w:val="20"/>
          <w:szCs w:val="20"/>
        </w:rPr>
        <w:t>Item 3. Quantitative and Qualitati</w:t>
      </w:r>
      <w:r>
        <w:rPr>
          <w:rFonts w:eastAsia="Times New Roman"/>
          <w:b/>
          <w:bCs/>
          <w:color w:val="000000"/>
          <w:sz w:val="20"/>
          <w:szCs w:val="20"/>
        </w:rPr>
        <w:t>ve Disclosures about Market Risk.</w:t>
      </w:r>
    </w:p>
    <w:p w:rsidR="00000000" w:rsidRDefault="005D26B8">
      <w:pPr>
        <w:ind w:firstLine="450"/>
        <w:divId w:val="400687468"/>
        <w:rPr>
          <w:rFonts w:eastAsia="Times New Roman"/>
        </w:rPr>
      </w:pPr>
      <w:r>
        <w:rPr>
          <w:rFonts w:eastAsia="Times New Roman"/>
          <w:color w:val="000000"/>
          <w:sz w:val="20"/>
          <w:szCs w:val="20"/>
        </w:rPr>
        <w:t>In the normal course of business, we are exposed to risks associated with foreign currency exchange rates and changes in interest rates. We employ established policies and procedures governing the use of financial instrume</w:t>
      </w:r>
      <w:r>
        <w:rPr>
          <w:rFonts w:eastAsia="Times New Roman"/>
          <w:color w:val="000000"/>
          <w:sz w:val="20"/>
          <w:szCs w:val="20"/>
        </w:rPr>
        <w:t>nts to manage our exposure to such risks. There were no material changes during the three quarters ended October 2, 2020 with respect to the information appearing in Part II, Item 7A, “Quantitative and Qualitative Disclosures About Market Risk,” of our Fis</w:t>
      </w:r>
      <w:r>
        <w:rPr>
          <w:rFonts w:eastAsia="Times New Roman"/>
          <w:color w:val="000000"/>
          <w:sz w:val="20"/>
          <w:szCs w:val="20"/>
        </w:rPr>
        <w:t>cal Transition Period Form 10-KT.</w:t>
      </w:r>
    </w:p>
    <w:p w:rsidR="00000000" w:rsidRDefault="005D26B8">
      <w:pPr>
        <w:ind w:firstLine="450"/>
        <w:divId w:val="514616222"/>
        <w:rPr>
          <w:rFonts w:eastAsia="Times New Roman"/>
        </w:rPr>
      </w:pPr>
      <w:r>
        <w:rPr>
          <w:rFonts w:eastAsia="Times New Roman"/>
          <w:b/>
          <w:bCs/>
          <w:i/>
          <w:iCs/>
          <w:color w:val="000000"/>
          <w:sz w:val="20"/>
          <w:szCs w:val="20"/>
        </w:rPr>
        <w:t>Foreign Exchange and Currency:</w:t>
      </w:r>
      <w:r>
        <w:rPr>
          <w:rFonts w:eastAsia="Times New Roman"/>
          <w:color w:val="000000"/>
          <w:sz w:val="20"/>
          <w:szCs w:val="20"/>
        </w:rPr>
        <w:t xml:space="preserve"> Our U.S. and foreign businesses enter into contracts with customers, subcontractors or vendors that are denominated in currencies other than functional currencies of such businesses. We use f</w:t>
      </w:r>
      <w:r>
        <w:rPr>
          <w:rFonts w:eastAsia="Times New Roman"/>
          <w:color w:val="000000"/>
          <w:sz w:val="20"/>
          <w:szCs w:val="20"/>
        </w:rPr>
        <w:t>oreign currency forward contracts and options to hedge both balance sheet and off-balance sheet future foreign currency commitments. Factors that could impact the effectiveness of our hedging programs for foreign currency include the accuracy of sales esti</w:t>
      </w:r>
      <w:r>
        <w:rPr>
          <w:rFonts w:eastAsia="Times New Roman"/>
          <w:color w:val="000000"/>
          <w:sz w:val="20"/>
          <w:szCs w:val="20"/>
        </w:rPr>
        <w:t>mates, volatility of currency markets and the cost and availability of hedging instruments. A 10 percent change in currency exchange rates for our foreign currency derivatives held at October 2, 2020 would not have had a material impact on the fair value o</w:t>
      </w:r>
      <w:r>
        <w:rPr>
          <w:rFonts w:eastAsia="Times New Roman"/>
          <w:color w:val="000000"/>
          <w:sz w:val="20"/>
          <w:szCs w:val="20"/>
        </w:rPr>
        <w:t>f such instruments or our results of operations or cash flows. This quantification of exposure to the market risk associated with foreign currency financial instruments does not take into account the offsetting impact of changes in the fair value of our fo</w:t>
      </w:r>
      <w:r>
        <w:rPr>
          <w:rFonts w:eastAsia="Times New Roman"/>
          <w:color w:val="000000"/>
          <w:sz w:val="20"/>
          <w:szCs w:val="20"/>
        </w:rPr>
        <w:t xml:space="preserve">reign currency denominated assets, liabilities and firm commitments. See </w:t>
      </w:r>
      <w:r>
        <w:rPr>
          <w:rFonts w:eastAsia="Times New Roman"/>
          <w:i/>
          <w:iCs/>
          <w:color w:val="000000"/>
          <w:sz w:val="20"/>
          <w:szCs w:val="20"/>
        </w:rPr>
        <w:t>Note S — Derivative Instruments and Hedging Activities</w:t>
      </w:r>
      <w:r>
        <w:rPr>
          <w:rFonts w:eastAsia="Times New Roman"/>
          <w:color w:val="000000"/>
          <w:sz w:val="20"/>
          <w:szCs w:val="20"/>
        </w:rPr>
        <w:t xml:space="preserve"> in the Notes for additional information.</w:t>
      </w:r>
    </w:p>
    <w:p w:rsidR="00000000" w:rsidRDefault="005D26B8">
      <w:pPr>
        <w:ind w:firstLine="450"/>
        <w:divId w:val="619459392"/>
        <w:rPr>
          <w:rFonts w:eastAsia="Times New Roman"/>
        </w:rPr>
      </w:pPr>
      <w:r>
        <w:rPr>
          <w:rFonts w:eastAsia="Times New Roman"/>
          <w:b/>
          <w:bCs/>
          <w:i/>
          <w:iCs/>
          <w:color w:val="000000"/>
          <w:sz w:val="20"/>
          <w:szCs w:val="20"/>
        </w:rPr>
        <w:t>Interest Rates:</w:t>
      </w:r>
      <w:r>
        <w:rPr>
          <w:rFonts w:eastAsia="Times New Roman"/>
          <w:color w:val="000000"/>
          <w:sz w:val="20"/>
          <w:szCs w:val="20"/>
        </w:rPr>
        <w:t xml:space="preserve"> As of October 2, 2020, we had long-term fixed-rate debt obligations. Th</w:t>
      </w:r>
      <w:r>
        <w:rPr>
          <w:rFonts w:eastAsia="Times New Roman"/>
          <w:color w:val="000000"/>
          <w:sz w:val="20"/>
          <w:szCs w:val="20"/>
        </w:rPr>
        <w:t>e fair value of these obligations is impacted by changes in interest rates; however, a 10 percent change in interest rates for our long-term fixed-rate debt obligations at October 2, 2020 would not have had a material impact on the fair value of these obli</w:t>
      </w:r>
      <w:r>
        <w:rPr>
          <w:rFonts w:eastAsia="Times New Roman"/>
          <w:color w:val="000000"/>
          <w:sz w:val="20"/>
          <w:szCs w:val="20"/>
        </w:rPr>
        <w:t>gations. There is no interest-rate risk associated with these obligations on our results of operations or cash flows unless existing obligations are refinanced upon maturity at then-current interest rates, because the interest rates are fixed until maturit</w:t>
      </w:r>
      <w:r>
        <w:rPr>
          <w:rFonts w:eastAsia="Times New Roman"/>
          <w:color w:val="000000"/>
          <w:sz w:val="20"/>
          <w:szCs w:val="20"/>
        </w:rPr>
        <w:t>y, and because our long-term fixed-rate debt is not putable to us (i.e., not required to be redeemed by us prior to maturity). We can give no assurances, however, that interest rates will not change significantly or have a material effect on the fair value</w:t>
      </w:r>
      <w:r>
        <w:rPr>
          <w:rFonts w:eastAsia="Times New Roman"/>
          <w:color w:val="000000"/>
          <w:sz w:val="20"/>
          <w:szCs w:val="20"/>
        </w:rPr>
        <w:t xml:space="preserve"> of our long-term debt obligations over the next twelve months.</w:t>
      </w:r>
    </w:p>
    <w:p w:rsidR="00000000" w:rsidRDefault="005D26B8">
      <w:pPr>
        <w:ind w:firstLine="450"/>
        <w:divId w:val="825510402"/>
        <w:rPr>
          <w:rFonts w:eastAsia="Times New Roman"/>
        </w:rPr>
      </w:pPr>
      <w:r>
        <w:rPr>
          <w:rFonts w:eastAsia="Times New Roman"/>
          <w:color w:val="000000"/>
          <w:sz w:val="20"/>
          <w:szCs w:val="20"/>
        </w:rPr>
        <w:t>As of October 2, 2020, we also had long-term variable-rate debt obligations of $250 million of Floating Rate Notes due March 10, 2023. These debt obligations bear interest that is variable bas</w:t>
      </w:r>
      <w:r>
        <w:rPr>
          <w:rFonts w:eastAsia="Times New Roman"/>
          <w:color w:val="000000"/>
          <w:sz w:val="20"/>
          <w:szCs w:val="20"/>
        </w:rPr>
        <w:t xml:space="preserve">ed on certain short-term indices, thus exposing us to interest-rate risk; however, a 10 percent change in interest rates for these debt obligations at October 2, 2020 would not have had a material impact on our results of operations or cash flows. See </w:t>
      </w:r>
      <w:r>
        <w:rPr>
          <w:rFonts w:eastAsia="Times New Roman"/>
          <w:i/>
          <w:iCs/>
          <w:color w:val="000000"/>
          <w:sz w:val="20"/>
          <w:szCs w:val="20"/>
        </w:rPr>
        <w:t>Note</w:t>
      </w:r>
      <w:r>
        <w:rPr>
          <w:rFonts w:eastAsia="Times New Roman"/>
          <w:i/>
          <w:iCs/>
          <w:color w:val="000000"/>
          <w:sz w:val="20"/>
          <w:szCs w:val="20"/>
        </w:rPr>
        <w:t xml:space="preserve"> M — Debt</w:t>
      </w:r>
      <w:r>
        <w:rPr>
          <w:rFonts w:eastAsia="Times New Roman"/>
          <w:color w:val="000000"/>
          <w:sz w:val="20"/>
          <w:szCs w:val="20"/>
        </w:rPr>
        <w:t xml:space="preserve"> in the Notes for further information.</w:t>
      </w:r>
    </w:p>
    <w:p w:rsidR="00000000" w:rsidRDefault="005D26B8">
      <w:pPr>
        <w:ind w:firstLine="450"/>
        <w:divId w:val="1037201915"/>
        <w:rPr>
          <w:rFonts w:eastAsia="Times New Roman"/>
        </w:rPr>
      </w:pPr>
      <w:r>
        <w:rPr>
          <w:rFonts w:eastAsia="Times New Roman"/>
          <w:color w:val="000000"/>
          <w:sz w:val="20"/>
          <w:szCs w:val="20"/>
        </w:rPr>
        <w:t>We use derivative instruments from time to time to manage our exposure to interest rate risk associated with our anticipated issuance of new long-term fixed-rate notes to repay at maturity our existing long-t</w:t>
      </w:r>
      <w:r>
        <w:rPr>
          <w:rFonts w:eastAsia="Times New Roman"/>
          <w:color w:val="000000"/>
          <w:sz w:val="20"/>
          <w:szCs w:val="20"/>
        </w:rPr>
        <w:t>erm fixed-rate debt obligations. If the derivative instrument is designated as a cash flow hedge, gains and losses from changes in the fair value of such instrument are deferred and included as a component of accumulated other comprehensive loss and reclas</w:t>
      </w:r>
      <w:r>
        <w:rPr>
          <w:rFonts w:eastAsia="Times New Roman"/>
          <w:color w:val="000000"/>
          <w:sz w:val="20"/>
          <w:szCs w:val="20"/>
        </w:rPr>
        <w:t>sified to interest expense in the period in which the hedged transaction affects earnings.</w:t>
      </w:r>
    </w:p>
    <w:p w:rsidR="00000000" w:rsidRDefault="005D26B8">
      <w:pPr>
        <w:ind w:firstLine="450"/>
        <w:divId w:val="1384324990"/>
        <w:rPr>
          <w:rFonts w:eastAsia="Times New Roman"/>
        </w:rPr>
      </w:pPr>
      <w:r>
        <w:rPr>
          <w:rFonts w:eastAsia="Times New Roman"/>
          <w:color w:val="000000"/>
          <w:sz w:val="20"/>
          <w:szCs w:val="20"/>
        </w:rPr>
        <w:t>As of October 2, 2020, we had two outstanding treasury lock agreements, with an aggregate notional amount of $650 million, to hedge our exposure to fluctuations in t</w:t>
      </w:r>
      <w:r>
        <w:rPr>
          <w:rFonts w:eastAsia="Times New Roman"/>
          <w:color w:val="000000"/>
          <w:sz w:val="20"/>
          <w:szCs w:val="20"/>
        </w:rPr>
        <w:t>he benchmark interest rate (10-year U.S. Treasury rate) associated with our anticipated issuance of long-term fixed-rate notes to redeem or repay at maturity the entire $650 million outstanding principal amount of the 4.95% Notes due February 15, 2021 (“4.</w:t>
      </w:r>
      <w:r>
        <w:rPr>
          <w:rFonts w:eastAsia="Times New Roman"/>
          <w:color w:val="000000"/>
          <w:sz w:val="20"/>
          <w:szCs w:val="20"/>
        </w:rPr>
        <w:t>95% 2021 Notes”). We designated these treasury locks as cash flow hedges against fluctuations in interest payments on the 4.95% 2021 Notes due to changes in the benchmark interest rate prior to issuance, which we expect to occur before the date of maturity</w:t>
      </w:r>
      <w:r>
        <w:rPr>
          <w:rFonts w:eastAsia="Times New Roman"/>
          <w:color w:val="000000"/>
          <w:sz w:val="20"/>
          <w:szCs w:val="20"/>
        </w:rPr>
        <w:t xml:space="preserve"> of the 4.95% 2021 Notes. An unrealized after-tax loss of $71 million associated with these treasury locks was deferred in accumulated other comprehensive loss at October 2, 2020. A 10 percent change in the 10-year U.S. Treasury rate at October 2, 2020 wou</w:t>
      </w:r>
      <w:r>
        <w:rPr>
          <w:rFonts w:eastAsia="Times New Roman"/>
          <w:color w:val="000000"/>
          <w:sz w:val="20"/>
          <w:szCs w:val="20"/>
        </w:rPr>
        <w:t xml:space="preserve">ld not have had a material impact on the fair value of </w:t>
      </w:r>
      <w:r>
        <w:rPr>
          <w:rFonts w:eastAsia="Times New Roman"/>
          <w:color w:val="000000"/>
          <w:sz w:val="20"/>
          <w:szCs w:val="20"/>
          <w:shd w:val="clear" w:color="auto" w:fill="FFFFFF"/>
        </w:rPr>
        <w:t>these treasury lock agreements or our results of operations or cash flows</w:t>
      </w:r>
      <w:r>
        <w:rPr>
          <w:rFonts w:eastAsia="Times New Roman"/>
          <w:color w:val="000000"/>
          <w:sz w:val="20"/>
          <w:szCs w:val="20"/>
        </w:rPr>
        <w:t xml:space="preserve">. See </w:t>
      </w:r>
      <w:r>
        <w:rPr>
          <w:rFonts w:eastAsia="Times New Roman"/>
          <w:i/>
          <w:iCs/>
          <w:color w:val="000000"/>
          <w:sz w:val="20"/>
          <w:szCs w:val="20"/>
        </w:rPr>
        <w:t>Note S — Derivative Instruments and Hedging Activities</w:t>
      </w:r>
      <w:r>
        <w:rPr>
          <w:rFonts w:eastAsia="Times New Roman"/>
          <w:color w:val="000000"/>
          <w:sz w:val="20"/>
          <w:szCs w:val="20"/>
        </w:rPr>
        <w:t xml:space="preserve"> in the Notes for additional information.</w:t>
      </w:r>
    </w:p>
    <w:p w:rsidR="00000000" w:rsidRDefault="005D26B8">
      <w:pPr>
        <w:jc w:val="center"/>
        <w:divId w:val="724723839"/>
        <w:rPr>
          <w:rFonts w:eastAsia="Times New Roman"/>
        </w:rPr>
      </w:pPr>
      <w:r>
        <w:rPr>
          <w:rFonts w:eastAsia="Times New Roman"/>
          <w:color w:val="000000"/>
          <w:sz w:val="20"/>
          <w:szCs w:val="20"/>
        </w:rPr>
        <w:t>55</w:t>
      </w:r>
    </w:p>
    <w:p w:rsidR="00000000" w:rsidRDefault="005D26B8">
      <w:pPr>
        <w:rPr>
          <w:rFonts w:eastAsia="Times New Roman"/>
        </w:rPr>
      </w:pPr>
      <w:r>
        <w:rPr>
          <w:rFonts w:eastAsia="Times New Roman"/>
        </w:rPr>
        <w:pict>
          <v:rect id="_x0000_i1082" style="width:0;height:1.5pt" o:hralign="center" o:hrstd="t" o:hr="t" fillcolor="#a0a0a0" stroked="f"/>
        </w:pict>
      </w:r>
    </w:p>
    <w:p w:rsidR="00000000" w:rsidRDefault="005D26B8">
      <w:pPr>
        <w:divId w:val="1950813488"/>
        <w:rPr>
          <w:rFonts w:eastAsia="Times New Roman"/>
        </w:rPr>
      </w:pPr>
    </w:p>
    <w:p w:rsidR="00000000" w:rsidRDefault="005D26B8">
      <w:pPr>
        <w:divId w:val="957831540"/>
        <w:rPr>
          <w:rFonts w:eastAsia="Times New Roman"/>
        </w:rPr>
      </w:pPr>
      <w:r>
        <w:rPr>
          <w:rFonts w:eastAsia="Times New Roman"/>
          <w:b/>
          <w:bCs/>
          <w:color w:val="000000"/>
          <w:sz w:val="20"/>
          <w:szCs w:val="20"/>
        </w:rPr>
        <w:t>Item 4. Controls and Procedures.</w:t>
      </w:r>
    </w:p>
    <w:p w:rsidR="00000000" w:rsidRDefault="005D26B8">
      <w:pPr>
        <w:ind w:firstLine="450"/>
        <w:divId w:val="1281111991"/>
        <w:rPr>
          <w:rFonts w:eastAsia="Times New Roman"/>
        </w:rPr>
      </w:pPr>
      <w:r>
        <w:rPr>
          <w:rFonts w:eastAsia="Times New Roman"/>
          <w:color w:val="000000"/>
          <w:sz w:val="20"/>
          <w:szCs w:val="20"/>
        </w:rPr>
        <w:t xml:space="preserve">(a) </w:t>
      </w:r>
      <w:r>
        <w:rPr>
          <w:rFonts w:eastAsia="Times New Roman"/>
          <w:i/>
          <w:iCs/>
          <w:color w:val="000000"/>
          <w:sz w:val="20"/>
          <w:szCs w:val="20"/>
        </w:rPr>
        <w:t>Evaluation of Disclosure Controls and Procedures:</w:t>
      </w:r>
      <w:r>
        <w:rPr>
          <w:rFonts w:eastAsia="Times New Roman"/>
          <w:color w:val="000000"/>
          <w:sz w:val="20"/>
          <w:szCs w:val="20"/>
        </w:rPr>
        <w:t xml:space="preserve"> </w:t>
      </w:r>
      <w:r>
        <w:rPr>
          <w:rFonts w:eastAsia="Times New Roman"/>
          <w:color w:val="000000"/>
          <w:sz w:val="20"/>
          <w:szCs w:val="20"/>
        </w:rPr>
        <w:t xml:space="preserve">We maintain disclosure controls and procedures that are designed to ensure that information required to be disclosed in our reports filed or submitted under the Exchange Act is recorded, processed, summarized and reported within the time periods specified </w:t>
      </w:r>
      <w:r>
        <w:rPr>
          <w:rFonts w:eastAsia="Times New Roman"/>
          <w:color w:val="000000"/>
          <w:sz w:val="20"/>
          <w:szCs w:val="20"/>
        </w:rPr>
        <w:t>in SEC rules and forms. Our disclosure controls and procedures include, without limitation, controls and procedures designed to ensure that information required to be disclosed in our reports filed or submitted under the Exchange Act is accumulated and com</w:t>
      </w:r>
      <w:r>
        <w:rPr>
          <w:rFonts w:eastAsia="Times New Roman"/>
          <w:color w:val="000000"/>
          <w:sz w:val="20"/>
          <w:szCs w:val="20"/>
        </w:rPr>
        <w:t>municated to management, including our Chief Executive Officer and Chief Financial Officer, as appropriate, to allow timely decisions regarding required disclosures. There are inherent limitations to the effectiveness of any system of disclosure controls a</w:t>
      </w:r>
      <w:r>
        <w:rPr>
          <w:rFonts w:eastAsia="Times New Roman"/>
          <w:color w:val="000000"/>
          <w:sz w:val="20"/>
          <w:szCs w:val="20"/>
        </w:rPr>
        <w:t>nd procedures, including the possibility of human error and the circumvention or overriding of the controls and procedures. Accordingly, even effective disclosure controls and procedures can provide only reasonable assurance of achieving their control obje</w:t>
      </w:r>
      <w:r>
        <w:rPr>
          <w:rFonts w:eastAsia="Times New Roman"/>
          <w:color w:val="000000"/>
          <w:sz w:val="20"/>
          <w:szCs w:val="20"/>
        </w:rPr>
        <w:t>ctives, and management necessarily is required to use its judgment in evaluating the cost-benefit relationship of possible controls and procedures. As required by Rule 13a-15 under the Exchange Act, as of October 2, 2020, we carried out an evaluation of th</w:t>
      </w:r>
      <w:r>
        <w:rPr>
          <w:rFonts w:eastAsia="Times New Roman"/>
          <w:color w:val="000000"/>
          <w:sz w:val="20"/>
          <w:szCs w:val="20"/>
        </w:rPr>
        <w:t>e effectiveness of the design and operation of our disclosure controls and procedures. This evaluation was carried out under the supervision and with the participation of our management, including our Chief Executive Officer and our Chief Financial Officer</w:t>
      </w:r>
      <w:r>
        <w:rPr>
          <w:rFonts w:eastAsia="Times New Roman"/>
          <w:color w:val="000000"/>
          <w:sz w:val="20"/>
          <w:szCs w:val="20"/>
        </w:rPr>
        <w:t>. Based on this work and other evaluation procedures, our management, including our Chief Executive Officer and our Chief Financial Officer, has concluded that as of October 2, 2020, our disclosure controls and procedures were effective.</w:t>
      </w:r>
    </w:p>
    <w:p w:rsidR="00000000" w:rsidRDefault="005D26B8">
      <w:pPr>
        <w:ind w:firstLine="450"/>
        <w:divId w:val="308555702"/>
        <w:rPr>
          <w:rFonts w:eastAsia="Times New Roman"/>
        </w:rPr>
      </w:pPr>
      <w:r>
        <w:rPr>
          <w:rFonts w:eastAsia="Times New Roman"/>
          <w:color w:val="000000"/>
          <w:sz w:val="20"/>
          <w:szCs w:val="20"/>
        </w:rPr>
        <w:t xml:space="preserve">(b) </w:t>
      </w:r>
      <w:r>
        <w:rPr>
          <w:rFonts w:eastAsia="Times New Roman"/>
          <w:i/>
          <w:iCs/>
          <w:color w:val="000000"/>
          <w:sz w:val="20"/>
          <w:szCs w:val="20"/>
        </w:rPr>
        <w:t>Changes in Int</w:t>
      </w:r>
      <w:r>
        <w:rPr>
          <w:rFonts w:eastAsia="Times New Roman"/>
          <w:i/>
          <w:iCs/>
          <w:color w:val="000000"/>
          <w:sz w:val="20"/>
          <w:szCs w:val="20"/>
        </w:rPr>
        <w:t xml:space="preserve">ernal Control: </w:t>
      </w:r>
      <w:r>
        <w:rPr>
          <w:rFonts w:eastAsia="Times New Roman"/>
          <w:color w:val="000000"/>
          <w:sz w:val="20"/>
          <w:szCs w:val="20"/>
        </w:rPr>
        <w:t xml:space="preserve">We periodically review our internal control over financial reporting as part of our efforts to ensure compliance with the requirements of Section 404 of the Sarbanes-Oxley Act of 2002. In addition, we routinely review our system of internal </w:t>
      </w:r>
      <w:r>
        <w:rPr>
          <w:rFonts w:eastAsia="Times New Roman"/>
          <w:color w:val="000000"/>
          <w:sz w:val="20"/>
          <w:szCs w:val="20"/>
        </w:rPr>
        <w:t>control over financial reporting to identify potential changes to our processes and systems that may improve controls and increase efficiency, while ensuring that we maintain an effective internal control environment. Changes may include such activities as</w:t>
      </w:r>
      <w:r>
        <w:rPr>
          <w:rFonts w:eastAsia="Times New Roman"/>
          <w:color w:val="000000"/>
          <w:sz w:val="20"/>
          <w:szCs w:val="20"/>
        </w:rPr>
        <w:t xml:space="preserve"> implementing new, more efficient systems, consolidating the activities of business units, migrating certain processes to our shared services organizations, formalizing policies and procedures, improving segregation of duties and increasing monitoring cont</w:t>
      </w:r>
      <w:r>
        <w:rPr>
          <w:rFonts w:eastAsia="Times New Roman"/>
          <w:color w:val="000000"/>
          <w:sz w:val="20"/>
          <w:szCs w:val="20"/>
        </w:rPr>
        <w:t>rols. In addition, when we acquire new businesses, we incorporate our controls and procedures into the acquired business as part of our integration activities. As part of our integration with L3, we are in the process of incorporating our controls and proc</w:t>
      </w:r>
      <w:r>
        <w:rPr>
          <w:rFonts w:eastAsia="Times New Roman"/>
          <w:color w:val="000000"/>
          <w:sz w:val="20"/>
          <w:szCs w:val="20"/>
        </w:rPr>
        <w:t>edures with respect to L3’s operations, and we will include internal controls with respect to L3’s operations in our assessment of the effectiveness of our internal control over financial reporting as of the end of 2020. We evaluated the impacts of COVID-1</w:t>
      </w:r>
      <w:r>
        <w:rPr>
          <w:rFonts w:eastAsia="Times New Roman"/>
          <w:color w:val="000000"/>
          <w:sz w:val="20"/>
          <w:szCs w:val="20"/>
        </w:rPr>
        <w:t>9 on our ability to maintain effective internal controls and concluded that our internal control environment was not materially affected during the quarter ended October 2, 2020. Other than continuing to incorporate our controls and procedures with respect</w:t>
      </w:r>
      <w:r>
        <w:rPr>
          <w:rFonts w:eastAsia="Times New Roman"/>
          <w:color w:val="000000"/>
          <w:sz w:val="20"/>
          <w:szCs w:val="20"/>
        </w:rPr>
        <w:t xml:space="preserve"> to L3’s operations, there have been no changes in our internal control over financial reporting that occurred during the quarter ended October 2, 2020 that have materially affected, or are reasonably likely to materially affect, our internal control over </w:t>
      </w:r>
      <w:r>
        <w:rPr>
          <w:rFonts w:eastAsia="Times New Roman"/>
          <w:color w:val="000000"/>
          <w:sz w:val="20"/>
          <w:szCs w:val="20"/>
        </w:rPr>
        <w:t xml:space="preserve">financial reporting. </w:t>
      </w:r>
    </w:p>
    <w:p w:rsidR="00000000" w:rsidRDefault="005D26B8">
      <w:pPr>
        <w:jc w:val="center"/>
        <w:divId w:val="1660689764"/>
        <w:rPr>
          <w:rFonts w:eastAsia="Times New Roman"/>
        </w:rPr>
      </w:pPr>
      <w:r>
        <w:rPr>
          <w:rFonts w:eastAsia="Times New Roman"/>
          <w:color w:val="000000"/>
          <w:sz w:val="20"/>
          <w:szCs w:val="20"/>
        </w:rPr>
        <w:t>56</w:t>
      </w:r>
    </w:p>
    <w:p w:rsidR="00000000" w:rsidRDefault="005D26B8">
      <w:pPr>
        <w:rPr>
          <w:rFonts w:eastAsia="Times New Roman"/>
        </w:rPr>
      </w:pPr>
      <w:r>
        <w:rPr>
          <w:rFonts w:eastAsia="Times New Roman"/>
        </w:rPr>
        <w:pict>
          <v:rect id="_x0000_i1083" style="width:0;height:1.5pt" o:hralign="center" o:hrstd="t" o:hr="t" fillcolor="#a0a0a0" stroked="f"/>
        </w:pict>
      </w:r>
    </w:p>
    <w:p w:rsidR="00000000" w:rsidRDefault="005D26B8">
      <w:pPr>
        <w:divId w:val="1492990557"/>
        <w:rPr>
          <w:rFonts w:eastAsia="Times New Roman"/>
        </w:rPr>
      </w:pPr>
    </w:p>
    <w:p w:rsidR="00000000" w:rsidRDefault="005D26B8">
      <w:pPr>
        <w:jc w:val="center"/>
        <w:rPr>
          <w:rFonts w:eastAsia="Times New Roman"/>
        </w:rPr>
      </w:pPr>
      <w:r>
        <w:rPr>
          <w:rFonts w:eastAsia="Times New Roman"/>
          <w:b/>
          <w:bCs/>
          <w:color w:val="000000"/>
          <w:sz w:val="20"/>
          <w:szCs w:val="20"/>
        </w:rPr>
        <w:t>PART II. OTHER INFORMATION</w:t>
      </w:r>
    </w:p>
    <w:p w:rsidR="00000000" w:rsidRDefault="005D26B8">
      <w:pPr>
        <w:divId w:val="1266577110"/>
        <w:rPr>
          <w:rFonts w:eastAsia="Times New Roman"/>
        </w:rPr>
      </w:pPr>
      <w:r>
        <w:rPr>
          <w:rFonts w:eastAsia="Times New Roman"/>
          <w:b/>
          <w:bCs/>
          <w:color w:val="000000"/>
          <w:sz w:val="20"/>
          <w:szCs w:val="20"/>
        </w:rPr>
        <w:t>Item 1. Legal Proceedings.</w:t>
      </w:r>
    </w:p>
    <w:p w:rsidR="00000000" w:rsidRDefault="005D26B8">
      <w:pPr>
        <w:ind w:firstLine="450"/>
        <w:divId w:val="1120689374"/>
        <w:rPr>
          <w:rFonts w:eastAsia="Times New Roman"/>
        </w:rPr>
      </w:pPr>
      <w:r>
        <w:rPr>
          <w:rFonts w:eastAsia="Times New Roman"/>
          <w:i/>
          <w:iCs/>
          <w:color w:val="000000"/>
          <w:sz w:val="20"/>
          <w:szCs w:val="20"/>
        </w:rPr>
        <w:t>General.</w:t>
      </w:r>
      <w:r>
        <w:rPr>
          <w:rFonts w:eastAsia="Times New Roman"/>
          <w:color w:val="000000"/>
          <w:sz w:val="20"/>
          <w:szCs w:val="20"/>
        </w:rPr>
        <w:t xml:space="preserve"> </w:t>
      </w:r>
      <w:r>
        <w:rPr>
          <w:rFonts w:eastAsia="Times New Roman"/>
          <w:color w:val="000000"/>
          <w:sz w:val="20"/>
          <w:szCs w:val="20"/>
        </w:rPr>
        <w:t xml:space="preserve">From time to time, as a normal incident of the nature and kind of businesses in which we are or were engaged, various claims or charges are asserted and litigation or arbitration is commenced by or against us arising from or related to matters, including, </w:t>
      </w:r>
      <w:r>
        <w:rPr>
          <w:rFonts w:eastAsia="Times New Roman"/>
          <w:color w:val="000000"/>
          <w:sz w:val="20"/>
          <w:szCs w:val="20"/>
        </w:rPr>
        <w:t>but not limited to: product liability; personal injury; patents, trademarks, trade secrets or other intellectual property; labor and employee disputes; commercial or contractual disputes; strategic acquisitions or divestitures; the prior sale or use of for</w:t>
      </w:r>
      <w:r>
        <w:rPr>
          <w:rFonts w:eastAsia="Times New Roman"/>
          <w:color w:val="000000"/>
          <w:sz w:val="20"/>
          <w:szCs w:val="20"/>
        </w:rPr>
        <w:t>mer products allegedly containing asbestos or other restricted materials; breach of warranty; or environmental matters. Claimed amounts against us may be substantial but may not bear any reasonable relationship to the merits of the claim or the extent of a</w:t>
      </w:r>
      <w:r>
        <w:rPr>
          <w:rFonts w:eastAsia="Times New Roman"/>
          <w:color w:val="000000"/>
          <w:sz w:val="20"/>
          <w:szCs w:val="20"/>
        </w:rPr>
        <w:t>ny real risk of court or arbitral awards. We record accruals for losses related to those matters against us that we consider to be probable and that can be reasonably estimated. Gain contingencies, if any, are recognized when they are realized, and legal c</w:t>
      </w:r>
      <w:r>
        <w:rPr>
          <w:rFonts w:eastAsia="Times New Roman"/>
          <w:color w:val="000000"/>
          <w:sz w:val="20"/>
          <w:szCs w:val="20"/>
        </w:rPr>
        <w:t>osts generally are expensed when incurred. At October 2, 2020, our accrual for the potential resolution of lawsuits, claims or proceedings that we consider probable of being decided unfavorably to us was not material. Although it is not feasible to predict</w:t>
      </w:r>
      <w:r>
        <w:rPr>
          <w:rFonts w:eastAsia="Times New Roman"/>
          <w:color w:val="000000"/>
          <w:sz w:val="20"/>
          <w:szCs w:val="20"/>
        </w:rPr>
        <w:t xml:space="preserve"> the outcome of these matters with certainty, it is reasonably possible that some lawsuits, claims or proceedings may be disposed of or decided unfavorably to us and in excess of the amounts currently accrued. Based on available information, in the opinion</w:t>
      </w:r>
      <w:r>
        <w:rPr>
          <w:rFonts w:eastAsia="Times New Roman"/>
          <w:color w:val="000000"/>
          <w:sz w:val="20"/>
          <w:szCs w:val="20"/>
        </w:rPr>
        <w:t xml:space="preserve"> of management, settlements, arbitration awards and final judgments, if any, that are considered probable of being rendered against us in litigation or arbitration in existence at October 2, 2020 are reserved against or would not have a material adverse ef</w:t>
      </w:r>
      <w:r>
        <w:rPr>
          <w:rFonts w:eastAsia="Times New Roman"/>
          <w:color w:val="000000"/>
          <w:sz w:val="20"/>
          <w:szCs w:val="20"/>
        </w:rPr>
        <w:t>fect on our financial condition, results of operations, cash flows or equity.</w:t>
      </w:r>
    </w:p>
    <w:p w:rsidR="00000000" w:rsidRDefault="005D26B8">
      <w:pPr>
        <w:ind w:firstLine="450"/>
        <w:divId w:val="1104302299"/>
        <w:rPr>
          <w:rFonts w:eastAsia="Times New Roman"/>
        </w:rPr>
      </w:pPr>
      <w:r>
        <w:rPr>
          <w:rFonts w:eastAsia="Times New Roman"/>
          <w:i/>
          <w:iCs/>
          <w:color w:val="000000"/>
          <w:sz w:val="20"/>
          <w:szCs w:val="20"/>
        </w:rPr>
        <w:t>Tax Audits.</w:t>
      </w:r>
      <w:r>
        <w:rPr>
          <w:rFonts w:eastAsia="Times New Roman"/>
          <w:color w:val="000000"/>
          <w:sz w:val="20"/>
          <w:szCs w:val="20"/>
        </w:rPr>
        <w:t xml:space="preserve"> Our tax filings are subject to audit by taxing authorities in jurisdictions where we conduct or conducted business. These audits may result in assessments of addition</w:t>
      </w:r>
      <w:r>
        <w:rPr>
          <w:rFonts w:eastAsia="Times New Roman"/>
          <w:color w:val="000000"/>
          <w:sz w:val="20"/>
          <w:szCs w:val="20"/>
        </w:rPr>
        <w:t>al taxes that are subsequently resolved with the authorities or ultimately through legal proceedings. We believe we have adequately accrued for any ultimate amounts that are likely to result from these audits; however, final assessments, if any, could be d</w:t>
      </w:r>
      <w:r>
        <w:rPr>
          <w:rFonts w:eastAsia="Times New Roman"/>
          <w:color w:val="000000"/>
          <w:sz w:val="20"/>
          <w:szCs w:val="20"/>
        </w:rPr>
        <w:t>ifferent from the amounts recorded in our Condensed Consolidated Financial Statements (Unaudited).</w:t>
      </w:r>
    </w:p>
    <w:p w:rsidR="00000000" w:rsidRDefault="005D26B8">
      <w:pPr>
        <w:divId w:val="147207166"/>
        <w:rPr>
          <w:rFonts w:eastAsia="Times New Roman"/>
        </w:rPr>
      </w:pPr>
      <w:r>
        <w:rPr>
          <w:rFonts w:eastAsia="Times New Roman"/>
          <w:b/>
          <w:bCs/>
          <w:color w:val="000000"/>
          <w:sz w:val="20"/>
          <w:szCs w:val="20"/>
        </w:rPr>
        <w:t>Item 1A. Risk Factors.</w:t>
      </w:r>
    </w:p>
    <w:p w:rsidR="00000000" w:rsidRDefault="005D26B8">
      <w:pPr>
        <w:ind w:firstLine="450"/>
        <w:divId w:val="530847755"/>
        <w:rPr>
          <w:rFonts w:eastAsia="Times New Roman"/>
        </w:rPr>
      </w:pPr>
      <w:r>
        <w:rPr>
          <w:rFonts w:eastAsia="Times New Roman"/>
          <w:color w:val="000000"/>
          <w:sz w:val="20"/>
          <w:szCs w:val="20"/>
        </w:rPr>
        <w:t>Investors should carefully review and consider the information regarding certain factors that could materially affect our business, re</w:t>
      </w:r>
      <w:r>
        <w:rPr>
          <w:rFonts w:eastAsia="Times New Roman"/>
          <w:color w:val="000000"/>
          <w:sz w:val="20"/>
          <w:szCs w:val="20"/>
        </w:rPr>
        <w:t>sults of operations, financial condition and cash flows as set forth in Part I, Item 1A. “Risk Factors” of our Fiscal Transition Period Form 10-KT. Other than the additional risk factors we have set forth below, there have been no material changes to the r</w:t>
      </w:r>
      <w:r>
        <w:rPr>
          <w:rFonts w:eastAsia="Times New Roman"/>
          <w:color w:val="000000"/>
          <w:sz w:val="20"/>
          <w:szCs w:val="20"/>
        </w:rPr>
        <w:t>isk factors disclosed in our Fiscal Transition Period Form 10-KT. We may disclose changes to our risk factors or disclose additional risk factors from time to time in our future filings with the SEC. Additional risks and uncertainties not presently known t</w:t>
      </w:r>
      <w:r>
        <w:rPr>
          <w:rFonts w:eastAsia="Times New Roman"/>
          <w:color w:val="000000"/>
          <w:sz w:val="20"/>
          <w:szCs w:val="20"/>
        </w:rPr>
        <w:t>o us or that we currently believe not to be material also may adversely impact our business, financial condition, results of operations and cash flows.</w:t>
      </w:r>
    </w:p>
    <w:p w:rsidR="00000000" w:rsidRDefault="005D26B8">
      <w:pPr>
        <w:ind w:firstLine="495"/>
        <w:divId w:val="1995521463"/>
        <w:rPr>
          <w:rFonts w:eastAsia="Times New Roman"/>
        </w:rPr>
      </w:pPr>
      <w:r>
        <w:rPr>
          <w:rFonts w:eastAsia="Times New Roman"/>
          <w:b/>
          <w:bCs/>
          <w:i/>
          <w:iCs/>
          <w:color w:val="000000"/>
          <w:sz w:val="20"/>
          <w:szCs w:val="20"/>
        </w:rPr>
        <w:t>The COVID-19 pandemic could have a material adverse effect on our business operations, financial conditi</w:t>
      </w:r>
      <w:r>
        <w:rPr>
          <w:rFonts w:eastAsia="Times New Roman"/>
          <w:b/>
          <w:bCs/>
          <w:i/>
          <w:iCs/>
          <w:color w:val="000000"/>
          <w:sz w:val="20"/>
          <w:szCs w:val="20"/>
        </w:rPr>
        <w:t>on, results of operations and cash flows.</w:t>
      </w:r>
    </w:p>
    <w:p w:rsidR="00000000" w:rsidRDefault="005D26B8">
      <w:pPr>
        <w:ind w:firstLine="450"/>
        <w:divId w:val="517963744"/>
        <w:rPr>
          <w:rFonts w:eastAsia="Times New Roman"/>
        </w:rPr>
      </w:pPr>
      <w:r>
        <w:rPr>
          <w:rFonts w:eastAsia="Times New Roman"/>
          <w:color w:val="000000"/>
          <w:sz w:val="20"/>
          <w:szCs w:val="20"/>
        </w:rPr>
        <w:t xml:space="preserve">In March 2020, COVID-19 was recognized as a pandemic by the World Health Organization and declared a national emergency by the U.S. Government. We are closely monitoring the impact of the ongoing COVID-19 pandemic </w:t>
      </w:r>
      <w:r>
        <w:rPr>
          <w:rFonts w:eastAsia="Times New Roman"/>
          <w:color w:val="000000"/>
          <w:sz w:val="20"/>
          <w:szCs w:val="20"/>
        </w:rPr>
        <w:t>on all aspects of our business and geographies, including how it is impacting our workforce, communities, suppliers, subcontractors, distributors, resellers and customers. The COVID-19 pandemic has created significant volatility, uncertainty and economic d</w:t>
      </w:r>
      <w:r>
        <w:rPr>
          <w:rFonts w:eastAsia="Times New Roman"/>
          <w:color w:val="000000"/>
          <w:sz w:val="20"/>
          <w:szCs w:val="20"/>
        </w:rPr>
        <w:t>isruption, which has adversely affected certain of our business operations, may further adversely affect our business operations and may materially and adversely affect our financial condition, results of operations, cash flows and equity.</w:t>
      </w:r>
    </w:p>
    <w:p w:rsidR="00000000" w:rsidRDefault="005D26B8">
      <w:pPr>
        <w:ind w:firstLine="450"/>
        <w:divId w:val="1941448944"/>
        <w:rPr>
          <w:rFonts w:eastAsia="Times New Roman"/>
        </w:rPr>
      </w:pPr>
      <w:r>
        <w:rPr>
          <w:rFonts w:eastAsia="Times New Roman"/>
          <w:color w:val="000000"/>
          <w:sz w:val="20"/>
          <w:szCs w:val="20"/>
        </w:rPr>
        <w:t>In addition to v</w:t>
      </w:r>
      <w:r>
        <w:rPr>
          <w:rFonts w:eastAsia="Times New Roman"/>
          <w:color w:val="000000"/>
          <w:sz w:val="20"/>
          <w:szCs w:val="20"/>
        </w:rPr>
        <w:t>olatility in the overall demand environment for our products, systems and services, we have restricted the operations of our facilities in certain aspects, and we may continue to or further restrict operations if we deem it necessary or if recommended or m</w:t>
      </w:r>
      <w:r>
        <w:rPr>
          <w:rFonts w:eastAsia="Times New Roman"/>
          <w:color w:val="000000"/>
          <w:sz w:val="20"/>
          <w:szCs w:val="20"/>
        </w:rPr>
        <w:t>andated by governmental authorities, which would have a further adverse impact on us. For example, we have temporarily closed some of our flight training facilities in Europe and several other locations and implemented certain travel restrictions, which ha</w:t>
      </w:r>
      <w:r>
        <w:rPr>
          <w:rFonts w:eastAsia="Times New Roman"/>
          <w:color w:val="000000"/>
          <w:sz w:val="20"/>
          <w:szCs w:val="20"/>
        </w:rPr>
        <w:t>ve disrupted how we operate our business, and we have also recognized $3 million and $397 million of charges for impairment of goodwill and other assets and other COVID-19-related impacts in the quarter and three quarters ended October 2, 2020, respectivel</w:t>
      </w:r>
      <w:r>
        <w:rPr>
          <w:rFonts w:eastAsia="Times New Roman"/>
          <w:color w:val="000000"/>
          <w:sz w:val="20"/>
          <w:szCs w:val="20"/>
        </w:rPr>
        <w:t>y.</w:t>
      </w:r>
      <w:r>
        <w:rPr>
          <w:rFonts w:eastAsia="Times New Roman"/>
          <w:b/>
          <w:bCs/>
          <w:color w:val="000000"/>
          <w:sz w:val="20"/>
          <w:szCs w:val="20"/>
        </w:rPr>
        <w:t xml:space="preserve"> </w:t>
      </w:r>
      <w:r>
        <w:rPr>
          <w:rFonts w:eastAsia="Times New Roman"/>
          <w:color w:val="000000"/>
          <w:sz w:val="20"/>
          <w:szCs w:val="20"/>
        </w:rPr>
        <w:t>The COVID-19 pandemic may also impact our supply chains, including the ability of suppliers and vendors to provide their products and services to us.</w:t>
      </w:r>
    </w:p>
    <w:p w:rsidR="00000000" w:rsidRDefault="005D26B8">
      <w:pPr>
        <w:ind w:firstLine="450"/>
        <w:divId w:val="310987396"/>
        <w:rPr>
          <w:rFonts w:eastAsia="Times New Roman"/>
        </w:rPr>
      </w:pPr>
      <w:r>
        <w:rPr>
          <w:rFonts w:eastAsia="Times New Roman"/>
          <w:color w:val="000000"/>
          <w:sz w:val="20"/>
          <w:szCs w:val="20"/>
        </w:rPr>
        <w:t>Further, our management is focused on mitigating the effects of COVID-19, which has required and will c</w:t>
      </w:r>
      <w:r>
        <w:rPr>
          <w:rFonts w:eastAsia="Times New Roman"/>
          <w:color w:val="000000"/>
          <w:sz w:val="20"/>
          <w:szCs w:val="20"/>
        </w:rPr>
        <w:t>ontinue to require, a large investment of time and resources across our enterprise and will delay other value-added services or initiatives. Additionally, many of our employees are currently working remotely. Given the nature of the pandemic, it remains un</w:t>
      </w:r>
      <w:r>
        <w:rPr>
          <w:rFonts w:eastAsia="Times New Roman"/>
          <w:color w:val="000000"/>
          <w:sz w:val="20"/>
          <w:szCs w:val="20"/>
        </w:rPr>
        <w:t xml:space="preserve">certain when and on what scale our employees that are working remotely will return to work in person. An extended period of remote work arrangements could strain our business continuity plans, introduce operational risk, including but not limited to cyber </w:t>
      </w:r>
      <w:r>
        <w:rPr>
          <w:rFonts w:eastAsia="Times New Roman"/>
          <w:color w:val="000000"/>
          <w:sz w:val="20"/>
          <w:szCs w:val="20"/>
        </w:rPr>
        <w:t>security risks, and impair our ability to manage our business.</w:t>
      </w:r>
    </w:p>
    <w:p w:rsidR="00000000" w:rsidRDefault="005D26B8">
      <w:pPr>
        <w:ind w:firstLine="450"/>
        <w:divId w:val="957948566"/>
        <w:rPr>
          <w:rFonts w:eastAsia="Times New Roman"/>
        </w:rPr>
      </w:pPr>
      <w:r>
        <w:rPr>
          <w:rFonts w:eastAsia="Times New Roman"/>
          <w:color w:val="000000"/>
          <w:sz w:val="20"/>
          <w:szCs w:val="20"/>
        </w:rPr>
        <w:t>COVID-19-related costs for us and our suppliers could be significant and we are seeking reimbursement of COVID-19-related costs under our U.S. Government contracts through a combination of equi</w:t>
      </w:r>
      <w:r>
        <w:rPr>
          <w:rFonts w:eastAsia="Times New Roman"/>
          <w:color w:val="000000"/>
          <w:sz w:val="20"/>
          <w:szCs w:val="20"/>
        </w:rPr>
        <w:t xml:space="preserve">table adjustments to the contract price and </w:t>
      </w:r>
    </w:p>
    <w:p w:rsidR="00000000" w:rsidRDefault="005D26B8">
      <w:pPr>
        <w:jc w:val="center"/>
        <w:divId w:val="1917277509"/>
        <w:rPr>
          <w:rFonts w:eastAsia="Times New Roman"/>
        </w:rPr>
      </w:pPr>
      <w:r>
        <w:rPr>
          <w:rFonts w:eastAsia="Times New Roman"/>
          <w:color w:val="000000"/>
          <w:sz w:val="20"/>
          <w:szCs w:val="20"/>
        </w:rPr>
        <w:t>57</w:t>
      </w:r>
    </w:p>
    <w:p w:rsidR="00000000" w:rsidRDefault="005D26B8">
      <w:pPr>
        <w:rPr>
          <w:rFonts w:eastAsia="Times New Roman"/>
        </w:rPr>
      </w:pPr>
      <w:r>
        <w:rPr>
          <w:rFonts w:eastAsia="Times New Roman"/>
        </w:rPr>
        <w:pict>
          <v:rect id="_x0000_i1084" style="width:0;height:1.5pt" o:hralign="center" o:hrstd="t" o:hr="t" fillcolor="#a0a0a0" stroked="f"/>
        </w:pict>
      </w:r>
    </w:p>
    <w:p w:rsidR="00000000" w:rsidRDefault="005D26B8">
      <w:pPr>
        <w:divId w:val="883179704"/>
        <w:rPr>
          <w:rFonts w:eastAsia="Times New Roman"/>
        </w:rPr>
      </w:pPr>
    </w:p>
    <w:p w:rsidR="00000000" w:rsidRDefault="005D26B8">
      <w:pPr>
        <w:divId w:val="134953310"/>
        <w:rPr>
          <w:rFonts w:eastAsia="Times New Roman"/>
        </w:rPr>
      </w:pPr>
      <w:r>
        <w:rPr>
          <w:rFonts w:eastAsia="Times New Roman"/>
          <w:color w:val="000000"/>
          <w:sz w:val="20"/>
          <w:szCs w:val="20"/>
        </w:rPr>
        <w:t>reimbursement of the costs under Section 3610 of the Coronavirus Aid, Relief and Economic Security Act (“CARES Act”), which allows federal agencies to reimburse contracto</w:t>
      </w:r>
      <w:r>
        <w:rPr>
          <w:rFonts w:eastAsia="Times New Roman"/>
          <w:color w:val="000000"/>
          <w:sz w:val="20"/>
          <w:szCs w:val="20"/>
        </w:rPr>
        <w:t>rs at the minimum applicable contract billing rate for costs arising from certain paid leave, including sick leave, a contractor provides to keep its employees or subcontractors in a ready state, including to protect the life and safety of government and c</w:t>
      </w:r>
      <w:r>
        <w:rPr>
          <w:rFonts w:eastAsia="Times New Roman"/>
          <w:color w:val="000000"/>
          <w:sz w:val="20"/>
          <w:szCs w:val="20"/>
        </w:rPr>
        <w:t>ontractor personnel through September 30, 2020. Reimbursement of any costs under Section 3610 of the CARES Act would increase sales, but is not expected to be at a profit or fee and, thus, would have the effect of reducing our margins in future periods. Th</w:t>
      </w:r>
      <w:r>
        <w:rPr>
          <w:rFonts w:eastAsia="Times New Roman"/>
          <w:color w:val="000000"/>
          <w:sz w:val="20"/>
          <w:szCs w:val="20"/>
        </w:rPr>
        <w:t>ese cost increases, including costs for employees whose jobs cannot be performed remotely, may not be fully recoverable under our contracts, particularly fixed-price contracts, or adequately covered by insurance. We also have no assurance that Congress wil</w:t>
      </w:r>
      <w:r>
        <w:rPr>
          <w:rFonts w:eastAsia="Times New Roman"/>
          <w:color w:val="000000"/>
          <w:sz w:val="20"/>
          <w:szCs w:val="20"/>
        </w:rPr>
        <w:t>l appropriate funds to cover the reimbursement of defense contractors as authorized by the CARES Act, which could reduce funds available for other U.S. Government defense priorities.</w:t>
      </w:r>
    </w:p>
    <w:p w:rsidR="00000000" w:rsidRDefault="005D26B8">
      <w:pPr>
        <w:ind w:firstLine="450"/>
        <w:divId w:val="1610817614"/>
        <w:rPr>
          <w:rFonts w:eastAsia="Times New Roman"/>
        </w:rPr>
      </w:pPr>
      <w:r>
        <w:rPr>
          <w:rFonts w:eastAsia="Times New Roman"/>
          <w:color w:val="000000"/>
          <w:sz w:val="20"/>
          <w:szCs w:val="20"/>
        </w:rPr>
        <w:t>If our responses to the pandemic are unsuccessful, or if customers do not</w:t>
      </w:r>
      <w:r>
        <w:rPr>
          <w:rFonts w:eastAsia="Times New Roman"/>
          <w:color w:val="000000"/>
          <w:sz w:val="20"/>
          <w:szCs w:val="20"/>
        </w:rPr>
        <w:t xml:space="preserve"> perceive our response to be adequate for the United States or our international markets, we could suffer damage to our reputation, which could adversely affect our business.</w:t>
      </w:r>
    </w:p>
    <w:p w:rsidR="00000000" w:rsidRDefault="005D26B8">
      <w:pPr>
        <w:ind w:firstLine="450"/>
        <w:divId w:val="1854687696"/>
        <w:rPr>
          <w:rFonts w:eastAsia="Times New Roman"/>
        </w:rPr>
      </w:pPr>
      <w:r>
        <w:rPr>
          <w:rFonts w:eastAsia="Times New Roman"/>
          <w:color w:val="000000"/>
          <w:sz w:val="20"/>
          <w:szCs w:val="20"/>
        </w:rPr>
        <w:t>The extent to which the COVID-19 pandemic further impacts us will depend on numer</w:t>
      </w:r>
      <w:r>
        <w:rPr>
          <w:rFonts w:eastAsia="Times New Roman"/>
          <w:color w:val="000000"/>
          <w:sz w:val="20"/>
          <w:szCs w:val="20"/>
        </w:rPr>
        <w:t>ous evolving factors and future developments that we are not able to predict, including: the severity and transmission rate of the virus; the ultimate geographic spread of the virus; the duration of the pandemic; the extent and effectiveness of containment</w:t>
      </w:r>
      <w:r>
        <w:rPr>
          <w:rFonts w:eastAsia="Times New Roman"/>
          <w:color w:val="000000"/>
          <w:sz w:val="20"/>
          <w:szCs w:val="20"/>
        </w:rPr>
        <w:t xml:space="preserve"> and mitigation actions, including in respect of resurgences of COVID-19 infection in affected regions after they have begun to experience improvement; governmental, business and other actions (which could include limitations on our operations or mandates </w:t>
      </w:r>
      <w:r>
        <w:rPr>
          <w:rFonts w:eastAsia="Times New Roman"/>
          <w:color w:val="000000"/>
          <w:sz w:val="20"/>
          <w:szCs w:val="20"/>
        </w:rPr>
        <w:t>to provide products, systems or services); the impacts on our supply chain; the impact of the pandemic on economic activity; the extent and duration of the effect on customer demand and buying patterns; the effects of additional business or facility closur</w:t>
      </w:r>
      <w:r>
        <w:rPr>
          <w:rFonts w:eastAsia="Times New Roman"/>
          <w:color w:val="000000"/>
          <w:sz w:val="20"/>
          <w:szCs w:val="20"/>
        </w:rPr>
        <w:t>es or other changes to our operations; the health of and the effect on our workforce and our ability to meet staffing needs in our businesses and facilities, particularly if members of our workforce are quarantined as a result of exposure; any impairment i</w:t>
      </w:r>
      <w:r>
        <w:rPr>
          <w:rFonts w:eastAsia="Times New Roman"/>
          <w:color w:val="000000"/>
          <w:sz w:val="20"/>
          <w:szCs w:val="20"/>
        </w:rPr>
        <w:t>n value of our tangible or intangible assets which could be recorded as a result of a weaker economic conditions; and the potential effects on our internal controls, including those over financial reporting, as a result of changes in working environments s</w:t>
      </w:r>
      <w:r>
        <w:rPr>
          <w:rFonts w:eastAsia="Times New Roman"/>
          <w:color w:val="000000"/>
          <w:sz w:val="20"/>
          <w:szCs w:val="20"/>
        </w:rPr>
        <w:t>uch as shelter-in-place and similar orders that are applicable to our employees and business partners, among others. In addition, disruptions or turmoil in the credit or financial markets or impacts on our credit ratings from the pandemic could adversely a</w:t>
      </w:r>
      <w:r>
        <w:rPr>
          <w:rFonts w:eastAsia="Times New Roman"/>
          <w:color w:val="000000"/>
          <w:sz w:val="20"/>
          <w:szCs w:val="20"/>
        </w:rPr>
        <w:t>ffect our ability to access capital on favorable terms and continue to meet our liquidity needs, all of which are highly uncertain and cannot be predicted.</w:t>
      </w:r>
    </w:p>
    <w:p w:rsidR="00000000" w:rsidRDefault="005D26B8">
      <w:pPr>
        <w:ind w:firstLine="450"/>
        <w:divId w:val="1267034801"/>
        <w:rPr>
          <w:rFonts w:eastAsia="Times New Roman"/>
        </w:rPr>
      </w:pPr>
      <w:r>
        <w:rPr>
          <w:rFonts w:eastAsia="Times New Roman"/>
          <w:color w:val="000000"/>
          <w:sz w:val="20"/>
          <w:szCs w:val="20"/>
        </w:rPr>
        <w:t>In addition, we cannot predict the extent of the impact that COVID-19 will have on our workforce, co</w:t>
      </w:r>
      <w:r>
        <w:rPr>
          <w:rFonts w:eastAsia="Times New Roman"/>
          <w:color w:val="000000"/>
          <w:sz w:val="20"/>
          <w:szCs w:val="20"/>
        </w:rPr>
        <w:t>mmunities, suppliers, subcontractors, distributors, resellers or customers, and each of their financial conditions; however, any material effect on these parties could adversely impact us. The impact of COVID-19 may also exacerbate other risks discussed in</w:t>
      </w:r>
      <w:r>
        <w:rPr>
          <w:rFonts w:eastAsia="Times New Roman"/>
          <w:color w:val="000000"/>
          <w:sz w:val="20"/>
          <w:szCs w:val="20"/>
        </w:rPr>
        <w:t xml:space="preserve"> Item 1A. “Risk Factors” of our Fiscal Transition Period Form 10-KT, any of which could have a material effect on us. This situation continues to evolve, sometimes rapidly, and additional impacts may arise that we are not aware of currently.</w:t>
      </w:r>
    </w:p>
    <w:p w:rsidR="00000000" w:rsidRDefault="005D26B8">
      <w:pPr>
        <w:divId w:val="909968935"/>
        <w:rPr>
          <w:rFonts w:eastAsia="Times New Roman"/>
        </w:rPr>
      </w:pPr>
      <w:r>
        <w:rPr>
          <w:rFonts w:eastAsia="Times New Roman"/>
          <w:b/>
          <w:bCs/>
          <w:color w:val="000000"/>
          <w:sz w:val="20"/>
          <w:szCs w:val="20"/>
        </w:rPr>
        <w:t>Item 2. Unregi</w:t>
      </w:r>
      <w:r>
        <w:rPr>
          <w:rFonts w:eastAsia="Times New Roman"/>
          <w:b/>
          <w:bCs/>
          <w:color w:val="000000"/>
          <w:sz w:val="20"/>
          <w:szCs w:val="20"/>
        </w:rPr>
        <w:t>stered Sales of Equity Securities and Use of Proceeds.</w:t>
      </w:r>
    </w:p>
    <w:p w:rsidR="00000000" w:rsidRDefault="005D26B8">
      <w:pPr>
        <w:divId w:val="128406107"/>
        <w:rPr>
          <w:rFonts w:eastAsia="Times New Roman"/>
        </w:rPr>
      </w:pPr>
      <w:r>
        <w:rPr>
          <w:rFonts w:eastAsia="Times New Roman"/>
          <w:b/>
          <w:bCs/>
          <w:color w:val="000000"/>
          <w:sz w:val="20"/>
          <w:szCs w:val="20"/>
        </w:rPr>
        <w:t>Issuer Purchases of Equity Securities</w:t>
      </w:r>
    </w:p>
    <w:p w:rsidR="00000000" w:rsidRDefault="005D26B8">
      <w:pPr>
        <w:ind w:firstLine="450"/>
        <w:divId w:val="173960436"/>
        <w:rPr>
          <w:rFonts w:eastAsia="Times New Roman"/>
        </w:rPr>
      </w:pPr>
      <w:r>
        <w:rPr>
          <w:rFonts w:eastAsia="Times New Roman"/>
          <w:color w:val="000000"/>
          <w:sz w:val="20"/>
          <w:szCs w:val="20"/>
        </w:rPr>
        <w:t>During the quarter ended October 2, 2020, we repurchased 6.4 million shares of our common stock under our current repurchase program for $1.1 billion at an average</w:t>
      </w:r>
      <w:r>
        <w:rPr>
          <w:rFonts w:eastAsia="Times New Roman"/>
          <w:color w:val="000000"/>
          <w:sz w:val="20"/>
          <w:szCs w:val="20"/>
        </w:rPr>
        <w:t xml:space="preserve"> share price of $179.91, excluding commissions of $0.02 per share. The level of our repurchases depends on a number of factors, including our financial condition, capital requirements, cash flows, results of operations, future business prospects, impacts o</w:t>
      </w:r>
      <w:r>
        <w:rPr>
          <w:rFonts w:eastAsia="Times New Roman"/>
          <w:color w:val="000000"/>
          <w:sz w:val="20"/>
          <w:szCs w:val="20"/>
        </w:rPr>
        <w:t>f COVID-19 and other factors our Board of Directors and management may deem relevant. The timing, volume and nature of repurchases are subject to market conditions, applicable securities laws and other factors and are at our discretion and may be suspended</w:t>
      </w:r>
      <w:r>
        <w:rPr>
          <w:rFonts w:eastAsia="Times New Roman"/>
          <w:color w:val="000000"/>
          <w:sz w:val="20"/>
          <w:szCs w:val="20"/>
        </w:rPr>
        <w:t xml:space="preserve"> or discontinued at any time. Shares repurchased by us are canceled and retired. The following table sets forth information with respect to repurchases by us of our common stock during the quarter ended October 2, 2020:</w:t>
      </w:r>
    </w:p>
    <w:p w:rsidR="00000000" w:rsidRDefault="005D26B8">
      <w:pPr>
        <w:jc w:val="center"/>
        <w:divId w:val="1790388915"/>
        <w:rPr>
          <w:rFonts w:eastAsia="Times New Roman"/>
        </w:rPr>
      </w:pPr>
      <w:r>
        <w:rPr>
          <w:rFonts w:eastAsia="Times New Roman"/>
          <w:color w:val="000000"/>
          <w:sz w:val="20"/>
          <w:szCs w:val="20"/>
        </w:rPr>
        <w:t>58</w:t>
      </w:r>
    </w:p>
    <w:p w:rsidR="00000000" w:rsidRDefault="005D26B8">
      <w:pPr>
        <w:rPr>
          <w:rFonts w:eastAsia="Times New Roman"/>
        </w:rPr>
      </w:pPr>
      <w:r>
        <w:rPr>
          <w:rFonts w:eastAsia="Times New Roman"/>
        </w:rPr>
        <w:pict>
          <v:rect id="_x0000_i1085" style="width:0;height:1.5pt" o:hralign="center" o:hrstd="t" o:hr="t" fillcolor="#a0a0a0" stroked="f"/>
        </w:pict>
      </w:r>
    </w:p>
    <w:p w:rsidR="00000000" w:rsidRDefault="005D26B8">
      <w:pPr>
        <w:divId w:val="13385350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224"/>
        <w:gridCol w:w="39"/>
        <w:gridCol w:w="39"/>
        <w:gridCol w:w="1225"/>
        <w:gridCol w:w="38"/>
        <w:gridCol w:w="91"/>
        <w:gridCol w:w="1127"/>
        <w:gridCol w:w="36"/>
        <w:gridCol w:w="36"/>
        <w:gridCol w:w="36"/>
        <w:gridCol w:w="36"/>
        <w:gridCol w:w="121"/>
        <w:gridCol w:w="944"/>
        <w:gridCol w:w="36"/>
        <w:gridCol w:w="36"/>
        <w:gridCol w:w="36"/>
        <w:gridCol w:w="36"/>
        <w:gridCol w:w="92"/>
        <w:gridCol w:w="1180"/>
        <w:gridCol w:w="36"/>
        <w:gridCol w:w="36"/>
        <w:gridCol w:w="36"/>
        <w:gridCol w:w="36"/>
        <w:gridCol w:w="121"/>
        <w:gridCol w:w="1558"/>
        <w:gridCol w:w="36"/>
      </w:tblGrid>
      <w:tr w:rsidR="00000000">
        <w:trPr>
          <w:divId w:val="210314249"/>
        </w:trPr>
        <w:tc>
          <w:tcPr>
            <w:tcW w:w="50" w:type="pct"/>
            <w:vAlign w:val="center"/>
            <w:hideMark/>
          </w:tcPr>
          <w:p w:rsidR="00000000" w:rsidRDefault="005D26B8">
            <w:pPr>
              <w:rPr>
                <w:rFonts w:eastAsia="Times New Roman"/>
              </w:rPr>
            </w:pPr>
          </w:p>
        </w:tc>
        <w:tc>
          <w:tcPr>
            <w:tcW w:w="85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85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2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7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24"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7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64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7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81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10314249"/>
        </w:trPr>
        <w:tc>
          <w:tcPr>
            <w:tcW w:w="0" w:type="auto"/>
            <w:gridSpan w:val="6"/>
            <w:tcMar>
              <w:top w:w="30" w:type="dxa"/>
              <w:left w:w="20" w:type="dxa"/>
              <w:bottom w:w="30" w:type="dxa"/>
              <w:right w:w="20" w:type="dxa"/>
            </w:tcMar>
            <w:vAlign w:val="bottom"/>
            <w:hideMark/>
          </w:tcPr>
          <w:p w:rsidR="00000000" w:rsidRDefault="005D26B8">
            <w:pP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Total number of</w:t>
            </w:r>
          </w:p>
          <w:p w:rsidR="00000000" w:rsidRDefault="005D26B8">
            <w:pPr>
              <w:jc w:val="center"/>
              <w:rPr>
                <w:rFonts w:eastAsia="Times New Roman"/>
              </w:rPr>
            </w:pPr>
            <w:r>
              <w:rPr>
                <w:rFonts w:eastAsia="Times New Roman"/>
                <w:b/>
                <w:bCs/>
                <w:color w:val="000000"/>
                <w:sz w:val="16"/>
                <w:szCs w:val="16"/>
              </w:rPr>
              <w:t>shares purchased</w:t>
            </w:r>
          </w:p>
          <w:p w:rsidR="00000000" w:rsidRDefault="005D26B8">
            <w:pPr>
              <w:jc w:val="center"/>
              <w:rPr>
                <w:rFonts w:eastAsia="Times New Roman"/>
              </w:rPr>
            </w:pPr>
            <w:r>
              <w:rPr>
                <w:rFonts w:eastAsia="Times New Roman"/>
                <w:b/>
                <w:bCs/>
                <w:color w:val="000000"/>
                <w:sz w:val="16"/>
                <w:szCs w:val="16"/>
              </w:rPr>
              <w:t>as part of publicly</w:t>
            </w:r>
          </w:p>
          <w:p w:rsidR="00000000" w:rsidRDefault="005D26B8">
            <w:pPr>
              <w:jc w:val="center"/>
              <w:rPr>
                <w:rFonts w:eastAsia="Times New Roman"/>
              </w:rPr>
            </w:pPr>
            <w:r>
              <w:rPr>
                <w:rFonts w:eastAsia="Times New Roman"/>
                <w:b/>
                <w:bCs/>
                <w:color w:val="000000"/>
                <w:sz w:val="16"/>
                <w:szCs w:val="16"/>
              </w:rPr>
              <w:t>announced plans</w:t>
            </w:r>
          </w:p>
          <w:p w:rsidR="00000000" w:rsidRDefault="005D26B8">
            <w:pPr>
              <w:jc w:val="center"/>
              <w:rPr>
                <w:rFonts w:eastAsia="Times New Roman"/>
              </w:rPr>
            </w:pPr>
            <w:r>
              <w:rPr>
                <w:rFonts w:eastAsia="Times New Roman"/>
                <w:b/>
                <w:bCs/>
                <w:color w:val="000000"/>
                <w:sz w:val="16"/>
                <w:szCs w:val="16"/>
              </w:rPr>
              <w:t>or programs</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D26B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26B8">
            <w:pPr>
              <w:jc w:val="center"/>
              <w:rPr>
                <w:rFonts w:eastAsia="Times New Roman"/>
              </w:rPr>
            </w:pPr>
            <w:r>
              <w:rPr>
                <w:rFonts w:eastAsia="Times New Roman"/>
                <w:b/>
                <w:bCs/>
                <w:color w:val="000000"/>
                <w:sz w:val="16"/>
                <w:szCs w:val="16"/>
              </w:rPr>
              <w:t>Maximum approximate</w:t>
            </w:r>
          </w:p>
          <w:p w:rsidR="00000000" w:rsidRDefault="005D26B8">
            <w:pPr>
              <w:jc w:val="center"/>
              <w:rPr>
                <w:rFonts w:eastAsia="Times New Roman"/>
              </w:rPr>
            </w:pPr>
            <w:r>
              <w:rPr>
                <w:rFonts w:eastAsia="Times New Roman"/>
                <w:b/>
                <w:bCs/>
                <w:color w:val="000000"/>
                <w:sz w:val="16"/>
                <w:szCs w:val="16"/>
              </w:rPr>
              <w:t>dollar value of </w:t>
            </w:r>
            <w:r>
              <w:rPr>
                <w:rFonts w:eastAsia="Times New Roman"/>
                <w:b/>
                <w:bCs/>
                <w:color w:val="000000"/>
                <w:sz w:val="16"/>
                <w:szCs w:val="16"/>
              </w:rPr>
              <w:t>shares</w:t>
            </w:r>
          </w:p>
          <w:p w:rsidR="00000000" w:rsidRDefault="005D26B8">
            <w:pPr>
              <w:jc w:val="center"/>
              <w:rPr>
                <w:rFonts w:eastAsia="Times New Roman"/>
              </w:rPr>
            </w:pPr>
            <w:r>
              <w:rPr>
                <w:rFonts w:eastAsia="Times New Roman"/>
                <w:b/>
                <w:bCs/>
                <w:color w:val="000000"/>
                <w:sz w:val="16"/>
                <w:szCs w:val="16"/>
              </w:rPr>
              <w:t>that may yet be</w:t>
            </w:r>
          </w:p>
          <w:p w:rsidR="00000000" w:rsidRDefault="005D26B8">
            <w:pPr>
              <w:jc w:val="center"/>
              <w:rPr>
                <w:rFonts w:eastAsia="Times New Roman"/>
              </w:rPr>
            </w:pPr>
            <w:r>
              <w:rPr>
                <w:rFonts w:eastAsia="Times New Roman"/>
                <w:b/>
                <w:bCs/>
                <w:color w:val="000000"/>
                <w:sz w:val="16"/>
                <w:szCs w:val="16"/>
              </w:rPr>
              <w:t>purchased under the</w:t>
            </w:r>
          </w:p>
          <w:p w:rsidR="00000000" w:rsidRDefault="005D26B8">
            <w:pPr>
              <w:jc w:val="center"/>
              <w:rPr>
                <w:rFonts w:eastAsia="Times New Roman"/>
              </w:rPr>
            </w:pPr>
            <w:r>
              <w:rPr>
                <w:rFonts w:eastAsia="Times New Roman"/>
                <w:b/>
                <w:bCs/>
                <w:color w:val="000000"/>
                <w:sz w:val="16"/>
                <w:szCs w:val="16"/>
              </w:rPr>
              <w:t>plans or programs</w:t>
            </w:r>
            <w:r>
              <w:rPr>
                <w:rFonts w:eastAsia="Times New Roman"/>
                <w:b/>
                <w:bCs/>
                <w:color w:val="000000"/>
                <w:sz w:val="16"/>
                <w:szCs w:val="16"/>
              </w:rPr>
              <w:t> </w:t>
            </w:r>
            <w:r>
              <w:rPr>
                <w:rFonts w:eastAsia="Times New Roman"/>
                <w:b/>
                <w:bCs/>
                <w:color w:val="000000"/>
                <w:sz w:val="10"/>
                <w:szCs w:val="10"/>
              </w:rPr>
              <w:t>(1</w:t>
            </w:r>
            <w:r>
              <w:rPr>
                <w:rFonts w:eastAsia="Times New Roman"/>
                <w:b/>
                <w:bCs/>
                <w:color w:val="000000"/>
                <w:sz w:val="10"/>
                <w:szCs w:val="10"/>
              </w:rPr>
              <w:t>)</w:t>
            </w: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(July 4, 2020 - July 31, 2020)</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divId w:val="436295115"/>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1,800,204,462 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10314249"/>
        </w:trPr>
        <w:tc>
          <w:tcPr>
            <w:tcW w:w="0" w:type="auto"/>
            <w:gridSpan w:val="6"/>
            <w:shd w:val="clear" w:color="auto" w:fill="FFFFFF"/>
            <w:tcMar>
              <w:top w:w="30" w:type="dxa"/>
              <w:left w:w="20" w:type="dxa"/>
              <w:bottom w:w="30" w:type="dxa"/>
              <w:right w:w="20" w:type="dxa"/>
            </w:tcMar>
            <w:hideMark/>
          </w:tcPr>
          <w:p w:rsidR="00000000" w:rsidRDefault="005D26B8">
            <w:pPr>
              <w:divId w:val="1945729206"/>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5,166 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172.32 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(August 1, 2020 - August 28, 2020)</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divId w:val="144050756"/>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5,055,208 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179.73 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5,055,208 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891,622,101 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10314249"/>
        </w:trPr>
        <w:tc>
          <w:tcPr>
            <w:tcW w:w="0" w:type="auto"/>
            <w:gridSpan w:val="3"/>
            <w:vAlign w:val="center"/>
            <w:hideMark/>
          </w:tcPr>
          <w:p w:rsidR="00000000" w:rsidRDefault="005D26B8">
            <w:pPr>
              <w:jc w:val="right"/>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gridSpan w:val="3"/>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c>
          <w:tcPr>
            <w:tcW w:w="0" w:type="auto"/>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FFFFFF"/>
            <w:tcMar>
              <w:top w:w="30" w:type="dxa"/>
              <w:left w:w="20" w:type="dxa"/>
              <w:bottom w:w="30" w:type="dxa"/>
              <w:right w:w="20" w:type="dxa"/>
            </w:tcMar>
            <w:hideMark/>
          </w:tcPr>
          <w:p w:rsidR="00000000" w:rsidRDefault="005D26B8">
            <w:pPr>
              <w:divId w:val="1865316461"/>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5,901 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173.79 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FFFF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(August 29, 2020 - October 2, 2020)</w:t>
            </w: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divId w:val="502278398"/>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1,336,140 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180.58 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1,336,140 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650,336,263 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10314249"/>
        </w:trPr>
        <w:tc>
          <w:tcPr>
            <w:tcW w:w="0" w:type="auto"/>
            <w:gridSpan w:val="6"/>
            <w:shd w:val="clear" w:color="auto" w:fill="FFFFFF"/>
            <w:tcMar>
              <w:top w:w="30" w:type="dxa"/>
              <w:left w:w="20" w:type="dxa"/>
              <w:bottom w:w="30" w:type="dxa"/>
              <w:right w:w="20" w:type="dxa"/>
            </w:tcMar>
            <w:hideMark/>
          </w:tcPr>
          <w:p w:rsidR="00000000" w:rsidRDefault="005D26B8">
            <w:pPr>
              <w:divId w:val="58426708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2,975 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180.04 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26B8">
            <w:pPr>
              <w:jc w:val="right"/>
              <w:rPr>
                <w:rFonts w:eastAsia="Times New Roman"/>
              </w:rPr>
            </w:pPr>
          </w:p>
        </w:tc>
      </w:tr>
      <w:tr w:rsidR="00000000">
        <w:trPr>
          <w:divId w:val="210314249"/>
        </w:trPr>
        <w:tc>
          <w:tcPr>
            <w:tcW w:w="0" w:type="auto"/>
            <w:gridSpan w:val="6"/>
            <w:shd w:val="clear" w:color="auto" w:fill="CCEEFF"/>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6,405,390 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6,391,348 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26B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26B8">
            <w:pPr>
              <w:jc w:val="right"/>
              <w:rPr>
                <w:rFonts w:eastAsia="Times New Roman"/>
              </w:rPr>
            </w:pPr>
            <w:r>
              <w:rPr>
                <w:rFonts w:eastAsia="Times New Roman"/>
                <w:color w:val="000000"/>
                <w:sz w:val="20"/>
                <w:szCs w:val="20"/>
              </w:rPr>
              <w:t>650,336,263 </w:t>
            </w:r>
          </w:p>
        </w:tc>
        <w:tc>
          <w:tcPr>
            <w:tcW w:w="0" w:type="auto"/>
            <w:shd w:val="clear" w:color="auto" w:fill="CCEEFF"/>
            <w:tcMar>
              <w:top w:w="30" w:type="dxa"/>
              <w:left w:w="0" w:type="dxa"/>
              <w:bottom w:w="30" w:type="dxa"/>
              <w:right w:w="20" w:type="dxa"/>
            </w:tcMar>
            <w:vAlign w:val="bottom"/>
            <w:hideMark/>
          </w:tcPr>
          <w:p w:rsidR="00000000" w:rsidRDefault="005D26B8">
            <w:pPr>
              <w:jc w:val="right"/>
              <w:rPr>
                <w:rFonts w:eastAsia="Times New Roman"/>
              </w:rPr>
            </w:pPr>
          </w:p>
        </w:tc>
      </w:tr>
    </w:tbl>
    <w:p w:rsidR="00000000" w:rsidRDefault="005D26B8">
      <w:pPr>
        <w:jc w:val="both"/>
        <w:rPr>
          <w:rFonts w:eastAsia="Times New Roman"/>
        </w:rPr>
      </w:pPr>
      <w:r>
        <w:rPr>
          <w:rFonts w:eastAsia="Times New Roman"/>
          <w:color w:val="000000"/>
          <w:sz w:val="16"/>
          <w:szCs w:val="16"/>
        </w:rPr>
        <w:t>_______________</w:t>
      </w:r>
    </w:p>
    <w:p w:rsidR="00000000" w:rsidRDefault="005D26B8">
      <w:pPr>
        <w:ind w:hanging="270"/>
        <w:divId w:val="1987539972"/>
        <w:rPr>
          <w:rFonts w:eastAsia="Times New Roman"/>
        </w:rPr>
      </w:pPr>
      <w:r>
        <w:rPr>
          <w:rFonts w:eastAsia="Times New Roman"/>
          <w:color w:val="000000"/>
          <w:sz w:val="16"/>
          <w:szCs w:val="16"/>
        </w:rPr>
        <w:t>*</w:t>
      </w:r>
      <w:r>
        <w:rPr>
          <w:rFonts w:eastAsia="Times New Roman"/>
          <w:color w:val="000000"/>
          <w:sz w:val="20"/>
          <w:szCs w:val="20"/>
        </w:rPr>
        <w:t xml:space="preserve">     </w:t>
      </w:r>
      <w:r>
        <w:rPr>
          <w:rFonts w:eastAsia="Times New Roman"/>
          <w:color w:val="000000"/>
          <w:sz w:val="16"/>
          <w:szCs w:val="16"/>
        </w:rPr>
        <w:t>Periods represent our fiscal months.</w:t>
      </w:r>
    </w:p>
    <w:p w:rsidR="00000000" w:rsidRDefault="005D26B8">
      <w:pPr>
        <w:ind w:hanging="270"/>
        <w:divId w:val="1928685934"/>
        <w:rPr>
          <w:rFonts w:eastAsia="Times New Roman"/>
        </w:rPr>
      </w:pPr>
      <w:r>
        <w:rPr>
          <w:rFonts w:eastAsia="Times New Roman"/>
          <w:color w:val="000000"/>
          <w:sz w:val="16"/>
          <w:szCs w:val="16"/>
        </w:rPr>
        <w:t>(1)On July 1, 201</w:t>
      </w:r>
      <w:r>
        <w:rPr>
          <w:rFonts w:eastAsia="Times New Roman"/>
          <w:color w:val="000000"/>
          <w:sz w:val="16"/>
          <w:szCs w:val="16"/>
        </w:rPr>
        <w:t xml:space="preserve">9, we announced that our Board of Directors approved a $4 billion share repurchase program (our “2019 Repurchase Program”) replacing our prior share repurchase program and authorizing us to repurchase up to $4 billion in shares of our common stock through </w:t>
      </w:r>
      <w:r>
        <w:rPr>
          <w:rFonts w:eastAsia="Times New Roman"/>
          <w:color w:val="000000"/>
          <w:sz w:val="16"/>
          <w:szCs w:val="16"/>
        </w:rPr>
        <w:t>open-market purchases, private transactions, transactions structured through investment banking institutions or any combination thereof. As of October 2, 2020, $650,336,263 (as reflected in the table above) was the approximate dollar amount of our common s</w:t>
      </w:r>
      <w:r>
        <w:rPr>
          <w:rFonts w:eastAsia="Times New Roman"/>
          <w:color w:val="000000"/>
          <w:sz w:val="16"/>
          <w:szCs w:val="16"/>
        </w:rPr>
        <w:t xml:space="preserve">tock that could still be purchased under our 2019 Repurchase Program, which does not have a stated expiration date. </w:t>
      </w:r>
    </w:p>
    <w:p w:rsidR="00000000" w:rsidRDefault="005D26B8">
      <w:pPr>
        <w:ind w:hanging="270"/>
        <w:divId w:val="1091389076"/>
        <w:rPr>
          <w:rFonts w:eastAsia="Times New Roman"/>
        </w:rPr>
      </w:pPr>
      <w:r>
        <w:rPr>
          <w:rFonts w:eastAsia="Times New Roman"/>
          <w:color w:val="000000"/>
          <w:sz w:val="16"/>
          <w:szCs w:val="16"/>
        </w:rPr>
        <w:t>(2)Represents a combination of: (a) shares of our common stock delivered to us in satisfaction of the tax withholding obligation of holders</w:t>
      </w:r>
      <w:r>
        <w:rPr>
          <w:rFonts w:eastAsia="Times New Roman"/>
          <w:color w:val="000000"/>
          <w:sz w:val="16"/>
          <w:szCs w:val="16"/>
        </w:rPr>
        <w:t xml:space="preserve"> of performance units, restricted units or restricted shares that vested during the quarter and (b) performance units, restricted units or restricted shares returned to us upon retirement or employment termination of employees. Our equity incentive plans p</w:t>
      </w:r>
      <w:r>
        <w:rPr>
          <w:rFonts w:eastAsia="Times New Roman"/>
          <w:color w:val="000000"/>
          <w:sz w:val="16"/>
          <w:szCs w:val="16"/>
        </w:rPr>
        <w:t>rovide that the value of shares delivered to us to pay the exercise price of options or to cover tax withholding obligations shall be the closing price of our common stock on the date the relevant transaction occurs.</w:t>
      </w:r>
    </w:p>
    <w:p w:rsidR="00000000" w:rsidRDefault="005D26B8">
      <w:pPr>
        <w:divId w:val="808938383"/>
        <w:rPr>
          <w:rFonts w:eastAsia="Times New Roman"/>
        </w:rPr>
      </w:pPr>
      <w:r>
        <w:rPr>
          <w:rFonts w:eastAsia="Times New Roman"/>
          <w:b/>
          <w:bCs/>
          <w:color w:val="000000"/>
          <w:sz w:val="20"/>
          <w:szCs w:val="20"/>
        </w:rPr>
        <w:t>Sales of Unregistered Equity Securities</w:t>
      </w:r>
    </w:p>
    <w:p w:rsidR="00000000" w:rsidRDefault="005D26B8">
      <w:pPr>
        <w:ind w:firstLine="450"/>
        <w:divId w:val="74520188"/>
        <w:rPr>
          <w:rFonts w:eastAsia="Times New Roman"/>
        </w:rPr>
      </w:pPr>
      <w:r>
        <w:rPr>
          <w:rFonts w:eastAsia="Times New Roman"/>
          <w:color w:val="000000"/>
          <w:sz w:val="20"/>
          <w:szCs w:val="20"/>
        </w:rPr>
        <w:t>During the quarter ended October 2, 2020, we did not issue or sell any unregistered equity securities.</w:t>
      </w:r>
    </w:p>
    <w:p w:rsidR="00000000" w:rsidRDefault="005D26B8">
      <w:pPr>
        <w:jc w:val="both"/>
        <w:divId w:val="801848145"/>
        <w:rPr>
          <w:rFonts w:eastAsia="Times New Roman"/>
        </w:rPr>
      </w:pPr>
      <w:r>
        <w:rPr>
          <w:rFonts w:eastAsia="Times New Roman"/>
          <w:b/>
          <w:bCs/>
          <w:color w:val="000000"/>
          <w:sz w:val="20"/>
          <w:szCs w:val="20"/>
        </w:rPr>
        <w:t>Item 3. Defaults Upon Senior Securities.</w:t>
      </w:r>
    </w:p>
    <w:p w:rsidR="00000000" w:rsidRDefault="005D26B8">
      <w:pPr>
        <w:ind w:firstLine="450"/>
        <w:jc w:val="both"/>
        <w:divId w:val="536285185"/>
        <w:rPr>
          <w:rFonts w:eastAsia="Times New Roman"/>
        </w:rPr>
      </w:pPr>
      <w:r>
        <w:rPr>
          <w:rFonts w:eastAsia="Times New Roman"/>
          <w:color w:val="000000"/>
          <w:sz w:val="20"/>
          <w:szCs w:val="20"/>
        </w:rPr>
        <w:t>Not Applicable.</w:t>
      </w:r>
    </w:p>
    <w:p w:rsidR="00000000" w:rsidRDefault="005D26B8">
      <w:pPr>
        <w:jc w:val="both"/>
        <w:divId w:val="1877228573"/>
        <w:rPr>
          <w:rFonts w:eastAsia="Times New Roman"/>
        </w:rPr>
      </w:pPr>
      <w:r>
        <w:rPr>
          <w:rFonts w:eastAsia="Times New Roman"/>
          <w:b/>
          <w:bCs/>
          <w:color w:val="000000"/>
          <w:sz w:val="20"/>
          <w:szCs w:val="20"/>
        </w:rPr>
        <w:t>Item 4. Mine Safety Disclosures.</w:t>
      </w:r>
    </w:p>
    <w:p w:rsidR="00000000" w:rsidRDefault="005D26B8">
      <w:pPr>
        <w:ind w:firstLine="450"/>
        <w:jc w:val="both"/>
        <w:divId w:val="837964362"/>
        <w:rPr>
          <w:rFonts w:eastAsia="Times New Roman"/>
        </w:rPr>
      </w:pPr>
      <w:r>
        <w:rPr>
          <w:rFonts w:eastAsia="Times New Roman"/>
          <w:color w:val="000000"/>
          <w:sz w:val="20"/>
          <w:szCs w:val="20"/>
        </w:rPr>
        <w:t>Not Applicable.</w:t>
      </w:r>
    </w:p>
    <w:p w:rsidR="00000000" w:rsidRDefault="005D26B8">
      <w:pPr>
        <w:jc w:val="both"/>
        <w:divId w:val="1959680525"/>
        <w:rPr>
          <w:rFonts w:eastAsia="Times New Roman"/>
        </w:rPr>
      </w:pPr>
      <w:r>
        <w:rPr>
          <w:rFonts w:eastAsia="Times New Roman"/>
          <w:b/>
          <w:bCs/>
          <w:color w:val="000000"/>
          <w:sz w:val="20"/>
          <w:szCs w:val="20"/>
        </w:rPr>
        <w:t>Item </w:t>
      </w:r>
      <w:r>
        <w:rPr>
          <w:rFonts w:eastAsia="Times New Roman"/>
          <w:b/>
          <w:bCs/>
          <w:color w:val="000000"/>
          <w:sz w:val="20"/>
          <w:szCs w:val="20"/>
        </w:rPr>
        <w:t>5. Other Information.</w:t>
      </w:r>
    </w:p>
    <w:p w:rsidR="00000000" w:rsidRDefault="005D26B8">
      <w:pPr>
        <w:ind w:firstLine="450"/>
        <w:jc w:val="both"/>
        <w:divId w:val="1293485892"/>
        <w:rPr>
          <w:rFonts w:eastAsia="Times New Roman"/>
        </w:rPr>
      </w:pPr>
      <w:r>
        <w:rPr>
          <w:rFonts w:eastAsia="Times New Roman"/>
          <w:color w:val="000000"/>
          <w:sz w:val="20"/>
          <w:szCs w:val="20"/>
        </w:rPr>
        <w:t>Not Applicable.</w:t>
      </w:r>
    </w:p>
    <w:p w:rsidR="00000000" w:rsidRDefault="005D26B8">
      <w:pPr>
        <w:jc w:val="center"/>
        <w:divId w:val="1389380039"/>
        <w:rPr>
          <w:rFonts w:eastAsia="Times New Roman"/>
        </w:rPr>
      </w:pPr>
      <w:r>
        <w:rPr>
          <w:rFonts w:eastAsia="Times New Roman"/>
          <w:color w:val="000000"/>
          <w:sz w:val="20"/>
          <w:szCs w:val="20"/>
        </w:rPr>
        <w:t>59</w:t>
      </w:r>
    </w:p>
    <w:p w:rsidR="00000000" w:rsidRDefault="005D26B8">
      <w:pPr>
        <w:rPr>
          <w:rFonts w:eastAsia="Times New Roman"/>
        </w:rPr>
      </w:pPr>
      <w:r>
        <w:rPr>
          <w:rFonts w:eastAsia="Times New Roman"/>
        </w:rPr>
        <w:pict>
          <v:rect id="_x0000_i1086" style="width:0;height:1.5pt" o:hralign="center" o:hrstd="t" o:hr="t" fillcolor="#a0a0a0" stroked="f"/>
        </w:pict>
      </w:r>
    </w:p>
    <w:p w:rsidR="00000000" w:rsidRDefault="005D26B8">
      <w:pPr>
        <w:divId w:val="36664480"/>
        <w:rPr>
          <w:rFonts w:eastAsia="Times New Roman"/>
        </w:rPr>
      </w:pPr>
    </w:p>
    <w:p w:rsidR="00000000" w:rsidRDefault="005D26B8">
      <w:pPr>
        <w:jc w:val="both"/>
        <w:divId w:val="84234764"/>
        <w:rPr>
          <w:rFonts w:eastAsia="Times New Roman"/>
        </w:rPr>
      </w:pPr>
      <w:r>
        <w:rPr>
          <w:rFonts w:eastAsia="Times New Roman"/>
          <w:b/>
          <w:bCs/>
          <w:color w:val="000000"/>
          <w:sz w:val="20"/>
          <w:szCs w:val="20"/>
        </w:rPr>
        <w:t xml:space="preserve">Item 6. Exhibits. </w:t>
      </w:r>
    </w:p>
    <w:p w:rsidR="00000000" w:rsidRDefault="005D26B8">
      <w:pPr>
        <w:jc w:val="center"/>
        <w:divId w:val="865220687"/>
        <w:rPr>
          <w:rFonts w:eastAsia="Times New Roman"/>
        </w:rPr>
      </w:pPr>
      <w:r>
        <w:rPr>
          <w:rFonts w:eastAsia="Times New Roman"/>
          <w:b/>
          <w:bCs/>
          <w:color w:val="000000"/>
          <w:sz w:val="20"/>
          <w:szCs w:val="20"/>
        </w:rPr>
        <w:t>EXHIBIT INDEX</w:t>
      </w:r>
    </w:p>
    <w:p w:rsidR="00000000" w:rsidRDefault="005D26B8">
      <w:pPr>
        <w:ind w:firstLine="450"/>
        <w:jc w:val="both"/>
        <w:divId w:val="1313290559"/>
        <w:rPr>
          <w:rFonts w:eastAsia="Times New Roman"/>
        </w:rPr>
      </w:pPr>
      <w:r>
        <w:rPr>
          <w:rFonts w:eastAsia="Times New Roman"/>
          <w:color w:val="000000"/>
          <w:sz w:val="20"/>
          <w:szCs w:val="20"/>
        </w:rPr>
        <w:t>The following exhibits are filed herewith or incorporated by reference to exhibits previously filed with the SEC:</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185"/>
        <w:gridCol w:w="36"/>
        <w:gridCol w:w="69"/>
        <w:gridCol w:w="7037"/>
        <w:gridCol w:w="37"/>
      </w:tblGrid>
      <w:tr w:rsidR="00000000">
        <w:trPr>
          <w:divId w:val="2056469087"/>
        </w:trPr>
        <w:tc>
          <w:tcPr>
            <w:tcW w:w="50" w:type="pct"/>
            <w:vAlign w:val="center"/>
            <w:hideMark/>
          </w:tcPr>
          <w:p w:rsidR="00000000" w:rsidRDefault="005D26B8">
            <w:pPr>
              <w:ind w:firstLine="450"/>
              <w:jc w:val="both"/>
              <w:rPr>
                <w:rFonts w:eastAsia="Times New Roman"/>
              </w:rPr>
            </w:pPr>
          </w:p>
        </w:tc>
        <w:tc>
          <w:tcPr>
            <w:tcW w:w="471"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2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24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878052359"/>
              <w:rPr>
                <w:rFonts w:eastAsia="Times New Roman"/>
              </w:rPr>
            </w:pPr>
            <w:hyperlink r:id="rId5" w:history="1">
              <w:r>
                <w:rPr>
                  <w:rStyle w:val="a3"/>
                  <w:rFonts w:eastAsia="Times New Roman"/>
                  <w:sz w:val="20"/>
                  <w:szCs w:val="20"/>
                </w:rPr>
                <w:t>(a) Restated Certificate of Incorporation of L3Harris Technologies, Inc. (1995), as amended, incorporated herein by reference to Exhibit 3(a) to t</w:t>
              </w:r>
              <w:r>
                <w:rPr>
                  <w:rStyle w:val="a3"/>
                  <w:rFonts w:eastAsia="Times New Roman"/>
                  <w:sz w:val="20"/>
                  <w:szCs w:val="20"/>
                </w:rPr>
                <w:t>he Company’s Quarterly Report on Form 10-Q filed with the SEC on May 7, 2020. (Commission File Number 1-3863)</w:t>
              </w:r>
            </w:hyperlink>
          </w:p>
          <w:p w:rsidR="00000000" w:rsidRDefault="005D26B8">
            <w:pPr>
              <w:divId w:val="482894040"/>
              <w:rPr>
                <w:rFonts w:eastAsia="Times New Roman"/>
              </w:rPr>
            </w:pPr>
          </w:p>
        </w:tc>
      </w:tr>
      <w:tr w:rsidR="00000000">
        <w:trPr>
          <w:divId w:val="2056469087"/>
        </w:trPr>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1530416737"/>
              <w:rPr>
                <w:rFonts w:eastAsia="Times New Roman"/>
              </w:rPr>
            </w:pPr>
            <w:hyperlink r:id="rId6" w:history="1">
              <w:r>
                <w:rPr>
                  <w:rStyle w:val="a3"/>
                  <w:rFonts w:eastAsia="Times New Roman"/>
                  <w:sz w:val="20"/>
                  <w:szCs w:val="20"/>
                </w:rPr>
                <w:t xml:space="preserve">(b) Amended and Restated By-Laws of L3Harris Technologies, Inc., incorporated herein by reference to Exhibit 3.1 to the Company’s Current Report </w:t>
              </w:r>
              <w:r>
                <w:rPr>
                  <w:rStyle w:val="a3"/>
                  <w:rFonts w:eastAsia="Times New Roman"/>
                  <w:sz w:val="20"/>
                  <w:szCs w:val="20"/>
                </w:rPr>
                <w:t>on Form 8-K filed with the SEC on April 7, 2020. (Commission File Number 1-3863)</w:t>
              </w:r>
            </w:hyperlink>
          </w:p>
          <w:p w:rsidR="00000000" w:rsidRDefault="005D26B8">
            <w:pPr>
              <w:divId w:val="97993333"/>
              <w:rPr>
                <w:rFonts w:eastAsia="Times New Roman"/>
              </w:rPr>
            </w:pPr>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(10.1)</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5D26B8">
            <w:pPr>
              <w:divId w:val="242573254"/>
              <w:rPr>
                <w:rFonts w:eastAsia="Times New Roman"/>
              </w:rPr>
            </w:pPr>
            <w:hyperlink r:id="rId7" w:history="1">
              <w:r>
                <w:rPr>
                  <w:rStyle w:val="a3"/>
                  <w:rFonts w:eastAsia="Times New Roman"/>
                  <w:sz w:val="20"/>
                  <w:szCs w:val="20"/>
                </w:rPr>
                <w:t>L3Harris Technologies, Inc. Annual Incentive Plan (Amended and Restated Effective as of August 28, 2020), incorporated herein by reference to Exhib</w:t>
              </w:r>
              <w:r>
                <w:rPr>
                  <w:rStyle w:val="a3"/>
                  <w:rFonts w:eastAsia="Times New Roman"/>
                  <w:sz w:val="20"/>
                  <w:szCs w:val="20"/>
                </w:rPr>
                <w:t>it 10.1 to L3Harris Technologies, Inc.’s Current Report on Form 8-K filed with the SEC on September 1, 2020. (Commission File Number 1-3863).*</w:t>
              </w:r>
            </w:hyperlink>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(10.2)</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D26B8">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5D26B8">
            <w:pPr>
              <w:divId w:val="1717506942"/>
              <w:rPr>
                <w:rFonts w:eastAsia="Times New Roman"/>
              </w:rPr>
            </w:pPr>
            <w:hyperlink r:id="rId8" w:history="1">
              <w:r>
                <w:rPr>
                  <w:rStyle w:val="a3"/>
                  <w:rFonts w:eastAsia="Times New Roman"/>
                  <w:sz w:val="20"/>
                  <w:szCs w:val="20"/>
                </w:rPr>
                <w:t>L3Harris Technologies, Inc. 2015 Equity Incentive Plan (Amended and Restated Effective as of August 28, 2020), incorporated herein by reference to Exhibit 10.2 to L3Harris Technologies, Inc.’s Current Report on Form 8-K filed with the SEC on Sep</w:t>
              </w:r>
              <w:r>
                <w:rPr>
                  <w:rStyle w:val="a3"/>
                  <w:rFonts w:eastAsia="Times New Roman"/>
                  <w:sz w:val="20"/>
                  <w:szCs w:val="20"/>
                </w:rPr>
                <w:t>tember 1, 2020. (Commission File Number 1-3863).*</w:t>
              </w:r>
            </w:hyperlink>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(15)</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1441484707"/>
              <w:rPr>
                <w:rFonts w:eastAsia="Times New Roman"/>
              </w:rPr>
            </w:pPr>
            <w:hyperlink r:id="rId9" w:history="1">
              <w:r>
                <w:rPr>
                  <w:rStyle w:val="a3"/>
                  <w:rFonts w:eastAsia="Times New Roman"/>
                  <w:sz w:val="20"/>
                  <w:szCs w:val="20"/>
                </w:rPr>
                <w:t>Letter Regarding Unaudited Interim Financial Information</w:t>
              </w:r>
            </w:hyperlink>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(31.1)</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1162771189"/>
              <w:rPr>
                <w:rFonts w:eastAsia="Times New Roman"/>
              </w:rPr>
            </w:pPr>
            <w:hyperlink r:id="rId10" w:history="1">
              <w:r>
                <w:rPr>
                  <w:rStyle w:val="a3"/>
                  <w:rFonts w:eastAsia="Times New Roman"/>
                  <w:sz w:val="20"/>
                  <w:szCs w:val="20"/>
                </w:rPr>
                <w:t>Rule 13a-14(a)/15d-14(a) Certification of Chief Executive Officer.</w:t>
              </w:r>
            </w:hyperlink>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(31.2)</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961694318"/>
              <w:rPr>
                <w:rFonts w:eastAsia="Times New Roman"/>
              </w:rPr>
            </w:pPr>
            <w:hyperlink r:id="rId11" w:history="1">
              <w:r>
                <w:rPr>
                  <w:rStyle w:val="a3"/>
                  <w:rFonts w:eastAsia="Times New Roman"/>
                  <w:sz w:val="20"/>
                  <w:szCs w:val="20"/>
                </w:rPr>
                <w:t>Rule 13a-14(a)/15d-14(a) Certification of Chief Financial Officer.</w:t>
              </w:r>
            </w:hyperlink>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(32.1)</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2019454726"/>
              <w:rPr>
                <w:rFonts w:eastAsia="Times New Roman"/>
              </w:rPr>
            </w:pPr>
            <w:hyperlink r:id="rId12" w:history="1">
              <w:r>
                <w:rPr>
                  <w:rStyle w:val="a3"/>
                  <w:rFonts w:eastAsia="Times New Roman"/>
                  <w:sz w:val="20"/>
                  <w:szCs w:val="20"/>
                </w:rPr>
                <w:t>Section 1350 Certification of Chief Executive Officer.</w:t>
              </w:r>
            </w:hyperlink>
          </w:p>
        </w:tc>
      </w:tr>
      <w:tr w:rsidR="00000000">
        <w:trPr>
          <w:divId w:val="2056469087"/>
        </w:trPr>
        <w:tc>
          <w:tcPr>
            <w:tcW w:w="0" w:type="auto"/>
            <w:gridSpan w:val="2"/>
            <w:tcMar>
              <w:top w:w="30" w:type="dxa"/>
              <w:left w:w="20" w:type="dxa"/>
              <w:bottom w:w="30" w:type="dxa"/>
              <w:right w:w="0" w:type="dxa"/>
            </w:tcMar>
            <w:hideMark/>
          </w:tcPr>
          <w:p w:rsidR="00000000" w:rsidRDefault="005D26B8">
            <w:pPr>
              <w:jc w:val="right"/>
              <w:rPr>
                <w:rFonts w:eastAsia="Times New Roman"/>
              </w:rPr>
            </w:pPr>
            <w:r>
              <w:rPr>
                <w:rFonts w:eastAsia="Times New Roman"/>
                <w:color w:val="000000"/>
                <w:sz w:val="20"/>
                <w:szCs w:val="20"/>
              </w:rPr>
              <w:t>(32.2)</w:t>
            </w:r>
          </w:p>
        </w:tc>
        <w:tc>
          <w:tcPr>
            <w:tcW w:w="0" w:type="auto"/>
            <w:tcMar>
              <w:top w:w="30" w:type="dxa"/>
              <w:left w:w="0" w:type="dxa"/>
              <w:bottom w:w="30" w:type="dxa"/>
              <w:right w:w="20" w:type="dxa"/>
            </w:tcMar>
            <w:hideMark/>
          </w:tcPr>
          <w:p w:rsidR="00000000" w:rsidRDefault="005D26B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1622491327"/>
              <w:rPr>
                <w:rFonts w:eastAsia="Times New Roman"/>
              </w:rPr>
            </w:pPr>
            <w:hyperlink r:id="rId13" w:history="1">
              <w:r>
                <w:rPr>
                  <w:rStyle w:val="a3"/>
                  <w:rFonts w:eastAsia="Times New Roman"/>
                  <w:sz w:val="20"/>
                  <w:szCs w:val="20"/>
                </w:rPr>
                <w:t>Section 1350 Certification of Chief Financial Officer.</w:t>
              </w:r>
            </w:hyperlink>
          </w:p>
        </w:tc>
      </w:tr>
      <w:tr w:rsidR="00000000">
        <w:trPr>
          <w:divId w:val="2056469087"/>
        </w:trPr>
        <w:tc>
          <w:tcPr>
            <w:tcW w:w="0" w:type="auto"/>
            <w:gridSpan w:val="3"/>
            <w:tcMar>
              <w:top w:w="30" w:type="dxa"/>
              <w:left w:w="20" w:type="dxa"/>
              <w:bottom w:w="30" w:type="dxa"/>
              <w:right w:w="20" w:type="dxa"/>
            </w:tcMar>
            <w:hideMark/>
          </w:tcPr>
          <w:p w:rsidR="00000000" w:rsidRDefault="005D26B8">
            <w:pPr>
              <w:jc w:val="right"/>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divId w:val="117183615"/>
              <w:rPr>
                <w:rFonts w:eastAsia="Times New Roman"/>
              </w:rPr>
            </w:pPr>
            <w:r>
              <w:rPr>
                <w:rFonts w:eastAsia="Times New Roman"/>
                <w:color w:val="000000"/>
                <w:sz w:val="20"/>
                <w:szCs w:val="20"/>
              </w:rPr>
              <w:t xml:space="preserve">The financial information from </w:t>
            </w:r>
            <w:r>
              <w:rPr>
                <w:rFonts w:eastAsia="Times New Roman"/>
                <w:color w:val="000000"/>
                <w:sz w:val="20"/>
                <w:szCs w:val="20"/>
              </w:rPr>
              <w:t>the Company’s Quarterly Report on Form 10-Q for the fiscal quarter ended October 2, 2020 formatted in Inline XBRL (Extensible Business Reporting Language) includes: (i) the Condensed Consolidated Statement of Income, (ii) the Condensed Consolidated Stateme</w:t>
            </w:r>
            <w:r>
              <w:rPr>
                <w:rFonts w:eastAsia="Times New Roman"/>
                <w:color w:val="000000"/>
                <w:sz w:val="20"/>
                <w:szCs w:val="20"/>
              </w:rPr>
              <w:t>nt of Comprehensive Income, (iii) the Condensed Consolidated Balance Sheet, (iv) the Condensed Consolidated Statement of Cash Flows, (v) the Condensed Consolidated Statement of Equity, and (vi) the Notes to the Condensed Consolidated Financial Statements.</w:t>
            </w:r>
          </w:p>
        </w:tc>
      </w:tr>
      <w:tr w:rsidR="00000000">
        <w:trPr>
          <w:divId w:val="2056469087"/>
        </w:trPr>
        <w:tc>
          <w:tcPr>
            <w:tcW w:w="0" w:type="auto"/>
            <w:gridSpan w:val="3"/>
            <w:tcMar>
              <w:top w:w="30" w:type="dxa"/>
              <w:left w:w="20" w:type="dxa"/>
              <w:bottom w:w="30" w:type="dxa"/>
              <w:right w:w="20" w:type="dxa"/>
            </w:tcMar>
            <w:hideMark/>
          </w:tcPr>
          <w:p w:rsidR="00000000" w:rsidRDefault="005D26B8">
            <w:pPr>
              <w:jc w:val="right"/>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Cover Page Interactive Data File formatted in Inline XBRL and contained in Exhibit 101.</w:t>
            </w:r>
          </w:p>
        </w:tc>
      </w:tr>
    </w:tbl>
    <w:p w:rsidR="00000000" w:rsidRDefault="005D26B8">
      <w:pPr>
        <w:divId w:val="1994214907"/>
        <w:rPr>
          <w:rFonts w:eastAsia="Times New Roman"/>
        </w:rPr>
      </w:pPr>
      <w:r>
        <w:rPr>
          <w:rFonts w:eastAsia="Times New Roman"/>
          <w:color w:val="000000"/>
          <w:sz w:val="16"/>
          <w:szCs w:val="16"/>
        </w:rPr>
        <w:t>_______________</w:t>
      </w:r>
    </w:p>
    <w:p w:rsidR="00000000" w:rsidRDefault="005D26B8">
      <w:pPr>
        <w:ind w:hanging="270"/>
        <w:divId w:val="594553470"/>
        <w:rPr>
          <w:rFonts w:eastAsia="Times New Roman"/>
        </w:rPr>
      </w:pPr>
      <w:r>
        <w:rPr>
          <w:rFonts w:eastAsia="Times New Roman"/>
          <w:color w:val="000000"/>
          <w:sz w:val="16"/>
          <w:szCs w:val="16"/>
        </w:rPr>
        <w:t>*    Management contract or compensatory plan or arrangement.</w:t>
      </w:r>
    </w:p>
    <w:p w:rsidR="00000000" w:rsidRDefault="005D26B8">
      <w:pPr>
        <w:jc w:val="both"/>
        <w:rPr>
          <w:rFonts w:eastAsia="Times New Roman"/>
        </w:rPr>
      </w:pPr>
    </w:p>
    <w:p w:rsidR="00000000" w:rsidRDefault="005D26B8">
      <w:pPr>
        <w:jc w:val="center"/>
        <w:divId w:val="1130901950"/>
        <w:rPr>
          <w:rFonts w:eastAsia="Times New Roman"/>
        </w:rPr>
      </w:pPr>
      <w:r>
        <w:rPr>
          <w:rFonts w:eastAsia="Times New Roman"/>
          <w:color w:val="000000"/>
          <w:sz w:val="20"/>
          <w:szCs w:val="20"/>
        </w:rPr>
        <w:t>60</w:t>
      </w:r>
    </w:p>
    <w:p w:rsidR="00000000" w:rsidRDefault="005D26B8">
      <w:pPr>
        <w:rPr>
          <w:rFonts w:eastAsia="Times New Roman"/>
        </w:rPr>
      </w:pPr>
      <w:r>
        <w:rPr>
          <w:rFonts w:eastAsia="Times New Roman"/>
        </w:rPr>
        <w:pict>
          <v:rect id="_x0000_i1087" style="width:0;height:1.5pt" o:hralign="center" o:hrstd="t" o:hr="t" fillcolor="#a0a0a0" stroked="f"/>
        </w:pict>
      </w:r>
    </w:p>
    <w:p w:rsidR="00000000" w:rsidRDefault="005D26B8">
      <w:pPr>
        <w:divId w:val="16348790"/>
        <w:rPr>
          <w:rFonts w:eastAsia="Times New Roman"/>
        </w:rPr>
      </w:pPr>
    </w:p>
    <w:p w:rsidR="00000000" w:rsidRDefault="005D26B8">
      <w:pPr>
        <w:jc w:val="center"/>
        <w:rPr>
          <w:rFonts w:eastAsia="Times New Roman"/>
        </w:rPr>
      </w:pPr>
      <w:r>
        <w:rPr>
          <w:rFonts w:eastAsia="Times New Roman"/>
          <w:b/>
          <w:bCs/>
          <w:color w:val="000000"/>
          <w:sz w:val="20"/>
          <w:szCs w:val="20"/>
        </w:rPr>
        <w:t>SIGNATURE</w:t>
      </w:r>
    </w:p>
    <w:p w:rsidR="00000000" w:rsidRDefault="005D26B8">
      <w:pPr>
        <w:ind w:firstLine="450"/>
        <w:divId w:val="2014065652"/>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5D26B8">
      <w:pPr>
        <w:divId w:val="753892200"/>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2257"/>
        <w:gridCol w:w="36"/>
        <w:gridCol w:w="36"/>
        <w:gridCol w:w="155"/>
        <w:gridCol w:w="36"/>
        <w:gridCol w:w="62"/>
        <w:gridCol w:w="275"/>
        <w:gridCol w:w="36"/>
        <w:gridCol w:w="62"/>
        <w:gridCol w:w="798"/>
        <w:gridCol w:w="36"/>
        <w:gridCol w:w="67"/>
        <w:gridCol w:w="283"/>
        <w:gridCol w:w="38"/>
        <w:gridCol w:w="36"/>
        <w:gridCol w:w="155"/>
        <w:gridCol w:w="36"/>
        <w:gridCol w:w="63"/>
        <w:gridCol w:w="3741"/>
        <w:gridCol w:w="36"/>
      </w:tblGrid>
      <w:tr w:rsidR="00000000">
        <w:trPr>
          <w:divId w:val="1495220501"/>
        </w:trPr>
        <w:tc>
          <w:tcPr>
            <w:tcW w:w="50" w:type="pct"/>
            <w:vAlign w:val="center"/>
            <w:hideMark/>
          </w:tcPr>
          <w:p w:rsidR="00000000" w:rsidRDefault="005D26B8">
            <w:pPr>
              <w:rPr>
                <w:rFonts w:eastAsia="Times New Roman"/>
              </w:rPr>
            </w:pPr>
          </w:p>
        </w:tc>
        <w:tc>
          <w:tcPr>
            <w:tcW w:w="1370"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0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78"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493"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18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106"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c>
          <w:tcPr>
            <w:tcW w:w="50" w:type="pct"/>
            <w:vAlign w:val="center"/>
            <w:hideMark/>
          </w:tcPr>
          <w:p w:rsidR="00000000" w:rsidRDefault="005D26B8">
            <w:pPr>
              <w:rPr>
                <w:rFonts w:eastAsia="Times New Roman"/>
                <w:sz w:val="20"/>
                <w:szCs w:val="20"/>
              </w:rPr>
            </w:pPr>
          </w:p>
        </w:tc>
        <w:tc>
          <w:tcPr>
            <w:tcW w:w="2262" w:type="pct"/>
            <w:vAlign w:val="center"/>
            <w:hideMark/>
          </w:tcPr>
          <w:p w:rsidR="00000000" w:rsidRDefault="005D26B8">
            <w:pPr>
              <w:rPr>
                <w:rFonts w:eastAsia="Times New Roman"/>
                <w:sz w:val="20"/>
                <w:szCs w:val="20"/>
              </w:rPr>
            </w:pPr>
          </w:p>
        </w:tc>
        <w:tc>
          <w:tcPr>
            <w:tcW w:w="5" w:type="pct"/>
            <w:vAlign w:val="center"/>
            <w:hideMark/>
          </w:tcPr>
          <w:p w:rsidR="00000000" w:rsidRDefault="005D26B8">
            <w:pPr>
              <w:rPr>
                <w:rFonts w:eastAsia="Times New Roman"/>
                <w:sz w:val="20"/>
                <w:szCs w:val="20"/>
              </w:rPr>
            </w:pPr>
          </w:p>
        </w:tc>
      </w:tr>
      <w:tr w:rsidR="00000000">
        <w:trPr>
          <w:divId w:val="1495220501"/>
          <w:trHeight w:val="300"/>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95220501"/>
        </w:trPr>
        <w:tc>
          <w:tcPr>
            <w:tcW w:w="0" w:type="auto"/>
            <w:gridSpan w:val="3"/>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L3HARRIS TECHNOLOGIES, INC.</w:t>
            </w:r>
          </w:p>
        </w:tc>
      </w:tr>
      <w:tr w:rsidR="00000000">
        <w:trPr>
          <w:divId w:val="1495220501"/>
        </w:trPr>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(Registrant)</w:t>
            </w:r>
          </w:p>
        </w:tc>
      </w:tr>
      <w:tr w:rsidR="00000000">
        <w:trPr>
          <w:divId w:val="1495220501"/>
          <w:trHeight w:val="300"/>
        </w:trPr>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6"/>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D26B8">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D26B8">
            <w:pPr>
              <w:rPr>
                <w:rFonts w:eastAsia="Times New Roman"/>
                <w:sz w:val="20"/>
                <w:szCs w:val="20"/>
              </w:rPr>
            </w:pPr>
          </w:p>
        </w:tc>
      </w:tr>
      <w:tr w:rsidR="00000000">
        <w:trPr>
          <w:divId w:val="1495220501"/>
        </w:trPr>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Date: November 2, 2020</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/s/ Jesus Malave Jr.</w:t>
            </w:r>
          </w:p>
        </w:tc>
      </w:tr>
      <w:tr w:rsidR="00000000">
        <w:trPr>
          <w:divId w:val="1495220501"/>
        </w:trPr>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Jesus Malave Jr.</w:t>
            </w:r>
          </w:p>
        </w:tc>
      </w:tr>
      <w:tr w:rsidR="00000000">
        <w:trPr>
          <w:divId w:val="1495220501"/>
        </w:trPr>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26B8">
            <w:pPr>
              <w:rPr>
                <w:rFonts w:eastAsia="Times New Roman"/>
              </w:rPr>
            </w:pPr>
            <w:r>
              <w:rPr>
                <w:rFonts w:eastAsia="Times New Roman"/>
                <w:color w:val="000000"/>
                <w:sz w:val="20"/>
                <w:szCs w:val="20"/>
              </w:rPr>
              <w:t>Senior Vice President and Chief Financial Officer</w:t>
            </w:r>
          </w:p>
        </w:tc>
      </w:tr>
      <w:tr w:rsidR="00000000">
        <w:trPr>
          <w:divId w:val="1495220501"/>
        </w:trPr>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26B8">
            <w:pPr>
              <w:rPr>
                <w:rFonts w:eastAsia="Times New Roman"/>
              </w:rPr>
            </w:pP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D26B8">
            <w:pPr>
              <w:rPr>
                <w:rFonts w:eastAsia="Times New Roman"/>
              </w:rPr>
            </w:pPr>
            <w:r>
              <w:rPr>
                <w:rFonts w:eastAsia="Times New Roman"/>
                <w:color w:val="000000"/>
                <w:sz w:val="20"/>
                <w:szCs w:val="20"/>
              </w:rPr>
              <w:t>(principal financial officer and duly authorized officer)</w:t>
            </w:r>
          </w:p>
        </w:tc>
      </w:tr>
    </w:tbl>
    <w:p w:rsidR="005D26B8" w:rsidRDefault="005D26B8">
      <w:pPr>
        <w:jc w:val="center"/>
        <w:divId w:val="1573465221"/>
        <w:rPr>
          <w:rFonts w:eastAsia="Times New Roman"/>
        </w:rPr>
      </w:pPr>
      <w:r>
        <w:rPr>
          <w:rFonts w:eastAsia="Times New Roman"/>
          <w:color w:val="000000"/>
          <w:sz w:val="20"/>
          <w:szCs w:val="20"/>
        </w:rPr>
        <w:t>61</w:t>
      </w:r>
    </w:p>
    <w:sectPr w:rsidR="005D26B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26B8"/>
    <w:rsid w:val="005D26B8"/>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sec.gov/inlineXBRL/transformation/2015-08-31"/>
  <w:attachedSchema w:val="http://xbrl.sec.gov/dei/2020-01-31"/>
  <w:attachedSchema w:val="http://xbrl.sec.gov/country/2020-01-31"/>
  <w:attachedSchema w:val="http://fasb.org/srt/2020-01-31"/>
  <w:attachedSchema w:val="http://www.xbrl.org/2003/instance"/>
  <w:attachedSchema w:val="http://fasb.org/us-gaap/2020-01-31"/>
  <w:attachedSchema w:val="http://www.xbrl.org/2003/iso4217"/>
  <w:attachedSchema w:val="http://xbrl.org/2006/xbrldi"/>
  <w:attachedSchema w:val="http://www.xbrl.org/inlineXBRL/transformation/2015-02-26"/>
  <w:attachedSchema w:val="http://www.xbrl.org/2003/linkbase"/>
  <w:attachedSchema w:val="http://harris.com/20201002"/>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761">
      <w:marLeft w:val="0"/>
      <w:marRight w:val="0"/>
      <w:marTop w:val="0"/>
      <w:marBottom w:val="0"/>
      <w:divBdr>
        <w:top w:val="none" w:sz="0" w:space="0" w:color="auto"/>
        <w:left w:val="none" w:sz="0" w:space="0" w:color="auto"/>
        <w:bottom w:val="none" w:sz="0" w:space="0" w:color="auto"/>
        <w:right w:val="none" w:sz="0" w:space="0" w:color="auto"/>
      </w:divBdr>
      <w:divsChild>
        <w:div w:id="724723839">
          <w:marLeft w:val="0"/>
          <w:marRight w:val="0"/>
          <w:marTop w:val="0"/>
          <w:marBottom w:val="0"/>
          <w:divBdr>
            <w:top w:val="none" w:sz="0" w:space="0" w:color="auto"/>
            <w:left w:val="none" w:sz="0" w:space="0" w:color="auto"/>
            <w:bottom w:val="none" w:sz="0" w:space="0" w:color="auto"/>
            <w:right w:val="none" w:sz="0" w:space="0" w:color="auto"/>
          </w:divBdr>
        </w:div>
      </w:divsChild>
    </w:div>
    <w:div w:id="7027256">
      <w:marLeft w:val="0"/>
      <w:marRight w:val="0"/>
      <w:marTop w:val="100"/>
      <w:marBottom w:val="0"/>
      <w:divBdr>
        <w:top w:val="none" w:sz="0" w:space="0" w:color="auto"/>
        <w:left w:val="none" w:sz="0" w:space="0" w:color="auto"/>
        <w:bottom w:val="none" w:sz="0" w:space="0" w:color="auto"/>
        <w:right w:val="none" w:sz="0" w:space="0" w:color="auto"/>
      </w:divBdr>
    </w:div>
    <w:div w:id="7802615">
      <w:marLeft w:val="0"/>
      <w:marRight w:val="0"/>
      <w:marTop w:val="0"/>
      <w:marBottom w:val="0"/>
      <w:divBdr>
        <w:top w:val="none" w:sz="0" w:space="0" w:color="auto"/>
        <w:left w:val="none" w:sz="0" w:space="0" w:color="auto"/>
        <w:bottom w:val="none" w:sz="0" w:space="0" w:color="auto"/>
        <w:right w:val="none" w:sz="0" w:space="0" w:color="auto"/>
      </w:divBdr>
      <w:divsChild>
        <w:div w:id="1950813488">
          <w:marLeft w:val="0"/>
          <w:marRight w:val="0"/>
          <w:marTop w:val="100"/>
          <w:marBottom w:val="0"/>
          <w:divBdr>
            <w:top w:val="none" w:sz="0" w:space="0" w:color="auto"/>
            <w:left w:val="none" w:sz="0" w:space="0" w:color="auto"/>
            <w:bottom w:val="none" w:sz="0" w:space="0" w:color="auto"/>
            <w:right w:val="none" w:sz="0" w:space="0" w:color="auto"/>
          </w:divBdr>
        </w:div>
      </w:divsChild>
    </w:div>
    <w:div w:id="9720701">
      <w:marLeft w:val="0"/>
      <w:marRight w:val="0"/>
      <w:marTop w:val="0"/>
      <w:marBottom w:val="0"/>
      <w:divBdr>
        <w:top w:val="none" w:sz="0" w:space="0" w:color="auto"/>
        <w:left w:val="none" w:sz="0" w:space="0" w:color="auto"/>
        <w:bottom w:val="none" w:sz="0" w:space="0" w:color="auto"/>
        <w:right w:val="none" w:sz="0" w:space="0" w:color="auto"/>
      </w:divBdr>
      <w:divsChild>
        <w:div w:id="1285691077">
          <w:marLeft w:val="0"/>
          <w:marRight w:val="0"/>
          <w:marTop w:val="0"/>
          <w:marBottom w:val="0"/>
          <w:divBdr>
            <w:top w:val="none" w:sz="0" w:space="0" w:color="auto"/>
            <w:left w:val="none" w:sz="0" w:space="0" w:color="auto"/>
            <w:bottom w:val="none" w:sz="0" w:space="0" w:color="auto"/>
            <w:right w:val="none" w:sz="0" w:space="0" w:color="auto"/>
          </w:divBdr>
        </w:div>
      </w:divsChild>
    </w:div>
    <w:div w:id="11496447">
      <w:marLeft w:val="0"/>
      <w:marRight w:val="0"/>
      <w:marTop w:val="180"/>
      <w:marBottom w:val="0"/>
      <w:divBdr>
        <w:top w:val="none" w:sz="0" w:space="0" w:color="auto"/>
        <w:left w:val="none" w:sz="0" w:space="0" w:color="auto"/>
        <w:bottom w:val="none" w:sz="0" w:space="0" w:color="auto"/>
        <w:right w:val="none" w:sz="0" w:space="0" w:color="auto"/>
      </w:divBdr>
    </w:div>
    <w:div w:id="13580124">
      <w:marLeft w:val="0"/>
      <w:marRight w:val="0"/>
      <w:marTop w:val="0"/>
      <w:marBottom w:val="0"/>
      <w:divBdr>
        <w:top w:val="none" w:sz="0" w:space="0" w:color="auto"/>
        <w:left w:val="none" w:sz="0" w:space="0" w:color="auto"/>
        <w:bottom w:val="none" w:sz="0" w:space="0" w:color="auto"/>
        <w:right w:val="none" w:sz="0" w:space="0" w:color="auto"/>
      </w:divBdr>
      <w:divsChild>
        <w:div w:id="984242269">
          <w:marLeft w:val="0"/>
          <w:marRight w:val="0"/>
          <w:marTop w:val="0"/>
          <w:marBottom w:val="0"/>
          <w:divBdr>
            <w:top w:val="none" w:sz="0" w:space="0" w:color="auto"/>
            <w:left w:val="none" w:sz="0" w:space="0" w:color="auto"/>
            <w:bottom w:val="none" w:sz="0" w:space="0" w:color="auto"/>
            <w:right w:val="none" w:sz="0" w:space="0" w:color="auto"/>
          </w:divBdr>
        </w:div>
      </w:divsChild>
    </w:div>
    <w:div w:id="19744623">
      <w:marLeft w:val="0"/>
      <w:marRight w:val="0"/>
      <w:marTop w:val="100"/>
      <w:marBottom w:val="0"/>
      <w:divBdr>
        <w:top w:val="none" w:sz="0" w:space="0" w:color="auto"/>
        <w:left w:val="none" w:sz="0" w:space="0" w:color="auto"/>
        <w:bottom w:val="none" w:sz="0" w:space="0" w:color="auto"/>
        <w:right w:val="none" w:sz="0" w:space="0" w:color="auto"/>
      </w:divBdr>
    </w:div>
    <w:div w:id="20711869">
      <w:marLeft w:val="0"/>
      <w:marRight w:val="0"/>
      <w:marTop w:val="0"/>
      <w:marBottom w:val="160"/>
      <w:divBdr>
        <w:top w:val="none" w:sz="0" w:space="0" w:color="auto"/>
        <w:left w:val="none" w:sz="0" w:space="0" w:color="auto"/>
        <w:bottom w:val="none" w:sz="0" w:space="0" w:color="auto"/>
        <w:right w:val="none" w:sz="0" w:space="0" w:color="auto"/>
      </w:divBdr>
    </w:div>
    <w:div w:id="23142008">
      <w:marLeft w:val="0"/>
      <w:marRight w:val="0"/>
      <w:marTop w:val="160"/>
      <w:marBottom w:val="0"/>
      <w:divBdr>
        <w:top w:val="none" w:sz="0" w:space="0" w:color="auto"/>
        <w:left w:val="none" w:sz="0" w:space="0" w:color="auto"/>
        <w:bottom w:val="none" w:sz="0" w:space="0" w:color="auto"/>
        <w:right w:val="none" w:sz="0" w:space="0" w:color="auto"/>
      </w:divBdr>
    </w:div>
    <w:div w:id="24061890">
      <w:marLeft w:val="0"/>
      <w:marRight w:val="0"/>
      <w:marTop w:val="0"/>
      <w:marBottom w:val="0"/>
      <w:divBdr>
        <w:top w:val="none" w:sz="0" w:space="0" w:color="auto"/>
        <w:left w:val="none" w:sz="0" w:space="0" w:color="auto"/>
        <w:bottom w:val="none" w:sz="0" w:space="0" w:color="auto"/>
        <w:right w:val="none" w:sz="0" w:space="0" w:color="auto"/>
      </w:divBdr>
      <w:divsChild>
        <w:div w:id="2019773555">
          <w:marLeft w:val="0"/>
          <w:marRight w:val="0"/>
          <w:marTop w:val="100"/>
          <w:marBottom w:val="0"/>
          <w:divBdr>
            <w:top w:val="none" w:sz="0" w:space="0" w:color="auto"/>
            <w:left w:val="none" w:sz="0" w:space="0" w:color="auto"/>
            <w:bottom w:val="none" w:sz="0" w:space="0" w:color="auto"/>
            <w:right w:val="none" w:sz="0" w:space="0" w:color="auto"/>
          </w:divBdr>
        </w:div>
      </w:divsChild>
    </w:div>
    <w:div w:id="24453188">
      <w:marLeft w:val="0"/>
      <w:marRight w:val="0"/>
      <w:marTop w:val="100"/>
      <w:marBottom w:val="0"/>
      <w:divBdr>
        <w:top w:val="none" w:sz="0" w:space="0" w:color="auto"/>
        <w:left w:val="none" w:sz="0" w:space="0" w:color="auto"/>
        <w:bottom w:val="none" w:sz="0" w:space="0" w:color="auto"/>
        <w:right w:val="none" w:sz="0" w:space="0" w:color="auto"/>
      </w:divBdr>
    </w:div>
    <w:div w:id="26179539">
      <w:marLeft w:val="0"/>
      <w:marRight w:val="0"/>
      <w:marTop w:val="0"/>
      <w:marBottom w:val="0"/>
      <w:divBdr>
        <w:top w:val="none" w:sz="0" w:space="0" w:color="auto"/>
        <w:left w:val="none" w:sz="0" w:space="0" w:color="auto"/>
        <w:bottom w:val="none" w:sz="0" w:space="0" w:color="auto"/>
        <w:right w:val="none" w:sz="0" w:space="0" w:color="auto"/>
      </w:divBdr>
    </w:div>
    <w:div w:id="33582152">
      <w:marLeft w:val="0"/>
      <w:marRight w:val="0"/>
      <w:marTop w:val="100"/>
      <w:marBottom w:val="0"/>
      <w:divBdr>
        <w:top w:val="none" w:sz="0" w:space="0" w:color="auto"/>
        <w:left w:val="none" w:sz="0" w:space="0" w:color="auto"/>
        <w:bottom w:val="none" w:sz="0" w:space="0" w:color="auto"/>
        <w:right w:val="none" w:sz="0" w:space="0" w:color="auto"/>
      </w:divBdr>
    </w:div>
    <w:div w:id="41291174">
      <w:marLeft w:val="0"/>
      <w:marRight w:val="0"/>
      <w:marTop w:val="160"/>
      <w:marBottom w:val="0"/>
      <w:divBdr>
        <w:top w:val="none" w:sz="0" w:space="0" w:color="auto"/>
        <w:left w:val="none" w:sz="0" w:space="0" w:color="auto"/>
        <w:bottom w:val="none" w:sz="0" w:space="0" w:color="auto"/>
        <w:right w:val="none" w:sz="0" w:space="0" w:color="auto"/>
      </w:divBdr>
    </w:div>
    <w:div w:id="48309788">
      <w:marLeft w:val="0"/>
      <w:marRight w:val="0"/>
      <w:marTop w:val="100"/>
      <w:marBottom w:val="0"/>
      <w:divBdr>
        <w:top w:val="none" w:sz="0" w:space="0" w:color="auto"/>
        <w:left w:val="none" w:sz="0" w:space="0" w:color="auto"/>
        <w:bottom w:val="none" w:sz="0" w:space="0" w:color="auto"/>
        <w:right w:val="none" w:sz="0" w:space="0" w:color="auto"/>
      </w:divBdr>
    </w:div>
    <w:div w:id="51076245">
      <w:marLeft w:val="0"/>
      <w:marRight w:val="0"/>
      <w:marTop w:val="100"/>
      <w:marBottom w:val="0"/>
      <w:divBdr>
        <w:top w:val="none" w:sz="0" w:space="0" w:color="auto"/>
        <w:left w:val="none" w:sz="0" w:space="0" w:color="auto"/>
        <w:bottom w:val="none" w:sz="0" w:space="0" w:color="auto"/>
        <w:right w:val="none" w:sz="0" w:space="0" w:color="auto"/>
      </w:divBdr>
    </w:div>
    <w:div w:id="53821381">
      <w:marLeft w:val="0"/>
      <w:marRight w:val="0"/>
      <w:marTop w:val="0"/>
      <w:marBottom w:val="0"/>
      <w:divBdr>
        <w:top w:val="none" w:sz="0" w:space="0" w:color="auto"/>
        <w:left w:val="none" w:sz="0" w:space="0" w:color="auto"/>
        <w:bottom w:val="none" w:sz="0" w:space="0" w:color="auto"/>
        <w:right w:val="none" w:sz="0" w:space="0" w:color="auto"/>
      </w:divBdr>
    </w:div>
    <w:div w:id="55521057">
      <w:marLeft w:val="0"/>
      <w:marRight w:val="0"/>
      <w:marTop w:val="0"/>
      <w:marBottom w:val="0"/>
      <w:divBdr>
        <w:top w:val="none" w:sz="0" w:space="0" w:color="auto"/>
        <w:left w:val="none" w:sz="0" w:space="0" w:color="auto"/>
        <w:bottom w:val="none" w:sz="0" w:space="0" w:color="auto"/>
        <w:right w:val="none" w:sz="0" w:space="0" w:color="auto"/>
      </w:divBdr>
    </w:div>
    <w:div w:id="58283561">
      <w:marLeft w:val="0"/>
      <w:marRight w:val="0"/>
      <w:marTop w:val="0"/>
      <w:marBottom w:val="0"/>
      <w:divBdr>
        <w:top w:val="none" w:sz="0" w:space="0" w:color="auto"/>
        <w:left w:val="none" w:sz="0" w:space="0" w:color="auto"/>
        <w:bottom w:val="none" w:sz="0" w:space="0" w:color="auto"/>
        <w:right w:val="none" w:sz="0" w:space="0" w:color="auto"/>
      </w:divBdr>
    </w:div>
    <w:div w:id="64690813">
      <w:marLeft w:val="0"/>
      <w:marRight w:val="0"/>
      <w:marTop w:val="100"/>
      <w:marBottom w:val="0"/>
      <w:divBdr>
        <w:top w:val="none" w:sz="0" w:space="0" w:color="auto"/>
        <w:left w:val="none" w:sz="0" w:space="0" w:color="auto"/>
        <w:bottom w:val="none" w:sz="0" w:space="0" w:color="auto"/>
        <w:right w:val="none" w:sz="0" w:space="0" w:color="auto"/>
      </w:divBdr>
    </w:div>
    <w:div w:id="70393645">
      <w:marLeft w:val="0"/>
      <w:marRight w:val="0"/>
      <w:marTop w:val="0"/>
      <w:marBottom w:val="0"/>
      <w:divBdr>
        <w:top w:val="none" w:sz="0" w:space="0" w:color="auto"/>
        <w:left w:val="none" w:sz="0" w:space="0" w:color="auto"/>
        <w:bottom w:val="none" w:sz="0" w:space="0" w:color="auto"/>
        <w:right w:val="none" w:sz="0" w:space="0" w:color="auto"/>
      </w:divBdr>
    </w:div>
    <w:div w:id="70393665">
      <w:marLeft w:val="0"/>
      <w:marRight w:val="0"/>
      <w:marTop w:val="0"/>
      <w:marBottom w:val="0"/>
      <w:divBdr>
        <w:top w:val="none" w:sz="0" w:space="0" w:color="auto"/>
        <w:left w:val="none" w:sz="0" w:space="0" w:color="auto"/>
        <w:bottom w:val="none" w:sz="0" w:space="0" w:color="auto"/>
        <w:right w:val="none" w:sz="0" w:space="0" w:color="auto"/>
      </w:divBdr>
    </w:div>
    <w:div w:id="72971186">
      <w:marLeft w:val="0"/>
      <w:marRight w:val="0"/>
      <w:marTop w:val="100"/>
      <w:marBottom w:val="0"/>
      <w:divBdr>
        <w:top w:val="none" w:sz="0" w:space="0" w:color="auto"/>
        <w:left w:val="none" w:sz="0" w:space="0" w:color="auto"/>
        <w:bottom w:val="none" w:sz="0" w:space="0" w:color="auto"/>
        <w:right w:val="none" w:sz="0" w:space="0" w:color="auto"/>
      </w:divBdr>
    </w:div>
    <w:div w:id="73167958">
      <w:marLeft w:val="0"/>
      <w:marRight w:val="0"/>
      <w:marTop w:val="100"/>
      <w:marBottom w:val="0"/>
      <w:divBdr>
        <w:top w:val="none" w:sz="0" w:space="0" w:color="auto"/>
        <w:left w:val="none" w:sz="0" w:space="0" w:color="auto"/>
        <w:bottom w:val="none" w:sz="0" w:space="0" w:color="auto"/>
        <w:right w:val="none" w:sz="0" w:space="0" w:color="auto"/>
      </w:divBdr>
    </w:div>
    <w:div w:id="74520188">
      <w:marLeft w:val="0"/>
      <w:marRight w:val="0"/>
      <w:marTop w:val="100"/>
      <w:marBottom w:val="0"/>
      <w:divBdr>
        <w:top w:val="none" w:sz="0" w:space="0" w:color="auto"/>
        <w:left w:val="none" w:sz="0" w:space="0" w:color="auto"/>
        <w:bottom w:val="none" w:sz="0" w:space="0" w:color="auto"/>
        <w:right w:val="none" w:sz="0" w:space="0" w:color="auto"/>
      </w:divBdr>
    </w:div>
    <w:div w:id="77294017">
      <w:marLeft w:val="0"/>
      <w:marRight w:val="0"/>
      <w:marTop w:val="90"/>
      <w:marBottom w:val="0"/>
      <w:divBdr>
        <w:top w:val="none" w:sz="0" w:space="0" w:color="auto"/>
        <w:left w:val="none" w:sz="0" w:space="0" w:color="auto"/>
        <w:bottom w:val="none" w:sz="0" w:space="0" w:color="auto"/>
        <w:right w:val="none" w:sz="0" w:space="0" w:color="auto"/>
      </w:divBdr>
    </w:div>
    <w:div w:id="84234764">
      <w:marLeft w:val="0"/>
      <w:marRight w:val="0"/>
      <w:marTop w:val="180"/>
      <w:marBottom w:val="0"/>
      <w:divBdr>
        <w:top w:val="none" w:sz="0" w:space="0" w:color="auto"/>
        <w:left w:val="none" w:sz="0" w:space="0" w:color="auto"/>
        <w:bottom w:val="none" w:sz="0" w:space="0" w:color="auto"/>
        <w:right w:val="none" w:sz="0" w:space="0" w:color="auto"/>
      </w:divBdr>
    </w:div>
    <w:div w:id="84963331">
      <w:marLeft w:val="0"/>
      <w:marRight w:val="0"/>
      <w:marTop w:val="0"/>
      <w:marBottom w:val="0"/>
      <w:divBdr>
        <w:top w:val="none" w:sz="0" w:space="0" w:color="auto"/>
        <w:left w:val="none" w:sz="0" w:space="0" w:color="auto"/>
        <w:bottom w:val="none" w:sz="0" w:space="0" w:color="auto"/>
        <w:right w:val="none" w:sz="0" w:space="0" w:color="auto"/>
      </w:divBdr>
      <w:divsChild>
        <w:div w:id="1887644905">
          <w:marLeft w:val="0"/>
          <w:marRight w:val="0"/>
          <w:marTop w:val="0"/>
          <w:marBottom w:val="0"/>
          <w:divBdr>
            <w:top w:val="none" w:sz="0" w:space="0" w:color="auto"/>
            <w:left w:val="none" w:sz="0" w:space="0" w:color="auto"/>
            <w:bottom w:val="none" w:sz="0" w:space="0" w:color="auto"/>
            <w:right w:val="none" w:sz="0" w:space="0" w:color="auto"/>
          </w:divBdr>
        </w:div>
      </w:divsChild>
    </w:div>
    <w:div w:id="85271797">
      <w:marLeft w:val="0"/>
      <w:marRight w:val="0"/>
      <w:marTop w:val="100"/>
      <w:marBottom w:val="0"/>
      <w:divBdr>
        <w:top w:val="none" w:sz="0" w:space="0" w:color="auto"/>
        <w:left w:val="none" w:sz="0" w:space="0" w:color="auto"/>
        <w:bottom w:val="none" w:sz="0" w:space="0" w:color="auto"/>
        <w:right w:val="none" w:sz="0" w:space="0" w:color="auto"/>
      </w:divBdr>
    </w:div>
    <w:div w:id="87384021">
      <w:marLeft w:val="0"/>
      <w:marRight w:val="0"/>
      <w:marTop w:val="100"/>
      <w:marBottom w:val="160"/>
      <w:divBdr>
        <w:top w:val="none" w:sz="0" w:space="0" w:color="auto"/>
        <w:left w:val="none" w:sz="0" w:space="0" w:color="auto"/>
        <w:bottom w:val="none" w:sz="0" w:space="0" w:color="auto"/>
        <w:right w:val="none" w:sz="0" w:space="0" w:color="auto"/>
      </w:divBdr>
    </w:div>
    <w:div w:id="88820407">
      <w:marLeft w:val="0"/>
      <w:marRight w:val="0"/>
      <w:marTop w:val="0"/>
      <w:marBottom w:val="0"/>
      <w:divBdr>
        <w:top w:val="none" w:sz="0" w:space="0" w:color="auto"/>
        <w:left w:val="none" w:sz="0" w:space="0" w:color="auto"/>
        <w:bottom w:val="none" w:sz="0" w:space="0" w:color="auto"/>
        <w:right w:val="none" w:sz="0" w:space="0" w:color="auto"/>
      </w:divBdr>
      <w:divsChild>
        <w:div w:id="1015300961">
          <w:marLeft w:val="0"/>
          <w:marRight w:val="0"/>
          <w:marTop w:val="100"/>
          <w:marBottom w:val="0"/>
          <w:divBdr>
            <w:top w:val="none" w:sz="0" w:space="0" w:color="auto"/>
            <w:left w:val="none" w:sz="0" w:space="0" w:color="auto"/>
            <w:bottom w:val="none" w:sz="0" w:space="0" w:color="auto"/>
            <w:right w:val="none" w:sz="0" w:space="0" w:color="auto"/>
          </w:divBdr>
        </w:div>
      </w:divsChild>
    </w:div>
    <w:div w:id="91557929">
      <w:marLeft w:val="0"/>
      <w:marRight w:val="0"/>
      <w:marTop w:val="100"/>
      <w:marBottom w:val="0"/>
      <w:divBdr>
        <w:top w:val="none" w:sz="0" w:space="0" w:color="auto"/>
        <w:left w:val="none" w:sz="0" w:space="0" w:color="auto"/>
        <w:bottom w:val="none" w:sz="0" w:space="0" w:color="auto"/>
        <w:right w:val="none" w:sz="0" w:space="0" w:color="auto"/>
      </w:divBdr>
    </w:div>
    <w:div w:id="92286038">
      <w:marLeft w:val="0"/>
      <w:marRight w:val="0"/>
      <w:marTop w:val="0"/>
      <w:marBottom w:val="0"/>
      <w:divBdr>
        <w:top w:val="none" w:sz="0" w:space="0" w:color="auto"/>
        <w:left w:val="none" w:sz="0" w:space="0" w:color="auto"/>
        <w:bottom w:val="none" w:sz="0" w:space="0" w:color="auto"/>
        <w:right w:val="none" w:sz="0" w:space="0" w:color="auto"/>
      </w:divBdr>
    </w:div>
    <w:div w:id="92627134">
      <w:marLeft w:val="0"/>
      <w:marRight w:val="0"/>
      <w:marTop w:val="0"/>
      <w:marBottom w:val="0"/>
      <w:divBdr>
        <w:top w:val="none" w:sz="0" w:space="0" w:color="auto"/>
        <w:left w:val="none" w:sz="0" w:space="0" w:color="auto"/>
        <w:bottom w:val="none" w:sz="0" w:space="0" w:color="auto"/>
        <w:right w:val="none" w:sz="0" w:space="0" w:color="auto"/>
      </w:divBdr>
      <w:divsChild>
        <w:div w:id="1201824068">
          <w:marLeft w:val="0"/>
          <w:marRight w:val="0"/>
          <w:marTop w:val="0"/>
          <w:marBottom w:val="0"/>
          <w:divBdr>
            <w:top w:val="none" w:sz="0" w:space="0" w:color="auto"/>
            <w:left w:val="none" w:sz="0" w:space="0" w:color="auto"/>
            <w:bottom w:val="none" w:sz="0" w:space="0" w:color="auto"/>
            <w:right w:val="none" w:sz="0" w:space="0" w:color="auto"/>
          </w:divBdr>
        </w:div>
      </w:divsChild>
    </w:div>
    <w:div w:id="93941620">
      <w:marLeft w:val="0"/>
      <w:marRight w:val="0"/>
      <w:marTop w:val="100"/>
      <w:marBottom w:val="0"/>
      <w:divBdr>
        <w:top w:val="none" w:sz="0" w:space="0" w:color="auto"/>
        <w:left w:val="none" w:sz="0" w:space="0" w:color="auto"/>
        <w:bottom w:val="none" w:sz="0" w:space="0" w:color="auto"/>
        <w:right w:val="none" w:sz="0" w:space="0" w:color="auto"/>
      </w:divBdr>
    </w:div>
    <w:div w:id="94254713">
      <w:marLeft w:val="0"/>
      <w:marRight w:val="0"/>
      <w:marTop w:val="0"/>
      <w:marBottom w:val="0"/>
      <w:divBdr>
        <w:top w:val="none" w:sz="0" w:space="0" w:color="auto"/>
        <w:left w:val="none" w:sz="0" w:space="0" w:color="auto"/>
        <w:bottom w:val="none" w:sz="0" w:space="0" w:color="auto"/>
        <w:right w:val="none" w:sz="0" w:space="0" w:color="auto"/>
      </w:divBdr>
    </w:div>
    <w:div w:id="96751090">
      <w:marLeft w:val="0"/>
      <w:marRight w:val="0"/>
      <w:marTop w:val="100"/>
      <w:marBottom w:val="0"/>
      <w:divBdr>
        <w:top w:val="none" w:sz="0" w:space="0" w:color="auto"/>
        <w:left w:val="none" w:sz="0" w:space="0" w:color="auto"/>
        <w:bottom w:val="none" w:sz="0" w:space="0" w:color="auto"/>
        <w:right w:val="none" w:sz="0" w:space="0" w:color="auto"/>
      </w:divBdr>
    </w:div>
    <w:div w:id="97678446">
      <w:marLeft w:val="0"/>
      <w:marRight w:val="0"/>
      <w:marTop w:val="100"/>
      <w:marBottom w:val="0"/>
      <w:divBdr>
        <w:top w:val="none" w:sz="0" w:space="0" w:color="auto"/>
        <w:left w:val="none" w:sz="0" w:space="0" w:color="auto"/>
        <w:bottom w:val="none" w:sz="0" w:space="0" w:color="auto"/>
        <w:right w:val="none" w:sz="0" w:space="0" w:color="auto"/>
      </w:divBdr>
    </w:div>
    <w:div w:id="101651828">
      <w:marLeft w:val="0"/>
      <w:marRight w:val="0"/>
      <w:marTop w:val="100"/>
      <w:marBottom w:val="0"/>
      <w:divBdr>
        <w:top w:val="none" w:sz="0" w:space="0" w:color="auto"/>
        <w:left w:val="none" w:sz="0" w:space="0" w:color="auto"/>
        <w:bottom w:val="none" w:sz="0" w:space="0" w:color="auto"/>
        <w:right w:val="none" w:sz="0" w:space="0" w:color="auto"/>
      </w:divBdr>
    </w:div>
    <w:div w:id="103624524">
      <w:marLeft w:val="0"/>
      <w:marRight w:val="0"/>
      <w:marTop w:val="0"/>
      <w:marBottom w:val="0"/>
      <w:divBdr>
        <w:top w:val="none" w:sz="0" w:space="0" w:color="auto"/>
        <w:left w:val="none" w:sz="0" w:space="0" w:color="auto"/>
        <w:bottom w:val="none" w:sz="0" w:space="0" w:color="auto"/>
        <w:right w:val="none" w:sz="0" w:space="0" w:color="auto"/>
      </w:divBdr>
      <w:divsChild>
        <w:div w:id="1573465221">
          <w:marLeft w:val="0"/>
          <w:marRight w:val="0"/>
          <w:marTop w:val="0"/>
          <w:marBottom w:val="0"/>
          <w:divBdr>
            <w:top w:val="none" w:sz="0" w:space="0" w:color="auto"/>
            <w:left w:val="none" w:sz="0" w:space="0" w:color="auto"/>
            <w:bottom w:val="none" w:sz="0" w:space="0" w:color="auto"/>
            <w:right w:val="none" w:sz="0" w:space="0" w:color="auto"/>
          </w:divBdr>
        </w:div>
      </w:divsChild>
    </w:div>
    <w:div w:id="105739768">
      <w:marLeft w:val="0"/>
      <w:marRight w:val="0"/>
      <w:marTop w:val="100"/>
      <w:marBottom w:val="0"/>
      <w:divBdr>
        <w:top w:val="none" w:sz="0" w:space="0" w:color="auto"/>
        <w:left w:val="none" w:sz="0" w:space="0" w:color="auto"/>
        <w:bottom w:val="none" w:sz="0" w:space="0" w:color="auto"/>
        <w:right w:val="none" w:sz="0" w:space="0" w:color="auto"/>
      </w:divBdr>
    </w:div>
    <w:div w:id="113914979">
      <w:marLeft w:val="0"/>
      <w:marRight w:val="0"/>
      <w:marTop w:val="100"/>
      <w:marBottom w:val="0"/>
      <w:divBdr>
        <w:top w:val="none" w:sz="0" w:space="0" w:color="auto"/>
        <w:left w:val="none" w:sz="0" w:space="0" w:color="auto"/>
        <w:bottom w:val="none" w:sz="0" w:space="0" w:color="auto"/>
        <w:right w:val="none" w:sz="0" w:space="0" w:color="auto"/>
      </w:divBdr>
    </w:div>
    <w:div w:id="119231641">
      <w:marLeft w:val="0"/>
      <w:marRight w:val="0"/>
      <w:marTop w:val="100"/>
      <w:marBottom w:val="0"/>
      <w:divBdr>
        <w:top w:val="none" w:sz="0" w:space="0" w:color="auto"/>
        <w:left w:val="none" w:sz="0" w:space="0" w:color="auto"/>
        <w:bottom w:val="none" w:sz="0" w:space="0" w:color="auto"/>
        <w:right w:val="none" w:sz="0" w:space="0" w:color="auto"/>
      </w:divBdr>
    </w:div>
    <w:div w:id="119997449">
      <w:marLeft w:val="0"/>
      <w:marRight w:val="0"/>
      <w:marTop w:val="0"/>
      <w:marBottom w:val="0"/>
      <w:divBdr>
        <w:top w:val="none" w:sz="0" w:space="0" w:color="auto"/>
        <w:left w:val="none" w:sz="0" w:space="0" w:color="auto"/>
        <w:bottom w:val="none" w:sz="0" w:space="0" w:color="auto"/>
        <w:right w:val="none" w:sz="0" w:space="0" w:color="auto"/>
      </w:divBdr>
      <w:divsChild>
        <w:div w:id="1181771877">
          <w:marLeft w:val="0"/>
          <w:marRight w:val="0"/>
          <w:marTop w:val="100"/>
          <w:marBottom w:val="0"/>
          <w:divBdr>
            <w:top w:val="none" w:sz="0" w:space="0" w:color="auto"/>
            <w:left w:val="none" w:sz="0" w:space="0" w:color="auto"/>
            <w:bottom w:val="none" w:sz="0" w:space="0" w:color="auto"/>
            <w:right w:val="none" w:sz="0" w:space="0" w:color="auto"/>
          </w:divBdr>
        </w:div>
      </w:divsChild>
    </w:div>
    <w:div w:id="122817171">
      <w:marLeft w:val="0"/>
      <w:marRight w:val="0"/>
      <w:marTop w:val="0"/>
      <w:marBottom w:val="0"/>
      <w:divBdr>
        <w:top w:val="none" w:sz="0" w:space="0" w:color="auto"/>
        <w:left w:val="none" w:sz="0" w:space="0" w:color="auto"/>
        <w:bottom w:val="none" w:sz="0" w:space="0" w:color="auto"/>
        <w:right w:val="none" w:sz="0" w:space="0" w:color="auto"/>
      </w:divBdr>
    </w:div>
    <w:div w:id="124125319">
      <w:marLeft w:val="0"/>
      <w:marRight w:val="0"/>
      <w:marTop w:val="100"/>
      <w:marBottom w:val="0"/>
      <w:divBdr>
        <w:top w:val="none" w:sz="0" w:space="0" w:color="auto"/>
        <w:left w:val="none" w:sz="0" w:space="0" w:color="auto"/>
        <w:bottom w:val="none" w:sz="0" w:space="0" w:color="auto"/>
        <w:right w:val="none" w:sz="0" w:space="0" w:color="auto"/>
      </w:divBdr>
    </w:div>
    <w:div w:id="125439773">
      <w:marLeft w:val="0"/>
      <w:marRight w:val="0"/>
      <w:marTop w:val="100"/>
      <w:marBottom w:val="0"/>
      <w:divBdr>
        <w:top w:val="none" w:sz="0" w:space="0" w:color="auto"/>
        <w:left w:val="none" w:sz="0" w:space="0" w:color="auto"/>
        <w:bottom w:val="none" w:sz="0" w:space="0" w:color="auto"/>
        <w:right w:val="none" w:sz="0" w:space="0" w:color="auto"/>
      </w:divBdr>
    </w:div>
    <w:div w:id="127555466">
      <w:marLeft w:val="0"/>
      <w:marRight w:val="0"/>
      <w:marTop w:val="100"/>
      <w:marBottom w:val="0"/>
      <w:divBdr>
        <w:top w:val="none" w:sz="0" w:space="0" w:color="auto"/>
        <w:left w:val="none" w:sz="0" w:space="0" w:color="auto"/>
        <w:bottom w:val="none" w:sz="0" w:space="0" w:color="auto"/>
        <w:right w:val="none" w:sz="0" w:space="0" w:color="auto"/>
      </w:divBdr>
    </w:div>
    <w:div w:id="128406107">
      <w:marLeft w:val="0"/>
      <w:marRight w:val="0"/>
      <w:marTop w:val="180"/>
      <w:marBottom w:val="0"/>
      <w:divBdr>
        <w:top w:val="none" w:sz="0" w:space="0" w:color="auto"/>
        <w:left w:val="none" w:sz="0" w:space="0" w:color="auto"/>
        <w:bottom w:val="none" w:sz="0" w:space="0" w:color="auto"/>
        <w:right w:val="none" w:sz="0" w:space="0" w:color="auto"/>
      </w:divBdr>
    </w:div>
    <w:div w:id="129133990">
      <w:marLeft w:val="0"/>
      <w:marRight w:val="0"/>
      <w:marTop w:val="100"/>
      <w:marBottom w:val="0"/>
      <w:divBdr>
        <w:top w:val="none" w:sz="0" w:space="0" w:color="auto"/>
        <w:left w:val="none" w:sz="0" w:space="0" w:color="auto"/>
        <w:bottom w:val="none" w:sz="0" w:space="0" w:color="auto"/>
        <w:right w:val="none" w:sz="0" w:space="0" w:color="auto"/>
      </w:divBdr>
    </w:div>
    <w:div w:id="134953310">
      <w:marLeft w:val="0"/>
      <w:marRight w:val="0"/>
      <w:marTop w:val="100"/>
      <w:marBottom w:val="0"/>
      <w:divBdr>
        <w:top w:val="none" w:sz="0" w:space="0" w:color="auto"/>
        <w:left w:val="none" w:sz="0" w:space="0" w:color="auto"/>
        <w:bottom w:val="none" w:sz="0" w:space="0" w:color="auto"/>
        <w:right w:val="none" w:sz="0" w:space="0" w:color="auto"/>
      </w:divBdr>
    </w:div>
    <w:div w:id="136149042">
      <w:marLeft w:val="0"/>
      <w:marRight w:val="0"/>
      <w:marTop w:val="180"/>
      <w:marBottom w:val="0"/>
      <w:divBdr>
        <w:top w:val="none" w:sz="0" w:space="0" w:color="auto"/>
        <w:left w:val="none" w:sz="0" w:space="0" w:color="auto"/>
        <w:bottom w:val="none" w:sz="0" w:space="0" w:color="auto"/>
        <w:right w:val="none" w:sz="0" w:space="0" w:color="auto"/>
      </w:divBdr>
    </w:div>
    <w:div w:id="144053047">
      <w:marLeft w:val="0"/>
      <w:marRight w:val="0"/>
      <w:marTop w:val="0"/>
      <w:marBottom w:val="0"/>
      <w:divBdr>
        <w:top w:val="none" w:sz="0" w:space="0" w:color="auto"/>
        <w:left w:val="none" w:sz="0" w:space="0" w:color="auto"/>
        <w:bottom w:val="none" w:sz="0" w:space="0" w:color="auto"/>
        <w:right w:val="none" w:sz="0" w:space="0" w:color="auto"/>
      </w:divBdr>
      <w:divsChild>
        <w:div w:id="1637880146">
          <w:marLeft w:val="0"/>
          <w:marRight w:val="0"/>
          <w:marTop w:val="0"/>
          <w:marBottom w:val="0"/>
          <w:divBdr>
            <w:top w:val="none" w:sz="0" w:space="0" w:color="auto"/>
            <w:left w:val="none" w:sz="0" w:space="0" w:color="auto"/>
            <w:bottom w:val="none" w:sz="0" w:space="0" w:color="auto"/>
            <w:right w:val="none" w:sz="0" w:space="0" w:color="auto"/>
          </w:divBdr>
        </w:div>
      </w:divsChild>
    </w:div>
    <w:div w:id="147207166">
      <w:marLeft w:val="0"/>
      <w:marRight w:val="0"/>
      <w:marTop w:val="180"/>
      <w:marBottom w:val="0"/>
      <w:divBdr>
        <w:top w:val="none" w:sz="0" w:space="0" w:color="auto"/>
        <w:left w:val="none" w:sz="0" w:space="0" w:color="auto"/>
        <w:bottom w:val="none" w:sz="0" w:space="0" w:color="auto"/>
        <w:right w:val="none" w:sz="0" w:space="0" w:color="auto"/>
      </w:divBdr>
    </w:div>
    <w:div w:id="156924324">
      <w:marLeft w:val="0"/>
      <w:marRight w:val="0"/>
      <w:marTop w:val="100"/>
      <w:marBottom w:val="0"/>
      <w:divBdr>
        <w:top w:val="none" w:sz="0" w:space="0" w:color="auto"/>
        <w:left w:val="none" w:sz="0" w:space="0" w:color="auto"/>
        <w:bottom w:val="none" w:sz="0" w:space="0" w:color="auto"/>
        <w:right w:val="none" w:sz="0" w:space="0" w:color="auto"/>
      </w:divBdr>
    </w:div>
    <w:div w:id="161707254">
      <w:marLeft w:val="0"/>
      <w:marRight w:val="0"/>
      <w:marTop w:val="0"/>
      <w:marBottom w:val="0"/>
      <w:divBdr>
        <w:top w:val="none" w:sz="0" w:space="0" w:color="auto"/>
        <w:left w:val="none" w:sz="0" w:space="0" w:color="auto"/>
        <w:bottom w:val="none" w:sz="0" w:space="0" w:color="auto"/>
        <w:right w:val="none" w:sz="0" w:space="0" w:color="auto"/>
      </w:divBdr>
    </w:div>
    <w:div w:id="167141072">
      <w:marLeft w:val="0"/>
      <w:marRight w:val="0"/>
      <w:marTop w:val="100"/>
      <w:marBottom w:val="0"/>
      <w:divBdr>
        <w:top w:val="none" w:sz="0" w:space="0" w:color="auto"/>
        <w:left w:val="none" w:sz="0" w:space="0" w:color="auto"/>
        <w:bottom w:val="none" w:sz="0" w:space="0" w:color="auto"/>
        <w:right w:val="none" w:sz="0" w:space="0" w:color="auto"/>
      </w:divBdr>
    </w:div>
    <w:div w:id="170919243">
      <w:marLeft w:val="0"/>
      <w:marRight w:val="0"/>
      <w:marTop w:val="0"/>
      <w:marBottom w:val="0"/>
      <w:divBdr>
        <w:top w:val="none" w:sz="0" w:space="0" w:color="auto"/>
        <w:left w:val="none" w:sz="0" w:space="0" w:color="auto"/>
        <w:bottom w:val="none" w:sz="0" w:space="0" w:color="auto"/>
        <w:right w:val="none" w:sz="0" w:space="0" w:color="auto"/>
      </w:divBdr>
    </w:div>
    <w:div w:id="173960436">
      <w:marLeft w:val="0"/>
      <w:marRight w:val="0"/>
      <w:marTop w:val="100"/>
      <w:marBottom w:val="0"/>
      <w:divBdr>
        <w:top w:val="none" w:sz="0" w:space="0" w:color="auto"/>
        <w:left w:val="none" w:sz="0" w:space="0" w:color="auto"/>
        <w:bottom w:val="none" w:sz="0" w:space="0" w:color="auto"/>
        <w:right w:val="none" w:sz="0" w:space="0" w:color="auto"/>
      </w:divBdr>
    </w:div>
    <w:div w:id="177276536">
      <w:marLeft w:val="0"/>
      <w:marRight w:val="0"/>
      <w:marTop w:val="100"/>
      <w:marBottom w:val="0"/>
      <w:divBdr>
        <w:top w:val="none" w:sz="0" w:space="0" w:color="auto"/>
        <w:left w:val="none" w:sz="0" w:space="0" w:color="auto"/>
        <w:bottom w:val="none" w:sz="0" w:space="0" w:color="auto"/>
        <w:right w:val="none" w:sz="0" w:space="0" w:color="auto"/>
      </w:divBdr>
    </w:div>
    <w:div w:id="184052901">
      <w:marLeft w:val="0"/>
      <w:marRight w:val="0"/>
      <w:marTop w:val="0"/>
      <w:marBottom w:val="0"/>
      <w:divBdr>
        <w:top w:val="none" w:sz="0" w:space="0" w:color="auto"/>
        <w:left w:val="none" w:sz="0" w:space="0" w:color="auto"/>
        <w:bottom w:val="none" w:sz="0" w:space="0" w:color="auto"/>
        <w:right w:val="none" w:sz="0" w:space="0" w:color="auto"/>
      </w:divBdr>
    </w:div>
    <w:div w:id="185561458">
      <w:marLeft w:val="0"/>
      <w:marRight w:val="0"/>
      <w:marTop w:val="160"/>
      <w:marBottom w:val="0"/>
      <w:divBdr>
        <w:top w:val="none" w:sz="0" w:space="0" w:color="auto"/>
        <w:left w:val="none" w:sz="0" w:space="0" w:color="auto"/>
        <w:bottom w:val="none" w:sz="0" w:space="0" w:color="auto"/>
        <w:right w:val="none" w:sz="0" w:space="0" w:color="auto"/>
      </w:divBdr>
    </w:div>
    <w:div w:id="185677420">
      <w:marLeft w:val="0"/>
      <w:marRight w:val="0"/>
      <w:marTop w:val="180"/>
      <w:marBottom w:val="0"/>
      <w:divBdr>
        <w:top w:val="none" w:sz="0" w:space="0" w:color="auto"/>
        <w:left w:val="none" w:sz="0" w:space="0" w:color="auto"/>
        <w:bottom w:val="none" w:sz="0" w:space="0" w:color="auto"/>
        <w:right w:val="none" w:sz="0" w:space="0" w:color="auto"/>
      </w:divBdr>
    </w:div>
    <w:div w:id="189996153">
      <w:marLeft w:val="0"/>
      <w:marRight w:val="0"/>
      <w:marTop w:val="100"/>
      <w:marBottom w:val="0"/>
      <w:divBdr>
        <w:top w:val="none" w:sz="0" w:space="0" w:color="auto"/>
        <w:left w:val="none" w:sz="0" w:space="0" w:color="auto"/>
        <w:bottom w:val="none" w:sz="0" w:space="0" w:color="auto"/>
        <w:right w:val="none" w:sz="0" w:space="0" w:color="auto"/>
      </w:divBdr>
    </w:div>
    <w:div w:id="191190060">
      <w:marLeft w:val="0"/>
      <w:marRight w:val="0"/>
      <w:marTop w:val="0"/>
      <w:marBottom w:val="0"/>
      <w:divBdr>
        <w:top w:val="none" w:sz="0" w:space="0" w:color="auto"/>
        <w:left w:val="none" w:sz="0" w:space="0" w:color="auto"/>
        <w:bottom w:val="none" w:sz="0" w:space="0" w:color="auto"/>
        <w:right w:val="none" w:sz="0" w:space="0" w:color="auto"/>
      </w:divBdr>
    </w:div>
    <w:div w:id="195239857">
      <w:marLeft w:val="0"/>
      <w:marRight w:val="0"/>
      <w:marTop w:val="100"/>
      <w:marBottom w:val="0"/>
      <w:divBdr>
        <w:top w:val="none" w:sz="0" w:space="0" w:color="auto"/>
        <w:left w:val="none" w:sz="0" w:space="0" w:color="auto"/>
        <w:bottom w:val="none" w:sz="0" w:space="0" w:color="auto"/>
        <w:right w:val="none" w:sz="0" w:space="0" w:color="auto"/>
      </w:divBdr>
    </w:div>
    <w:div w:id="195821633">
      <w:marLeft w:val="0"/>
      <w:marRight w:val="0"/>
      <w:marTop w:val="180"/>
      <w:marBottom w:val="0"/>
      <w:divBdr>
        <w:top w:val="none" w:sz="0" w:space="0" w:color="auto"/>
        <w:left w:val="none" w:sz="0" w:space="0" w:color="auto"/>
        <w:bottom w:val="none" w:sz="0" w:space="0" w:color="auto"/>
        <w:right w:val="none" w:sz="0" w:space="0" w:color="auto"/>
      </w:divBdr>
    </w:div>
    <w:div w:id="195893197">
      <w:marLeft w:val="0"/>
      <w:marRight w:val="0"/>
      <w:marTop w:val="0"/>
      <w:marBottom w:val="0"/>
      <w:divBdr>
        <w:top w:val="none" w:sz="0" w:space="0" w:color="auto"/>
        <w:left w:val="none" w:sz="0" w:space="0" w:color="auto"/>
        <w:bottom w:val="none" w:sz="0" w:space="0" w:color="auto"/>
        <w:right w:val="none" w:sz="0" w:space="0" w:color="auto"/>
      </w:divBdr>
      <w:divsChild>
        <w:div w:id="1663854406">
          <w:marLeft w:val="0"/>
          <w:marRight w:val="0"/>
          <w:marTop w:val="0"/>
          <w:marBottom w:val="0"/>
          <w:divBdr>
            <w:top w:val="none" w:sz="0" w:space="0" w:color="auto"/>
            <w:left w:val="none" w:sz="0" w:space="0" w:color="auto"/>
            <w:bottom w:val="none" w:sz="0" w:space="0" w:color="auto"/>
            <w:right w:val="none" w:sz="0" w:space="0" w:color="auto"/>
          </w:divBdr>
        </w:div>
      </w:divsChild>
    </w:div>
    <w:div w:id="196164649">
      <w:marLeft w:val="0"/>
      <w:marRight w:val="0"/>
      <w:marTop w:val="100"/>
      <w:marBottom w:val="0"/>
      <w:divBdr>
        <w:top w:val="none" w:sz="0" w:space="0" w:color="auto"/>
        <w:left w:val="none" w:sz="0" w:space="0" w:color="auto"/>
        <w:bottom w:val="none" w:sz="0" w:space="0" w:color="auto"/>
        <w:right w:val="none" w:sz="0" w:space="0" w:color="auto"/>
      </w:divBdr>
    </w:div>
    <w:div w:id="198974411">
      <w:marLeft w:val="0"/>
      <w:marRight w:val="0"/>
      <w:marTop w:val="0"/>
      <w:marBottom w:val="0"/>
      <w:divBdr>
        <w:top w:val="none" w:sz="0" w:space="0" w:color="auto"/>
        <w:left w:val="none" w:sz="0" w:space="0" w:color="auto"/>
        <w:bottom w:val="none" w:sz="0" w:space="0" w:color="auto"/>
        <w:right w:val="none" w:sz="0" w:space="0" w:color="auto"/>
      </w:divBdr>
      <w:divsChild>
        <w:div w:id="258687391">
          <w:marLeft w:val="0"/>
          <w:marRight w:val="0"/>
          <w:marTop w:val="100"/>
          <w:marBottom w:val="0"/>
          <w:divBdr>
            <w:top w:val="none" w:sz="0" w:space="0" w:color="auto"/>
            <w:left w:val="none" w:sz="0" w:space="0" w:color="auto"/>
            <w:bottom w:val="none" w:sz="0" w:space="0" w:color="auto"/>
            <w:right w:val="none" w:sz="0" w:space="0" w:color="auto"/>
          </w:divBdr>
        </w:div>
      </w:divsChild>
    </w:div>
    <w:div w:id="206259885">
      <w:marLeft w:val="0"/>
      <w:marRight w:val="0"/>
      <w:marTop w:val="100"/>
      <w:marBottom w:val="0"/>
      <w:divBdr>
        <w:top w:val="none" w:sz="0" w:space="0" w:color="auto"/>
        <w:left w:val="none" w:sz="0" w:space="0" w:color="auto"/>
        <w:bottom w:val="none" w:sz="0" w:space="0" w:color="auto"/>
        <w:right w:val="none" w:sz="0" w:space="0" w:color="auto"/>
      </w:divBdr>
    </w:div>
    <w:div w:id="208419938">
      <w:marLeft w:val="0"/>
      <w:marRight w:val="0"/>
      <w:marTop w:val="100"/>
      <w:marBottom w:val="0"/>
      <w:divBdr>
        <w:top w:val="none" w:sz="0" w:space="0" w:color="auto"/>
        <w:left w:val="none" w:sz="0" w:space="0" w:color="auto"/>
        <w:bottom w:val="none" w:sz="0" w:space="0" w:color="auto"/>
        <w:right w:val="none" w:sz="0" w:space="0" w:color="auto"/>
      </w:divBdr>
    </w:div>
    <w:div w:id="208617826">
      <w:marLeft w:val="0"/>
      <w:marRight w:val="0"/>
      <w:marTop w:val="0"/>
      <w:marBottom w:val="0"/>
      <w:divBdr>
        <w:top w:val="none" w:sz="0" w:space="0" w:color="auto"/>
        <w:left w:val="none" w:sz="0" w:space="0" w:color="auto"/>
        <w:bottom w:val="none" w:sz="0" w:space="0" w:color="auto"/>
        <w:right w:val="none" w:sz="0" w:space="0" w:color="auto"/>
      </w:divBdr>
    </w:div>
    <w:div w:id="210314249">
      <w:marLeft w:val="0"/>
      <w:marRight w:val="0"/>
      <w:marTop w:val="100"/>
      <w:marBottom w:val="100"/>
      <w:divBdr>
        <w:top w:val="none" w:sz="0" w:space="0" w:color="auto"/>
        <w:left w:val="none" w:sz="0" w:space="0" w:color="auto"/>
        <w:bottom w:val="none" w:sz="0" w:space="0" w:color="auto"/>
        <w:right w:val="none" w:sz="0" w:space="0" w:color="auto"/>
      </w:divBdr>
      <w:divsChild>
        <w:div w:id="436295115">
          <w:marLeft w:val="0"/>
          <w:marRight w:val="0"/>
          <w:marTop w:val="0"/>
          <w:marBottom w:val="0"/>
          <w:divBdr>
            <w:top w:val="none" w:sz="0" w:space="0" w:color="auto"/>
            <w:left w:val="none" w:sz="0" w:space="0" w:color="auto"/>
            <w:bottom w:val="none" w:sz="0" w:space="0" w:color="auto"/>
            <w:right w:val="none" w:sz="0" w:space="0" w:color="auto"/>
          </w:divBdr>
        </w:div>
        <w:div w:id="1945729206">
          <w:marLeft w:val="0"/>
          <w:marRight w:val="0"/>
          <w:marTop w:val="0"/>
          <w:marBottom w:val="0"/>
          <w:divBdr>
            <w:top w:val="none" w:sz="0" w:space="0" w:color="auto"/>
            <w:left w:val="none" w:sz="0" w:space="0" w:color="auto"/>
            <w:bottom w:val="none" w:sz="0" w:space="0" w:color="auto"/>
            <w:right w:val="none" w:sz="0" w:space="0" w:color="auto"/>
          </w:divBdr>
        </w:div>
        <w:div w:id="144050756">
          <w:marLeft w:val="0"/>
          <w:marRight w:val="0"/>
          <w:marTop w:val="0"/>
          <w:marBottom w:val="0"/>
          <w:divBdr>
            <w:top w:val="none" w:sz="0" w:space="0" w:color="auto"/>
            <w:left w:val="none" w:sz="0" w:space="0" w:color="auto"/>
            <w:bottom w:val="none" w:sz="0" w:space="0" w:color="auto"/>
            <w:right w:val="none" w:sz="0" w:space="0" w:color="auto"/>
          </w:divBdr>
        </w:div>
        <w:div w:id="1865316461">
          <w:marLeft w:val="0"/>
          <w:marRight w:val="0"/>
          <w:marTop w:val="0"/>
          <w:marBottom w:val="0"/>
          <w:divBdr>
            <w:top w:val="none" w:sz="0" w:space="0" w:color="auto"/>
            <w:left w:val="none" w:sz="0" w:space="0" w:color="auto"/>
            <w:bottom w:val="none" w:sz="0" w:space="0" w:color="auto"/>
            <w:right w:val="none" w:sz="0" w:space="0" w:color="auto"/>
          </w:divBdr>
        </w:div>
        <w:div w:id="502278398">
          <w:marLeft w:val="0"/>
          <w:marRight w:val="0"/>
          <w:marTop w:val="0"/>
          <w:marBottom w:val="0"/>
          <w:divBdr>
            <w:top w:val="none" w:sz="0" w:space="0" w:color="auto"/>
            <w:left w:val="none" w:sz="0" w:space="0" w:color="auto"/>
            <w:bottom w:val="none" w:sz="0" w:space="0" w:color="auto"/>
            <w:right w:val="none" w:sz="0" w:space="0" w:color="auto"/>
          </w:divBdr>
        </w:div>
        <w:div w:id="584267083">
          <w:marLeft w:val="0"/>
          <w:marRight w:val="0"/>
          <w:marTop w:val="0"/>
          <w:marBottom w:val="0"/>
          <w:divBdr>
            <w:top w:val="none" w:sz="0" w:space="0" w:color="auto"/>
            <w:left w:val="none" w:sz="0" w:space="0" w:color="auto"/>
            <w:bottom w:val="none" w:sz="0" w:space="0" w:color="auto"/>
            <w:right w:val="none" w:sz="0" w:space="0" w:color="auto"/>
          </w:divBdr>
        </w:div>
      </w:divsChild>
    </w:div>
    <w:div w:id="211577340">
      <w:marLeft w:val="0"/>
      <w:marRight w:val="0"/>
      <w:marTop w:val="160"/>
      <w:marBottom w:val="0"/>
      <w:divBdr>
        <w:top w:val="none" w:sz="0" w:space="0" w:color="auto"/>
        <w:left w:val="none" w:sz="0" w:space="0" w:color="auto"/>
        <w:bottom w:val="none" w:sz="0" w:space="0" w:color="auto"/>
        <w:right w:val="none" w:sz="0" w:space="0" w:color="auto"/>
      </w:divBdr>
    </w:div>
    <w:div w:id="212424672">
      <w:marLeft w:val="0"/>
      <w:marRight w:val="0"/>
      <w:marTop w:val="0"/>
      <w:marBottom w:val="0"/>
      <w:divBdr>
        <w:top w:val="none" w:sz="0" w:space="0" w:color="auto"/>
        <w:left w:val="none" w:sz="0" w:space="0" w:color="auto"/>
        <w:bottom w:val="none" w:sz="0" w:space="0" w:color="auto"/>
        <w:right w:val="none" w:sz="0" w:space="0" w:color="auto"/>
      </w:divBdr>
      <w:divsChild>
        <w:div w:id="1660689764">
          <w:marLeft w:val="0"/>
          <w:marRight w:val="0"/>
          <w:marTop w:val="0"/>
          <w:marBottom w:val="0"/>
          <w:divBdr>
            <w:top w:val="none" w:sz="0" w:space="0" w:color="auto"/>
            <w:left w:val="none" w:sz="0" w:space="0" w:color="auto"/>
            <w:bottom w:val="none" w:sz="0" w:space="0" w:color="auto"/>
            <w:right w:val="none" w:sz="0" w:space="0" w:color="auto"/>
          </w:divBdr>
        </w:div>
      </w:divsChild>
    </w:div>
    <w:div w:id="213196732">
      <w:marLeft w:val="0"/>
      <w:marRight w:val="0"/>
      <w:marTop w:val="180"/>
      <w:marBottom w:val="0"/>
      <w:divBdr>
        <w:top w:val="none" w:sz="0" w:space="0" w:color="auto"/>
        <w:left w:val="none" w:sz="0" w:space="0" w:color="auto"/>
        <w:bottom w:val="none" w:sz="0" w:space="0" w:color="auto"/>
        <w:right w:val="none" w:sz="0" w:space="0" w:color="auto"/>
      </w:divBdr>
    </w:div>
    <w:div w:id="214241689">
      <w:marLeft w:val="0"/>
      <w:marRight w:val="0"/>
      <w:marTop w:val="100"/>
      <w:marBottom w:val="0"/>
      <w:divBdr>
        <w:top w:val="none" w:sz="0" w:space="0" w:color="auto"/>
        <w:left w:val="none" w:sz="0" w:space="0" w:color="auto"/>
        <w:bottom w:val="none" w:sz="0" w:space="0" w:color="auto"/>
        <w:right w:val="none" w:sz="0" w:space="0" w:color="auto"/>
      </w:divBdr>
    </w:div>
    <w:div w:id="217134654">
      <w:marLeft w:val="0"/>
      <w:marRight w:val="0"/>
      <w:marTop w:val="0"/>
      <w:marBottom w:val="0"/>
      <w:divBdr>
        <w:top w:val="none" w:sz="0" w:space="0" w:color="auto"/>
        <w:left w:val="none" w:sz="0" w:space="0" w:color="auto"/>
        <w:bottom w:val="none" w:sz="0" w:space="0" w:color="auto"/>
        <w:right w:val="none" w:sz="0" w:space="0" w:color="auto"/>
      </w:divBdr>
    </w:div>
    <w:div w:id="218058243">
      <w:marLeft w:val="0"/>
      <w:marRight w:val="0"/>
      <w:marTop w:val="0"/>
      <w:marBottom w:val="0"/>
      <w:divBdr>
        <w:top w:val="none" w:sz="0" w:space="0" w:color="auto"/>
        <w:left w:val="none" w:sz="0" w:space="0" w:color="auto"/>
        <w:bottom w:val="none" w:sz="0" w:space="0" w:color="auto"/>
        <w:right w:val="none" w:sz="0" w:space="0" w:color="auto"/>
      </w:divBdr>
      <w:divsChild>
        <w:div w:id="33237259">
          <w:marLeft w:val="0"/>
          <w:marRight w:val="0"/>
          <w:marTop w:val="100"/>
          <w:marBottom w:val="0"/>
          <w:divBdr>
            <w:top w:val="none" w:sz="0" w:space="0" w:color="auto"/>
            <w:left w:val="none" w:sz="0" w:space="0" w:color="auto"/>
            <w:bottom w:val="none" w:sz="0" w:space="0" w:color="auto"/>
            <w:right w:val="none" w:sz="0" w:space="0" w:color="auto"/>
          </w:divBdr>
        </w:div>
      </w:divsChild>
    </w:div>
    <w:div w:id="220212643">
      <w:marLeft w:val="0"/>
      <w:marRight w:val="0"/>
      <w:marTop w:val="100"/>
      <w:marBottom w:val="0"/>
      <w:divBdr>
        <w:top w:val="none" w:sz="0" w:space="0" w:color="auto"/>
        <w:left w:val="none" w:sz="0" w:space="0" w:color="auto"/>
        <w:bottom w:val="none" w:sz="0" w:space="0" w:color="auto"/>
        <w:right w:val="none" w:sz="0" w:space="0" w:color="auto"/>
      </w:divBdr>
    </w:div>
    <w:div w:id="226111393">
      <w:marLeft w:val="0"/>
      <w:marRight w:val="0"/>
      <w:marTop w:val="100"/>
      <w:marBottom w:val="0"/>
      <w:divBdr>
        <w:top w:val="none" w:sz="0" w:space="0" w:color="auto"/>
        <w:left w:val="none" w:sz="0" w:space="0" w:color="auto"/>
        <w:bottom w:val="none" w:sz="0" w:space="0" w:color="auto"/>
        <w:right w:val="none" w:sz="0" w:space="0" w:color="auto"/>
      </w:divBdr>
    </w:div>
    <w:div w:id="227427368">
      <w:marLeft w:val="0"/>
      <w:marRight w:val="0"/>
      <w:marTop w:val="0"/>
      <w:marBottom w:val="0"/>
      <w:divBdr>
        <w:top w:val="none" w:sz="0" w:space="0" w:color="auto"/>
        <w:left w:val="none" w:sz="0" w:space="0" w:color="auto"/>
        <w:bottom w:val="none" w:sz="0" w:space="0" w:color="auto"/>
        <w:right w:val="none" w:sz="0" w:space="0" w:color="auto"/>
      </w:divBdr>
    </w:div>
    <w:div w:id="228418070">
      <w:marLeft w:val="0"/>
      <w:marRight w:val="0"/>
      <w:marTop w:val="0"/>
      <w:marBottom w:val="0"/>
      <w:divBdr>
        <w:top w:val="none" w:sz="0" w:space="0" w:color="auto"/>
        <w:left w:val="none" w:sz="0" w:space="0" w:color="auto"/>
        <w:bottom w:val="none" w:sz="0" w:space="0" w:color="auto"/>
        <w:right w:val="none" w:sz="0" w:space="0" w:color="auto"/>
      </w:divBdr>
      <w:divsChild>
        <w:div w:id="1425956474">
          <w:marLeft w:val="0"/>
          <w:marRight w:val="0"/>
          <w:marTop w:val="100"/>
          <w:marBottom w:val="0"/>
          <w:divBdr>
            <w:top w:val="none" w:sz="0" w:space="0" w:color="auto"/>
            <w:left w:val="none" w:sz="0" w:space="0" w:color="auto"/>
            <w:bottom w:val="none" w:sz="0" w:space="0" w:color="auto"/>
            <w:right w:val="none" w:sz="0" w:space="0" w:color="auto"/>
          </w:divBdr>
        </w:div>
      </w:divsChild>
    </w:div>
    <w:div w:id="234779307">
      <w:marLeft w:val="0"/>
      <w:marRight w:val="0"/>
      <w:marTop w:val="160"/>
      <w:marBottom w:val="0"/>
      <w:divBdr>
        <w:top w:val="none" w:sz="0" w:space="0" w:color="auto"/>
        <w:left w:val="none" w:sz="0" w:space="0" w:color="auto"/>
        <w:bottom w:val="none" w:sz="0" w:space="0" w:color="auto"/>
        <w:right w:val="none" w:sz="0" w:space="0" w:color="auto"/>
      </w:divBdr>
    </w:div>
    <w:div w:id="240019193">
      <w:marLeft w:val="0"/>
      <w:marRight w:val="0"/>
      <w:marTop w:val="100"/>
      <w:marBottom w:val="0"/>
      <w:divBdr>
        <w:top w:val="none" w:sz="0" w:space="0" w:color="auto"/>
        <w:left w:val="none" w:sz="0" w:space="0" w:color="auto"/>
        <w:bottom w:val="none" w:sz="0" w:space="0" w:color="auto"/>
        <w:right w:val="none" w:sz="0" w:space="0" w:color="auto"/>
      </w:divBdr>
    </w:div>
    <w:div w:id="241183656">
      <w:marLeft w:val="0"/>
      <w:marRight w:val="0"/>
      <w:marTop w:val="100"/>
      <w:marBottom w:val="0"/>
      <w:divBdr>
        <w:top w:val="none" w:sz="0" w:space="0" w:color="auto"/>
        <w:left w:val="none" w:sz="0" w:space="0" w:color="auto"/>
        <w:bottom w:val="none" w:sz="0" w:space="0" w:color="auto"/>
        <w:right w:val="none" w:sz="0" w:space="0" w:color="auto"/>
      </w:divBdr>
    </w:div>
    <w:div w:id="245461043">
      <w:marLeft w:val="0"/>
      <w:marRight w:val="0"/>
      <w:marTop w:val="0"/>
      <w:marBottom w:val="0"/>
      <w:divBdr>
        <w:top w:val="none" w:sz="0" w:space="0" w:color="auto"/>
        <w:left w:val="none" w:sz="0" w:space="0" w:color="auto"/>
        <w:bottom w:val="none" w:sz="0" w:space="0" w:color="auto"/>
        <w:right w:val="none" w:sz="0" w:space="0" w:color="auto"/>
      </w:divBdr>
    </w:div>
    <w:div w:id="250429302">
      <w:marLeft w:val="0"/>
      <w:marRight w:val="0"/>
      <w:marTop w:val="100"/>
      <w:marBottom w:val="0"/>
      <w:divBdr>
        <w:top w:val="none" w:sz="0" w:space="0" w:color="auto"/>
        <w:left w:val="none" w:sz="0" w:space="0" w:color="auto"/>
        <w:bottom w:val="none" w:sz="0" w:space="0" w:color="auto"/>
        <w:right w:val="none" w:sz="0" w:space="0" w:color="auto"/>
      </w:divBdr>
    </w:div>
    <w:div w:id="251625315">
      <w:marLeft w:val="0"/>
      <w:marRight w:val="0"/>
      <w:marTop w:val="100"/>
      <w:marBottom w:val="0"/>
      <w:divBdr>
        <w:top w:val="none" w:sz="0" w:space="0" w:color="auto"/>
        <w:left w:val="none" w:sz="0" w:space="0" w:color="auto"/>
        <w:bottom w:val="none" w:sz="0" w:space="0" w:color="auto"/>
        <w:right w:val="none" w:sz="0" w:space="0" w:color="auto"/>
      </w:divBdr>
    </w:div>
    <w:div w:id="254941554">
      <w:marLeft w:val="0"/>
      <w:marRight w:val="0"/>
      <w:marTop w:val="0"/>
      <w:marBottom w:val="0"/>
      <w:divBdr>
        <w:top w:val="none" w:sz="0" w:space="0" w:color="auto"/>
        <w:left w:val="none" w:sz="0" w:space="0" w:color="auto"/>
        <w:bottom w:val="none" w:sz="0" w:space="0" w:color="auto"/>
        <w:right w:val="none" w:sz="0" w:space="0" w:color="auto"/>
      </w:divBdr>
    </w:div>
    <w:div w:id="255553998">
      <w:marLeft w:val="0"/>
      <w:marRight w:val="0"/>
      <w:marTop w:val="0"/>
      <w:marBottom w:val="0"/>
      <w:divBdr>
        <w:top w:val="none" w:sz="0" w:space="0" w:color="auto"/>
        <w:left w:val="none" w:sz="0" w:space="0" w:color="auto"/>
        <w:bottom w:val="none" w:sz="0" w:space="0" w:color="auto"/>
        <w:right w:val="none" w:sz="0" w:space="0" w:color="auto"/>
      </w:divBdr>
      <w:divsChild>
        <w:div w:id="106580807">
          <w:marLeft w:val="0"/>
          <w:marRight w:val="0"/>
          <w:marTop w:val="0"/>
          <w:marBottom w:val="0"/>
          <w:divBdr>
            <w:top w:val="none" w:sz="0" w:space="0" w:color="auto"/>
            <w:left w:val="none" w:sz="0" w:space="0" w:color="auto"/>
            <w:bottom w:val="none" w:sz="0" w:space="0" w:color="auto"/>
            <w:right w:val="none" w:sz="0" w:space="0" w:color="auto"/>
          </w:divBdr>
        </w:div>
      </w:divsChild>
    </w:div>
    <w:div w:id="256522379">
      <w:marLeft w:val="0"/>
      <w:marRight w:val="0"/>
      <w:marTop w:val="0"/>
      <w:marBottom w:val="0"/>
      <w:divBdr>
        <w:top w:val="none" w:sz="0" w:space="0" w:color="auto"/>
        <w:left w:val="none" w:sz="0" w:space="0" w:color="auto"/>
        <w:bottom w:val="none" w:sz="0" w:space="0" w:color="auto"/>
        <w:right w:val="none" w:sz="0" w:space="0" w:color="auto"/>
      </w:divBdr>
    </w:div>
    <w:div w:id="257296740">
      <w:marLeft w:val="0"/>
      <w:marRight w:val="0"/>
      <w:marTop w:val="180"/>
      <w:marBottom w:val="0"/>
      <w:divBdr>
        <w:top w:val="none" w:sz="0" w:space="0" w:color="auto"/>
        <w:left w:val="none" w:sz="0" w:space="0" w:color="auto"/>
        <w:bottom w:val="none" w:sz="0" w:space="0" w:color="auto"/>
        <w:right w:val="none" w:sz="0" w:space="0" w:color="auto"/>
      </w:divBdr>
    </w:div>
    <w:div w:id="261651492">
      <w:marLeft w:val="0"/>
      <w:marRight w:val="0"/>
      <w:marTop w:val="160"/>
      <w:marBottom w:val="0"/>
      <w:divBdr>
        <w:top w:val="none" w:sz="0" w:space="0" w:color="auto"/>
        <w:left w:val="none" w:sz="0" w:space="0" w:color="auto"/>
        <w:bottom w:val="none" w:sz="0" w:space="0" w:color="auto"/>
        <w:right w:val="none" w:sz="0" w:space="0" w:color="auto"/>
      </w:divBdr>
    </w:div>
    <w:div w:id="262348336">
      <w:marLeft w:val="0"/>
      <w:marRight w:val="0"/>
      <w:marTop w:val="100"/>
      <w:marBottom w:val="0"/>
      <w:divBdr>
        <w:top w:val="none" w:sz="0" w:space="0" w:color="auto"/>
        <w:left w:val="none" w:sz="0" w:space="0" w:color="auto"/>
        <w:bottom w:val="none" w:sz="0" w:space="0" w:color="auto"/>
        <w:right w:val="none" w:sz="0" w:space="0" w:color="auto"/>
      </w:divBdr>
    </w:div>
    <w:div w:id="265968721">
      <w:marLeft w:val="0"/>
      <w:marRight w:val="0"/>
      <w:marTop w:val="100"/>
      <w:marBottom w:val="0"/>
      <w:divBdr>
        <w:top w:val="none" w:sz="0" w:space="0" w:color="auto"/>
        <w:left w:val="none" w:sz="0" w:space="0" w:color="auto"/>
        <w:bottom w:val="none" w:sz="0" w:space="0" w:color="auto"/>
        <w:right w:val="none" w:sz="0" w:space="0" w:color="auto"/>
      </w:divBdr>
    </w:div>
    <w:div w:id="266232788">
      <w:marLeft w:val="0"/>
      <w:marRight w:val="0"/>
      <w:marTop w:val="100"/>
      <w:marBottom w:val="100"/>
      <w:divBdr>
        <w:top w:val="none" w:sz="0" w:space="0" w:color="auto"/>
        <w:left w:val="none" w:sz="0" w:space="0" w:color="auto"/>
        <w:bottom w:val="none" w:sz="0" w:space="0" w:color="auto"/>
        <w:right w:val="none" w:sz="0" w:space="0" w:color="auto"/>
      </w:divBdr>
    </w:div>
    <w:div w:id="266739500">
      <w:marLeft w:val="0"/>
      <w:marRight w:val="0"/>
      <w:marTop w:val="100"/>
      <w:marBottom w:val="0"/>
      <w:divBdr>
        <w:top w:val="none" w:sz="0" w:space="0" w:color="auto"/>
        <w:left w:val="none" w:sz="0" w:space="0" w:color="auto"/>
        <w:bottom w:val="none" w:sz="0" w:space="0" w:color="auto"/>
        <w:right w:val="none" w:sz="0" w:space="0" w:color="auto"/>
      </w:divBdr>
    </w:div>
    <w:div w:id="266813512">
      <w:marLeft w:val="0"/>
      <w:marRight w:val="0"/>
      <w:marTop w:val="0"/>
      <w:marBottom w:val="0"/>
      <w:divBdr>
        <w:top w:val="none" w:sz="0" w:space="0" w:color="auto"/>
        <w:left w:val="none" w:sz="0" w:space="0" w:color="auto"/>
        <w:bottom w:val="none" w:sz="0" w:space="0" w:color="auto"/>
        <w:right w:val="none" w:sz="0" w:space="0" w:color="auto"/>
      </w:divBdr>
    </w:div>
    <w:div w:id="267155257">
      <w:marLeft w:val="0"/>
      <w:marRight w:val="0"/>
      <w:marTop w:val="60"/>
      <w:marBottom w:val="0"/>
      <w:divBdr>
        <w:top w:val="none" w:sz="0" w:space="0" w:color="auto"/>
        <w:left w:val="none" w:sz="0" w:space="0" w:color="auto"/>
        <w:bottom w:val="none" w:sz="0" w:space="0" w:color="auto"/>
        <w:right w:val="none" w:sz="0" w:space="0" w:color="auto"/>
      </w:divBdr>
    </w:div>
    <w:div w:id="270093884">
      <w:marLeft w:val="0"/>
      <w:marRight w:val="0"/>
      <w:marTop w:val="0"/>
      <w:marBottom w:val="0"/>
      <w:divBdr>
        <w:top w:val="none" w:sz="0" w:space="0" w:color="auto"/>
        <w:left w:val="none" w:sz="0" w:space="0" w:color="auto"/>
        <w:bottom w:val="none" w:sz="0" w:space="0" w:color="auto"/>
        <w:right w:val="none" w:sz="0" w:space="0" w:color="auto"/>
      </w:divBdr>
    </w:div>
    <w:div w:id="272983584">
      <w:marLeft w:val="0"/>
      <w:marRight w:val="0"/>
      <w:marTop w:val="0"/>
      <w:marBottom w:val="0"/>
      <w:divBdr>
        <w:top w:val="none" w:sz="0" w:space="0" w:color="auto"/>
        <w:left w:val="none" w:sz="0" w:space="0" w:color="auto"/>
        <w:bottom w:val="none" w:sz="0" w:space="0" w:color="auto"/>
        <w:right w:val="none" w:sz="0" w:space="0" w:color="auto"/>
      </w:divBdr>
      <w:divsChild>
        <w:div w:id="424376512">
          <w:marLeft w:val="0"/>
          <w:marRight w:val="0"/>
          <w:marTop w:val="100"/>
          <w:marBottom w:val="0"/>
          <w:divBdr>
            <w:top w:val="none" w:sz="0" w:space="0" w:color="auto"/>
            <w:left w:val="none" w:sz="0" w:space="0" w:color="auto"/>
            <w:bottom w:val="none" w:sz="0" w:space="0" w:color="auto"/>
            <w:right w:val="none" w:sz="0" w:space="0" w:color="auto"/>
          </w:divBdr>
        </w:div>
      </w:divsChild>
    </w:div>
    <w:div w:id="273176772">
      <w:marLeft w:val="0"/>
      <w:marRight w:val="0"/>
      <w:marTop w:val="100"/>
      <w:marBottom w:val="0"/>
      <w:divBdr>
        <w:top w:val="none" w:sz="0" w:space="0" w:color="auto"/>
        <w:left w:val="none" w:sz="0" w:space="0" w:color="auto"/>
        <w:bottom w:val="none" w:sz="0" w:space="0" w:color="auto"/>
        <w:right w:val="none" w:sz="0" w:space="0" w:color="auto"/>
      </w:divBdr>
    </w:div>
    <w:div w:id="277025797">
      <w:marLeft w:val="0"/>
      <w:marRight w:val="0"/>
      <w:marTop w:val="100"/>
      <w:marBottom w:val="0"/>
      <w:divBdr>
        <w:top w:val="none" w:sz="0" w:space="0" w:color="auto"/>
        <w:left w:val="none" w:sz="0" w:space="0" w:color="auto"/>
        <w:bottom w:val="none" w:sz="0" w:space="0" w:color="auto"/>
        <w:right w:val="none" w:sz="0" w:space="0" w:color="auto"/>
      </w:divBdr>
    </w:div>
    <w:div w:id="278532322">
      <w:marLeft w:val="0"/>
      <w:marRight w:val="0"/>
      <w:marTop w:val="0"/>
      <w:marBottom w:val="0"/>
      <w:divBdr>
        <w:top w:val="none" w:sz="0" w:space="0" w:color="auto"/>
        <w:left w:val="none" w:sz="0" w:space="0" w:color="auto"/>
        <w:bottom w:val="none" w:sz="0" w:space="0" w:color="auto"/>
        <w:right w:val="none" w:sz="0" w:space="0" w:color="auto"/>
      </w:divBdr>
    </w:div>
    <w:div w:id="283317765">
      <w:marLeft w:val="0"/>
      <w:marRight w:val="0"/>
      <w:marTop w:val="100"/>
      <w:marBottom w:val="0"/>
      <w:divBdr>
        <w:top w:val="none" w:sz="0" w:space="0" w:color="auto"/>
        <w:left w:val="none" w:sz="0" w:space="0" w:color="auto"/>
        <w:bottom w:val="none" w:sz="0" w:space="0" w:color="auto"/>
        <w:right w:val="none" w:sz="0" w:space="0" w:color="auto"/>
      </w:divBdr>
    </w:div>
    <w:div w:id="284508695">
      <w:marLeft w:val="0"/>
      <w:marRight w:val="0"/>
      <w:marTop w:val="100"/>
      <w:marBottom w:val="0"/>
      <w:divBdr>
        <w:top w:val="none" w:sz="0" w:space="0" w:color="auto"/>
        <w:left w:val="none" w:sz="0" w:space="0" w:color="auto"/>
        <w:bottom w:val="none" w:sz="0" w:space="0" w:color="auto"/>
        <w:right w:val="none" w:sz="0" w:space="0" w:color="auto"/>
      </w:divBdr>
    </w:div>
    <w:div w:id="286812583">
      <w:marLeft w:val="0"/>
      <w:marRight w:val="0"/>
      <w:marTop w:val="160"/>
      <w:marBottom w:val="0"/>
      <w:divBdr>
        <w:top w:val="none" w:sz="0" w:space="0" w:color="auto"/>
        <w:left w:val="none" w:sz="0" w:space="0" w:color="auto"/>
        <w:bottom w:val="none" w:sz="0" w:space="0" w:color="auto"/>
        <w:right w:val="none" w:sz="0" w:space="0" w:color="auto"/>
      </w:divBdr>
    </w:div>
    <w:div w:id="308555702">
      <w:marLeft w:val="0"/>
      <w:marRight w:val="0"/>
      <w:marTop w:val="100"/>
      <w:marBottom w:val="0"/>
      <w:divBdr>
        <w:top w:val="none" w:sz="0" w:space="0" w:color="auto"/>
        <w:left w:val="none" w:sz="0" w:space="0" w:color="auto"/>
        <w:bottom w:val="none" w:sz="0" w:space="0" w:color="auto"/>
        <w:right w:val="none" w:sz="0" w:space="0" w:color="auto"/>
      </w:divBdr>
    </w:div>
    <w:div w:id="310987396">
      <w:marLeft w:val="0"/>
      <w:marRight w:val="0"/>
      <w:marTop w:val="100"/>
      <w:marBottom w:val="0"/>
      <w:divBdr>
        <w:top w:val="none" w:sz="0" w:space="0" w:color="auto"/>
        <w:left w:val="none" w:sz="0" w:space="0" w:color="auto"/>
        <w:bottom w:val="none" w:sz="0" w:space="0" w:color="auto"/>
        <w:right w:val="none" w:sz="0" w:space="0" w:color="auto"/>
      </w:divBdr>
    </w:div>
    <w:div w:id="313684515">
      <w:marLeft w:val="0"/>
      <w:marRight w:val="0"/>
      <w:marTop w:val="100"/>
      <w:marBottom w:val="0"/>
      <w:divBdr>
        <w:top w:val="none" w:sz="0" w:space="0" w:color="auto"/>
        <w:left w:val="none" w:sz="0" w:space="0" w:color="auto"/>
        <w:bottom w:val="none" w:sz="0" w:space="0" w:color="auto"/>
        <w:right w:val="none" w:sz="0" w:space="0" w:color="auto"/>
      </w:divBdr>
    </w:div>
    <w:div w:id="314337946">
      <w:marLeft w:val="0"/>
      <w:marRight w:val="0"/>
      <w:marTop w:val="0"/>
      <w:marBottom w:val="0"/>
      <w:divBdr>
        <w:top w:val="none" w:sz="0" w:space="0" w:color="auto"/>
        <w:left w:val="none" w:sz="0" w:space="0" w:color="auto"/>
        <w:bottom w:val="none" w:sz="0" w:space="0" w:color="auto"/>
        <w:right w:val="none" w:sz="0" w:space="0" w:color="auto"/>
      </w:divBdr>
    </w:div>
    <w:div w:id="315382931">
      <w:marLeft w:val="0"/>
      <w:marRight w:val="0"/>
      <w:marTop w:val="180"/>
      <w:marBottom w:val="0"/>
      <w:divBdr>
        <w:top w:val="none" w:sz="0" w:space="0" w:color="auto"/>
        <w:left w:val="none" w:sz="0" w:space="0" w:color="auto"/>
        <w:bottom w:val="none" w:sz="0" w:space="0" w:color="auto"/>
        <w:right w:val="none" w:sz="0" w:space="0" w:color="auto"/>
      </w:divBdr>
    </w:div>
    <w:div w:id="315963974">
      <w:marLeft w:val="0"/>
      <w:marRight w:val="0"/>
      <w:marTop w:val="100"/>
      <w:marBottom w:val="0"/>
      <w:divBdr>
        <w:top w:val="none" w:sz="0" w:space="0" w:color="auto"/>
        <w:left w:val="none" w:sz="0" w:space="0" w:color="auto"/>
        <w:bottom w:val="none" w:sz="0" w:space="0" w:color="auto"/>
        <w:right w:val="none" w:sz="0" w:space="0" w:color="auto"/>
      </w:divBdr>
    </w:div>
    <w:div w:id="318121451">
      <w:marLeft w:val="0"/>
      <w:marRight w:val="0"/>
      <w:marTop w:val="0"/>
      <w:marBottom w:val="160"/>
      <w:divBdr>
        <w:top w:val="none" w:sz="0" w:space="0" w:color="auto"/>
        <w:left w:val="none" w:sz="0" w:space="0" w:color="auto"/>
        <w:bottom w:val="none" w:sz="0" w:space="0" w:color="auto"/>
        <w:right w:val="none" w:sz="0" w:space="0" w:color="auto"/>
      </w:divBdr>
    </w:div>
    <w:div w:id="318390900">
      <w:marLeft w:val="0"/>
      <w:marRight w:val="0"/>
      <w:marTop w:val="0"/>
      <w:marBottom w:val="0"/>
      <w:divBdr>
        <w:top w:val="none" w:sz="0" w:space="0" w:color="auto"/>
        <w:left w:val="none" w:sz="0" w:space="0" w:color="auto"/>
        <w:bottom w:val="none" w:sz="0" w:space="0" w:color="auto"/>
        <w:right w:val="none" w:sz="0" w:space="0" w:color="auto"/>
      </w:divBdr>
      <w:divsChild>
        <w:div w:id="850025976">
          <w:marLeft w:val="0"/>
          <w:marRight w:val="0"/>
          <w:marTop w:val="0"/>
          <w:marBottom w:val="0"/>
          <w:divBdr>
            <w:top w:val="none" w:sz="0" w:space="0" w:color="auto"/>
            <w:left w:val="none" w:sz="0" w:space="0" w:color="auto"/>
            <w:bottom w:val="none" w:sz="0" w:space="0" w:color="auto"/>
            <w:right w:val="none" w:sz="0" w:space="0" w:color="auto"/>
          </w:divBdr>
        </w:div>
      </w:divsChild>
    </w:div>
    <w:div w:id="325938455">
      <w:marLeft w:val="0"/>
      <w:marRight w:val="0"/>
      <w:marTop w:val="0"/>
      <w:marBottom w:val="0"/>
      <w:divBdr>
        <w:top w:val="none" w:sz="0" w:space="0" w:color="auto"/>
        <w:left w:val="none" w:sz="0" w:space="0" w:color="auto"/>
        <w:bottom w:val="none" w:sz="0" w:space="0" w:color="auto"/>
        <w:right w:val="none" w:sz="0" w:space="0" w:color="auto"/>
      </w:divBdr>
      <w:divsChild>
        <w:div w:id="1562786283">
          <w:marLeft w:val="0"/>
          <w:marRight w:val="0"/>
          <w:marTop w:val="100"/>
          <w:marBottom w:val="0"/>
          <w:divBdr>
            <w:top w:val="none" w:sz="0" w:space="0" w:color="auto"/>
            <w:left w:val="none" w:sz="0" w:space="0" w:color="auto"/>
            <w:bottom w:val="none" w:sz="0" w:space="0" w:color="auto"/>
            <w:right w:val="none" w:sz="0" w:space="0" w:color="auto"/>
          </w:divBdr>
        </w:div>
      </w:divsChild>
    </w:div>
    <w:div w:id="327025068">
      <w:marLeft w:val="0"/>
      <w:marRight w:val="0"/>
      <w:marTop w:val="100"/>
      <w:marBottom w:val="0"/>
      <w:divBdr>
        <w:top w:val="none" w:sz="0" w:space="0" w:color="auto"/>
        <w:left w:val="none" w:sz="0" w:space="0" w:color="auto"/>
        <w:bottom w:val="none" w:sz="0" w:space="0" w:color="auto"/>
        <w:right w:val="none" w:sz="0" w:space="0" w:color="auto"/>
      </w:divBdr>
    </w:div>
    <w:div w:id="327246109">
      <w:marLeft w:val="0"/>
      <w:marRight w:val="0"/>
      <w:marTop w:val="0"/>
      <w:marBottom w:val="0"/>
      <w:divBdr>
        <w:top w:val="none" w:sz="0" w:space="0" w:color="auto"/>
        <w:left w:val="none" w:sz="0" w:space="0" w:color="auto"/>
        <w:bottom w:val="none" w:sz="0" w:space="0" w:color="auto"/>
        <w:right w:val="none" w:sz="0" w:space="0" w:color="auto"/>
      </w:divBdr>
      <w:divsChild>
        <w:div w:id="1159881258">
          <w:marLeft w:val="0"/>
          <w:marRight w:val="0"/>
          <w:marTop w:val="0"/>
          <w:marBottom w:val="0"/>
          <w:divBdr>
            <w:top w:val="none" w:sz="0" w:space="0" w:color="auto"/>
            <w:left w:val="none" w:sz="0" w:space="0" w:color="auto"/>
            <w:bottom w:val="none" w:sz="0" w:space="0" w:color="auto"/>
            <w:right w:val="none" w:sz="0" w:space="0" w:color="auto"/>
          </w:divBdr>
        </w:div>
      </w:divsChild>
    </w:div>
    <w:div w:id="329135932">
      <w:marLeft w:val="0"/>
      <w:marRight w:val="0"/>
      <w:marTop w:val="100"/>
      <w:marBottom w:val="0"/>
      <w:divBdr>
        <w:top w:val="none" w:sz="0" w:space="0" w:color="auto"/>
        <w:left w:val="none" w:sz="0" w:space="0" w:color="auto"/>
        <w:bottom w:val="none" w:sz="0" w:space="0" w:color="auto"/>
        <w:right w:val="none" w:sz="0" w:space="0" w:color="auto"/>
      </w:divBdr>
    </w:div>
    <w:div w:id="329523955">
      <w:marLeft w:val="0"/>
      <w:marRight w:val="0"/>
      <w:marTop w:val="100"/>
      <w:marBottom w:val="0"/>
      <w:divBdr>
        <w:top w:val="none" w:sz="0" w:space="0" w:color="auto"/>
        <w:left w:val="none" w:sz="0" w:space="0" w:color="auto"/>
        <w:bottom w:val="none" w:sz="0" w:space="0" w:color="auto"/>
        <w:right w:val="none" w:sz="0" w:space="0" w:color="auto"/>
      </w:divBdr>
    </w:div>
    <w:div w:id="331420773">
      <w:marLeft w:val="0"/>
      <w:marRight w:val="0"/>
      <w:marTop w:val="0"/>
      <w:marBottom w:val="0"/>
      <w:divBdr>
        <w:top w:val="none" w:sz="0" w:space="0" w:color="auto"/>
        <w:left w:val="none" w:sz="0" w:space="0" w:color="auto"/>
        <w:bottom w:val="none" w:sz="0" w:space="0" w:color="auto"/>
        <w:right w:val="none" w:sz="0" w:space="0" w:color="auto"/>
      </w:divBdr>
    </w:div>
    <w:div w:id="332151046">
      <w:marLeft w:val="0"/>
      <w:marRight w:val="0"/>
      <w:marTop w:val="100"/>
      <w:marBottom w:val="0"/>
      <w:divBdr>
        <w:top w:val="none" w:sz="0" w:space="0" w:color="auto"/>
        <w:left w:val="none" w:sz="0" w:space="0" w:color="auto"/>
        <w:bottom w:val="none" w:sz="0" w:space="0" w:color="auto"/>
        <w:right w:val="none" w:sz="0" w:space="0" w:color="auto"/>
      </w:divBdr>
    </w:div>
    <w:div w:id="332683000">
      <w:marLeft w:val="0"/>
      <w:marRight w:val="0"/>
      <w:marTop w:val="0"/>
      <w:marBottom w:val="0"/>
      <w:divBdr>
        <w:top w:val="none" w:sz="0" w:space="0" w:color="auto"/>
        <w:left w:val="none" w:sz="0" w:space="0" w:color="auto"/>
        <w:bottom w:val="none" w:sz="0" w:space="0" w:color="auto"/>
        <w:right w:val="none" w:sz="0" w:space="0" w:color="auto"/>
      </w:divBdr>
    </w:div>
    <w:div w:id="333532206">
      <w:marLeft w:val="0"/>
      <w:marRight w:val="0"/>
      <w:marTop w:val="0"/>
      <w:marBottom w:val="0"/>
      <w:divBdr>
        <w:top w:val="none" w:sz="0" w:space="0" w:color="auto"/>
        <w:left w:val="none" w:sz="0" w:space="0" w:color="auto"/>
        <w:bottom w:val="none" w:sz="0" w:space="0" w:color="auto"/>
        <w:right w:val="none" w:sz="0" w:space="0" w:color="auto"/>
      </w:divBdr>
    </w:div>
    <w:div w:id="333536458">
      <w:marLeft w:val="0"/>
      <w:marRight w:val="0"/>
      <w:marTop w:val="100"/>
      <w:marBottom w:val="0"/>
      <w:divBdr>
        <w:top w:val="none" w:sz="0" w:space="0" w:color="auto"/>
        <w:left w:val="none" w:sz="0" w:space="0" w:color="auto"/>
        <w:bottom w:val="none" w:sz="0" w:space="0" w:color="auto"/>
        <w:right w:val="none" w:sz="0" w:space="0" w:color="auto"/>
      </w:divBdr>
    </w:div>
    <w:div w:id="333654052">
      <w:marLeft w:val="0"/>
      <w:marRight w:val="0"/>
      <w:marTop w:val="0"/>
      <w:marBottom w:val="0"/>
      <w:divBdr>
        <w:top w:val="none" w:sz="0" w:space="0" w:color="auto"/>
        <w:left w:val="none" w:sz="0" w:space="0" w:color="auto"/>
        <w:bottom w:val="none" w:sz="0" w:space="0" w:color="auto"/>
        <w:right w:val="none" w:sz="0" w:space="0" w:color="auto"/>
      </w:divBdr>
    </w:div>
    <w:div w:id="338311323">
      <w:marLeft w:val="0"/>
      <w:marRight w:val="0"/>
      <w:marTop w:val="0"/>
      <w:marBottom w:val="0"/>
      <w:divBdr>
        <w:top w:val="none" w:sz="0" w:space="0" w:color="auto"/>
        <w:left w:val="none" w:sz="0" w:space="0" w:color="auto"/>
        <w:bottom w:val="none" w:sz="0" w:space="0" w:color="auto"/>
        <w:right w:val="none" w:sz="0" w:space="0" w:color="auto"/>
      </w:divBdr>
    </w:div>
    <w:div w:id="353920356">
      <w:marLeft w:val="0"/>
      <w:marRight w:val="0"/>
      <w:marTop w:val="100"/>
      <w:marBottom w:val="0"/>
      <w:divBdr>
        <w:top w:val="none" w:sz="0" w:space="0" w:color="auto"/>
        <w:left w:val="none" w:sz="0" w:space="0" w:color="auto"/>
        <w:bottom w:val="none" w:sz="0" w:space="0" w:color="auto"/>
        <w:right w:val="none" w:sz="0" w:space="0" w:color="auto"/>
      </w:divBdr>
    </w:div>
    <w:div w:id="361055260">
      <w:marLeft w:val="0"/>
      <w:marRight w:val="0"/>
      <w:marTop w:val="0"/>
      <w:marBottom w:val="0"/>
      <w:divBdr>
        <w:top w:val="none" w:sz="0" w:space="0" w:color="auto"/>
        <w:left w:val="none" w:sz="0" w:space="0" w:color="auto"/>
        <w:bottom w:val="none" w:sz="0" w:space="0" w:color="auto"/>
        <w:right w:val="none" w:sz="0" w:space="0" w:color="auto"/>
      </w:divBdr>
    </w:div>
    <w:div w:id="362096001">
      <w:marLeft w:val="0"/>
      <w:marRight w:val="0"/>
      <w:marTop w:val="100"/>
      <w:marBottom w:val="0"/>
      <w:divBdr>
        <w:top w:val="none" w:sz="0" w:space="0" w:color="auto"/>
        <w:left w:val="none" w:sz="0" w:space="0" w:color="auto"/>
        <w:bottom w:val="none" w:sz="0" w:space="0" w:color="auto"/>
        <w:right w:val="none" w:sz="0" w:space="0" w:color="auto"/>
      </w:divBdr>
    </w:div>
    <w:div w:id="363749421">
      <w:marLeft w:val="0"/>
      <w:marRight w:val="0"/>
      <w:marTop w:val="0"/>
      <w:marBottom w:val="0"/>
      <w:divBdr>
        <w:top w:val="none" w:sz="0" w:space="0" w:color="auto"/>
        <w:left w:val="none" w:sz="0" w:space="0" w:color="auto"/>
        <w:bottom w:val="none" w:sz="0" w:space="0" w:color="auto"/>
        <w:right w:val="none" w:sz="0" w:space="0" w:color="auto"/>
      </w:divBdr>
    </w:div>
    <w:div w:id="364215813">
      <w:marLeft w:val="0"/>
      <w:marRight w:val="0"/>
      <w:marTop w:val="0"/>
      <w:marBottom w:val="0"/>
      <w:divBdr>
        <w:top w:val="none" w:sz="0" w:space="0" w:color="auto"/>
        <w:left w:val="none" w:sz="0" w:space="0" w:color="auto"/>
        <w:bottom w:val="none" w:sz="0" w:space="0" w:color="auto"/>
        <w:right w:val="none" w:sz="0" w:space="0" w:color="auto"/>
      </w:divBdr>
    </w:div>
    <w:div w:id="365523875">
      <w:marLeft w:val="0"/>
      <w:marRight w:val="0"/>
      <w:marTop w:val="90"/>
      <w:marBottom w:val="0"/>
      <w:divBdr>
        <w:top w:val="none" w:sz="0" w:space="0" w:color="auto"/>
        <w:left w:val="none" w:sz="0" w:space="0" w:color="auto"/>
        <w:bottom w:val="none" w:sz="0" w:space="0" w:color="auto"/>
        <w:right w:val="none" w:sz="0" w:space="0" w:color="auto"/>
      </w:divBdr>
    </w:div>
    <w:div w:id="367679819">
      <w:marLeft w:val="0"/>
      <w:marRight w:val="0"/>
      <w:marTop w:val="0"/>
      <w:marBottom w:val="0"/>
      <w:divBdr>
        <w:top w:val="none" w:sz="0" w:space="0" w:color="auto"/>
        <w:left w:val="none" w:sz="0" w:space="0" w:color="auto"/>
        <w:bottom w:val="none" w:sz="0" w:space="0" w:color="auto"/>
        <w:right w:val="none" w:sz="0" w:space="0" w:color="auto"/>
      </w:divBdr>
      <w:divsChild>
        <w:div w:id="1017930986">
          <w:marLeft w:val="0"/>
          <w:marRight w:val="0"/>
          <w:marTop w:val="100"/>
          <w:marBottom w:val="0"/>
          <w:divBdr>
            <w:top w:val="none" w:sz="0" w:space="0" w:color="auto"/>
            <w:left w:val="none" w:sz="0" w:space="0" w:color="auto"/>
            <w:bottom w:val="none" w:sz="0" w:space="0" w:color="auto"/>
            <w:right w:val="none" w:sz="0" w:space="0" w:color="auto"/>
          </w:divBdr>
        </w:div>
      </w:divsChild>
    </w:div>
    <w:div w:id="368382773">
      <w:marLeft w:val="0"/>
      <w:marRight w:val="0"/>
      <w:marTop w:val="100"/>
      <w:marBottom w:val="100"/>
      <w:divBdr>
        <w:top w:val="none" w:sz="0" w:space="0" w:color="auto"/>
        <w:left w:val="none" w:sz="0" w:space="0" w:color="auto"/>
        <w:bottom w:val="none" w:sz="0" w:space="0" w:color="auto"/>
        <w:right w:val="none" w:sz="0" w:space="0" w:color="auto"/>
      </w:divBdr>
    </w:div>
    <w:div w:id="369259931">
      <w:marLeft w:val="0"/>
      <w:marRight w:val="0"/>
      <w:marTop w:val="100"/>
      <w:marBottom w:val="0"/>
      <w:divBdr>
        <w:top w:val="none" w:sz="0" w:space="0" w:color="auto"/>
        <w:left w:val="none" w:sz="0" w:space="0" w:color="auto"/>
        <w:bottom w:val="none" w:sz="0" w:space="0" w:color="auto"/>
        <w:right w:val="none" w:sz="0" w:space="0" w:color="auto"/>
      </w:divBdr>
    </w:div>
    <w:div w:id="371078425">
      <w:marLeft w:val="0"/>
      <w:marRight w:val="0"/>
      <w:marTop w:val="100"/>
      <w:marBottom w:val="0"/>
      <w:divBdr>
        <w:top w:val="none" w:sz="0" w:space="0" w:color="auto"/>
        <w:left w:val="none" w:sz="0" w:space="0" w:color="auto"/>
        <w:bottom w:val="none" w:sz="0" w:space="0" w:color="auto"/>
        <w:right w:val="none" w:sz="0" w:space="0" w:color="auto"/>
      </w:divBdr>
    </w:div>
    <w:div w:id="379013833">
      <w:marLeft w:val="0"/>
      <w:marRight w:val="0"/>
      <w:marTop w:val="0"/>
      <w:marBottom w:val="0"/>
      <w:divBdr>
        <w:top w:val="none" w:sz="0" w:space="0" w:color="auto"/>
        <w:left w:val="none" w:sz="0" w:space="0" w:color="auto"/>
        <w:bottom w:val="none" w:sz="0" w:space="0" w:color="auto"/>
        <w:right w:val="none" w:sz="0" w:space="0" w:color="auto"/>
      </w:divBdr>
      <w:divsChild>
        <w:div w:id="435754206">
          <w:marLeft w:val="0"/>
          <w:marRight w:val="0"/>
          <w:marTop w:val="100"/>
          <w:marBottom w:val="0"/>
          <w:divBdr>
            <w:top w:val="none" w:sz="0" w:space="0" w:color="auto"/>
            <w:left w:val="none" w:sz="0" w:space="0" w:color="auto"/>
            <w:bottom w:val="none" w:sz="0" w:space="0" w:color="auto"/>
            <w:right w:val="none" w:sz="0" w:space="0" w:color="auto"/>
          </w:divBdr>
        </w:div>
      </w:divsChild>
    </w:div>
    <w:div w:id="385299968">
      <w:marLeft w:val="0"/>
      <w:marRight w:val="0"/>
      <w:marTop w:val="90"/>
      <w:marBottom w:val="0"/>
      <w:divBdr>
        <w:top w:val="none" w:sz="0" w:space="0" w:color="auto"/>
        <w:left w:val="none" w:sz="0" w:space="0" w:color="auto"/>
        <w:bottom w:val="none" w:sz="0" w:space="0" w:color="auto"/>
        <w:right w:val="none" w:sz="0" w:space="0" w:color="auto"/>
      </w:divBdr>
    </w:div>
    <w:div w:id="385571224">
      <w:marLeft w:val="0"/>
      <w:marRight w:val="0"/>
      <w:marTop w:val="100"/>
      <w:marBottom w:val="0"/>
      <w:divBdr>
        <w:top w:val="none" w:sz="0" w:space="0" w:color="auto"/>
        <w:left w:val="none" w:sz="0" w:space="0" w:color="auto"/>
        <w:bottom w:val="none" w:sz="0" w:space="0" w:color="auto"/>
        <w:right w:val="none" w:sz="0" w:space="0" w:color="auto"/>
      </w:divBdr>
    </w:div>
    <w:div w:id="386103349">
      <w:marLeft w:val="0"/>
      <w:marRight w:val="0"/>
      <w:marTop w:val="100"/>
      <w:marBottom w:val="0"/>
      <w:divBdr>
        <w:top w:val="none" w:sz="0" w:space="0" w:color="auto"/>
        <w:left w:val="none" w:sz="0" w:space="0" w:color="auto"/>
        <w:bottom w:val="none" w:sz="0" w:space="0" w:color="auto"/>
        <w:right w:val="none" w:sz="0" w:space="0" w:color="auto"/>
      </w:divBdr>
    </w:div>
    <w:div w:id="388187795">
      <w:marLeft w:val="0"/>
      <w:marRight w:val="0"/>
      <w:marTop w:val="0"/>
      <w:marBottom w:val="0"/>
      <w:divBdr>
        <w:top w:val="none" w:sz="0" w:space="0" w:color="auto"/>
        <w:left w:val="none" w:sz="0" w:space="0" w:color="auto"/>
        <w:bottom w:val="none" w:sz="0" w:space="0" w:color="auto"/>
        <w:right w:val="none" w:sz="0" w:space="0" w:color="auto"/>
      </w:divBdr>
    </w:div>
    <w:div w:id="392195619">
      <w:marLeft w:val="0"/>
      <w:marRight w:val="0"/>
      <w:marTop w:val="0"/>
      <w:marBottom w:val="0"/>
      <w:divBdr>
        <w:top w:val="none" w:sz="0" w:space="0" w:color="auto"/>
        <w:left w:val="none" w:sz="0" w:space="0" w:color="auto"/>
        <w:bottom w:val="none" w:sz="0" w:space="0" w:color="auto"/>
        <w:right w:val="none" w:sz="0" w:space="0" w:color="auto"/>
      </w:divBdr>
    </w:div>
    <w:div w:id="394665797">
      <w:marLeft w:val="0"/>
      <w:marRight w:val="0"/>
      <w:marTop w:val="100"/>
      <w:marBottom w:val="0"/>
      <w:divBdr>
        <w:top w:val="none" w:sz="0" w:space="0" w:color="auto"/>
        <w:left w:val="none" w:sz="0" w:space="0" w:color="auto"/>
        <w:bottom w:val="none" w:sz="0" w:space="0" w:color="auto"/>
        <w:right w:val="none" w:sz="0" w:space="0" w:color="auto"/>
      </w:divBdr>
    </w:div>
    <w:div w:id="396634729">
      <w:marLeft w:val="0"/>
      <w:marRight w:val="0"/>
      <w:marTop w:val="180"/>
      <w:marBottom w:val="0"/>
      <w:divBdr>
        <w:top w:val="none" w:sz="0" w:space="0" w:color="auto"/>
        <w:left w:val="none" w:sz="0" w:space="0" w:color="auto"/>
        <w:bottom w:val="none" w:sz="0" w:space="0" w:color="auto"/>
        <w:right w:val="none" w:sz="0" w:space="0" w:color="auto"/>
      </w:divBdr>
    </w:div>
    <w:div w:id="397947769">
      <w:marLeft w:val="0"/>
      <w:marRight w:val="0"/>
      <w:marTop w:val="0"/>
      <w:marBottom w:val="0"/>
      <w:divBdr>
        <w:top w:val="none" w:sz="0" w:space="0" w:color="auto"/>
        <w:left w:val="none" w:sz="0" w:space="0" w:color="auto"/>
        <w:bottom w:val="none" w:sz="0" w:space="0" w:color="auto"/>
        <w:right w:val="none" w:sz="0" w:space="0" w:color="auto"/>
      </w:divBdr>
    </w:div>
    <w:div w:id="400687468">
      <w:marLeft w:val="0"/>
      <w:marRight w:val="0"/>
      <w:marTop w:val="160"/>
      <w:marBottom w:val="0"/>
      <w:divBdr>
        <w:top w:val="none" w:sz="0" w:space="0" w:color="auto"/>
        <w:left w:val="none" w:sz="0" w:space="0" w:color="auto"/>
        <w:bottom w:val="none" w:sz="0" w:space="0" w:color="auto"/>
        <w:right w:val="none" w:sz="0" w:space="0" w:color="auto"/>
      </w:divBdr>
    </w:div>
    <w:div w:id="403142269">
      <w:marLeft w:val="0"/>
      <w:marRight w:val="0"/>
      <w:marTop w:val="0"/>
      <w:marBottom w:val="0"/>
      <w:divBdr>
        <w:top w:val="none" w:sz="0" w:space="0" w:color="auto"/>
        <w:left w:val="none" w:sz="0" w:space="0" w:color="auto"/>
        <w:bottom w:val="none" w:sz="0" w:space="0" w:color="auto"/>
        <w:right w:val="none" w:sz="0" w:space="0" w:color="auto"/>
      </w:divBdr>
      <w:divsChild>
        <w:div w:id="218051702">
          <w:marLeft w:val="0"/>
          <w:marRight w:val="0"/>
          <w:marTop w:val="100"/>
          <w:marBottom w:val="0"/>
          <w:divBdr>
            <w:top w:val="none" w:sz="0" w:space="0" w:color="auto"/>
            <w:left w:val="none" w:sz="0" w:space="0" w:color="auto"/>
            <w:bottom w:val="none" w:sz="0" w:space="0" w:color="auto"/>
            <w:right w:val="none" w:sz="0" w:space="0" w:color="auto"/>
          </w:divBdr>
        </w:div>
      </w:divsChild>
    </w:div>
    <w:div w:id="419527535">
      <w:marLeft w:val="0"/>
      <w:marRight w:val="0"/>
      <w:marTop w:val="180"/>
      <w:marBottom w:val="0"/>
      <w:divBdr>
        <w:top w:val="none" w:sz="0" w:space="0" w:color="auto"/>
        <w:left w:val="none" w:sz="0" w:space="0" w:color="auto"/>
        <w:bottom w:val="none" w:sz="0" w:space="0" w:color="auto"/>
        <w:right w:val="none" w:sz="0" w:space="0" w:color="auto"/>
      </w:divBdr>
    </w:div>
    <w:div w:id="433288384">
      <w:marLeft w:val="0"/>
      <w:marRight w:val="0"/>
      <w:marTop w:val="0"/>
      <w:marBottom w:val="0"/>
      <w:divBdr>
        <w:top w:val="none" w:sz="0" w:space="0" w:color="auto"/>
        <w:left w:val="none" w:sz="0" w:space="0" w:color="auto"/>
        <w:bottom w:val="none" w:sz="0" w:space="0" w:color="auto"/>
        <w:right w:val="none" w:sz="0" w:space="0" w:color="auto"/>
      </w:divBdr>
    </w:div>
    <w:div w:id="433941677">
      <w:marLeft w:val="0"/>
      <w:marRight w:val="0"/>
      <w:marTop w:val="0"/>
      <w:marBottom w:val="160"/>
      <w:divBdr>
        <w:top w:val="none" w:sz="0" w:space="0" w:color="auto"/>
        <w:left w:val="none" w:sz="0" w:space="0" w:color="auto"/>
        <w:bottom w:val="none" w:sz="0" w:space="0" w:color="auto"/>
        <w:right w:val="none" w:sz="0" w:space="0" w:color="auto"/>
      </w:divBdr>
    </w:div>
    <w:div w:id="437674981">
      <w:marLeft w:val="0"/>
      <w:marRight w:val="0"/>
      <w:marTop w:val="100"/>
      <w:marBottom w:val="0"/>
      <w:divBdr>
        <w:top w:val="none" w:sz="0" w:space="0" w:color="auto"/>
        <w:left w:val="none" w:sz="0" w:space="0" w:color="auto"/>
        <w:bottom w:val="none" w:sz="0" w:space="0" w:color="auto"/>
        <w:right w:val="none" w:sz="0" w:space="0" w:color="auto"/>
      </w:divBdr>
    </w:div>
    <w:div w:id="440102871">
      <w:marLeft w:val="0"/>
      <w:marRight w:val="0"/>
      <w:marTop w:val="60"/>
      <w:marBottom w:val="0"/>
      <w:divBdr>
        <w:top w:val="none" w:sz="0" w:space="0" w:color="auto"/>
        <w:left w:val="none" w:sz="0" w:space="0" w:color="auto"/>
        <w:bottom w:val="none" w:sz="0" w:space="0" w:color="auto"/>
        <w:right w:val="none" w:sz="0" w:space="0" w:color="auto"/>
      </w:divBdr>
    </w:div>
    <w:div w:id="441344127">
      <w:marLeft w:val="0"/>
      <w:marRight w:val="0"/>
      <w:marTop w:val="100"/>
      <w:marBottom w:val="0"/>
      <w:divBdr>
        <w:top w:val="none" w:sz="0" w:space="0" w:color="auto"/>
        <w:left w:val="none" w:sz="0" w:space="0" w:color="auto"/>
        <w:bottom w:val="none" w:sz="0" w:space="0" w:color="auto"/>
        <w:right w:val="none" w:sz="0" w:space="0" w:color="auto"/>
      </w:divBdr>
    </w:div>
    <w:div w:id="443382747">
      <w:marLeft w:val="0"/>
      <w:marRight w:val="0"/>
      <w:marTop w:val="0"/>
      <w:marBottom w:val="0"/>
      <w:divBdr>
        <w:top w:val="none" w:sz="0" w:space="0" w:color="auto"/>
        <w:left w:val="none" w:sz="0" w:space="0" w:color="auto"/>
        <w:bottom w:val="none" w:sz="0" w:space="0" w:color="auto"/>
        <w:right w:val="none" w:sz="0" w:space="0" w:color="auto"/>
      </w:divBdr>
      <w:divsChild>
        <w:div w:id="1430658508">
          <w:marLeft w:val="0"/>
          <w:marRight w:val="0"/>
          <w:marTop w:val="100"/>
          <w:marBottom w:val="0"/>
          <w:divBdr>
            <w:top w:val="none" w:sz="0" w:space="0" w:color="auto"/>
            <w:left w:val="none" w:sz="0" w:space="0" w:color="auto"/>
            <w:bottom w:val="none" w:sz="0" w:space="0" w:color="auto"/>
            <w:right w:val="none" w:sz="0" w:space="0" w:color="auto"/>
          </w:divBdr>
        </w:div>
      </w:divsChild>
    </w:div>
    <w:div w:id="444276026">
      <w:marLeft w:val="0"/>
      <w:marRight w:val="0"/>
      <w:marTop w:val="0"/>
      <w:marBottom w:val="0"/>
      <w:divBdr>
        <w:top w:val="none" w:sz="0" w:space="0" w:color="auto"/>
        <w:left w:val="none" w:sz="0" w:space="0" w:color="auto"/>
        <w:bottom w:val="none" w:sz="0" w:space="0" w:color="auto"/>
        <w:right w:val="none" w:sz="0" w:space="0" w:color="auto"/>
      </w:divBdr>
      <w:divsChild>
        <w:div w:id="1331103468">
          <w:marLeft w:val="0"/>
          <w:marRight w:val="0"/>
          <w:marTop w:val="100"/>
          <w:marBottom w:val="0"/>
          <w:divBdr>
            <w:top w:val="none" w:sz="0" w:space="0" w:color="auto"/>
            <w:left w:val="none" w:sz="0" w:space="0" w:color="auto"/>
            <w:bottom w:val="none" w:sz="0" w:space="0" w:color="auto"/>
            <w:right w:val="none" w:sz="0" w:space="0" w:color="auto"/>
          </w:divBdr>
        </w:div>
      </w:divsChild>
    </w:div>
    <w:div w:id="452482006">
      <w:marLeft w:val="0"/>
      <w:marRight w:val="0"/>
      <w:marTop w:val="0"/>
      <w:marBottom w:val="0"/>
      <w:divBdr>
        <w:top w:val="none" w:sz="0" w:space="0" w:color="auto"/>
        <w:left w:val="none" w:sz="0" w:space="0" w:color="auto"/>
        <w:bottom w:val="none" w:sz="0" w:space="0" w:color="auto"/>
        <w:right w:val="none" w:sz="0" w:space="0" w:color="auto"/>
      </w:divBdr>
    </w:div>
    <w:div w:id="453600454">
      <w:marLeft w:val="0"/>
      <w:marRight w:val="0"/>
      <w:marTop w:val="100"/>
      <w:marBottom w:val="0"/>
      <w:divBdr>
        <w:top w:val="none" w:sz="0" w:space="0" w:color="auto"/>
        <w:left w:val="none" w:sz="0" w:space="0" w:color="auto"/>
        <w:bottom w:val="none" w:sz="0" w:space="0" w:color="auto"/>
        <w:right w:val="none" w:sz="0" w:space="0" w:color="auto"/>
      </w:divBdr>
    </w:div>
    <w:div w:id="454060627">
      <w:marLeft w:val="0"/>
      <w:marRight w:val="0"/>
      <w:marTop w:val="100"/>
      <w:marBottom w:val="0"/>
      <w:divBdr>
        <w:top w:val="none" w:sz="0" w:space="0" w:color="auto"/>
        <w:left w:val="none" w:sz="0" w:space="0" w:color="auto"/>
        <w:bottom w:val="none" w:sz="0" w:space="0" w:color="auto"/>
        <w:right w:val="none" w:sz="0" w:space="0" w:color="auto"/>
      </w:divBdr>
    </w:div>
    <w:div w:id="455376043">
      <w:marLeft w:val="0"/>
      <w:marRight w:val="0"/>
      <w:marTop w:val="0"/>
      <w:marBottom w:val="0"/>
      <w:divBdr>
        <w:top w:val="none" w:sz="0" w:space="0" w:color="auto"/>
        <w:left w:val="none" w:sz="0" w:space="0" w:color="auto"/>
        <w:bottom w:val="none" w:sz="0" w:space="0" w:color="auto"/>
        <w:right w:val="none" w:sz="0" w:space="0" w:color="auto"/>
      </w:divBdr>
      <w:divsChild>
        <w:div w:id="1209604452">
          <w:marLeft w:val="0"/>
          <w:marRight w:val="0"/>
          <w:marTop w:val="100"/>
          <w:marBottom w:val="0"/>
          <w:divBdr>
            <w:top w:val="none" w:sz="0" w:space="0" w:color="auto"/>
            <w:left w:val="none" w:sz="0" w:space="0" w:color="auto"/>
            <w:bottom w:val="none" w:sz="0" w:space="0" w:color="auto"/>
            <w:right w:val="none" w:sz="0" w:space="0" w:color="auto"/>
          </w:divBdr>
        </w:div>
      </w:divsChild>
    </w:div>
    <w:div w:id="461308341">
      <w:marLeft w:val="0"/>
      <w:marRight w:val="0"/>
      <w:marTop w:val="100"/>
      <w:marBottom w:val="0"/>
      <w:divBdr>
        <w:top w:val="none" w:sz="0" w:space="0" w:color="auto"/>
        <w:left w:val="none" w:sz="0" w:space="0" w:color="auto"/>
        <w:bottom w:val="none" w:sz="0" w:space="0" w:color="auto"/>
        <w:right w:val="none" w:sz="0" w:space="0" w:color="auto"/>
      </w:divBdr>
    </w:div>
    <w:div w:id="462042100">
      <w:marLeft w:val="0"/>
      <w:marRight w:val="0"/>
      <w:marTop w:val="0"/>
      <w:marBottom w:val="0"/>
      <w:divBdr>
        <w:top w:val="none" w:sz="0" w:space="0" w:color="auto"/>
        <w:left w:val="none" w:sz="0" w:space="0" w:color="auto"/>
        <w:bottom w:val="none" w:sz="0" w:space="0" w:color="auto"/>
        <w:right w:val="none" w:sz="0" w:space="0" w:color="auto"/>
      </w:divBdr>
    </w:div>
    <w:div w:id="464549428">
      <w:marLeft w:val="0"/>
      <w:marRight w:val="0"/>
      <w:marTop w:val="100"/>
      <w:marBottom w:val="0"/>
      <w:divBdr>
        <w:top w:val="none" w:sz="0" w:space="0" w:color="auto"/>
        <w:left w:val="none" w:sz="0" w:space="0" w:color="auto"/>
        <w:bottom w:val="none" w:sz="0" w:space="0" w:color="auto"/>
        <w:right w:val="none" w:sz="0" w:space="0" w:color="auto"/>
      </w:divBdr>
    </w:div>
    <w:div w:id="466435277">
      <w:marLeft w:val="0"/>
      <w:marRight w:val="0"/>
      <w:marTop w:val="0"/>
      <w:marBottom w:val="0"/>
      <w:divBdr>
        <w:top w:val="none" w:sz="0" w:space="0" w:color="auto"/>
        <w:left w:val="none" w:sz="0" w:space="0" w:color="auto"/>
        <w:bottom w:val="none" w:sz="0" w:space="0" w:color="auto"/>
        <w:right w:val="none" w:sz="0" w:space="0" w:color="auto"/>
      </w:divBdr>
      <w:divsChild>
        <w:div w:id="1628853732">
          <w:marLeft w:val="0"/>
          <w:marRight w:val="0"/>
          <w:marTop w:val="0"/>
          <w:marBottom w:val="0"/>
          <w:divBdr>
            <w:top w:val="none" w:sz="0" w:space="0" w:color="auto"/>
            <w:left w:val="none" w:sz="0" w:space="0" w:color="auto"/>
            <w:bottom w:val="none" w:sz="0" w:space="0" w:color="auto"/>
            <w:right w:val="none" w:sz="0" w:space="0" w:color="auto"/>
          </w:divBdr>
        </w:div>
      </w:divsChild>
    </w:div>
    <w:div w:id="470439999">
      <w:marLeft w:val="0"/>
      <w:marRight w:val="0"/>
      <w:marTop w:val="100"/>
      <w:marBottom w:val="100"/>
      <w:divBdr>
        <w:top w:val="none" w:sz="0" w:space="0" w:color="auto"/>
        <w:left w:val="none" w:sz="0" w:space="0" w:color="auto"/>
        <w:bottom w:val="none" w:sz="0" w:space="0" w:color="auto"/>
        <w:right w:val="none" w:sz="0" w:space="0" w:color="auto"/>
      </w:divBdr>
    </w:div>
    <w:div w:id="473524530">
      <w:marLeft w:val="0"/>
      <w:marRight w:val="0"/>
      <w:marTop w:val="200"/>
      <w:marBottom w:val="100"/>
      <w:divBdr>
        <w:top w:val="none" w:sz="0" w:space="0" w:color="auto"/>
        <w:left w:val="none" w:sz="0" w:space="0" w:color="auto"/>
        <w:bottom w:val="none" w:sz="0" w:space="0" w:color="auto"/>
        <w:right w:val="none" w:sz="0" w:space="0" w:color="auto"/>
      </w:divBdr>
    </w:div>
    <w:div w:id="476530689">
      <w:marLeft w:val="0"/>
      <w:marRight w:val="0"/>
      <w:marTop w:val="100"/>
      <w:marBottom w:val="0"/>
      <w:divBdr>
        <w:top w:val="none" w:sz="0" w:space="0" w:color="auto"/>
        <w:left w:val="none" w:sz="0" w:space="0" w:color="auto"/>
        <w:bottom w:val="none" w:sz="0" w:space="0" w:color="auto"/>
        <w:right w:val="none" w:sz="0" w:space="0" w:color="auto"/>
      </w:divBdr>
    </w:div>
    <w:div w:id="483357833">
      <w:marLeft w:val="0"/>
      <w:marRight w:val="0"/>
      <w:marTop w:val="180"/>
      <w:marBottom w:val="0"/>
      <w:divBdr>
        <w:top w:val="none" w:sz="0" w:space="0" w:color="auto"/>
        <w:left w:val="none" w:sz="0" w:space="0" w:color="auto"/>
        <w:bottom w:val="none" w:sz="0" w:space="0" w:color="auto"/>
        <w:right w:val="none" w:sz="0" w:space="0" w:color="auto"/>
      </w:divBdr>
    </w:div>
    <w:div w:id="483787082">
      <w:marLeft w:val="0"/>
      <w:marRight w:val="0"/>
      <w:marTop w:val="100"/>
      <w:marBottom w:val="0"/>
      <w:divBdr>
        <w:top w:val="none" w:sz="0" w:space="0" w:color="auto"/>
        <w:left w:val="none" w:sz="0" w:space="0" w:color="auto"/>
        <w:bottom w:val="none" w:sz="0" w:space="0" w:color="auto"/>
        <w:right w:val="none" w:sz="0" w:space="0" w:color="auto"/>
      </w:divBdr>
    </w:div>
    <w:div w:id="484706351">
      <w:marLeft w:val="0"/>
      <w:marRight w:val="0"/>
      <w:marTop w:val="100"/>
      <w:marBottom w:val="0"/>
      <w:divBdr>
        <w:top w:val="none" w:sz="0" w:space="0" w:color="auto"/>
        <w:left w:val="none" w:sz="0" w:space="0" w:color="auto"/>
        <w:bottom w:val="none" w:sz="0" w:space="0" w:color="auto"/>
        <w:right w:val="none" w:sz="0" w:space="0" w:color="auto"/>
      </w:divBdr>
    </w:div>
    <w:div w:id="487553915">
      <w:marLeft w:val="0"/>
      <w:marRight w:val="0"/>
      <w:marTop w:val="0"/>
      <w:marBottom w:val="0"/>
      <w:divBdr>
        <w:top w:val="none" w:sz="0" w:space="0" w:color="auto"/>
        <w:left w:val="none" w:sz="0" w:space="0" w:color="auto"/>
        <w:bottom w:val="none" w:sz="0" w:space="0" w:color="auto"/>
        <w:right w:val="none" w:sz="0" w:space="0" w:color="auto"/>
      </w:divBdr>
    </w:div>
    <w:div w:id="489178349">
      <w:marLeft w:val="0"/>
      <w:marRight w:val="0"/>
      <w:marTop w:val="100"/>
      <w:marBottom w:val="0"/>
      <w:divBdr>
        <w:top w:val="none" w:sz="0" w:space="0" w:color="auto"/>
        <w:left w:val="none" w:sz="0" w:space="0" w:color="auto"/>
        <w:bottom w:val="none" w:sz="0" w:space="0" w:color="auto"/>
        <w:right w:val="none" w:sz="0" w:space="0" w:color="auto"/>
      </w:divBdr>
    </w:div>
    <w:div w:id="489248390">
      <w:marLeft w:val="0"/>
      <w:marRight w:val="0"/>
      <w:marTop w:val="100"/>
      <w:marBottom w:val="0"/>
      <w:divBdr>
        <w:top w:val="none" w:sz="0" w:space="0" w:color="auto"/>
        <w:left w:val="none" w:sz="0" w:space="0" w:color="auto"/>
        <w:bottom w:val="none" w:sz="0" w:space="0" w:color="auto"/>
        <w:right w:val="none" w:sz="0" w:space="0" w:color="auto"/>
      </w:divBdr>
    </w:div>
    <w:div w:id="490484656">
      <w:marLeft w:val="0"/>
      <w:marRight w:val="0"/>
      <w:marTop w:val="0"/>
      <w:marBottom w:val="0"/>
      <w:divBdr>
        <w:top w:val="none" w:sz="0" w:space="0" w:color="auto"/>
        <w:left w:val="none" w:sz="0" w:space="0" w:color="auto"/>
        <w:bottom w:val="none" w:sz="0" w:space="0" w:color="auto"/>
        <w:right w:val="none" w:sz="0" w:space="0" w:color="auto"/>
      </w:divBdr>
    </w:div>
    <w:div w:id="491063483">
      <w:marLeft w:val="0"/>
      <w:marRight w:val="0"/>
      <w:marTop w:val="100"/>
      <w:marBottom w:val="0"/>
      <w:divBdr>
        <w:top w:val="none" w:sz="0" w:space="0" w:color="auto"/>
        <w:left w:val="none" w:sz="0" w:space="0" w:color="auto"/>
        <w:bottom w:val="none" w:sz="0" w:space="0" w:color="auto"/>
        <w:right w:val="none" w:sz="0" w:space="0" w:color="auto"/>
      </w:divBdr>
    </w:div>
    <w:div w:id="494995019">
      <w:marLeft w:val="0"/>
      <w:marRight w:val="0"/>
      <w:marTop w:val="100"/>
      <w:marBottom w:val="0"/>
      <w:divBdr>
        <w:top w:val="none" w:sz="0" w:space="0" w:color="auto"/>
        <w:left w:val="none" w:sz="0" w:space="0" w:color="auto"/>
        <w:bottom w:val="none" w:sz="0" w:space="0" w:color="auto"/>
        <w:right w:val="none" w:sz="0" w:space="0" w:color="auto"/>
      </w:divBdr>
    </w:div>
    <w:div w:id="495388443">
      <w:marLeft w:val="0"/>
      <w:marRight w:val="0"/>
      <w:marTop w:val="0"/>
      <w:marBottom w:val="0"/>
      <w:divBdr>
        <w:top w:val="none" w:sz="0" w:space="0" w:color="auto"/>
        <w:left w:val="none" w:sz="0" w:space="0" w:color="auto"/>
        <w:bottom w:val="none" w:sz="0" w:space="0" w:color="auto"/>
        <w:right w:val="none" w:sz="0" w:space="0" w:color="auto"/>
      </w:divBdr>
      <w:divsChild>
        <w:div w:id="155996730">
          <w:marLeft w:val="0"/>
          <w:marRight w:val="0"/>
          <w:marTop w:val="0"/>
          <w:marBottom w:val="0"/>
          <w:divBdr>
            <w:top w:val="none" w:sz="0" w:space="0" w:color="auto"/>
            <w:left w:val="none" w:sz="0" w:space="0" w:color="auto"/>
            <w:bottom w:val="none" w:sz="0" w:space="0" w:color="auto"/>
            <w:right w:val="none" w:sz="0" w:space="0" w:color="auto"/>
          </w:divBdr>
        </w:div>
      </w:divsChild>
    </w:div>
    <w:div w:id="497615830">
      <w:marLeft w:val="0"/>
      <w:marRight w:val="0"/>
      <w:marTop w:val="100"/>
      <w:marBottom w:val="0"/>
      <w:divBdr>
        <w:top w:val="none" w:sz="0" w:space="0" w:color="auto"/>
        <w:left w:val="none" w:sz="0" w:space="0" w:color="auto"/>
        <w:bottom w:val="none" w:sz="0" w:space="0" w:color="auto"/>
        <w:right w:val="none" w:sz="0" w:space="0" w:color="auto"/>
      </w:divBdr>
    </w:div>
    <w:div w:id="501434808">
      <w:marLeft w:val="0"/>
      <w:marRight w:val="0"/>
      <w:marTop w:val="100"/>
      <w:marBottom w:val="0"/>
      <w:divBdr>
        <w:top w:val="none" w:sz="0" w:space="0" w:color="auto"/>
        <w:left w:val="none" w:sz="0" w:space="0" w:color="auto"/>
        <w:bottom w:val="none" w:sz="0" w:space="0" w:color="auto"/>
        <w:right w:val="none" w:sz="0" w:space="0" w:color="auto"/>
      </w:divBdr>
    </w:div>
    <w:div w:id="507791185">
      <w:marLeft w:val="0"/>
      <w:marRight w:val="0"/>
      <w:marTop w:val="180"/>
      <w:marBottom w:val="0"/>
      <w:divBdr>
        <w:top w:val="none" w:sz="0" w:space="0" w:color="auto"/>
        <w:left w:val="none" w:sz="0" w:space="0" w:color="auto"/>
        <w:bottom w:val="none" w:sz="0" w:space="0" w:color="auto"/>
        <w:right w:val="none" w:sz="0" w:space="0" w:color="auto"/>
      </w:divBdr>
    </w:div>
    <w:div w:id="507869803">
      <w:marLeft w:val="0"/>
      <w:marRight w:val="0"/>
      <w:marTop w:val="100"/>
      <w:marBottom w:val="0"/>
      <w:divBdr>
        <w:top w:val="none" w:sz="0" w:space="0" w:color="auto"/>
        <w:left w:val="none" w:sz="0" w:space="0" w:color="auto"/>
        <w:bottom w:val="none" w:sz="0" w:space="0" w:color="auto"/>
        <w:right w:val="none" w:sz="0" w:space="0" w:color="auto"/>
      </w:divBdr>
    </w:div>
    <w:div w:id="509683129">
      <w:marLeft w:val="0"/>
      <w:marRight w:val="0"/>
      <w:marTop w:val="0"/>
      <w:marBottom w:val="0"/>
      <w:divBdr>
        <w:top w:val="none" w:sz="0" w:space="0" w:color="auto"/>
        <w:left w:val="none" w:sz="0" w:space="0" w:color="auto"/>
        <w:bottom w:val="none" w:sz="0" w:space="0" w:color="auto"/>
        <w:right w:val="none" w:sz="0" w:space="0" w:color="auto"/>
      </w:divBdr>
      <w:divsChild>
        <w:div w:id="147291169">
          <w:marLeft w:val="0"/>
          <w:marRight w:val="0"/>
          <w:marTop w:val="100"/>
          <w:marBottom w:val="0"/>
          <w:divBdr>
            <w:top w:val="none" w:sz="0" w:space="0" w:color="auto"/>
            <w:left w:val="none" w:sz="0" w:space="0" w:color="auto"/>
            <w:bottom w:val="none" w:sz="0" w:space="0" w:color="auto"/>
            <w:right w:val="none" w:sz="0" w:space="0" w:color="auto"/>
          </w:divBdr>
        </w:div>
      </w:divsChild>
    </w:div>
    <w:div w:id="511188248">
      <w:marLeft w:val="0"/>
      <w:marRight w:val="0"/>
      <w:marTop w:val="0"/>
      <w:marBottom w:val="0"/>
      <w:divBdr>
        <w:top w:val="none" w:sz="0" w:space="0" w:color="auto"/>
        <w:left w:val="none" w:sz="0" w:space="0" w:color="auto"/>
        <w:bottom w:val="none" w:sz="0" w:space="0" w:color="auto"/>
        <w:right w:val="none" w:sz="0" w:space="0" w:color="auto"/>
      </w:divBdr>
      <w:divsChild>
        <w:div w:id="1281644751">
          <w:marLeft w:val="0"/>
          <w:marRight w:val="0"/>
          <w:marTop w:val="0"/>
          <w:marBottom w:val="0"/>
          <w:divBdr>
            <w:top w:val="none" w:sz="0" w:space="0" w:color="auto"/>
            <w:left w:val="none" w:sz="0" w:space="0" w:color="auto"/>
            <w:bottom w:val="none" w:sz="0" w:space="0" w:color="auto"/>
            <w:right w:val="none" w:sz="0" w:space="0" w:color="auto"/>
          </w:divBdr>
        </w:div>
      </w:divsChild>
    </w:div>
    <w:div w:id="514616222">
      <w:marLeft w:val="0"/>
      <w:marRight w:val="0"/>
      <w:marTop w:val="100"/>
      <w:marBottom w:val="0"/>
      <w:divBdr>
        <w:top w:val="none" w:sz="0" w:space="0" w:color="auto"/>
        <w:left w:val="none" w:sz="0" w:space="0" w:color="auto"/>
        <w:bottom w:val="none" w:sz="0" w:space="0" w:color="auto"/>
        <w:right w:val="none" w:sz="0" w:space="0" w:color="auto"/>
      </w:divBdr>
    </w:div>
    <w:div w:id="515077288">
      <w:marLeft w:val="0"/>
      <w:marRight w:val="0"/>
      <w:marTop w:val="160"/>
      <w:marBottom w:val="0"/>
      <w:divBdr>
        <w:top w:val="none" w:sz="0" w:space="0" w:color="auto"/>
        <w:left w:val="none" w:sz="0" w:space="0" w:color="auto"/>
        <w:bottom w:val="none" w:sz="0" w:space="0" w:color="auto"/>
        <w:right w:val="none" w:sz="0" w:space="0" w:color="auto"/>
      </w:divBdr>
    </w:div>
    <w:div w:id="516046924">
      <w:marLeft w:val="0"/>
      <w:marRight w:val="0"/>
      <w:marTop w:val="0"/>
      <w:marBottom w:val="0"/>
      <w:divBdr>
        <w:top w:val="none" w:sz="0" w:space="0" w:color="auto"/>
        <w:left w:val="none" w:sz="0" w:space="0" w:color="auto"/>
        <w:bottom w:val="none" w:sz="0" w:space="0" w:color="auto"/>
        <w:right w:val="none" w:sz="0" w:space="0" w:color="auto"/>
      </w:divBdr>
    </w:div>
    <w:div w:id="516581838">
      <w:marLeft w:val="0"/>
      <w:marRight w:val="0"/>
      <w:marTop w:val="100"/>
      <w:marBottom w:val="0"/>
      <w:divBdr>
        <w:top w:val="none" w:sz="0" w:space="0" w:color="auto"/>
        <w:left w:val="none" w:sz="0" w:space="0" w:color="auto"/>
        <w:bottom w:val="none" w:sz="0" w:space="0" w:color="auto"/>
        <w:right w:val="none" w:sz="0" w:space="0" w:color="auto"/>
      </w:divBdr>
    </w:div>
    <w:div w:id="517963744">
      <w:marLeft w:val="0"/>
      <w:marRight w:val="0"/>
      <w:marTop w:val="0"/>
      <w:marBottom w:val="0"/>
      <w:divBdr>
        <w:top w:val="none" w:sz="0" w:space="0" w:color="auto"/>
        <w:left w:val="none" w:sz="0" w:space="0" w:color="auto"/>
        <w:bottom w:val="none" w:sz="0" w:space="0" w:color="auto"/>
        <w:right w:val="none" w:sz="0" w:space="0" w:color="auto"/>
      </w:divBdr>
    </w:div>
    <w:div w:id="518665649">
      <w:marLeft w:val="0"/>
      <w:marRight w:val="0"/>
      <w:marTop w:val="0"/>
      <w:marBottom w:val="0"/>
      <w:divBdr>
        <w:top w:val="none" w:sz="0" w:space="0" w:color="auto"/>
        <w:left w:val="none" w:sz="0" w:space="0" w:color="auto"/>
        <w:bottom w:val="none" w:sz="0" w:space="0" w:color="auto"/>
        <w:right w:val="none" w:sz="0" w:space="0" w:color="auto"/>
      </w:divBdr>
    </w:div>
    <w:div w:id="522404163">
      <w:marLeft w:val="0"/>
      <w:marRight w:val="0"/>
      <w:marTop w:val="0"/>
      <w:marBottom w:val="0"/>
      <w:divBdr>
        <w:top w:val="none" w:sz="0" w:space="0" w:color="auto"/>
        <w:left w:val="none" w:sz="0" w:space="0" w:color="auto"/>
        <w:bottom w:val="none" w:sz="0" w:space="0" w:color="auto"/>
        <w:right w:val="none" w:sz="0" w:space="0" w:color="auto"/>
      </w:divBdr>
      <w:divsChild>
        <w:div w:id="2136948097">
          <w:marLeft w:val="0"/>
          <w:marRight w:val="0"/>
          <w:marTop w:val="0"/>
          <w:marBottom w:val="0"/>
          <w:divBdr>
            <w:top w:val="none" w:sz="0" w:space="0" w:color="auto"/>
            <w:left w:val="none" w:sz="0" w:space="0" w:color="auto"/>
            <w:bottom w:val="none" w:sz="0" w:space="0" w:color="auto"/>
            <w:right w:val="none" w:sz="0" w:space="0" w:color="auto"/>
          </w:divBdr>
        </w:div>
      </w:divsChild>
    </w:div>
    <w:div w:id="526528533">
      <w:marLeft w:val="0"/>
      <w:marRight w:val="0"/>
      <w:marTop w:val="180"/>
      <w:marBottom w:val="0"/>
      <w:divBdr>
        <w:top w:val="none" w:sz="0" w:space="0" w:color="auto"/>
        <w:left w:val="none" w:sz="0" w:space="0" w:color="auto"/>
        <w:bottom w:val="none" w:sz="0" w:space="0" w:color="auto"/>
        <w:right w:val="none" w:sz="0" w:space="0" w:color="auto"/>
      </w:divBdr>
    </w:div>
    <w:div w:id="530847755">
      <w:marLeft w:val="0"/>
      <w:marRight w:val="0"/>
      <w:marTop w:val="100"/>
      <w:marBottom w:val="0"/>
      <w:divBdr>
        <w:top w:val="none" w:sz="0" w:space="0" w:color="auto"/>
        <w:left w:val="none" w:sz="0" w:space="0" w:color="auto"/>
        <w:bottom w:val="none" w:sz="0" w:space="0" w:color="auto"/>
        <w:right w:val="none" w:sz="0" w:space="0" w:color="auto"/>
      </w:divBdr>
    </w:div>
    <w:div w:id="531965429">
      <w:marLeft w:val="0"/>
      <w:marRight w:val="0"/>
      <w:marTop w:val="100"/>
      <w:marBottom w:val="100"/>
      <w:divBdr>
        <w:top w:val="none" w:sz="0" w:space="0" w:color="auto"/>
        <w:left w:val="none" w:sz="0" w:space="0" w:color="auto"/>
        <w:bottom w:val="none" w:sz="0" w:space="0" w:color="auto"/>
        <w:right w:val="none" w:sz="0" w:space="0" w:color="auto"/>
      </w:divBdr>
    </w:div>
    <w:div w:id="532230837">
      <w:marLeft w:val="0"/>
      <w:marRight w:val="0"/>
      <w:marTop w:val="160"/>
      <w:marBottom w:val="0"/>
      <w:divBdr>
        <w:top w:val="none" w:sz="0" w:space="0" w:color="auto"/>
        <w:left w:val="none" w:sz="0" w:space="0" w:color="auto"/>
        <w:bottom w:val="none" w:sz="0" w:space="0" w:color="auto"/>
        <w:right w:val="none" w:sz="0" w:space="0" w:color="auto"/>
      </w:divBdr>
    </w:div>
    <w:div w:id="534002424">
      <w:marLeft w:val="0"/>
      <w:marRight w:val="0"/>
      <w:marTop w:val="100"/>
      <w:marBottom w:val="0"/>
      <w:divBdr>
        <w:top w:val="none" w:sz="0" w:space="0" w:color="auto"/>
        <w:left w:val="none" w:sz="0" w:space="0" w:color="auto"/>
        <w:bottom w:val="none" w:sz="0" w:space="0" w:color="auto"/>
        <w:right w:val="none" w:sz="0" w:space="0" w:color="auto"/>
      </w:divBdr>
    </w:div>
    <w:div w:id="536040638">
      <w:marLeft w:val="0"/>
      <w:marRight w:val="0"/>
      <w:marTop w:val="100"/>
      <w:marBottom w:val="0"/>
      <w:divBdr>
        <w:top w:val="none" w:sz="0" w:space="0" w:color="auto"/>
        <w:left w:val="none" w:sz="0" w:space="0" w:color="auto"/>
        <w:bottom w:val="none" w:sz="0" w:space="0" w:color="auto"/>
        <w:right w:val="none" w:sz="0" w:space="0" w:color="auto"/>
      </w:divBdr>
    </w:div>
    <w:div w:id="536237519">
      <w:marLeft w:val="0"/>
      <w:marRight w:val="0"/>
      <w:marTop w:val="100"/>
      <w:marBottom w:val="120"/>
      <w:divBdr>
        <w:top w:val="none" w:sz="0" w:space="0" w:color="auto"/>
        <w:left w:val="none" w:sz="0" w:space="0" w:color="auto"/>
        <w:bottom w:val="none" w:sz="0" w:space="0" w:color="auto"/>
        <w:right w:val="none" w:sz="0" w:space="0" w:color="auto"/>
      </w:divBdr>
    </w:div>
    <w:div w:id="536285185">
      <w:marLeft w:val="0"/>
      <w:marRight w:val="0"/>
      <w:marTop w:val="100"/>
      <w:marBottom w:val="0"/>
      <w:divBdr>
        <w:top w:val="none" w:sz="0" w:space="0" w:color="auto"/>
        <w:left w:val="none" w:sz="0" w:space="0" w:color="auto"/>
        <w:bottom w:val="none" w:sz="0" w:space="0" w:color="auto"/>
        <w:right w:val="none" w:sz="0" w:space="0" w:color="auto"/>
      </w:divBdr>
    </w:div>
    <w:div w:id="542795505">
      <w:marLeft w:val="0"/>
      <w:marRight w:val="0"/>
      <w:marTop w:val="100"/>
      <w:marBottom w:val="0"/>
      <w:divBdr>
        <w:top w:val="none" w:sz="0" w:space="0" w:color="auto"/>
        <w:left w:val="none" w:sz="0" w:space="0" w:color="auto"/>
        <w:bottom w:val="none" w:sz="0" w:space="0" w:color="auto"/>
        <w:right w:val="none" w:sz="0" w:space="0" w:color="auto"/>
      </w:divBdr>
    </w:div>
    <w:div w:id="545029272">
      <w:marLeft w:val="0"/>
      <w:marRight w:val="0"/>
      <w:marTop w:val="100"/>
      <w:marBottom w:val="0"/>
      <w:divBdr>
        <w:top w:val="none" w:sz="0" w:space="0" w:color="auto"/>
        <w:left w:val="none" w:sz="0" w:space="0" w:color="auto"/>
        <w:bottom w:val="none" w:sz="0" w:space="0" w:color="auto"/>
        <w:right w:val="none" w:sz="0" w:space="0" w:color="auto"/>
      </w:divBdr>
    </w:div>
    <w:div w:id="546527762">
      <w:marLeft w:val="0"/>
      <w:marRight w:val="0"/>
      <w:marTop w:val="100"/>
      <w:marBottom w:val="0"/>
      <w:divBdr>
        <w:top w:val="none" w:sz="0" w:space="0" w:color="auto"/>
        <w:left w:val="none" w:sz="0" w:space="0" w:color="auto"/>
        <w:bottom w:val="none" w:sz="0" w:space="0" w:color="auto"/>
        <w:right w:val="none" w:sz="0" w:space="0" w:color="auto"/>
      </w:divBdr>
    </w:div>
    <w:div w:id="547378552">
      <w:marLeft w:val="0"/>
      <w:marRight w:val="0"/>
      <w:marTop w:val="100"/>
      <w:marBottom w:val="0"/>
      <w:divBdr>
        <w:top w:val="none" w:sz="0" w:space="0" w:color="auto"/>
        <w:left w:val="none" w:sz="0" w:space="0" w:color="auto"/>
        <w:bottom w:val="none" w:sz="0" w:space="0" w:color="auto"/>
        <w:right w:val="none" w:sz="0" w:space="0" w:color="auto"/>
      </w:divBdr>
    </w:div>
    <w:div w:id="548759340">
      <w:marLeft w:val="0"/>
      <w:marRight w:val="0"/>
      <w:marTop w:val="90"/>
      <w:marBottom w:val="0"/>
      <w:divBdr>
        <w:top w:val="none" w:sz="0" w:space="0" w:color="auto"/>
        <w:left w:val="none" w:sz="0" w:space="0" w:color="auto"/>
        <w:bottom w:val="none" w:sz="0" w:space="0" w:color="auto"/>
        <w:right w:val="none" w:sz="0" w:space="0" w:color="auto"/>
      </w:divBdr>
    </w:div>
    <w:div w:id="550121533">
      <w:marLeft w:val="0"/>
      <w:marRight w:val="0"/>
      <w:marTop w:val="100"/>
      <w:marBottom w:val="0"/>
      <w:divBdr>
        <w:top w:val="none" w:sz="0" w:space="0" w:color="auto"/>
        <w:left w:val="none" w:sz="0" w:space="0" w:color="auto"/>
        <w:bottom w:val="none" w:sz="0" w:space="0" w:color="auto"/>
        <w:right w:val="none" w:sz="0" w:space="0" w:color="auto"/>
      </w:divBdr>
    </w:div>
    <w:div w:id="551620392">
      <w:marLeft w:val="0"/>
      <w:marRight w:val="0"/>
      <w:marTop w:val="100"/>
      <w:marBottom w:val="0"/>
      <w:divBdr>
        <w:top w:val="none" w:sz="0" w:space="0" w:color="auto"/>
        <w:left w:val="none" w:sz="0" w:space="0" w:color="auto"/>
        <w:bottom w:val="none" w:sz="0" w:space="0" w:color="auto"/>
        <w:right w:val="none" w:sz="0" w:space="0" w:color="auto"/>
      </w:divBdr>
    </w:div>
    <w:div w:id="558320003">
      <w:marLeft w:val="0"/>
      <w:marRight w:val="0"/>
      <w:marTop w:val="0"/>
      <w:marBottom w:val="0"/>
      <w:divBdr>
        <w:top w:val="none" w:sz="0" w:space="0" w:color="auto"/>
        <w:left w:val="none" w:sz="0" w:space="0" w:color="auto"/>
        <w:bottom w:val="none" w:sz="0" w:space="0" w:color="auto"/>
        <w:right w:val="none" w:sz="0" w:space="0" w:color="auto"/>
      </w:divBdr>
      <w:divsChild>
        <w:div w:id="1884360876">
          <w:marLeft w:val="0"/>
          <w:marRight w:val="0"/>
          <w:marTop w:val="100"/>
          <w:marBottom w:val="0"/>
          <w:divBdr>
            <w:top w:val="none" w:sz="0" w:space="0" w:color="auto"/>
            <w:left w:val="none" w:sz="0" w:space="0" w:color="auto"/>
            <w:bottom w:val="none" w:sz="0" w:space="0" w:color="auto"/>
            <w:right w:val="none" w:sz="0" w:space="0" w:color="auto"/>
          </w:divBdr>
        </w:div>
      </w:divsChild>
    </w:div>
    <w:div w:id="565843581">
      <w:marLeft w:val="0"/>
      <w:marRight w:val="0"/>
      <w:marTop w:val="160"/>
      <w:marBottom w:val="0"/>
      <w:divBdr>
        <w:top w:val="none" w:sz="0" w:space="0" w:color="auto"/>
        <w:left w:val="none" w:sz="0" w:space="0" w:color="auto"/>
        <w:bottom w:val="none" w:sz="0" w:space="0" w:color="auto"/>
        <w:right w:val="none" w:sz="0" w:space="0" w:color="auto"/>
      </w:divBdr>
    </w:div>
    <w:div w:id="567571534">
      <w:marLeft w:val="0"/>
      <w:marRight w:val="0"/>
      <w:marTop w:val="0"/>
      <w:marBottom w:val="0"/>
      <w:divBdr>
        <w:top w:val="none" w:sz="0" w:space="0" w:color="auto"/>
        <w:left w:val="none" w:sz="0" w:space="0" w:color="auto"/>
        <w:bottom w:val="none" w:sz="0" w:space="0" w:color="auto"/>
        <w:right w:val="none" w:sz="0" w:space="0" w:color="auto"/>
      </w:divBdr>
      <w:divsChild>
        <w:div w:id="1836415669">
          <w:marLeft w:val="0"/>
          <w:marRight w:val="0"/>
          <w:marTop w:val="100"/>
          <w:marBottom w:val="0"/>
          <w:divBdr>
            <w:top w:val="none" w:sz="0" w:space="0" w:color="auto"/>
            <w:left w:val="none" w:sz="0" w:space="0" w:color="auto"/>
            <w:bottom w:val="none" w:sz="0" w:space="0" w:color="auto"/>
            <w:right w:val="none" w:sz="0" w:space="0" w:color="auto"/>
          </w:divBdr>
        </w:div>
      </w:divsChild>
    </w:div>
    <w:div w:id="568424086">
      <w:marLeft w:val="0"/>
      <w:marRight w:val="0"/>
      <w:marTop w:val="100"/>
      <w:marBottom w:val="0"/>
      <w:divBdr>
        <w:top w:val="none" w:sz="0" w:space="0" w:color="auto"/>
        <w:left w:val="none" w:sz="0" w:space="0" w:color="auto"/>
        <w:bottom w:val="none" w:sz="0" w:space="0" w:color="auto"/>
        <w:right w:val="none" w:sz="0" w:space="0" w:color="auto"/>
      </w:divBdr>
    </w:div>
    <w:div w:id="570627940">
      <w:marLeft w:val="0"/>
      <w:marRight w:val="0"/>
      <w:marTop w:val="0"/>
      <w:marBottom w:val="0"/>
      <w:divBdr>
        <w:top w:val="none" w:sz="0" w:space="0" w:color="auto"/>
        <w:left w:val="none" w:sz="0" w:space="0" w:color="auto"/>
        <w:bottom w:val="none" w:sz="0" w:space="0" w:color="auto"/>
        <w:right w:val="none" w:sz="0" w:space="0" w:color="auto"/>
      </w:divBdr>
      <w:divsChild>
        <w:div w:id="1004750136">
          <w:marLeft w:val="0"/>
          <w:marRight w:val="0"/>
          <w:marTop w:val="0"/>
          <w:marBottom w:val="0"/>
          <w:divBdr>
            <w:top w:val="none" w:sz="0" w:space="0" w:color="auto"/>
            <w:left w:val="none" w:sz="0" w:space="0" w:color="auto"/>
            <w:bottom w:val="none" w:sz="0" w:space="0" w:color="auto"/>
            <w:right w:val="none" w:sz="0" w:space="0" w:color="auto"/>
          </w:divBdr>
        </w:div>
      </w:divsChild>
    </w:div>
    <w:div w:id="572353396">
      <w:marLeft w:val="0"/>
      <w:marRight w:val="0"/>
      <w:marTop w:val="0"/>
      <w:marBottom w:val="0"/>
      <w:divBdr>
        <w:top w:val="none" w:sz="0" w:space="0" w:color="auto"/>
        <w:left w:val="none" w:sz="0" w:space="0" w:color="auto"/>
        <w:bottom w:val="none" w:sz="0" w:space="0" w:color="auto"/>
        <w:right w:val="none" w:sz="0" w:space="0" w:color="auto"/>
      </w:divBdr>
    </w:div>
    <w:div w:id="574751689">
      <w:marLeft w:val="0"/>
      <w:marRight w:val="0"/>
      <w:marTop w:val="100"/>
      <w:marBottom w:val="0"/>
      <w:divBdr>
        <w:top w:val="none" w:sz="0" w:space="0" w:color="auto"/>
        <w:left w:val="none" w:sz="0" w:space="0" w:color="auto"/>
        <w:bottom w:val="none" w:sz="0" w:space="0" w:color="auto"/>
        <w:right w:val="none" w:sz="0" w:space="0" w:color="auto"/>
      </w:divBdr>
    </w:div>
    <w:div w:id="578638986">
      <w:marLeft w:val="0"/>
      <w:marRight w:val="0"/>
      <w:marTop w:val="100"/>
      <w:marBottom w:val="0"/>
      <w:divBdr>
        <w:top w:val="none" w:sz="0" w:space="0" w:color="auto"/>
        <w:left w:val="none" w:sz="0" w:space="0" w:color="auto"/>
        <w:bottom w:val="none" w:sz="0" w:space="0" w:color="auto"/>
        <w:right w:val="none" w:sz="0" w:space="0" w:color="auto"/>
      </w:divBdr>
    </w:div>
    <w:div w:id="580529354">
      <w:marLeft w:val="0"/>
      <w:marRight w:val="0"/>
      <w:marTop w:val="0"/>
      <w:marBottom w:val="0"/>
      <w:divBdr>
        <w:top w:val="none" w:sz="0" w:space="0" w:color="auto"/>
        <w:left w:val="none" w:sz="0" w:space="0" w:color="auto"/>
        <w:bottom w:val="none" w:sz="0" w:space="0" w:color="auto"/>
        <w:right w:val="none" w:sz="0" w:space="0" w:color="auto"/>
      </w:divBdr>
      <w:divsChild>
        <w:div w:id="1492990557">
          <w:marLeft w:val="0"/>
          <w:marRight w:val="0"/>
          <w:marTop w:val="100"/>
          <w:marBottom w:val="0"/>
          <w:divBdr>
            <w:top w:val="none" w:sz="0" w:space="0" w:color="auto"/>
            <w:left w:val="none" w:sz="0" w:space="0" w:color="auto"/>
            <w:bottom w:val="none" w:sz="0" w:space="0" w:color="auto"/>
            <w:right w:val="none" w:sz="0" w:space="0" w:color="auto"/>
          </w:divBdr>
        </w:div>
      </w:divsChild>
    </w:div>
    <w:div w:id="581646746">
      <w:marLeft w:val="0"/>
      <w:marRight w:val="0"/>
      <w:marTop w:val="100"/>
      <w:marBottom w:val="0"/>
      <w:divBdr>
        <w:top w:val="none" w:sz="0" w:space="0" w:color="auto"/>
        <w:left w:val="none" w:sz="0" w:space="0" w:color="auto"/>
        <w:bottom w:val="none" w:sz="0" w:space="0" w:color="auto"/>
        <w:right w:val="none" w:sz="0" w:space="0" w:color="auto"/>
      </w:divBdr>
    </w:div>
    <w:div w:id="584151647">
      <w:marLeft w:val="0"/>
      <w:marRight w:val="0"/>
      <w:marTop w:val="0"/>
      <w:marBottom w:val="0"/>
      <w:divBdr>
        <w:top w:val="none" w:sz="0" w:space="0" w:color="auto"/>
        <w:left w:val="none" w:sz="0" w:space="0" w:color="auto"/>
        <w:bottom w:val="none" w:sz="0" w:space="0" w:color="auto"/>
        <w:right w:val="none" w:sz="0" w:space="0" w:color="auto"/>
      </w:divBdr>
    </w:div>
    <w:div w:id="586771716">
      <w:marLeft w:val="0"/>
      <w:marRight w:val="0"/>
      <w:marTop w:val="100"/>
      <w:marBottom w:val="0"/>
      <w:divBdr>
        <w:top w:val="none" w:sz="0" w:space="0" w:color="auto"/>
        <w:left w:val="none" w:sz="0" w:space="0" w:color="auto"/>
        <w:bottom w:val="none" w:sz="0" w:space="0" w:color="auto"/>
        <w:right w:val="none" w:sz="0" w:space="0" w:color="auto"/>
      </w:divBdr>
    </w:div>
    <w:div w:id="588387812">
      <w:marLeft w:val="0"/>
      <w:marRight w:val="0"/>
      <w:marTop w:val="100"/>
      <w:marBottom w:val="0"/>
      <w:divBdr>
        <w:top w:val="none" w:sz="0" w:space="0" w:color="auto"/>
        <w:left w:val="none" w:sz="0" w:space="0" w:color="auto"/>
        <w:bottom w:val="none" w:sz="0" w:space="0" w:color="auto"/>
        <w:right w:val="none" w:sz="0" w:space="0" w:color="auto"/>
      </w:divBdr>
    </w:div>
    <w:div w:id="588928159">
      <w:marLeft w:val="0"/>
      <w:marRight w:val="0"/>
      <w:marTop w:val="0"/>
      <w:marBottom w:val="0"/>
      <w:divBdr>
        <w:top w:val="none" w:sz="0" w:space="0" w:color="auto"/>
        <w:left w:val="none" w:sz="0" w:space="0" w:color="auto"/>
        <w:bottom w:val="none" w:sz="0" w:space="0" w:color="auto"/>
        <w:right w:val="none" w:sz="0" w:space="0" w:color="auto"/>
      </w:divBdr>
    </w:div>
    <w:div w:id="594553470">
      <w:marLeft w:val="0"/>
      <w:marRight w:val="0"/>
      <w:marTop w:val="0"/>
      <w:marBottom w:val="0"/>
      <w:divBdr>
        <w:top w:val="none" w:sz="0" w:space="0" w:color="auto"/>
        <w:left w:val="none" w:sz="0" w:space="0" w:color="auto"/>
        <w:bottom w:val="none" w:sz="0" w:space="0" w:color="auto"/>
        <w:right w:val="none" w:sz="0" w:space="0" w:color="auto"/>
      </w:divBdr>
    </w:div>
    <w:div w:id="595021154">
      <w:marLeft w:val="0"/>
      <w:marRight w:val="0"/>
      <w:marTop w:val="90"/>
      <w:marBottom w:val="0"/>
      <w:divBdr>
        <w:top w:val="none" w:sz="0" w:space="0" w:color="auto"/>
        <w:left w:val="none" w:sz="0" w:space="0" w:color="auto"/>
        <w:bottom w:val="none" w:sz="0" w:space="0" w:color="auto"/>
        <w:right w:val="none" w:sz="0" w:space="0" w:color="auto"/>
      </w:divBdr>
    </w:div>
    <w:div w:id="597181531">
      <w:marLeft w:val="0"/>
      <w:marRight w:val="0"/>
      <w:marTop w:val="100"/>
      <w:marBottom w:val="0"/>
      <w:divBdr>
        <w:top w:val="none" w:sz="0" w:space="0" w:color="auto"/>
        <w:left w:val="none" w:sz="0" w:space="0" w:color="auto"/>
        <w:bottom w:val="none" w:sz="0" w:space="0" w:color="auto"/>
        <w:right w:val="none" w:sz="0" w:space="0" w:color="auto"/>
      </w:divBdr>
    </w:div>
    <w:div w:id="600651048">
      <w:marLeft w:val="0"/>
      <w:marRight w:val="0"/>
      <w:marTop w:val="0"/>
      <w:marBottom w:val="0"/>
      <w:divBdr>
        <w:top w:val="none" w:sz="0" w:space="0" w:color="auto"/>
        <w:left w:val="none" w:sz="0" w:space="0" w:color="auto"/>
        <w:bottom w:val="none" w:sz="0" w:space="0" w:color="auto"/>
        <w:right w:val="none" w:sz="0" w:space="0" w:color="auto"/>
      </w:divBdr>
    </w:div>
    <w:div w:id="601570374">
      <w:marLeft w:val="0"/>
      <w:marRight w:val="0"/>
      <w:marTop w:val="100"/>
      <w:marBottom w:val="0"/>
      <w:divBdr>
        <w:top w:val="none" w:sz="0" w:space="0" w:color="auto"/>
        <w:left w:val="none" w:sz="0" w:space="0" w:color="auto"/>
        <w:bottom w:val="none" w:sz="0" w:space="0" w:color="auto"/>
        <w:right w:val="none" w:sz="0" w:space="0" w:color="auto"/>
      </w:divBdr>
    </w:div>
    <w:div w:id="602961355">
      <w:marLeft w:val="0"/>
      <w:marRight w:val="0"/>
      <w:marTop w:val="100"/>
      <w:marBottom w:val="0"/>
      <w:divBdr>
        <w:top w:val="none" w:sz="0" w:space="0" w:color="auto"/>
        <w:left w:val="none" w:sz="0" w:space="0" w:color="auto"/>
        <w:bottom w:val="none" w:sz="0" w:space="0" w:color="auto"/>
        <w:right w:val="none" w:sz="0" w:space="0" w:color="auto"/>
      </w:divBdr>
    </w:div>
    <w:div w:id="609120861">
      <w:marLeft w:val="0"/>
      <w:marRight w:val="0"/>
      <w:marTop w:val="0"/>
      <w:marBottom w:val="160"/>
      <w:divBdr>
        <w:top w:val="none" w:sz="0" w:space="0" w:color="auto"/>
        <w:left w:val="none" w:sz="0" w:space="0" w:color="auto"/>
        <w:bottom w:val="none" w:sz="0" w:space="0" w:color="auto"/>
        <w:right w:val="none" w:sz="0" w:space="0" w:color="auto"/>
      </w:divBdr>
    </w:div>
    <w:div w:id="612712169">
      <w:marLeft w:val="0"/>
      <w:marRight w:val="0"/>
      <w:marTop w:val="0"/>
      <w:marBottom w:val="0"/>
      <w:divBdr>
        <w:top w:val="none" w:sz="0" w:space="0" w:color="auto"/>
        <w:left w:val="none" w:sz="0" w:space="0" w:color="auto"/>
        <w:bottom w:val="none" w:sz="0" w:space="0" w:color="auto"/>
        <w:right w:val="none" w:sz="0" w:space="0" w:color="auto"/>
      </w:divBdr>
      <w:divsChild>
        <w:div w:id="1702900157">
          <w:marLeft w:val="0"/>
          <w:marRight w:val="0"/>
          <w:marTop w:val="100"/>
          <w:marBottom w:val="0"/>
          <w:divBdr>
            <w:top w:val="none" w:sz="0" w:space="0" w:color="auto"/>
            <w:left w:val="none" w:sz="0" w:space="0" w:color="auto"/>
            <w:bottom w:val="none" w:sz="0" w:space="0" w:color="auto"/>
            <w:right w:val="none" w:sz="0" w:space="0" w:color="auto"/>
          </w:divBdr>
        </w:div>
      </w:divsChild>
    </w:div>
    <w:div w:id="612907628">
      <w:marLeft w:val="0"/>
      <w:marRight w:val="0"/>
      <w:marTop w:val="100"/>
      <w:marBottom w:val="0"/>
      <w:divBdr>
        <w:top w:val="none" w:sz="0" w:space="0" w:color="auto"/>
        <w:left w:val="none" w:sz="0" w:space="0" w:color="auto"/>
        <w:bottom w:val="none" w:sz="0" w:space="0" w:color="auto"/>
        <w:right w:val="none" w:sz="0" w:space="0" w:color="auto"/>
      </w:divBdr>
    </w:div>
    <w:div w:id="619459392">
      <w:marLeft w:val="0"/>
      <w:marRight w:val="0"/>
      <w:marTop w:val="100"/>
      <w:marBottom w:val="0"/>
      <w:divBdr>
        <w:top w:val="none" w:sz="0" w:space="0" w:color="auto"/>
        <w:left w:val="none" w:sz="0" w:space="0" w:color="auto"/>
        <w:bottom w:val="none" w:sz="0" w:space="0" w:color="auto"/>
        <w:right w:val="none" w:sz="0" w:space="0" w:color="auto"/>
      </w:divBdr>
    </w:div>
    <w:div w:id="620192609">
      <w:marLeft w:val="0"/>
      <w:marRight w:val="0"/>
      <w:marTop w:val="100"/>
      <w:marBottom w:val="0"/>
      <w:divBdr>
        <w:top w:val="none" w:sz="0" w:space="0" w:color="auto"/>
        <w:left w:val="none" w:sz="0" w:space="0" w:color="auto"/>
        <w:bottom w:val="none" w:sz="0" w:space="0" w:color="auto"/>
        <w:right w:val="none" w:sz="0" w:space="0" w:color="auto"/>
      </w:divBdr>
    </w:div>
    <w:div w:id="620234501">
      <w:marLeft w:val="0"/>
      <w:marRight w:val="0"/>
      <w:marTop w:val="0"/>
      <w:marBottom w:val="0"/>
      <w:divBdr>
        <w:top w:val="none" w:sz="0" w:space="0" w:color="auto"/>
        <w:left w:val="none" w:sz="0" w:space="0" w:color="auto"/>
        <w:bottom w:val="none" w:sz="0" w:space="0" w:color="auto"/>
        <w:right w:val="none" w:sz="0" w:space="0" w:color="auto"/>
      </w:divBdr>
    </w:div>
    <w:div w:id="620645225">
      <w:marLeft w:val="0"/>
      <w:marRight w:val="0"/>
      <w:marTop w:val="100"/>
      <w:marBottom w:val="100"/>
      <w:divBdr>
        <w:top w:val="none" w:sz="0" w:space="0" w:color="auto"/>
        <w:left w:val="none" w:sz="0" w:space="0" w:color="auto"/>
        <w:bottom w:val="none" w:sz="0" w:space="0" w:color="auto"/>
        <w:right w:val="none" w:sz="0" w:space="0" w:color="auto"/>
      </w:divBdr>
      <w:divsChild>
        <w:div w:id="1019358939">
          <w:marLeft w:val="0"/>
          <w:marRight w:val="0"/>
          <w:marTop w:val="180"/>
          <w:marBottom w:val="0"/>
          <w:divBdr>
            <w:top w:val="none" w:sz="0" w:space="0" w:color="auto"/>
            <w:left w:val="none" w:sz="0" w:space="0" w:color="auto"/>
            <w:bottom w:val="none" w:sz="0" w:space="0" w:color="auto"/>
            <w:right w:val="none" w:sz="0" w:space="0" w:color="auto"/>
          </w:divBdr>
        </w:div>
      </w:divsChild>
    </w:div>
    <w:div w:id="620693944">
      <w:marLeft w:val="0"/>
      <w:marRight w:val="0"/>
      <w:marTop w:val="100"/>
      <w:marBottom w:val="0"/>
      <w:divBdr>
        <w:top w:val="none" w:sz="0" w:space="0" w:color="auto"/>
        <w:left w:val="none" w:sz="0" w:space="0" w:color="auto"/>
        <w:bottom w:val="none" w:sz="0" w:space="0" w:color="auto"/>
        <w:right w:val="none" w:sz="0" w:space="0" w:color="auto"/>
      </w:divBdr>
    </w:div>
    <w:div w:id="620844379">
      <w:marLeft w:val="0"/>
      <w:marRight w:val="0"/>
      <w:marTop w:val="180"/>
      <w:marBottom w:val="0"/>
      <w:divBdr>
        <w:top w:val="none" w:sz="0" w:space="0" w:color="auto"/>
        <w:left w:val="none" w:sz="0" w:space="0" w:color="auto"/>
        <w:bottom w:val="none" w:sz="0" w:space="0" w:color="auto"/>
        <w:right w:val="none" w:sz="0" w:space="0" w:color="auto"/>
      </w:divBdr>
    </w:div>
    <w:div w:id="626856991">
      <w:marLeft w:val="0"/>
      <w:marRight w:val="0"/>
      <w:marTop w:val="0"/>
      <w:marBottom w:val="0"/>
      <w:divBdr>
        <w:top w:val="none" w:sz="0" w:space="0" w:color="auto"/>
        <w:left w:val="none" w:sz="0" w:space="0" w:color="auto"/>
        <w:bottom w:val="none" w:sz="0" w:space="0" w:color="auto"/>
        <w:right w:val="none" w:sz="0" w:space="0" w:color="auto"/>
      </w:divBdr>
      <w:divsChild>
        <w:div w:id="1337416341">
          <w:marLeft w:val="0"/>
          <w:marRight w:val="0"/>
          <w:marTop w:val="0"/>
          <w:marBottom w:val="0"/>
          <w:divBdr>
            <w:top w:val="none" w:sz="0" w:space="0" w:color="auto"/>
            <w:left w:val="none" w:sz="0" w:space="0" w:color="auto"/>
            <w:bottom w:val="none" w:sz="0" w:space="0" w:color="auto"/>
            <w:right w:val="none" w:sz="0" w:space="0" w:color="auto"/>
          </w:divBdr>
        </w:div>
      </w:divsChild>
    </w:div>
    <w:div w:id="629672941">
      <w:marLeft w:val="0"/>
      <w:marRight w:val="0"/>
      <w:marTop w:val="100"/>
      <w:marBottom w:val="0"/>
      <w:divBdr>
        <w:top w:val="none" w:sz="0" w:space="0" w:color="auto"/>
        <w:left w:val="none" w:sz="0" w:space="0" w:color="auto"/>
        <w:bottom w:val="none" w:sz="0" w:space="0" w:color="auto"/>
        <w:right w:val="none" w:sz="0" w:space="0" w:color="auto"/>
      </w:divBdr>
    </w:div>
    <w:div w:id="631328778">
      <w:marLeft w:val="0"/>
      <w:marRight w:val="0"/>
      <w:marTop w:val="160"/>
      <w:marBottom w:val="0"/>
      <w:divBdr>
        <w:top w:val="none" w:sz="0" w:space="0" w:color="auto"/>
        <w:left w:val="none" w:sz="0" w:space="0" w:color="auto"/>
        <w:bottom w:val="none" w:sz="0" w:space="0" w:color="auto"/>
        <w:right w:val="none" w:sz="0" w:space="0" w:color="auto"/>
      </w:divBdr>
    </w:div>
    <w:div w:id="635721814">
      <w:marLeft w:val="0"/>
      <w:marRight w:val="0"/>
      <w:marTop w:val="0"/>
      <w:marBottom w:val="0"/>
      <w:divBdr>
        <w:top w:val="none" w:sz="0" w:space="0" w:color="auto"/>
        <w:left w:val="none" w:sz="0" w:space="0" w:color="auto"/>
        <w:bottom w:val="none" w:sz="0" w:space="0" w:color="auto"/>
        <w:right w:val="none" w:sz="0" w:space="0" w:color="auto"/>
      </w:divBdr>
    </w:div>
    <w:div w:id="639309342">
      <w:marLeft w:val="0"/>
      <w:marRight w:val="0"/>
      <w:marTop w:val="0"/>
      <w:marBottom w:val="0"/>
      <w:divBdr>
        <w:top w:val="none" w:sz="0" w:space="0" w:color="auto"/>
        <w:left w:val="none" w:sz="0" w:space="0" w:color="auto"/>
        <w:bottom w:val="none" w:sz="0" w:space="0" w:color="auto"/>
        <w:right w:val="none" w:sz="0" w:space="0" w:color="auto"/>
      </w:divBdr>
      <w:divsChild>
        <w:div w:id="1338535051">
          <w:marLeft w:val="0"/>
          <w:marRight w:val="0"/>
          <w:marTop w:val="100"/>
          <w:marBottom w:val="0"/>
          <w:divBdr>
            <w:top w:val="none" w:sz="0" w:space="0" w:color="auto"/>
            <w:left w:val="none" w:sz="0" w:space="0" w:color="auto"/>
            <w:bottom w:val="none" w:sz="0" w:space="0" w:color="auto"/>
            <w:right w:val="none" w:sz="0" w:space="0" w:color="auto"/>
          </w:divBdr>
        </w:div>
      </w:divsChild>
    </w:div>
    <w:div w:id="639531389">
      <w:marLeft w:val="0"/>
      <w:marRight w:val="0"/>
      <w:marTop w:val="100"/>
      <w:marBottom w:val="0"/>
      <w:divBdr>
        <w:top w:val="none" w:sz="0" w:space="0" w:color="auto"/>
        <w:left w:val="none" w:sz="0" w:space="0" w:color="auto"/>
        <w:bottom w:val="none" w:sz="0" w:space="0" w:color="auto"/>
        <w:right w:val="none" w:sz="0" w:space="0" w:color="auto"/>
      </w:divBdr>
    </w:div>
    <w:div w:id="643043304">
      <w:marLeft w:val="0"/>
      <w:marRight w:val="0"/>
      <w:marTop w:val="100"/>
      <w:marBottom w:val="0"/>
      <w:divBdr>
        <w:top w:val="none" w:sz="0" w:space="0" w:color="auto"/>
        <w:left w:val="none" w:sz="0" w:space="0" w:color="auto"/>
        <w:bottom w:val="none" w:sz="0" w:space="0" w:color="auto"/>
        <w:right w:val="none" w:sz="0" w:space="0" w:color="auto"/>
      </w:divBdr>
    </w:div>
    <w:div w:id="646478465">
      <w:marLeft w:val="0"/>
      <w:marRight w:val="0"/>
      <w:marTop w:val="100"/>
      <w:marBottom w:val="0"/>
      <w:divBdr>
        <w:top w:val="none" w:sz="0" w:space="0" w:color="auto"/>
        <w:left w:val="none" w:sz="0" w:space="0" w:color="auto"/>
        <w:bottom w:val="none" w:sz="0" w:space="0" w:color="auto"/>
        <w:right w:val="none" w:sz="0" w:space="0" w:color="auto"/>
      </w:divBdr>
    </w:div>
    <w:div w:id="647364848">
      <w:marLeft w:val="0"/>
      <w:marRight w:val="0"/>
      <w:marTop w:val="160"/>
      <w:marBottom w:val="100"/>
      <w:divBdr>
        <w:top w:val="none" w:sz="0" w:space="0" w:color="auto"/>
        <w:left w:val="none" w:sz="0" w:space="0" w:color="auto"/>
        <w:bottom w:val="none" w:sz="0" w:space="0" w:color="auto"/>
        <w:right w:val="none" w:sz="0" w:space="0" w:color="auto"/>
      </w:divBdr>
      <w:divsChild>
        <w:div w:id="1917199776">
          <w:marLeft w:val="0"/>
          <w:marRight w:val="0"/>
          <w:marTop w:val="0"/>
          <w:marBottom w:val="0"/>
          <w:divBdr>
            <w:top w:val="none" w:sz="0" w:space="0" w:color="auto"/>
            <w:left w:val="none" w:sz="0" w:space="0" w:color="auto"/>
            <w:bottom w:val="none" w:sz="0" w:space="0" w:color="auto"/>
            <w:right w:val="none" w:sz="0" w:space="0" w:color="auto"/>
          </w:divBdr>
        </w:div>
      </w:divsChild>
    </w:div>
    <w:div w:id="654335018">
      <w:marLeft w:val="0"/>
      <w:marRight w:val="0"/>
      <w:marTop w:val="160"/>
      <w:marBottom w:val="0"/>
      <w:divBdr>
        <w:top w:val="none" w:sz="0" w:space="0" w:color="auto"/>
        <w:left w:val="none" w:sz="0" w:space="0" w:color="auto"/>
        <w:bottom w:val="none" w:sz="0" w:space="0" w:color="auto"/>
        <w:right w:val="none" w:sz="0" w:space="0" w:color="auto"/>
      </w:divBdr>
    </w:div>
    <w:div w:id="658920021">
      <w:marLeft w:val="0"/>
      <w:marRight w:val="0"/>
      <w:marTop w:val="100"/>
      <w:marBottom w:val="0"/>
      <w:divBdr>
        <w:top w:val="none" w:sz="0" w:space="0" w:color="auto"/>
        <w:left w:val="none" w:sz="0" w:space="0" w:color="auto"/>
        <w:bottom w:val="none" w:sz="0" w:space="0" w:color="auto"/>
        <w:right w:val="none" w:sz="0" w:space="0" w:color="auto"/>
      </w:divBdr>
    </w:div>
    <w:div w:id="659163693">
      <w:marLeft w:val="0"/>
      <w:marRight w:val="0"/>
      <w:marTop w:val="0"/>
      <w:marBottom w:val="0"/>
      <w:divBdr>
        <w:top w:val="none" w:sz="0" w:space="0" w:color="auto"/>
        <w:left w:val="none" w:sz="0" w:space="0" w:color="auto"/>
        <w:bottom w:val="none" w:sz="0" w:space="0" w:color="auto"/>
        <w:right w:val="none" w:sz="0" w:space="0" w:color="auto"/>
      </w:divBdr>
      <w:divsChild>
        <w:div w:id="1157112128">
          <w:marLeft w:val="0"/>
          <w:marRight w:val="0"/>
          <w:marTop w:val="100"/>
          <w:marBottom w:val="0"/>
          <w:divBdr>
            <w:top w:val="none" w:sz="0" w:space="0" w:color="auto"/>
            <w:left w:val="none" w:sz="0" w:space="0" w:color="auto"/>
            <w:bottom w:val="none" w:sz="0" w:space="0" w:color="auto"/>
            <w:right w:val="none" w:sz="0" w:space="0" w:color="auto"/>
          </w:divBdr>
        </w:div>
      </w:divsChild>
    </w:div>
    <w:div w:id="661588035">
      <w:marLeft w:val="0"/>
      <w:marRight w:val="0"/>
      <w:marTop w:val="0"/>
      <w:marBottom w:val="0"/>
      <w:divBdr>
        <w:top w:val="none" w:sz="0" w:space="0" w:color="auto"/>
        <w:left w:val="none" w:sz="0" w:space="0" w:color="auto"/>
        <w:bottom w:val="none" w:sz="0" w:space="0" w:color="auto"/>
        <w:right w:val="none" w:sz="0" w:space="0" w:color="auto"/>
      </w:divBdr>
      <w:divsChild>
        <w:div w:id="301690138">
          <w:marLeft w:val="0"/>
          <w:marRight w:val="0"/>
          <w:marTop w:val="0"/>
          <w:marBottom w:val="0"/>
          <w:divBdr>
            <w:top w:val="none" w:sz="0" w:space="0" w:color="auto"/>
            <w:left w:val="none" w:sz="0" w:space="0" w:color="auto"/>
            <w:bottom w:val="none" w:sz="0" w:space="0" w:color="auto"/>
            <w:right w:val="none" w:sz="0" w:space="0" w:color="auto"/>
          </w:divBdr>
        </w:div>
      </w:divsChild>
    </w:div>
    <w:div w:id="662010953">
      <w:marLeft w:val="0"/>
      <w:marRight w:val="0"/>
      <w:marTop w:val="0"/>
      <w:marBottom w:val="0"/>
      <w:divBdr>
        <w:top w:val="none" w:sz="0" w:space="0" w:color="auto"/>
        <w:left w:val="none" w:sz="0" w:space="0" w:color="auto"/>
        <w:bottom w:val="none" w:sz="0" w:space="0" w:color="auto"/>
        <w:right w:val="none" w:sz="0" w:space="0" w:color="auto"/>
      </w:divBdr>
    </w:div>
    <w:div w:id="666179322">
      <w:marLeft w:val="0"/>
      <w:marRight w:val="0"/>
      <w:marTop w:val="160"/>
      <w:marBottom w:val="0"/>
      <w:divBdr>
        <w:top w:val="none" w:sz="0" w:space="0" w:color="auto"/>
        <w:left w:val="none" w:sz="0" w:space="0" w:color="auto"/>
        <w:bottom w:val="none" w:sz="0" w:space="0" w:color="auto"/>
        <w:right w:val="none" w:sz="0" w:space="0" w:color="auto"/>
      </w:divBdr>
    </w:div>
    <w:div w:id="668564279">
      <w:marLeft w:val="0"/>
      <w:marRight w:val="0"/>
      <w:marTop w:val="100"/>
      <w:marBottom w:val="0"/>
      <w:divBdr>
        <w:top w:val="none" w:sz="0" w:space="0" w:color="auto"/>
        <w:left w:val="none" w:sz="0" w:space="0" w:color="auto"/>
        <w:bottom w:val="none" w:sz="0" w:space="0" w:color="auto"/>
        <w:right w:val="none" w:sz="0" w:space="0" w:color="auto"/>
      </w:divBdr>
    </w:div>
    <w:div w:id="672874888">
      <w:marLeft w:val="0"/>
      <w:marRight w:val="0"/>
      <w:marTop w:val="180"/>
      <w:marBottom w:val="0"/>
      <w:divBdr>
        <w:top w:val="none" w:sz="0" w:space="0" w:color="auto"/>
        <w:left w:val="none" w:sz="0" w:space="0" w:color="auto"/>
        <w:bottom w:val="none" w:sz="0" w:space="0" w:color="auto"/>
        <w:right w:val="none" w:sz="0" w:space="0" w:color="auto"/>
      </w:divBdr>
    </w:div>
    <w:div w:id="677197607">
      <w:marLeft w:val="0"/>
      <w:marRight w:val="0"/>
      <w:marTop w:val="100"/>
      <w:marBottom w:val="0"/>
      <w:divBdr>
        <w:top w:val="none" w:sz="0" w:space="0" w:color="auto"/>
        <w:left w:val="none" w:sz="0" w:space="0" w:color="auto"/>
        <w:bottom w:val="none" w:sz="0" w:space="0" w:color="auto"/>
        <w:right w:val="none" w:sz="0" w:space="0" w:color="auto"/>
      </w:divBdr>
    </w:div>
    <w:div w:id="678237454">
      <w:marLeft w:val="0"/>
      <w:marRight w:val="0"/>
      <w:marTop w:val="0"/>
      <w:marBottom w:val="0"/>
      <w:divBdr>
        <w:top w:val="none" w:sz="0" w:space="0" w:color="auto"/>
        <w:left w:val="none" w:sz="0" w:space="0" w:color="auto"/>
        <w:bottom w:val="none" w:sz="0" w:space="0" w:color="auto"/>
        <w:right w:val="none" w:sz="0" w:space="0" w:color="auto"/>
      </w:divBdr>
    </w:div>
    <w:div w:id="681474853">
      <w:marLeft w:val="0"/>
      <w:marRight w:val="0"/>
      <w:marTop w:val="200"/>
      <w:marBottom w:val="100"/>
      <w:divBdr>
        <w:top w:val="none" w:sz="0" w:space="0" w:color="auto"/>
        <w:left w:val="none" w:sz="0" w:space="0" w:color="auto"/>
        <w:bottom w:val="none" w:sz="0" w:space="0" w:color="auto"/>
        <w:right w:val="none" w:sz="0" w:space="0" w:color="auto"/>
      </w:divBdr>
      <w:divsChild>
        <w:div w:id="704600675">
          <w:marLeft w:val="0"/>
          <w:marRight w:val="0"/>
          <w:marTop w:val="0"/>
          <w:marBottom w:val="0"/>
          <w:divBdr>
            <w:top w:val="none" w:sz="0" w:space="0" w:color="auto"/>
            <w:left w:val="none" w:sz="0" w:space="0" w:color="auto"/>
            <w:bottom w:val="none" w:sz="0" w:space="0" w:color="auto"/>
            <w:right w:val="none" w:sz="0" w:space="0" w:color="auto"/>
          </w:divBdr>
        </w:div>
        <w:div w:id="581381113">
          <w:marLeft w:val="0"/>
          <w:marRight w:val="0"/>
          <w:marTop w:val="0"/>
          <w:marBottom w:val="0"/>
          <w:divBdr>
            <w:top w:val="none" w:sz="0" w:space="0" w:color="auto"/>
            <w:left w:val="none" w:sz="0" w:space="0" w:color="auto"/>
            <w:bottom w:val="none" w:sz="0" w:space="0" w:color="auto"/>
            <w:right w:val="none" w:sz="0" w:space="0" w:color="auto"/>
          </w:divBdr>
        </w:div>
      </w:divsChild>
    </w:div>
    <w:div w:id="682242463">
      <w:marLeft w:val="0"/>
      <w:marRight w:val="0"/>
      <w:marTop w:val="0"/>
      <w:marBottom w:val="0"/>
      <w:divBdr>
        <w:top w:val="none" w:sz="0" w:space="0" w:color="auto"/>
        <w:left w:val="none" w:sz="0" w:space="0" w:color="auto"/>
        <w:bottom w:val="none" w:sz="0" w:space="0" w:color="auto"/>
        <w:right w:val="none" w:sz="0" w:space="0" w:color="auto"/>
      </w:divBdr>
    </w:div>
    <w:div w:id="682517158">
      <w:marLeft w:val="0"/>
      <w:marRight w:val="0"/>
      <w:marTop w:val="420"/>
      <w:marBottom w:val="0"/>
      <w:divBdr>
        <w:top w:val="none" w:sz="0" w:space="0" w:color="auto"/>
        <w:left w:val="none" w:sz="0" w:space="0" w:color="auto"/>
        <w:bottom w:val="none" w:sz="0" w:space="0" w:color="auto"/>
        <w:right w:val="none" w:sz="0" w:space="0" w:color="auto"/>
      </w:divBdr>
    </w:div>
    <w:div w:id="685907687">
      <w:marLeft w:val="0"/>
      <w:marRight w:val="0"/>
      <w:marTop w:val="100"/>
      <w:marBottom w:val="0"/>
      <w:divBdr>
        <w:top w:val="none" w:sz="0" w:space="0" w:color="auto"/>
        <w:left w:val="none" w:sz="0" w:space="0" w:color="auto"/>
        <w:bottom w:val="none" w:sz="0" w:space="0" w:color="auto"/>
        <w:right w:val="none" w:sz="0" w:space="0" w:color="auto"/>
      </w:divBdr>
    </w:div>
    <w:div w:id="692654987">
      <w:marLeft w:val="0"/>
      <w:marRight w:val="0"/>
      <w:marTop w:val="100"/>
      <w:marBottom w:val="0"/>
      <w:divBdr>
        <w:top w:val="none" w:sz="0" w:space="0" w:color="auto"/>
        <w:left w:val="none" w:sz="0" w:space="0" w:color="auto"/>
        <w:bottom w:val="none" w:sz="0" w:space="0" w:color="auto"/>
        <w:right w:val="none" w:sz="0" w:space="0" w:color="auto"/>
      </w:divBdr>
    </w:div>
    <w:div w:id="697925305">
      <w:marLeft w:val="0"/>
      <w:marRight w:val="0"/>
      <w:marTop w:val="100"/>
      <w:marBottom w:val="0"/>
      <w:divBdr>
        <w:top w:val="none" w:sz="0" w:space="0" w:color="auto"/>
        <w:left w:val="none" w:sz="0" w:space="0" w:color="auto"/>
        <w:bottom w:val="none" w:sz="0" w:space="0" w:color="auto"/>
        <w:right w:val="none" w:sz="0" w:space="0" w:color="auto"/>
      </w:divBdr>
    </w:div>
    <w:div w:id="704065770">
      <w:marLeft w:val="0"/>
      <w:marRight w:val="0"/>
      <w:marTop w:val="100"/>
      <w:marBottom w:val="0"/>
      <w:divBdr>
        <w:top w:val="none" w:sz="0" w:space="0" w:color="auto"/>
        <w:left w:val="none" w:sz="0" w:space="0" w:color="auto"/>
        <w:bottom w:val="none" w:sz="0" w:space="0" w:color="auto"/>
        <w:right w:val="none" w:sz="0" w:space="0" w:color="auto"/>
      </w:divBdr>
    </w:div>
    <w:div w:id="705644601">
      <w:marLeft w:val="0"/>
      <w:marRight w:val="0"/>
      <w:marTop w:val="0"/>
      <w:marBottom w:val="0"/>
      <w:divBdr>
        <w:top w:val="none" w:sz="0" w:space="0" w:color="auto"/>
        <w:left w:val="none" w:sz="0" w:space="0" w:color="auto"/>
        <w:bottom w:val="none" w:sz="0" w:space="0" w:color="auto"/>
        <w:right w:val="none" w:sz="0" w:space="0" w:color="auto"/>
      </w:divBdr>
    </w:div>
    <w:div w:id="711350352">
      <w:marLeft w:val="0"/>
      <w:marRight w:val="0"/>
      <w:marTop w:val="100"/>
      <w:marBottom w:val="0"/>
      <w:divBdr>
        <w:top w:val="none" w:sz="0" w:space="0" w:color="auto"/>
        <w:left w:val="none" w:sz="0" w:space="0" w:color="auto"/>
        <w:bottom w:val="none" w:sz="0" w:space="0" w:color="auto"/>
        <w:right w:val="none" w:sz="0" w:space="0" w:color="auto"/>
      </w:divBdr>
    </w:div>
    <w:div w:id="713234222">
      <w:marLeft w:val="0"/>
      <w:marRight w:val="0"/>
      <w:marTop w:val="100"/>
      <w:marBottom w:val="0"/>
      <w:divBdr>
        <w:top w:val="none" w:sz="0" w:space="0" w:color="auto"/>
        <w:left w:val="none" w:sz="0" w:space="0" w:color="auto"/>
        <w:bottom w:val="none" w:sz="0" w:space="0" w:color="auto"/>
        <w:right w:val="none" w:sz="0" w:space="0" w:color="auto"/>
      </w:divBdr>
    </w:div>
    <w:div w:id="713390561">
      <w:marLeft w:val="0"/>
      <w:marRight w:val="0"/>
      <w:marTop w:val="100"/>
      <w:marBottom w:val="0"/>
      <w:divBdr>
        <w:top w:val="none" w:sz="0" w:space="0" w:color="auto"/>
        <w:left w:val="none" w:sz="0" w:space="0" w:color="auto"/>
        <w:bottom w:val="none" w:sz="0" w:space="0" w:color="auto"/>
        <w:right w:val="none" w:sz="0" w:space="0" w:color="auto"/>
      </w:divBdr>
    </w:div>
    <w:div w:id="722944213">
      <w:marLeft w:val="0"/>
      <w:marRight w:val="0"/>
      <w:marTop w:val="100"/>
      <w:marBottom w:val="0"/>
      <w:divBdr>
        <w:top w:val="none" w:sz="0" w:space="0" w:color="auto"/>
        <w:left w:val="none" w:sz="0" w:space="0" w:color="auto"/>
        <w:bottom w:val="none" w:sz="0" w:space="0" w:color="auto"/>
        <w:right w:val="none" w:sz="0" w:space="0" w:color="auto"/>
      </w:divBdr>
    </w:div>
    <w:div w:id="723063065">
      <w:marLeft w:val="0"/>
      <w:marRight w:val="0"/>
      <w:marTop w:val="100"/>
      <w:marBottom w:val="0"/>
      <w:divBdr>
        <w:top w:val="none" w:sz="0" w:space="0" w:color="auto"/>
        <w:left w:val="none" w:sz="0" w:space="0" w:color="auto"/>
        <w:bottom w:val="none" w:sz="0" w:space="0" w:color="auto"/>
        <w:right w:val="none" w:sz="0" w:space="0" w:color="auto"/>
      </w:divBdr>
    </w:div>
    <w:div w:id="724724472">
      <w:marLeft w:val="0"/>
      <w:marRight w:val="0"/>
      <w:marTop w:val="0"/>
      <w:marBottom w:val="0"/>
      <w:divBdr>
        <w:top w:val="none" w:sz="0" w:space="0" w:color="auto"/>
        <w:left w:val="none" w:sz="0" w:space="0" w:color="auto"/>
        <w:bottom w:val="none" w:sz="0" w:space="0" w:color="auto"/>
        <w:right w:val="none" w:sz="0" w:space="0" w:color="auto"/>
      </w:divBdr>
    </w:div>
    <w:div w:id="725376575">
      <w:marLeft w:val="0"/>
      <w:marRight w:val="0"/>
      <w:marTop w:val="180"/>
      <w:marBottom w:val="0"/>
      <w:divBdr>
        <w:top w:val="none" w:sz="0" w:space="0" w:color="auto"/>
        <w:left w:val="none" w:sz="0" w:space="0" w:color="auto"/>
        <w:bottom w:val="none" w:sz="0" w:space="0" w:color="auto"/>
        <w:right w:val="none" w:sz="0" w:space="0" w:color="auto"/>
      </w:divBdr>
    </w:div>
    <w:div w:id="732192953">
      <w:marLeft w:val="0"/>
      <w:marRight w:val="0"/>
      <w:marTop w:val="100"/>
      <w:marBottom w:val="0"/>
      <w:divBdr>
        <w:top w:val="none" w:sz="0" w:space="0" w:color="auto"/>
        <w:left w:val="none" w:sz="0" w:space="0" w:color="auto"/>
        <w:bottom w:val="none" w:sz="0" w:space="0" w:color="auto"/>
        <w:right w:val="none" w:sz="0" w:space="0" w:color="auto"/>
      </w:divBdr>
    </w:div>
    <w:div w:id="738408056">
      <w:marLeft w:val="0"/>
      <w:marRight w:val="0"/>
      <w:marTop w:val="0"/>
      <w:marBottom w:val="0"/>
      <w:divBdr>
        <w:top w:val="none" w:sz="0" w:space="0" w:color="auto"/>
        <w:left w:val="none" w:sz="0" w:space="0" w:color="auto"/>
        <w:bottom w:val="none" w:sz="0" w:space="0" w:color="auto"/>
        <w:right w:val="none" w:sz="0" w:space="0" w:color="auto"/>
      </w:divBdr>
    </w:div>
    <w:div w:id="740445724">
      <w:marLeft w:val="0"/>
      <w:marRight w:val="0"/>
      <w:marTop w:val="160"/>
      <w:marBottom w:val="0"/>
      <w:divBdr>
        <w:top w:val="none" w:sz="0" w:space="0" w:color="auto"/>
        <w:left w:val="none" w:sz="0" w:space="0" w:color="auto"/>
        <w:bottom w:val="none" w:sz="0" w:space="0" w:color="auto"/>
        <w:right w:val="none" w:sz="0" w:space="0" w:color="auto"/>
      </w:divBdr>
    </w:div>
    <w:div w:id="743533628">
      <w:marLeft w:val="0"/>
      <w:marRight w:val="0"/>
      <w:marTop w:val="0"/>
      <w:marBottom w:val="0"/>
      <w:divBdr>
        <w:top w:val="none" w:sz="0" w:space="0" w:color="auto"/>
        <w:left w:val="none" w:sz="0" w:space="0" w:color="auto"/>
        <w:bottom w:val="none" w:sz="0" w:space="0" w:color="auto"/>
        <w:right w:val="none" w:sz="0" w:space="0" w:color="auto"/>
      </w:divBdr>
    </w:div>
    <w:div w:id="746152945">
      <w:marLeft w:val="0"/>
      <w:marRight w:val="0"/>
      <w:marTop w:val="0"/>
      <w:marBottom w:val="0"/>
      <w:divBdr>
        <w:top w:val="none" w:sz="0" w:space="0" w:color="auto"/>
        <w:left w:val="none" w:sz="0" w:space="0" w:color="auto"/>
        <w:bottom w:val="none" w:sz="0" w:space="0" w:color="auto"/>
        <w:right w:val="none" w:sz="0" w:space="0" w:color="auto"/>
      </w:divBdr>
      <w:divsChild>
        <w:div w:id="1440950730">
          <w:marLeft w:val="0"/>
          <w:marRight w:val="0"/>
          <w:marTop w:val="0"/>
          <w:marBottom w:val="0"/>
          <w:divBdr>
            <w:top w:val="none" w:sz="0" w:space="0" w:color="auto"/>
            <w:left w:val="none" w:sz="0" w:space="0" w:color="auto"/>
            <w:bottom w:val="none" w:sz="0" w:space="0" w:color="auto"/>
            <w:right w:val="none" w:sz="0" w:space="0" w:color="auto"/>
          </w:divBdr>
        </w:div>
      </w:divsChild>
    </w:div>
    <w:div w:id="746415388">
      <w:marLeft w:val="0"/>
      <w:marRight w:val="0"/>
      <w:marTop w:val="0"/>
      <w:marBottom w:val="0"/>
      <w:divBdr>
        <w:top w:val="none" w:sz="0" w:space="0" w:color="auto"/>
        <w:left w:val="none" w:sz="0" w:space="0" w:color="auto"/>
        <w:bottom w:val="none" w:sz="0" w:space="0" w:color="auto"/>
        <w:right w:val="none" w:sz="0" w:space="0" w:color="auto"/>
      </w:divBdr>
      <w:divsChild>
        <w:div w:id="1965115608">
          <w:marLeft w:val="0"/>
          <w:marRight w:val="0"/>
          <w:marTop w:val="100"/>
          <w:marBottom w:val="0"/>
          <w:divBdr>
            <w:top w:val="none" w:sz="0" w:space="0" w:color="auto"/>
            <w:left w:val="none" w:sz="0" w:space="0" w:color="auto"/>
            <w:bottom w:val="none" w:sz="0" w:space="0" w:color="auto"/>
            <w:right w:val="none" w:sz="0" w:space="0" w:color="auto"/>
          </w:divBdr>
        </w:div>
      </w:divsChild>
    </w:div>
    <w:div w:id="753892200">
      <w:marLeft w:val="0"/>
      <w:marRight w:val="0"/>
      <w:marTop w:val="0"/>
      <w:marBottom w:val="0"/>
      <w:divBdr>
        <w:top w:val="none" w:sz="0" w:space="0" w:color="auto"/>
        <w:left w:val="none" w:sz="0" w:space="0" w:color="auto"/>
        <w:bottom w:val="none" w:sz="0" w:space="0" w:color="auto"/>
        <w:right w:val="none" w:sz="0" w:space="0" w:color="auto"/>
      </w:divBdr>
    </w:div>
    <w:div w:id="755829965">
      <w:marLeft w:val="0"/>
      <w:marRight w:val="0"/>
      <w:marTop w:val="0"/>
      <w:marBottom w:val="0"/>
      <w:divBdr>
        <w:top w:val="none" w:sz="0" w:space="0" w:color="auto"/>
        <w:left w:val="none" w:sz="0" w:space="0" w:color="auto"/>
        <w:bottom w:val="none" w:sz="0" w:space="0" w:color="auto"/>
        <w:right w:val="none" w:sz="0" w:space="0" w:color="auto"/>
      </w:divBdr>
      <w:divsChild>
        <w:div w:id="1126122879">
          <w:marLeft w:val="0"/>
          <w:marRight w:val="0"/>
          <w:marTop w:val="0"/>
          <w:marBottom w:val="0"/>
          <w:divBdr>
            <w:top w:val="none" w:sz="0" w:space="0" w:color="auto"/>
            <w:left w:val="none" w:sz="0" w:space="0" w:color="auto"/>
            <w:bottom w:val="none" w:sz="0" w:space="0" w:color="auto"/>
            <w:right w:val="none" w:sz="0" w:space="0" w:color="auto"/>
          </w:divBdr>
        </w:div>
      </w:divsChild>
    </w:div>
    <w:div w:id="761220514">
      <w:marLeft w:val="0"/>
      <w:marRight w:val="0"/>
      <w:marTop w:val="160"/>
      <w:marBottom w:val="0"/>
      <w:divBdr>
        <w:top w:val="none" w:sz="0" w:space="0" w:color="auto"/>
        <w:left w:val="none" w:sz="0" w:space="0" w:color="auto"/>
        <w:bottom w:val="none" w:sz="0" w:space="0" w:color="auto"/>
        <w:right w:val="none" w:sz="0" w:space="0" w:color="auto"/>
      </w:divBdr>
    </w:div>
    <w:div w:id="776025192">
      <w:marLeft w:val="0"/>
      <w:marRight w:val="0"/>
      <w:marTop w:val="0"/>
      <w:marBottom w:val="100"/>
      <w:divBdr>
        <w:top w:val="none" w:sz="0" w:space="0" w:color="auto"/>
        <w:left w:val="none" w:sz="0" w:space="0" w:color="auto"/>
        <w:bottom w:val="none" w:sz="0" w:space="0" w:color="auto"/>
        <w:right w:val="none" w:sz="0" w:space="0" w:color="auto"/>
      </w:divBdr>
    </w:div>
    <w:div w:id="776172620">
      <w:marLeft w:val="0"/>
      <w:marRight w:val="0"/>
      <w:marTop w:val="100"/>
      <w:marBottom w:val="0"/>
      <w:divBdr>
        <w:top w:val="none" w:sz="0" w:space="0" w:color="auto"/>
        <w:left w:val="none" w:sz="0" w:space="0" w:color="auto"/>
        <w:bottom w:val="none" w:sz="0" w:space="0" w:color="auto"/>
        <w:right w:val="none" w:sz="0" w:space="0" w:color="auto"/>
      </w:divBdr>
    </w:div>
    <w:div w:id="777406186">
      <w:marLeft w:val="0"/>
      <w:marRight w:val="0"/>
      <w:marTop w:val="100"/>
      <w:marBottom w:val="0"/>
      <w:divBdr>
        <w:top w:val="none" w:sz="0" w:space="0" w:color="auto"/>
        <w:left w:val="none" w:sz="0" w:space="0" w:color="auto"/>
        <w:bottom w:val="none" w:sz="0" w:space="0" w:color="auto"/>
        <w:right w:val="none" w:sz="0" w:space="0" w:color="auto"/>
      </w:divBdr>
    </w:div>
    <w:div w:id="778256612">
      <w:marLeft w:val="0"/>
      <w:marRight w:val="0"/>
      <w:marTop w:val="0"/>
      <w:marBottom w:val="0"/>
      <w:divBdr>
        <w:top w:val="none" w:sz="0" w:space="0" w:color="auto"/>
        <w:left w:val="none" w:sz="0" w:space="0" w:color="auto"/>
        <w:bottom w:val="none" w:sz="0" w:space="0" w:color="auto"/>
        <w:right w:val="none" w:sz="0" w:space="0" w:color="auto"/>
      </w:divBdr>
    </w:div>
    <w:div w:id="783380498">
      <w:marLeft w:val="0"/>
      <w:marRight w:val="0"/>
      <w:marTop w:val="0"/>
      <w:marBottom w:val="0"/>
      <w:divBdr>
        <w:top w:val="none" w:sz="0" w:space="0" w:color="auto"/>
        <w:left w:val="none" w:sz="0" w:space="0" w:color="auto"/>
        <w:bottom w:val="none" w:sz="0" w:space="0" w:color="auto"/>
        <w:right w:val="none" w:sz="0" w:space="0" w:color="auto"/>
      </w:divBdr>
      <w:divsChild>
        <w:div w:id="1763527980">
          <w:marLeft w:val="0"/>
          <w:marRight w:val="0"/>
          <w:marTop w:val="100"/>
          <w:marBottom w:val="0"/>
          <w:divBdr>
            <w:top w:val="none" w:sz="0" w:space="0" w:color="auto"/>
            <w:left w:val="none" w:sz="0" w:space="0" w:color="auto"/>
            <w:bottom w:val="none" w:sz="0" w:space="0" w:color="auto"/>
            <w:right w:val="none" w:sz="0" w:space="0" w:color="auto"/>
          </w:divBdr>
        </w:div>
      </w:divsChild>
    </w:div>
    <w:div w:id="789977128">
      <w:marLeft w:val="0"/>
      <w:marRight w:val="0"/>
      <w:marTop w:val="0"/>
      <w:marBottom w:val="0"/>
      <w:divBdr>
        <w:top w:val="none" w:sz="0" w:space="0" w:color="auto"/>
        <w:left w:val="none" w:sz="0" w:space="0" w:color="auto"/>
        <w:bottom w:val="none" w:sz="0" w:space="0" w:color="auto"/>
        <w:right w:val="none" w:sz="0" w:space="0" w:color="auto"/>
      </w:divBdr>
      <w:divsChild>
        <w:div w:id="1706952042">
          <w:marLeft w:val="0"/>
          <w:marRight w:val="0"/>
          <w:marTop w:val="100"/>
          <w:marBottom w:val="0"/>
          <w:divBdr>
            <w:top w:val="none" w:sz="0" w:space="0" w:color="auto"/>
            <w:left w:val="none" w:sz="0" w:space="0" w:color="auto"/>
            <w:bottom w:val="none" w:sz="0" w:space="0" w:color="auto"/>
            <w:right w:val="none" w:sz="0" w:space="0" w:color="auto"/>
          </w:divBdr>
        </w:div>
      </w:divsChild>
    </w:div>
    <w:div w:id="792753837">
      <w:marLeft w:val="0"/>
      <w:marRight w:val="0"/>
      <w:marTop w:val="0"/>
      <w:marBottom w:val="0"/>
      <w:divBdr>
        <w:top w:val="none" w:sz="0" w:space="0" w:color="auto"/>
        <w:left w:val="none" w:sz="0" w:space="0" w:color="auto"/>
        <w:bottom w:val="none" w:sz="0" w:space="0" w:color="auto"/>
        <w:right w:val="none" w:sz="0" w:space="0" w:color="auto"/>
      </w:divBdr>
      <w:divsChild>
        <w:div w:id="499347221">
          <w:marLeft w:val="0"/>
          <w:marRight w:val="0"/>
          <w:marTop w:val="0"/>
          <w:marBottom w:val="0"/>
          <w:divBdr>
            <w:top w:val="none" w:sz="0" w:space="0" w:color="auto"/>
            <w:left w:val="none" w:sz="0" w:space="0" w:color="auto"/>
            <w:bottom w:val="none" w:sz="0" w:space="0" w:color="auto"/>
            <w:right w:val="none" w:sz="0" w:space="0" w:color="auto"/>
          </w:divBdr>
        </w:div>
      </w:divsChild>
    </w:div>
    <w:div w:id="796529708">
      <w:marLeft w:val="0"/>
      <w:marRight w:val="0"/>
      <w:marTop w:val="0"/>
      <w:marBottom w:val="0"/>
      <w:divBdr>
        <w:top w:val="none" w:sz="0" w:space="0" w:color="auto"/>
        <w:left w:val="none" w:sz="0" w:space="0" w:color="auto"/>
        <w:bottom w:val="none" w:sz="0" w:space="0" w:color="auto"/>
        <w:right w:val="none" w:sz="0" w:space="0" w:color="auto"/>
      </w:divBdr>
      <w:divsChild>
        <w:div w:id="1146512252">
          <w:marLeft w:val="0"/>
          <w:marRight w:val="0"/>
          <w:marTop w:val="0"/>
          <w:marBottom w:val="0"/>
          <w:divBdr>
            <w:top w:val="none" w:sz="0" w:space="0" w:color="auto"/>
            <w:left w:val="none" w:sz="0" w:space="0" w:color="auto"/>
            <w:bottom w:val="none" w:sz="0" w:space="0" w:color="auto"/>
            <w:right w:val="none" w:sz="0" w:space="0" w:color="auto"/>
          </w:divBdr>
        </w:div>
      </w:divsChild>
    </w:div>
    <w:div w:id="799416106">
      <w:marLeft w:val="0"/>
      <w:marRight w:val="0"/>
      <w:marTop w:val="100"/>
      <w:marBottom w:val="0"/>
      <w:divBdr>
        <w:top w:val="none" w:sz="0" w:space="0" w:color="auto"/>
        <w:left w:val="none" w:sz="0" w:space="0" w:color="auto"/>
        <w:bottom w:val="none" w:sz="0" w:space="0" w:color="auto"/>
        <w:right w:val="none" w:sz="0" w:space="0" w:color="auto"/>
      </w:divBdr>
    </w:div>
    <w:div w:id="801078411">
      <w:marLeft w:val="0"/>
      <w:marRight w:val="0"/>
      <w:marTop w:val="100"/>
      <w:marBottom w:val="0"/>
      <w:divBdr>
        <w:top w:val="none" w:sz="0" w:space="0" w:color="auto"/>
        <w:left w:val="none" w:sz="0" w:space="0" w:color="auto"/>
        <w:bottom w:val="none" w:sz="0" w:space="0" w:color="auto"/>
        <w:right w:val="none" w:sz="0" w:space="0" w:color="auto"/>
      </w:divBdr>
    </w:div>
    <w:div w:id="801727649">
      <w:marLeft w:val="0"/>
      <w:marRight w:val="0"/>
      <w:marTop w:val="100"/>
      <w:marBottom w:val="0"/>
      <w:divBdr>
        <w:top w:val="none" w:sz="0" w:space="0" w:color="auto"/>
        <w:left w:val="none" w:sz="0" w:space="0" w:color="auto"/>
        <w:bottom w:val="none" w:sz="0" w:space="0" w:color="auto"/>
        <w:right w:val="none" w:sz="0" w:space="0" w:color="auto"/>
      </w:divBdr>
    </w:div>
    <w:div w:id="801848145">
      <w:marLeft w:val="0"/>
      <w:marRight w:val="0"/>
      <w:marTop w:val="160"/>
      <w:marBottom w:val="0"/>
      <w:divBdr>
        <w:top w:val="none" w:sz="0" w:space="0" w:color="auto"/>
        <w:left w:val="none" w:sz="0" w:space="0" w:color="auto"/>
        <w:bottom w:val="none" w:sz="0" w:space="0" w:color="auto"/>
        <w:right w:val="none" w:sz="0" w:space="0" w:color="auto"/>
      </w:divBdr>
    </w:div>
    <w:div w:id="803351987">
      <w:marLeft w:val="0"/>
      <w:marRight w:val="0"/>
      <w:marTop w:val="100"/>
      <w:marBottom w:val="0"/>
      <w:divBdr>
        <w:top w:val="none" w:sz="0" w:space="0" w:color="auto"/>
        <w:left w:val="none" w:sz="0" w:space="0" w:color="auto"/>
        <w:bottom w:val="none" w:sz="0" w:space="0" w:color="auto"/>
        <w:right w:val="none" w:sz="0" w:space="0" w:color="auto"/>
      </w:divBdr>
    </w:div>
    <w:div w:id="803542124">
      <w:marLeft w:val="0"/>
      <w:marRight w:val="0"/>
      <w:marTop w:val="190"/>
      <w:marBottom w:val="100"/>
      <w:divBdr>
        <w:top w:val="none" w:sz="0" w:space="0" w:color="auto"/>
        <w:left w:val="none" w:sz="0" w:space="0" w:color="auto"/>
        <w:bottom w:val="none" w:sz="0" w:space="0" w:color="auto"/>
        <w:right w:val="none" w:sz="0" w:space="0" w:color="auto"/>
      </w:divBdr>
      <w:divsChild>
        <w:div w:id="311100428">
          <w:marLeft w:val="0"/>
          <w:marRight w:val="0"/>
          <w:marTop w:val="0"/>
          <w:marBottom w:val="0"/>
          <w:divBdr>
            <w:top w:val="none" w:sz="0" w:space="0" w:color="auto"/>
            <w:left w:val="none" w:sz="0" w:space="0" w:color="auto"/>
            <w:bottom w:val="none" w:sz="0" w:space="0" w:color="auto"/>
            <w:right w:val="none" w:sz="0" w:space="0" w:color="auto"/>
          </w:divBdr>
        </w:div>
        <w:div w:id="1389642482">
          <w:marLeft w:val="0"/>
          <w:marRight w:val="0"/>
          <w:marTop w:val="0"/>
          <w:marBottom w:val="0"/>
          <w:divBdr>
            <w:top w:val="none" w:sz="0" w:space="0" w:color="auto"/>
            <w:left w:val="none" w:sz="0" w:space="0" w:color="auto"/>
            <w:bottom w:val="none" w:sz="0" w:space="0" w:color="auto"/>
            <w:right w:val="none" w:sz="0" w:space="0" w:color="auto"/>
          </w:divBdr>
        </w:div>
      </w:divsChild>
    </w:div>
    <w:div w:id="807669107">
      <w:marLeft w:val="0"/>
      <w:marRight w:val="0"/>
      <w:marTop w:val="0"/>
      <w:marBottom w:val="0"/>
      <w:divBdr>
        <w:top w:val="none" w:sz="0" w:space="0" w:color="auto"/>
        <w:left w:val="none" w:sz="0" w:space="0" w:color="auto"/>
        <w:bottom w:val="none" w:sz="0" w:space="0" w:color="auto"/>
        <w:right w:val="none" w:sz="0" w:space="0" w:color="auto"/>
      </w:divBdr>
      <w:divsChild>
        <w:div w:id="1107505483">
          <w:marLeft w:val="0"/>
          <w:marRight w:val="0"/>
          <w:marTop w:val="0"/>
          <w:marBottom w:val="0"/>
          <w:divBdr>
            <w:top w:val="none" w:sz="0" w:space="0" w:color="auto"/>
            <w:left w:val="none" w:sz="0" w:space="0" w:color="auto"/>
            <w:bottom w:val="none" w:sz="0" w:space="0" w:color="auto"/>
            <w:right w:val="none" w:sz="0" w:space="0" w:color="auto"/>
          </w:divBdr>
        </w:div>
      </w:divsChild>
    </w:div>
    <w:div w:id="808938383">
      <w:marLeft w:val="0"/>
      <w:marRight w:val="0"/>
      <w:marTop w:val="280"/>
      <w:marBottom w:val="0"/>
      <w:divBdr>
        <w:top w:val="none" w:sz="0" w:space="0" w:color="auto"/>
        <w:left w:val="none" w:sz="0" w:space="0" w:color="auto"/>
        <w:bottom w:val="none" w:sz="0" w:space="0" w:color="auto"/>
        <w:right w:val="none" w:sz="0" w:space="0" w:color="auto"/>
      </w:divBdr>
    </w:div>
    <w:div w:id="811097158">
      <w:marLeft w:val="0"/>
      <w:marRight w:val="0"/>
      <w:marTop w:val="0"/>
      <w:marBottom w:val="0"/>
      <w:divBdr>
        <w:top w:val="none" w:sz="0" w:space="0" w:color="auto"/>
        <w:left w:val="none" w:sz="0" w:space="0" w:color="auto"/>
        <w:bottom w:val="none" w:sz="0" w:space="0" w:color="auto"/>
        <w:right w:val="none" w:sz="0" w:space="0" w:color="auto"/>
      </w:divBdr>
    </w:div>
    <w:div w:id="814223578">
      <w:marLeft w:val="0"/>
      <w:marRight w:val="0"/>
      <w:marTop w:val="90"/>
      <w:marBottom w:val="90"/>
      <w:divBdr>
        <w:top w:val="none" w:sz="0" w:space="0" w:color="auto"/>
        <w:left w:val="none" w:sz="0" w:space="0" w:color="auto"/>
        <w:bottom w:val="none" w:sz="0" w:space="0" w:color="auto"/>
        <w:right w:val="none" w:sz="0" w:space="0" w:color="auto"/>
      </w:divBdr>
    </w:div>
    <w:div w:id="820847422">
      <w:marLeft w:val="0"/>
      <w:marRight w:val="0"/>
      <w:marTop w:val="180"/>
      <w:marBottom w:val="0"/>
      <w:divBdr>
        <w:top w:val="none" w:sz="0" w:space="0" w:color="auto"/>
        <w:left w:val="none" w:sz="0" w:space="0" w:color="auto"/>
        <w:bottom w:val="none" w:sz="0" w:space="0" w:color="auto"/>
        <w:right w:val="none" w:sz="0" w:space="0" w:color="auto"/>
      </w:divBdr>
    </w:div>
    <w:div w:id="824049835">
      <w:marLeft w:val="0"/>
      <w:marRight w:val="0"/>
      <w:marTop w:val="100"/>
      <w:marBottom w:val="0"/>
      <w:divBdr>
        <w:top w:val="none" w:sz="0" w:space="0" w:color="auto"/>
        <w:left w:val="none" w:sz="0" w:space="0" w:color="auto"/>
        <w:bottom w:val="none" w:sz="0" w:space="0" w:color="auto"/>
        <w:right w:val="none" w:sz="0" w:space="0" w:color="auto"/>
      </w:divBdr>
    </w:div>
    <w:div w:id="825510402">
      <w:marLeft w:val="0"/>
      <w:marRight w:val="0"/>
      <w:marTop w:val="100"/>
      <w:marBottom w:val="0"/>
      <w:divBdr>
        <w:top w:val="none" w:sz="0" w:space="0" w:color="auto"/>
        <w:left w:val="none" w:sz="0" w:space="0" w:color="auto"/>
        <w:bottom w:val="none" w:sz="0" w:space="0" w:color="auto"/>
        <w:right w:val="none" w:sz="0" w:space="0" w:color="auto"/>
      </w:divBdr>
    </w:div>
    <w:div w:id="830953393">
      <w:marLeft w:val="0"/>
      <w:marRight w:val="0"/>
      <w:marTop w:val="100"/>
      <w:marBottom w:val="0"/>
      <w:divBdr>
        <w:top w:val="none" w:sz="0" w:space="0" w:color="auto"/>
        <w:left w:val="none" w:sz="0" w:space="0" w:color="auto"/>
        <w:bottom w:val="none" w:sz="0" w:space="0" w:color="auto"/>
        <w:right w:val="none" w:sz="0" w:space="0" w:color="auto"/>
      </w:divBdr>
    </w:div>
    <w:div w:id="837424829">
      <w:marLeft w:val="0"/>
      <w:marRight w:val="0"/>
      <w:marTop w:val="100"/>
      <w:marBottom w:val="0"/>
      <w:divBdr>
        <w:top w:val="none" w:sz="0" w:space="0" w:color="auto"/>
        <w:left w:val="none" w:sz="0" w:space="0" w:color="auto"/>
        <w:bottom w:val="none" w:sz="0" w:space="0" w:color="auto"/>
        <w:right w:val="none" w:sz="0" w:space="0" w:color="auto"/>
      </w:divBdr>
    </w:div>
    <w:div w:id="837964362">
      <w:marLeft w:val="0"/>
      <w:marRight w:val="0"/>
      <w:marTop w:val="100"/>
      <w:marBottom w:val="0"/>
      <w:divBdr>
        <w:top w:val="none" w:sz="0" w:space="0" w:color="auto"/>
        <w:left w:val="none" w:sz="0" w:space="0" w:color="auto"/>
        <w:bottom w:val="none" w:sz="0" w:space="0" w:color="auto"/>
        <w:right w:val="none" w:sz="0" w:space="0" w:color="auto"/>
      </w:divBdr>
    </w:div>
    <w:div w:id="838740115">
      <w:marLeft w:val="0"/>
      <w:marRight w:val="0"/>
      <w:marTop w:val="100"/>
      <w:marBottom w:val="0"/>
      <w:divBdr>
        <w:top w:val="none" w:sz="0" w:space="0" w:color="auto"/>
        <w:left w:val="none" w:sz="0" w:space="0" w:color="auto"/>
        <w:bottom w:val="none" w:sz="0" w:space="0" w:color="auto"/>
        <w:right w:val="none" w:sz="0" w:space="0" w:color="auto"/>
      </w:divBdr>
    </w:div>
    <w:div w:id="844246485">
      <w:marLeft w:val="0"/>
      <w:marRight w:val="0"/>
      <w:marTop w:val="0"/>
      <w:marBottom w:val="0"/>
      <w:divBdr>
        <w:top w:val="none" w:sz="0" w:space="0" w:color="auto"/>
        <w:left w:val="none" w:sz="0" w:space="0" w:color="auto"/>
        <w:bottom w:val="none" w:sz="0" w:space="0" w:color="auto"/>
        <w:right w:val="none" w:sz="0" w:space="0" w:color="auto"/>
      </w:divBdr>
    </w:div>
    <w:div w:id="847987227">
      <w:marLeft w:val="0"/>
      <w:marRight w:val="0"/>
      <w:marTop w:val="100"/>
      <w:marBottom w:val="0"/>
      <w:divBdr>
        <w:top w:val="none" w:sz="0" w:space="0" w:color="auto"/>
        <w:left w:val="none" w:sz="0" w:space="0" w:color="auto"/>
        <w:bottom w:val="none" w:sz="0" w:space="0" w:color="auto"/>
        <w:right w:val="none" w:sz="0" w:space="0" w:color="auto"/>
      </w:divBdr>
    </w:div>
    <w:div w:id="848107749">
      <w:marLeft w:val="0"/>
      <w:marRight w:val="0"/>
      <w:marTop w:val="100"/>
      <w:marBottom w:val="0"/>
      <w:divBdr>
        <w:top w:val="none" w:sz="0" w:space="0" w:color="auto"/>
        <w:left w:val="none" w:sz="0" w:space="0" w:color="auto"/>
        <w:bottom w:val="none" w:sz="0" w:space="0" w:color="auto"/>
        <w:right w:val="none" w:sz="0" w:space="0" w:color="auto"/>
      </w:divBdr>
    </w:div>
    <w:div w:id="849486251">
      <w:marLeft w:val="0"/>
      <w:marRight w:val="0"/>
      <w:marTop w:val="100"/>
      <w:marBottom w:val="0"/>
      <w:divBdr>
        <w:top w:val="none" w:sz="0" w:space="0" w:color="auto"/>
        <w:left w:val="none" w:sz="0" w:space="0" w:color="auto"/>
        <w:bottom w:val="none" w:sz="0" w:space="0" w:color="auto"/>
        <w:right w:val="none" w:sz="0" w:space="0" w:color="auto"/>
      </w:divBdr>
    </w:div>
    <w:div w:id="850948664">
      <w:marLeft w:val="0"/>
      <w:marRight w:val="0"/>
      <w:marTop w:val="0"/>
      <w:marBottom w:val="120"/>
      <w:divBdr>
        <w:top w:val="none" w:sz="0" w:space="0" w:color="auto"/>
        <w:left w:val="none" w:sz="0" w:space="0" w:color="auto"/>
        <w:bottom w:val="none" w:sz="0" w:space="0" w:color="auto"/>
        <w:right w:val="none" w:sz="0" w:space="0" w:color="auto"/>
      </w:divBdr>
    </w:div>
    <w:div w:id="851382392">
      <w:marLeft w:val="0"/>
      <w:marRight w:val="0"/>
      <w:marTop w:val="160"/>
      <w:marBottom w:val="0"/>
      <w:divBdr>
        <w:top w:val="none" w:sz="0" w:space="0" w:color="auto"/>
        <w:left w:val="none" w:sz="0" w:space="0" w:color="auto"/>
        <w:bottom w:val="none" w:sz="0" w:space="0" w:color="auto"/>
        <w:right w:val="none" w:sz="0" w:space="0" w:color="auto"/>
      </w:divBdr>
    </w:div>
    <w:div w:id="852719458">
      <w:marLeft w:val="0"/>
      <w:marRight w:val="0"/>
      <w:marTop w:val="0"/>
      <w:marBottom w:val="0"/>
      <w:divBdr>
        <w:top w:val="none" w:sz="0" w:space="0" w:color="auto"/>
        <w:left w:val="none" w:sz="0" w:space="0" w:color="auto"/>
        <w:bottom w:val="none" w:sz="0" w:space="0" w:color="auto"/>
        <w:right w:val="none" w:sz="0" w:space="0" w:color="auto"/>
      </w:divBdr>
    </w:div>
    <w:div w:id="857235665">
      <w:marLeft w:val="0"/>
      <w:marRight w:val="0"/>
      <w:marTop w:val="100"/>
      <w:marBottom w:val="0"/>
      <w:divBdr>
        <w:top w:val="none" w:sz="0" w:space="0" w:color="auto"/>
        <w:left w:val="none" w:sz="0" w:space="0" w:color="auto"/>
        <w:bottom w:val="none" w:sz="0" w:space="0" w:color="auto"/>
        <w:right w:val="none" w:sz="0" w:space="0" w:color="auto"/>
      </w:divBdr>
    </w:div>
    <w:div w:id="862288275">
      <w:marLeft w:val="0"/>
      <w:marRight w:val="0"/>
      <w:marTop w:val="160"/>
      <w:marBottom w:val="0"/>
      <w:divBdr>
        <w:top w:val="none" w:sz="0" w:space="0" w:color="auto"/>
        <w:left w:val="none" w:sz="0" w:space="0" w:color="auto"/>
        <w:bottom w:val="none" w:sz="0" w:space="0" w:color="auto"/>
        <w:right w:val="none" w:sz="0" w:space="0" w:color="auto"/>
      </w:divBdr>
    </w:div>
    <w:div w:id="865220687">
      <w:marLeft w:val="0"/>
      <w:marRight w:val="0"/>
      <w:marTop w:val="280"/>
      <w:marBottom w:val="0"/>
      <w:divBdr>
        <w:top w:val="none" w:sz="0" w:space="0" w:color="auto"/>
        <w:left w:val="none" w:sz="0" w:space="0" w:color="auto"/>
        <w:bottom w:val="none" w:sz="0" w:space="0" w:color="auto"/>
        <w:right w:val="none" w:sz="0" w:space="0" w:color="auto"/>
      </w:divBdr>
    </w:div>
    <w:div w:id="869026383">
      <w:marLeft w:val="0"/>
      <w:marRight w:val="0"/>
      <w:marTop w:val="100"/>
      <w:marBottom w:val="0"/>
      <w:divBdr>
        <w:top w:val="none" w:sz="0" w:space="0" w:color="auto"/>
        <w:left w:val="none" w:sz="0" w:space="0" w:color="auto"/>
        <w:bottom w:val="none" w:sz="0" w:space="0" w:color="auto"/>
        <w:right w:val="none" w:sz="0" w:space="0" w:color="auto"/>
      </w:divBdr>
    </w:div>
    <w:div w:id="870263422">
      <w:marLeft w:val="0"/>
      <w:marRight w:val="0"/>
      <w:marTop w:val="100"/>
      <w:marBottom w:val="0"/>
      <w:divBdr>
        <w:top w:val="none" w:sz="0" w:space="0" w:color="auto"/>
        <w:left w:val="none" w:sz="0" w:space="0" w:color="auto"/>
        <w:bottom w:val="none" w:sz="0" w:space="0" w:color="auto"/>
        <w:right w:val="none" w:sz="0" w:space="0" w:color="auto"/>
      </w:divBdr>
    </w:div>
    <w:div w:id="873230814">
      <w:marLeft w:val="0"/>
      <w:marRight w:val="0"/>
      <w:marTop w:val="180"/>
      <w:marBottom w:val="0"/>
      <w:divBdr>
        <w:top w:val="none" w:sz="0" w:space="0" w:color="auto"/>
        <w:left w:val="none" w:sz="0" w:space="0" w:color="auto"/>
        <w:bottom w:val="none" w:sz="0" w:space="0" w:color="auto"/>
        <w:right w:val="none" w:sz="0" w:space="0" w:color="auto"/>
      </w:divBdr>
    </w:div>
    <w:div w:id="876431520">
      <w:marLeft w:val="0"/>
      <w:marRight w:val="0"/>
      <w:marTop w:val="100"/>
      <w:marBottom w:val="0"/>
      <w:divBdr>
        <w:top w:val="none" w:sz="0" w:space="0" w:color="auto"/>
        <w:left w:val="none" w:sz="0" w:space="0" w:color="auto"/>
        <w:bottom w:val="none" w:sz="0" w:space="0" w:color="auto"/>
        <w:right w:val="none" w:sz="0" w:space="0" w:color="auto"/>
      </w:divBdr>
    </w:div>
    <w:div w:id="879174044">
      <w:marLeft w:val="0"/>
      <w:marRight w:val="0"/>
      <w:marTop w:val="0"/>
      <w:marBottom w:val="0"/>
      <w:divBdr>
        <w:top w:val="none" w:sz="0" w:space="0" w:color="auto"/>
        <w:left w:val="none" w:sz="0" w:space="0" w:color="auto"/>
        <w:bottom w:val="none" w:sz="0" w:space="0" w:color="auto"/>
        <w:right w:val="none" w:sz="0" w:space="0" w:color="auto"/>
      </w:divBdr>
    </w:div>
    <w:div w:id="880214895">
      <w:marLeft w:val="0"/>
      <w:marRight w:val="0"/>
      <w:marTop w:val="180"/>
      <w:marBottom w:val="0"/>
      <w:divBdr>
        <w:top w:val="none" w:sz="0" w:space="0" w:color="auto"/>
        <w:left w:val="none" w:sz="0" w:space="0" w:color="auto"/>
        <w:bottom w:val="none" w:sz="0" w:space="0" w:color="auto"/>
        <w:right w:val="none" w:sz="0" w:space="0" w:color="auto"/>
      </w:divBdr>
    </w:div>
    <w:div w:id="886071363">
      <w:marLeft w:val="0"/>
      <w:marRight w:val="0"/>
      <w:marTop w:val="100"/>
      <w:marBottom w:val="0"/>
      <w:divBdr>
        <w:top w:val="none" w:sz="0" w:space="0" w:color="auto"/>
        <w:left w:val="none" w:sz="0" w:space="0" w:color="auto"/>
        <w:bottom w:val="none" w:sz="0" w:space="0" w:color="auto"/>
        <w:right w:val="none" w:sz="0" w:space="0" w:color="auto"/>
      </w:divBdr>
    </w:div>
    <w:div w:id="902302258">
      <w:marLeft w:val="0"/>
      <w:marRight w:val="0"/>
      <w:marTop w:val="0"/>
      <w:marBottom w:val="160"/>
      <w:divBdr>
        <w:top w:val="none" w:sz="0" w:space="0" w:color="auto"/>
        <w:left w:val="none" w:sz="0" w:space="0" w:color="auto"/>
        <w:bottom w:val="none" w:sz="0" w:space="0" w:color="auto"/>
        <w:right w:val="none" w:sz="0" w:space="0" w:color="auto"/>
      </w:divBdr>
    </w:div>
    <w:div w:id="905648851">
      <w:marLeft w:val="0"/>
      <w:marRight w:val="0"/>
      <w:marTop w:val="60"/>
      <w:marBottom w:val="0"/>
      <w:divBdr>
        <w:top w:val="none" w:sz="0" w:space="0" w:color="auto"/>
        <w:left w:val="none" w:sz="0" w:space="0" w:color="auto"/>
        <w:bottom w:val="none" w:sz="0" w:space="0" w:color="auto"/>
        <w:right w:val="none" w:sz="0" w:space="0" w:color="auto"/>
      </w:divBdr>
    </w:div>
    <w:div w:id="907305575">
      <w:marLeft w:val="0"/>
      <w:marRight w:val="0"/>
      <w:marTop w:val="0"/>
      <w:marBottom w:val="0"/>
      <w:divBdr>
        <w:top w:val="none" w:sz="0" w:space="0" w:color="auto"/>
        <w:left w:val="none" w:sz="0" w:space="0" w:color="auto"/>
        <w:bottom w:val="none" w:sz="0" w:space="0" w:color="auto"/>
        <w:right w:val="none" w:sz="0" w:space="0" w:color="auto"/>
      </w:divBdr>
      <w:divsChild>
        <w:div w:id="1145976323">
          <w:marLeft w:val="0"/>
          <w:marRight w:val="0"/>
          <w:marTop w:val="0"/>
          <w:marBottom w:val="0"/>
          <w:divBdr>
            <w:top w:val="none" w:sz="0" w:space="0" w:color="auto"/>
            <w:left w:val="none" w:sz="0" w:space="0" w:color="auto"/>
            <w:bottom w:val="none" w:sz="0" w:space="0" w:color="auto"/>
            <w:right w:val="none" w:sz="0" w:space="0" w:color="auto"/>
          </w:divBdr>
        </w:div>
      </w:divsChild>
    </w:div>
    <w:div w:id="909968935">
      <w:marLeft w:val="0"/>
      <w:marRight w:val="0"/>
      <w:marTop w:val="160"/>
      <w:marBottom w:val="0"/>
      <w:divBdr>
        <w:top w:val="none" w:sz="0" w:space="0" w:color="auto"/>
        <w:left w:val="none" w:sz="0" w:space="0" w:color="auto"/>
        <w:bottom w:val="none" w:sz="0" w:space="0" w:color="auto"/>
        <w:right w:val="none" w:sz="0" w:space="0" w:color="auto"/>
      </w:divBdr>
    </w:div>
    <w:div w:id="910234061">
      <w:marLeft w:val="0"/>
      <w:marRight w:val="0"/>
      <w:marTop w:val="100"/>
      <w:marBottom w:val="0"/>
      <w:divBdr>
        <w:top w:val="none" w:sz="0" w:space="0" w:color="auto"/>
        <w:left w:val="none" w:sz="0" w:space="0" w:color="auto"/>
        <w:bottom w:val="none" w:sz="0" w:space="0" w:color="auto"/>
        <w:right w:val="none" w:sz="0" w:space="0" w:color="auto"/>
      </w:divBdr>
    </w:div>
    <w:div w:id="911160292">
      <w:marLeft w:val="0"/>
      <w:marRight w:val="0"/>
      <w:marTop w:val="0"/>
      <w:marBottom w:val="0"/>
      <w:divBdr>
        <w:top w:val="none" w:sz="0" w:space="0" w:color="auto"/>
        <w:left w:val="none" w:sz="0" w:space="0" w:color="auto"/>
        <w:bottom w:val="none" w:sz="0" w:space="0" w:color="auto"/>
        <w:right w:val="none" w:sz="0" w:space="0" w:color="auto"/>
      </w:divBdr>
    </w:div>
    <w:div w:id="912550062">
      <w:marLeft w:val="0"/>
      <w:marRight w:val="0"/>
      <w:marTop w:val="0"/>
      <w:marBottom w:val="0"/>
      <w:divBdr>
        <w:top w:val="none" w:sz="0" w:space="0" w:color="auto"/>
        <w:left w:val="none" w:sz="0" w:space="0" w:color="auto"/>
        <w:bottom w:val="none" w:sz="0" w:space="0" w:color="auto"/>
        <w:right w:val="none" w:sz="0" w:space="0" w:color="auto"/>
      </w:divBdr>
    </w:div>
    <w:div w:id="919100144">
      <w:marLeft w:val="0"/>
      <w:marRight w:val="0"/>
      <w:marTop w:val="100"/>
      <w:marBottom w:val="0"/>
      <w:divBdr>
        <w:top w:val="none" w:sz="0" w:space="0" w:color="auto"/>
        <w:left w:val="none" w:sz="0" w:space="0" w:color="auto"/>
        <w:bottom w:val="none" w:sz="0" w:space="0" w:color="auto"/>
        <w:right w:val="none" w:sz="0" w:space="0" w:color="auto"/>
      </w:divBdr>
    </w:div>
    <w:div w:id="921647105">
      <w:marLeft w:val="0"/>
      <w:marRight w:val="0"/>
      <w:marTop w:val="0"/>
      <w:marBottom w:val="0"/>
      <w:divBdr>
        <w:top w:val="none" w:sz="0" w:space="0" w:color="auto"/>
        <w:left w:val="none" w:sz="0" w:space="0" w:color="auto"/>
        <w:bottom w:val="none" w:sz="0" w:space="0" w:color="auto"/>
        <w:right w:val="none" w:sz="0" w:space="0" w:color="auto"/>
      </w:divBdr>
      <w:divsChild>
        <w:div w:id="1936596418">
          <w:marLeft w:val="0"/>
          <w:marRight w:val="0"/>
          <w:marTop w:val="0"/>
          <w:marBottom w:val="0"/>
          <w:divBdr>
            <w:top w:val="none" w:sz="0" w:space="0" w:color="auto"/>
            <w:left w:val="none" w:sz="0" w:space="0" w:color="auto"/>
            <w:bottom w:val="none" w:sz="0" w:space="0" w:color="auto"/>
            <w:right w:val="none" w:sz="0" w:space="0" w:color="auto"/>
          </w:divBdr>
        </w:div>
      </w:divsChild>
    </w:div>
    <w:div w:id="924538199">
      <w:marLeft w:val="0"/>
      <w:marRight w:val="0"/>
      <w:marTop w:val="100"/>
      <w:marBottom w:val="0"/>
      <w:divBdr>
        <w:top w:val="none" w:sz="0" w:space="0" w:color="auto"/>
        <w:left w:val="none" w:sz="0" w:space="0" w:color="auto"/>
        <w:bottom w:val="none" w:sz="0" w:space="0" w:color="auto"/>
        <w:right w:val="none" w:sz="0" w:space="0" w:color="auto"/>
      </w:divBdr>
    </w:div>
    <w:div w:id="925723763">
      <w:marLeft w:val="0"/>
      <w:marRight w:val="0"/>
      <w:marTop w:val="100"/>
      <w:marBottom w:val="0"/>
      <w:divBdr>
        <w:top w:val="none" w:sz="0" w:space="0" w:color="auto"/>
        <w:left w:val="none" w:sz="0" w:space="0" w:color="auto"/>
        <w:bottom w:val="none" w:sz="0" w:space="0" w:color="auto"/>
        <w:right w:val="none" w:sz="0" w:space="0" w:color="auto"/>
      </w:divBdr>
    </w:div>
    <w:div w:id="927694308">
      <w:marLeft w:val="0"/>
      <w:marRight w:val="0"/>
      <w:marTop w:val="160"/>
      <w:marBottom w:val="0"/>
      <w:divBdr>
        <w:top w:val="none" w:sz="0" w:space="0" w:color="auto"/>
        <w:left w:val="none" w:sz="0" w:space="0" w:color="auto"/>
        <w:bottom w:val="none" w:sz="0" w:space="0" w:color="auto"/>
        <w:right w:val="none" w:sz="0" w:space="0" w:color="auto"/>
      </w:divBdr>
    </w:div>
    <w:div w:id="929779223">
      <w:marLeft w:val="0"/>
      <w:marRight w:val="0"/>
      <w:marTop w:val="180"/>
      <w:marBottom w:val="0"/>
      <w:divBdr>
        <w:top w:val="none" w:sz="0" w:space="0" w:color="auto"/>
        <w:left w:val="none" w:sz="0" w:space="0" w:color="auto"/>
        <w:bottom w:val="none" w:sz="0" w:space="0" w:color="auto"/>
        <w:right w:val="none" w:sz="0" w:space="0" w:color="auto"/>
      </w:divBdr>
    </w:div>
    <w:div w:id="930966953">
      <w:marLeft w:val="0"/>
      <w:marRight w:val="0"/>
      <w:marTop w:val="160"/>
      <w:marBottom w:val="0"/>
      <w:divBdr>
        <w:top w:val="none" w:sz="0" w:space="0" w:color="auto"/>
        <w:left w:val="none" w:sz="0" w:space="0" w:color="auto"/>
        <w:bottom w:val="none" w:sz="0" w:space="0" w:color="auto"/>
        <w:right w:val="none" w:sz="0" w:space="0" w:color="auto"/>
      </w:divBdr>
    </w:div>
    <w:div w:id="933786019">
      <w:marLeft w:val="0"/>
      <w:marRight w:val="0"/>
      <w:marTop w:val="100"/>
      <w:marBottom w:val="0"/>
      <w:divBdr>
        <w:top w:val="none" w:sz="0" w:space="0" w:color="auto"/>
        <w:left w:val="none" w:sz="0" w:space="0" w:color="auto"/>
        <w:bottom w:val="none" w:sz="0" w:space="0" w:color="auto"/>
        <w:right w:val="none" w:sz="0" w:space="0" w:color="auto"/>
      </w:divBdr>
    </w:div>
    <w:div w:id="935602351">
      <w:marLeft w:val="0"/>
      <w:marRight w:val="0"/>
      <w:marTop w:val="0"/>
      <w:marBottom w:val="0"/>
      <w:divBdr>
        <w:top w:val="none" w:sz="0" w:space="0" w:color="auto"/>
        <w:left w:val="none" w:sz="0" w:space="0" w:color="auto"/>
        <w:bottom w:val="none" w:sz="0" w:space="0" w:color="auto"/>
        <w:right w:val="none" w:sz="0" w:space="0" w:color="auto"/>
      </w:divBdr>
      <w:divsChild>
        <w:div w:id="1790388915">
          <w:marLeft w:val="0"/>
          <w:marRight w:val="0"/>
          <w:marTop w:val="0"/>
          <w:marBottom w:val="0"/>
          <w:divBdr>
            <w:top w:val="none" w:sz="0" w:space="0" w:color="auto"/>
            <w:left w:val="none" w:sz="0" w:space="0" w:color="auto"/>
            <w:bottom w:val="none" w:sz="0" w:space="0" w:color="auto"/>
            <w:right w:val="none" w:sz="0" w:space="0" w:color="auto"/>
          </w:divBdr>
        </w:div>
      </w:divsChild>
    </w:div>
    <w:div w:id="937056161">
      <w:marLeft w:val="0"/>
      <w:marRight w:val="0"/>
      <w:marTop w:val="0"/>
      <w:marBottom w:val="0"/>
      <w:divBdr>
        <w:top w:val="none" w:sz="0" w:space="0" w:color="auto"/>
        <w:left w:val="none" w:sz="0" w:space="0" w:color="auto"/>
        <w:bottom w:val="none" w:sz="0" w:space="0" w:color="auto"/>
        <w:right w:val="none" w:sz="0" w:space="0" w:color="auto"/>
      </w:divBdr>
      <w:divsChild>
        <w:div w:id="1244871592">
          <w:marLeft w:val="0"/>
          <w:marRight w:val="0"/>
          <w:marTop w:val="0"/>
          <w:marBottom w:val="0"/>
          <w:divBdr>
            <w:top w:val="none" w:sz="0" w:space="0" w:color="auto"/>
            <w:left w:val="none" w:sz="0" w:space="0" w:color="auto"/>
            <w:bottom w:val="none" w:sz="0" w:space="0" w:color="auto"/>
            <w:right w:val="none" w:sz="0" w:space="0" w:color="auto"/>
          </w:divBdr>
        </w:div>
      </w:divsChild>
    </w:div>
    <w:div w:id="939488734">
      <w:marLeft w:val="0"/>
      <w:marRight w:val="0"/>
      <w:marTop w:val="0"/>
      <w:marBottom w:val="0"/>
      <w:divBdr>
        <w:top w:val="none" w:sz="0" w:space="0" w:color="auto"/>
        <w:left w:val="none" w:sz="0" w:space="0" w:color="auto"/>
        <w:bottom w:val="none" w:sz="0" w:space="0" w:color="auto"/>
        <w:right w:val="none" w:sz="0" w:space="0" w:color="auto"/>
      </w:divBdr>
      <w:divsChild>
        <w:div w:id="16348790">
          <w:marLeft w:val="0"/>
          <w:marRight w:val="0"/>
          <w:marTop w:val="100"/>
          <w:marBottom w:val="0"/>
          <w:divBdr>
            <w:top w:val="none" w:sz="0" w:space="0" w:color="auto"/>
            <w:left w:val="none" w:sz="0" w:space="0" w:color="auto"/>
            <w:bottom w:val="none" w:sz="0" w:space="0" w:color="auto"/>
            <w:right w:val="none" w:sz="0" w:space="0" w:color="auto"/>
          </w:divBdr>
        </w:div>
      </w:divsChild>
    </w:div>
    <w:div w:id="943533570">
      <w:marLeft w:val="0"/>
      <w:marRight w:val="0"/>
      <w:marTop w:val="90"/>
      <w:marBottom w:val="0"/>
      <w:divBdr>
        <w:top w:val="none" w:sz="0" w:space="0" w:color="auto"/>
        <w:left w:val="none" w:sz="0" w:space="0" w:color="auto"/>
        <w:bottom w:val="none" w:sz="0" w:space="0" w:color="auto"/>
        <w:right w:val="none" w:sz="0" w:space="0" w:color="auto"/>
      </w:divBdr>
    </w:div>
    <w:div w:id="949895970">
      <w:marLeft w:val="0"/>
      <w:marRight w:val="0"/>
      <w:marTop w:val="0"/>
      <w:marBottom w:val="0"/>
      <w:divBdr>
        <w:top w:val="none" w:sz="0" w:space="0" w:color="auto"/>
        <w:left w:val="none" w:sz="0" w:space="0" w:color="auto"/>
        <w:bottom w:val="none" w:sz="0" w:space="0" w:color="auto"/>
        <w:right w:val="none" w:sz="0" w:space="0" w:color="auto"/>
      </w:divBdr>
    </w:div>
    <w:div w:id="951591896">
      <w:marLeft w:val="0"/>
      <w:marRight w:val="0"/>
      <w:marTop w:val="0"/>
      <w:marBottom w:val="0"/>
      <w:divBdr>
        <w:top w:val="none" w:sz="0" w:space="0" w:color="auto"/>
        <w:left w:val="none" w:sz="0" w:space="0" w:color="auto"/>
        <w:bottom w:val="none" w:sz="0" w:space="0" w:color="auto"/>
        <w:right w:val="none" w:sz="0" w:space="0" w:color="auto"/>
      </w:divBdr>
      <w:divsChild>
        <w:div w:id="1034696456">
          <w:marLeft w:val="0"/>
          <w:marRight w:val="0"/>
          <w:marTop w:val="100"/>
          <w:marBottom w:val="0"/>
          <w:divBdr>
            <w:top w:val="none" w:sz="0" w:space="0" w:color="auto"/>
            <w:left w:val="none" w:sz="0" w:space="0" w:color="auto"/>
            <w:bottom w:val="none" w:sz="0" w:space="0" w:color="auto"/>
            <w:right w:val="none" w:sz="0" w:space="0" w:color="auto"/>
          </w:divBdr>
        </w:div>
      </w:divsChild>
    </w:div>
    <w:div w:id="951866714">
      <w:marLeft w:val="0"/>
      <w:marRight w:val="0"/>
      <w:marTop w:val="100"/>
      <w:marBottom w:val="0"/>
      <w:divBdr>
        <w:top w:val="none" w:sz="0" w:space="0" w:color="auto"/>
        <w:left w:val="none" w:sz="0" w:space="0" w:color="auto"/>
        <w:bottom w:val="none" w:sz="0" w:space="0" w:color="auto"/>
        <w:right w:val="none" w:sz="0" w:space="0" w:color="auto"/>
      </w:divBdr>
    </w:div>
    <w:div w:id="952201944">
      <w:marLeft w:val="0"/>
      <w:marRight w:val="0"/>
      <w:marTop w:val="0"/>
      <w:marBottom w:val="0"/>
      <w:divBdr>
        <w:top w:val="none" w:sz="0" w:space="0" w:color="auto"/>
        <w:left w:val="none" w:sz="0" w:space="0" w:color="auto"/>
        <w:bottom w:val="none" w:sz="0" w:space="0" w:color="auto"/>
        <w:right w:val="none" w:sz="0" w:space="0" w:color="auto"/>
      </w:divBdr>
      <w:divsChild>
        <w:div w:id="1299648718">
          <w:marLeft w:val="0"/>
          <w:marRight w:val="0"/>
          <w:marTop w:val="0"/>
          <w:marBottom w:val="0"/>
          <w:divBdr>
            <w:top w:val="none" w:sz="0" w:space="0" w:color="auto"/>
            <w:left w:val="none" w:sz="0" w:space="0" w:color="auto"/>
            <w:bottom w:val="none" w:sz="0" w:space="0" w:color="auto"/>
            <w:right w:val="none" w:sz="0" w:space="0" w:color="auto"/>
          </w:divBdr>
        </w:div>
      </w:divsChild>
    </w:div>
    <w:div w:id="957831540">
      <w:marLeft w:val="0"/>
      <w:marRight w:val="0"/>
      <w:marTop w:val="180"/>
      <w:marBottom w:val="0"/>
      <w:divBdr>
        <w:top w:val="none" w:sz="0" w:space="0" w:color="auto"/>
        <w:left w:val="none" w:sz="0" w:space="0" w:color="auto"/>
        <w:bottom w:val="none" w:sz="0" w:space="0" w:color="auto"/>
        <w:right w:val="none" w:sz="0" w:space="0" w:color="auto"/>
      </w:divBdr>
    </w:div>
    <w:div w:id="957948566">
      <w:marLeft w:val="0"/>
      <w:marRight w:val="0"/>
      <w:marTop w:val="100"/>
      <w:marBottom w:val="0"/>
      <w:divBdr>
        <w:top w:val="none" w:sz="0" w:space="0" w:color="auto"/>
        <w:left w:val="none" w:sz="0" w:space="0" w:color="auto"/>
        <w:bottom w:val="none" w:sz="0" w:space="0" w:color="auto"/>
        <w:right w:val="none" w:sz="0" w:space="0" w:color="auto"/>
      </w:divBdr>
    </w:div>
    <w:div w:id="962227076">
      <w:marLeft w:val="0"/>
      <w:marRight w:val="0"/>
      <w:marTop w:val="0"/>
      <w:marBottom w:val="0"/>
      <w:divBdr>
        <w:top w:val="none" w:sz="0" w:space="0" w:color="auto"/>
        <w:left w:val="none" w:sz="0" w:space="0" w:color="auto"/>
        <w:bottom w:val="none" w:sz="0" w:space="0" w:color="auto"/>
        <w:right w:val="none" w:sz="0" w:space="0" w:color="auto"/>
      </w:divBdr>
    </w:div>
    <w:div w:id="966013357">
      <w:marLeft w:val="0"/>
      <w:marRight w:val="0"/>
      <w:marTop w:val="180"/>
      <w:marBottom w:val="0"/>
      <w:divBdr>
        <w:top w:val="none" w:sz="0" w:space="0" w:color="auto"/>
        <w:left w:val="none" w:sz="0" w:space="0" w:color="auto"/>
        <w:bottom w:val="none" w:sz="0" w:space="0" w:color="auto"/>
        <w:right w:val="none" w:sz="0" w:space="0" w:color="auto"/>
      </w:divBdr>
    </w:div>
    <w:div w:id="972295674">
      <w:marLeft w:val="0"/>
      <w:marRight w:val="0"/>
      <w:marTop w:val="100"/>
      <w:marBottom w:val="0"/>
      <w:divBdr>
        <w:top w:val="none" w:sz="0" w:space="0" w:color="auto"/>
        <w:left w:val="none" w:sz="0" w:space="0" w:color="auto"/>
        <w:bottom w:val="none" w:sz="0" w:space="0" w:color="auto"/>
        <w:right w:val="none" w:sz="0" w:space="0" w:color="auto"/>
      </w:divBdr>
    </w:div>
    <w:div w:id="974217045">
      <w:marLeft w:val="0"/>
      <w:marRight w:val="0"/>
      <w:marTop w:val="180"/>
      <w:marBottom w:val="0"/>
      <w:divBdr>
        <w:top w:val="none" w:sz="0" w:space="0" w:color="auto"/>
        <w:left w:val="none" w:sz="0" w:space="0" w:color="auto"/>
        <w:bottom w:val="none" w:sz="0" w:space="0" w:color="auto"/>
        <w:right w:val="none" w:sz="0" w:space="0" w:color="auto"/>
      </w:divBdr>
    </w:div>
    <w:div w:id="978070479">
      <w:marLeft w:val="0"/>
      <w:marRight w:val="0"/>
      <w:marTop w:val="0"/>
      <w:marBottom w:val="0"/>
      <w:divBdr>
        <w:top w:val="none" w:sz="0" w:space="0" w:color="auto"/>
        <w:left w:val="none" w:sz="0" w:space="0" w:color="auto"/>
        <w:bottom w:val="none" w:sz="0" w:space="0" w:color="auto"/>
        <w:right w:val="none" w:sz="0" w:space="0" w:color="auto"/>
      </w:divBdr>
    </w:div>
    <w:div w:id="985668637">
      <w:marLeft w:val="0"/>
      <w:marRight w:val="0"/>
      <w:marTop w:val="100"/>
      <w:marBottom w:val="0"/>
      <w:divBdr>
        <w:top w:val="none" w:sz="0" w:space="0" w:color="auto"/>
        <w:left w:val="none" w:sz="0" w:space="0" w:color="auto"/>
        <w:bottom w:val="none" w:sz="0" w:space="0" w:color="auto"/>
        <w:right w:val="none" w:sz="0" w:space="0" w:color="auto"/>
      </w:divBdr>
    </w:div>
    <w:div w:id="988707531">
      <w:marLeft w:val="0"/>
      <w:marRight w:val="0"/>
      <w:marTop w:val="0"/>
      <w:marBottom w:val="0"/>
      <w:divBdr>
        <w:top w:val="none" w:sz="0" w:space="0" w:color="auto"/>
        <w:left w:val="none" w:sz="0" w:space="0" w:color="auto"/>
        <w:bottom w:val="none" w:sz="0" w:space="0" w:color="auto"/>
        <w:right w:val="none" w:sz="0" w:space="0" w:color="auto"/>
      </w:divBdr>
    </w:div>
    <w:div w:id="989866935">
      <w:marLeft w:val="0"/>
      <w:marRight w:val="0"/>
      <w:marTop w:val="100"/>
      <w:marBottom w:val="0"/>
      <w:divBdr>
        <w:top w:val="none" w:sz="0" w:space="0" w:color="auto"/>
        <w:left w:val="none" w:sz="0" w:space="0" w:color="auto"/>
        <w:bottom w:val="none" w:sz="0" w:space="0" w:color="auto"/>
        <w:right w:val="none" w:sz="0" w:space="0" w:color="auto"/>
      </w:divBdr>
    </w:div>
    <w:div w:id="993870619">
      <w:marLeft w:val="0"/>
      <w:marRight w:val="0"/>
      <w:marTop w:val="100"/>
      <w:marBottom w:val="0"/>
      <w:divBdr>
        <w:top w:val="none" w:sz="0" w:space="0" w:color="auto"/>
        <w:left w:val="none" w:sz="0" w:space="0" w:color="auto"/>
        <w:bottom w:val="none" w:sz="0" w:space="0" w:color="auto"/>
        <w:right w:val="none" w:sz="0" w:space="0" w:color="auto"/>
      </w:divBdr>
    </w:div>
    <w:div w:id="995114437">
      <w:marLeft w:val="0"/>
      <w:marRight w:val="0"/>
      <w:marTop w:val="0"/>
      <w:marBottom w:val="0"/>
      <w:divBdr>
        <w:top w:val="none" w:sz="0" w:space="0" w:color="auto"/>
        <w:left w:val="none" w:sz="0" w:space="0" w:color="auto"/>
        <w:bottom w:val="none" w:sz="0" w:space="0" w:color="auto"/>
        <w:right w:val="none" w:sz="0" w:space="0" w:color="auto"/>
      </w:divBdr>
      <w:divsChild>
        <w:div w:id="1000694058">
          <w:marLeft w:val="0"/>
          <w:marRight w:val="0"/>
          <w:marTop w:val="0"/>
          <w:marBottom w:val="0"/>
          <w:divBdr>
            <w:top w:val="none" w:sz="0" w:space="0" w:color="auto"/>
            <w:left w:val="none" w:sz="0" w:space="0" w:color="auto"/>
            <w:bottom w:val="none" w:sz="0" w:space="0" w:color="auto"/>
            <w:right w:val="none" w:sz="0" w:space="0" w:color="auto"/>
          </w:divBdr>
        </w:div>
      </w:divsChild>
    </w:div>
    <w:div w:id="995769781">
      <w:marLeft w:val="0"/>
      <w:marRight w:val="0"/>
      <w:marTop w:val="160"/>
      <w:marBottom w:val="100"/>
      <w:divBdr>
        <w:top w:val="none" w:sz="0" w:space="0" w:color="auto"/>
        <w:left w:val="none" w:sz="0" w:space="0" w:color="auto"/>
        <w:bottom w:val="none" w:sz="0" w:space="0" w:color="auto"/>
        <w:right w:val="none" w:sz="0" w:space="0" w:color="auto"/>
      </w:divBdr>
    </w:div>
    <w:div w:id="996767993">
      <w:marLeft w:val="0"/>
      <w:marRight w:val="0"/>
      <w:marTop w:val="0"/>
      <w:marBottom w:val="0"/>
      <w:divBdr>
        <w:top w:val="none" w:sz="0" w:space="0" w:color="auto"/>
        <w:left w:val="none" w:sz="0" w:space="0" w:color="auto"/>
        <w:bottom w:val="none" w:sz="0" w:space="0" w:color="auto"/>
        <w:right w:val="none" w:sz="0" w:space="0" w:color="auto"/>
      </w:divBdr>
    </w:div>
    <w:div w:id="999891521">
      <w:marLeft w:val="0"/>
      <w:marRight w:val="0"/>
      <w:marTop w:val="100"/>
      <w:marBottom w:val="0"/>
      <w:divBdr>
        <w:top w:val="none" w:sz="0" w:space="0" w:color="auto"/>
        <w:left w:val="none" w:sz="0" w:space="0" w:color="auto"/>
        <w:bottom w:val="none" w:sz="0" w:space="0" w:color="auto"/>
        <w:right w:val="none" w:sz="0" w:space="0" w:color="auto"/>
      </w:divBdr>
    </w:div>
    <w:div w:id="1000230354">
      <w:marLeft w:val="0"/>
      <w:marRight w:val="0"/>
      <w:marTop w:val="0"/>
      <w:marBottom w:val="0"/>
      <w:divBdr>
        <w:top w:val="none" w:sz="0" w:space="0" w:color="auto"/>
        <w:left w:val="none" w:sz="0" w:space="0" w:color="auto"/>
        <w:bottom w:val="none" w:sz="0" w:space="0" w:color="auto"/>
        <w:right w:val="none" w:sz="0" w:space="0" w:color="auto"/>
      </w:divBdr>
    </w:div>
    <w:div w:id="1003123978">
      <w:marLeft w:val="0"/>
      <w:marRight w:val="0"/>
      <w:marTop w:val="0"/>
      <w:marBottom w:val="0"/>
      <w:divBdr>
        <w:top w:val="none" w:sz="0" w:space="0" w:color="auto"/>
        <w:left w:val="none" w:sz="0" w:space="0" w:color="auto"/>
        <w:bottom w:val="none" w:sz="0" w:space="0" w:color="auto"/>
        <w:right w:val="none" w:sz="0" w:space="0" w:color="auto"/>
      </w:divBdr>
    </w:div>
    <w:div w:id="1007485748">
      <w:marLeft w:val="0"/>
      <w:marRight w:val="0"/>
      <w:marTop w:val="100"/>
      <w:marBottom w:val="0"/>
      <w:divBdr>
        <w:top w:val="none" w:sz="0" w:space="0" w:color="auto"/>
        <w:left w:val="none" w:sz="0" w:space="0" w:color="auto"/>
        <w:bottom w:val="none" w:sz="0" w:space="0" w:color="auto"/>
        <w:right w:val="none" w:sz="0" w:space="0" w:color="auto"/>
      </w:divBdr>
    </w:div>
    <w:div w:id="1009285773">
      <w:marLeft w:val="0"/>
      <w:marRight w:val="0"/>
      <w:marTop w:val="0"/>
      <w:marBottom w:val="0"/>
      <w:divBdr>
        <w:top w:val="none" w:sz="0" w:space="0" w:color="auto"/>
        <w:left w:val="none" w:sz="0" w:space="0" w:color="auto"/>
        <w:bottom w:val="none" w:sz="0" w:space="0" w:color="auto"/>
        <w:right w:val="none" w:sz="0" w:space="0" w:color="auto"/>
      </w:divBdr>
      <w:divsChild>
        <w:div w:id="1172719863">
          <w:marLeft w:val="0"/>
          <w:marRight w:val="0"/>
          <w:marTop w:val="0"/>
          <w:marBottom w:val="0"/>
          <w:divBdr>
            <w:top w:val="none" w:sz="0" w:space="0" w:color="auto"/>
            <w:left w:val="none" w:sz="0" w:space="0" w:color="auto"/>
            <w:bottom w:val="none" w:sz="0" w:space="0" w:color="auto"/>
            <w:right w:val="none" w:sz="0" w:space="0" w:color="auto"/>
          </w:divBdr>
        </w:div>
      </w:divsChild>
    </w:div>
    <w:div w:id="1011492077">
      <w:marLeft w:val="0"/>
      <w:marRight w:val="0"/>
      <w:marTop w:val="0"/>
      <w:marBottom w:val="0"/>
      <w:divBdr>
        <w:top w:val="none" w:sz="0" w:space="0" w:color="auto"/>
        <w:left w:val="none" w:sz="0" w:space="0" w:color="auto"/>
        <w:bottom w:val="none" w:sz="0" w:space="0" w:color="auto"/>
        <w:right w:val="none" w:sz="0" w:space="0" w:color="auto"/>
      </w:divBdr>
    </w:div>
    <w:div w:id="1014309449">
      <w:marLeft w:val="0"/>
      <w:marRight w:val="0"/>
      <w:marTop w:val="0"/>
      <w:marBottom w:val="180"/>
      <w:divBdr>
        <w:top w:val="none" w:sz="0" w:space="0" w:color="auto"/>
        <w:left w:val="none" w:sz="0" w:space="0" w:color="auto"/>
        <w:bottom w:val="none" w:sz="0" w:space="0" w:color="auto"/>
        <w:right w:val="none" w:sz="0" w:space="0" w:color="auto"/>
      </w:divBdr>
    </w:div>
    <w:div w:id="1016153045">
      <w:marLeft w:val="0"/>
      <w:marRight w:val="0"/>
      <w:marTop w:val="0"/>
      <w:marBottom w:val="0"/>
      <w:divBdr>
        <w:top w:val="none" w:sz="0" w:space="0" w:color="auto"/>
        <w:left w:val="none" w:sz="0" w:space="0" w:color="auto"/>
        <w:bottom w:val="none" w:sz="0" w:space="0" w:color="auto"/>
        <w:right w:val="none" w:sz="0" w:space="0" w:color="auto"/>
      </w:divBdr>
      <w:divsChild>
        <w:div w:id="685403705">
          <w:marLeft w:val="0"/>
          <w:marRight w:val="0"/>
          <w:marTop w:val="100"/>
          <w:marBottom w:val="0"/>
          <w:divBdr>
            <w:top w:val="none" w:sz="0" w:space="0" w:color="auto"/>
            <w:left w:val="none" w:sz="0" w:space="0" w:color="auto"/>
            <w:bottom w:val="none" w:sz="0" w:space="0" w:color="auto"/>
            <w:right w:val="none" w:sz="0" w:space="0" w:color="auto"/>
          </w:divBdr>
        </w:div>
      </w:divsChild>
    </w:div>
    <w:div w:id="1018582324">
      <w:marLeft w:val="0"/>
      <w:marRight w:val="0"/>
      <w:marTop w:val="100"/>
      <w:marBottom w:val="0"/>
      <w:divBdr>
        <w:top w:val="none" w:sz="0" w:space="0" w:color="auto"/>
        <w:left w:val="none" w:sz="0" w:space="0" w:color="auto"/>
        <w:bottom w:val="none" w:sz="0" w:space="0" w:color="auto"/>
        <w:right w:val="none" w:sz="0" w:space="0" w:color="auto"/>
      </w:divBdr>
    </w:div>
    <w:div w:id="1025445807">
      <w:marLeft w:val="0"/>
      <w:marRight w:val="0"/>
      <w:marTop w:val="100"/>
      <w:marBottom w:val="0"/>
      <w:divBdr>
        <w:top w:val="none" w:sz="0" w:space="0" w:color="auto"/>
        <w:left w:val="none" w:sz="0" w:space="0" w:color="auto"/>
        <w:bottom w:val="none" w:sz="0" w:space="0" w:color="auto"/>
        <w:right w:val="none" w:sz="0" w:space="0" w:color="auto"/>
      </w:divBdr>
    </w:div>
    <w:div w:id="1025986393">
      <w:marLeft w:val="0"/>
      <w:marRight w:val="0"/>
      <w:marTop w:val="0"/>
      <w:marBottom w:val="0"/>
      <w:divBdr>
        <w:top w:val="none" w:sz="0" w:space="0" w:color="auto"/>
        <w:left w:val="none" w:sz="0" w:space="0" w:color="auto"/>
        <w:bottom w:val="none" w:sz="0" w:space="0" w:color="auto"/>
        <w:right w:val="none" w:sz="0" w:space="0" w:color="auto"/>
      </w:divBdr>
      <w:divsChild>
        <w:div w:id="1915310154">
          <w:marLeft w:val="0"/>
          <w:marRight w:val="0"/>
          <w:marTop w:val="100"/>
          <w:marBottom w:val="0"/>
          <w:divBdr>
            <w:top w:val="none" w:sz="0" w:space="0" w:color="auto"/>
            <w:left w:val="none" w:sz="0" w:space="0" w:color="auto"/>
            <w:bottom w:val="none" w:sz="0" w:space="0" w:color="auto"/>
            <w:right w:val="none" w:sz="0" w:space="0" w:color="auto"/>
          </w:divBdr>
        </w:div>
      </w:divsChild>
    </w:div>
    <w:div w:id="1027213539">
      <w:marLeft w:val="0"/>
      <w:marRight w:val="0"/>
      <w:marTop w:val="0"/>
      <w:marBottom w:val="0"/>
      <w:divBdr>
        <w:top w:val="none" w:sz="0" w:space="0" w:color="auto"/>
        <w:left w:val="none" w:sz="0" w:space="0" w:color="auto"/>
        <w:bottom w:val="none" w:sz="0" w:space="0" w:color="auto"/>
        <w:right w:val="none" w:sz="0" w:space="0" w:color="auto"/>
      </w:divBdr>
      <w:divsChild>
        <w:div w:id="1225488237">
          <w:marLeft w:val="0"/>
          <w:marRight w:val="0"/>
          <w:marTop w:val="0"/>
          <w:marBottom w:val="0"/>
          <w:divBdr>
            <w:top w:val="none" w:sz="0" w:space="0" w:color="auto"/>
            <w:left w:val="none" w:sz="0" w:space="0" w:color="auto"/>
            <w:bottom w:val="none" w:sz="0" w:space="0" w:color="auto"/>
            <w:right w:val="none" w:sz="0" w:space="0" w:color="auto"/>
          </w:divBdr>
        </w:div>
      </w:divsChild>
    </w:div>
    <w:div w:id="1032146724">
      <w:marLeft w:val="0"/>
      <w:marRight w:val="0"/>
      <w:marTop w:val="0"/>
      <w:marBottom w:val="0"/>
      <w:divBdr>
        <w:top w:val="none" w:sz="0" w:space="0" w:color="auto"/>
        <w:left w:val="none" w:sz="0" w:space="0" w:color="auto"/>
        <w:bottom w:val="none" w:sz="0" w:space="0" w:color="auto"/>
        <w:right w:val="none" w:sz="0" w:space="0" w:color="auto"/>
      </w:divBdr>
      <w:divsChild>
        <w:div w:id="481890644">
          <w:marLeft w:val="0"/>
          <w:marRight w:val="0"/>
          <w:marTop w:val="100"/>
          <w:marBottom w:val="0"/>
          <w:divBdr>
            <w:top w:val="none" w:sz="0" w:space="0" w:color="auto"/>
            <w:left w:val="none" w:sz="0" w:space="0" w:color="auto"/>
            <w:bottom w:val="none" w:sz="0" w:space="0" w:color="auto"/>
            <w:right w:val="none" w:sz="0" w:space="0" w:color="auto"/>
          </w:divBdr>
        </w:div>
      </w:divsChild>
    </w:div>
    <w:div w:id="1032733068">
      <w:marLeft w:val="0"/>
      <w:marRight w:val="0"/>
      <w:marTop w:val="0"/>
      <w:marBottom w:val="0"/>
      <w:divBdr>
        <w:top w:val="none" w:sz="0" w:space="0" w:color="auto"/>
        <w:left w:val="none" w:sz="0" w:space="0" w:color="auto"/>
        <w:bottom w:val="none" w:sz="0" w:space="0" w:color="auto"/>
        <w:right w:val="none" w:sz="0" w:space="0" w:color="auto"/>
      </w:divBdr>
    </w:div>
    <w:div w:id="1036546570">
      <w:marLeft w:val="0"/>
      <w:marRight w:val="0"/>
      <w:marTop w:val="200"/>
      <w:marBottom w:val="100"/>
      <w:divBdr>
        <w:top w:val="none" w:sz="0" w:space="0" w:color="auto"/>
        <w:left w:val="none" w:sz="0" w:space="0" w:color="auto"/>
        <w:bottom w:val="none" w:sz="0" w:space="0" w:color="auto"/>
        <w:right w:val="none" w:sz="0" w:space="0" w:color="auto"/>
      </w:divBdr>
    </w:div>
    <w:div w:id="1037201915">
      <w:marLeft w:val="0"/>
      <w:marRight w:val="0"/>
      <w:marTop w:val="100"/>
      <w:marBottom w:val="0"/>
      <w:divBdr>
        <w:top w:val="none" w:sz="0" w:space="0" w:color="auto"/>
        <w:left w:val="none" w:sz="0" w:space="0" w:color="auto"/>
        <w:bottom w:val="none" w:sz="0" w:space="0" w:color="auto"/>
        <w:right w:val="none" w:sz="0" w:space="0" w:color="auto"/>
      </w:divBdr>
    </w:div>
    <w:div w:id="1045174371">
      <w:marLeft w:val="0"/>
      <w:marRight w:val="0"/>
      <w:marTop w:val="180"/>
      <w:marBottom w:val="0"/>
      <w:divBdr>
        <w:top w:val="none" w:sz="0" w:space="0" w:color="auto"/>
        <w:left w:val="none" w:sz="0" w:space="0" w:color="auto"/>
        <w:bottom w:val="none" w:sz="0" w:space="0" w:color="auto"/>
        <w:right w:val="none" w:sz="0" w:space="0" w:color="auto"/>
      </w:divBdr>
    </w:div>
    <w:div w:id="1047949474">
      <w:marLeft w:val="0"/>
      <w:marRight w:val="0"/>
      <w:marTop w:val="0"/>
      <w:marBottom w:val="0"/>
      <w:divBdr>
        <w:top w:val="none" w:sz="0" w:space="0" w:color="auto"/>
        <w:left w:val="none" w:sz="0" w:space="0" w:color="auto"/>
        <w:bottom w:val="none" w:sz="0" w:space="0" w:color="auto"/>
        <w:right w:val="none" w:sz="0" w:space="0" w:color="auto"/>
      </w:divBdr>
    </w:div>
    <w:div w:id="1052536649">
      <w:marLeft w:val="0"/>
      <w:marRight w:val="0"/>
      <w:marTop w:val="100"/>
      <w:marBottom w:val="0"/>
      <w:divBdr>
        <w:top w:val="none" w:sz="0" w:space="0" w:color="auto"/>
        <w:left w:val="none" w:sz="0" w:space="0" w:color="auto"/>
        <w:bottom w:val="none" w:sz="0" w:space="0" w:color="auto"/>
        <w:right w:val="none" w:sz="0" w:space="0" w:color="auto"/>
      </w:divBdr>
    </w:div>
    <w:div w:id="1056049678">
      <w:marLeft w:val="0"/>
      <w:marRight w:val="0"/>
      <w:marTop w:val="100"/>
      <w:marBottom w:val="0"/>
      <w:divBdr>
        <w:top w:val="none" w:sz="0" w:space="0" w:color="auto"/>
        <w:left w:val="none" w:sz="0" w:space="0" w:color="auto"/>
        <w:bottom w:val="none" w:sz="0" w:space="0" w:color="auto"/>
        <w:right w:val="none" w:sz="0" w:space="0" w:color="auto"/>
      </w:divBdr>
    </w:div>
    <w:div w:id="1058211327">
      <w:marLeft w:val="0"/>
      <w:marRight w:val="0"/>
      <w:marTop w:val="100"/>
      <w:marBottom w:val="0"/>
      <w:divBdr>
        <w:top w:val="none" w:sz="0" w:space="0" w:color="auto"/>
        <w:left w:val="none" w:sz="0" w:space="0" w:color="auto"/>
        <w:bottom w:val="none" w:sz="0" w:space="0" w:color="auto"/>
        <w:right w:val="none" w:sz="0" w:space="0" w:color="auto"/>
      </w:divBdr>
    </w:div>
    <w:div w:id="1064716840">
      <w:marLeft w:val="0"/>
      <w:marRight w:val="0"/>
      <w:marTop w:val="0"/>
      <w:marBottom w:val="0"/>
      <w:divBdr>
        <w:top w:val="none" w:sz="0" w:space="0" w:color="auto"/>
        <w:left w:val="none" w:sz="0" w:space="0" w:color="auto"/>
        <w:bottom w:val="none" w:sz="0" w:space="0" w:color="auto"/>
        <w:right w:val="none" w:sz="0" w:space="0" w:color="auto"/>
      </w:divBdr>
      <w:divsChild>
        <w:div w:id="653949285">
          <w:marLeft w:val="0"/>
          <w:marRight w:val="0"/>
          <w:marTop w:val="100"/>
          <w:marBottom w:val="0"/>
          <w:divBdr>
            <w:top w:val="none" w:sz="0" w:space="0" w:color="auto"/>
            <w:left w:val="none" w:sz="0" w:space="0" w:color="auto"/>
            <w:bottom w:val="none" w:sz="0" w:space="0" w:color="auto"/>
            <w:right w:val="none" w:sz="0" w:space="0" w:color="auto"/>
          </w:divBdr>
        </w:div>
      </w:divsChild>
    </w:div>
    <w:div w:id="1066420459">
      <w:marLeft w:val="0"/>
      <w:marRight w:val="0"/>
      <w:marTop w:val="100"/>
      <w:marBottom w:val="0"/>
      <w:divBdr>
        <w:top w:val="none" w:sz="0" w:space="0" w:color="auto"/>
        <w:left w:val="none" w:sz="0" w:space="0" w:color="auto"/>
        <w:bottom w:val="none" w:sz="0" w:space="0" w:color="auto"/>
        <w:right w:val="none" w:sz="0" w:space="0" w:color="auto"/>
      </w:divBdr>
    </w:div>
    <w:div w:id="1069032460">
      <w:marLeft w:val="0"/>
      <w:marRight w:val="0"/>
      <w:marTop w:val="0"/>
      <w:marBottom w:val="0"/>
      <w:divBdr>
        <w:top w:val="none" w:sz="0" w:space="0" w:color="auto"/>
        <w:left w:val="none" w:sz="0" w:space="0" w:color="auto"/>
        <w:bottom w:val="none" w:sz="0" w:space="0" w:color="auto"/>
        <w:right w:val="none" w:sz="0" w:space="0" w:color="auto"/>
      </w:divBdr>
      <w:divsChild>
        <w:div w:id="730227927">
          <w:marLeft w:val="0"/>
          <w:marRight w:val="0"/>
          <w:marTop w:val="100"/>
          <w:marBottom w:val="0"/>
          <w:divBdr>
            <w:top w:val="none" w:sz="0" w:space="0" w:color="auto"/>
            <w:left w:val="none" w:sz="0" w:space="0" w:color="auto"/>
            <w:bottom w:val="none" w:sz="0" w:space="0" w:color="auto"/>
            <w:right w:val="none" w:sz="0" w:space="0" w:color="auto"/>
          </w:divBdr>
        </w:div>
      </w:divsChild>
    </w:div>
    <w:div w:id="1069772360">
      <w:marLeft w:val="0"/>
      <w:marRight w:val="0"/>
      <w:marTop w:val="100"/>
      <w:marBottom w:val="0"/>
      <w:divBdr>
        <w:top w:val="none" w:sz="0" w:space="0" w:color="auto"/>
        <w:left w:val="none" w:sz="0" w:space="0" w:color="auto"/>
        <w:bottom w:val="none" w:sz="0" w:space="0" w:color="auto"/>
        <w:right w:val="none" w:sz="0" w:space="0" w:color="auto"/>
      </w:divBdr>
    </w:div>
    <w:div w:id="1072003467">
      <w:marLeft w:val="0"/>
      <w:marRight w:val="0"/>
      <w:marTop w:val="100"/>
      <w:marBottom w:val="0"/>
      <w:divBdr>
        <w:top w:val="none" w:sz="0" w:space="0" w:color="auto"/>
        <w:left w:val="none" w:sz="0" w:space="0" w:color="auto"/>
        <w:bottom w:val="none" w:sz="0" w:space="0" w:color="auto"/>
        <w:right w:val="none" w:sz="0" w:space="0" w:color="auto"/>
      </w:divBdr>
    </w:div>
    <w:div w:id="1076703136">
      <w:marLeft w:val="0"/>
      <w:marRight w:val="0"/>
      <w:marTop w:val="160"/>
      <w:marBottom w:val="0"/>
      <w:divBdr>
        <w:top w:val="none" w:sz="0" w:space="0" w:color="auto"/>
        <w:left w:val="none" w:sz="0" w:space="0" w:color="auto"/>
        <w:bottom w:val="none" w:sz="0" w:space="0" w:color="auto"/>
        <w:right w:val="none" w:sz="0" w:space="0" w:color="auto"/>
      </w:divBdr>
    </w:div>
    <w:div w:id="1079671283">
      <w:marLeft w:val="0"/>
      <w:marRight w:val="0"/>
      <w:marTop w:val="100"/>
      <w:marBottom w:val="0"/>
      <w:divBdr>
        <w:top w:val="none" w:sz="0" w:space="0" w:color="auto"/>
        <w:left w:val="none" w:sz="0" w:space="0" w:color="auto"/>
        <w:bottom w:val="none" w:sz="0" w:space="0" w:color="auto"/>
        <w:right w:val="none" w:sz="0" w:space="0" w:color="auto"/>
      </w:divBdr>
    </w:div>
    <w:div w:id="1082676138">
      <w:marLeft w:val="0"/>
      <w:marRight w:val="0"/>
      <w:marTop w:val="100"/>
      <w:marBottom w:val="0"/>
      <w:divBdr>
        <w:top w:val="none" w:sz="0" w:space="0" w:color="auto"/>
        <w:left w:val="none" w:sz="0" w:space="0" w:color="auto"/>
        <w:bottom w:val="none" w:sz="0" w:space="0" w:color="auto"/>
        <w:right w:val="none" w:sz="0" w:space="0" w:color="auto"/>
      </w:divBdr>
    </w:div>
    <w:div w:id="1083837624">
      <w:marLeft w:val="0"/>
      <w:marRight w:val="0"/>
      <w:marTop w:val="100"/>
      <w:marBottom w:val="0"/>
      <w:divBdr>
        <w:top w:val="none" w:sz="0" w:space="0" w:color="auto"/>
        <w:left w:val="none" w:sz="0" w:space="0" w:color="auto"/>
        <w:bottom w:val="none" w:sz="0" w:space="0" w:color="auto"/>
        <w:right w:val="none" w:sz="0" w:space="0" w:color="auto"/>
      </w:divBdr>
    </w:div>
    <w:div w:id="1085103949">
      <w:marLeft w:val="0"/>
      <w:marRight w:val="0"/>
      <w:marTop w:val="100"/>
      <w:marBottom w:val="0"/>
      <w:divBdr>
        <w:top w:val="none" w:sz="0" w:space="0" w:color="auto"/>
        <w:left w:val="none" w:sz="0" w:space="0" w:color="auto"/>
        <w:bottom w:val="none" w:sz="0" w:space="0" w:color="auto"/>
        <w:right w:val="none" w:sz="0" w:space="0" w:color="auto"/>
      </w:divBdr>
    </w:div>
    <w:div w:id="1087117100">
      <w:marLeft w:val="0"/>
      <w:marRight w:val="0"/>
      <w:marTop w:val="100"/>
      <w:marBottom w:val="0"/>
      <w:divBdr>
        <w:top w:val="none" w:sz="0" w:space="0" w:color="auto"/>
        <w:left w:val="none" w:sz="0" w:space="0" w:color="auto"/>
        <w:bottom w:val="none" w:sz="0" w:space="0" w:color="auto"/>
        <w:right w:val="none" w:sz="0" w:space="0" w:color="auto"/>
      </w:divBdr>
    </w:div>
    <w:div w:id="1091389076">
      <w:marLeft w:val="0"/>
      <w:marRight w:val="0"/>
      <w:marTop w:val="0"/>
      <w:marBottom w:val="0"/>
      <w:divBdr>
        <w:top w:val="none" w:sz="0" w:space="0" w:color="auto"/>
        <w:left w:val="none" w:sz="0" w:space="0" w:color="auto"/>
        <w:bottom w:val="none" w:sz="0" w:space="0" w:color="auto"/>
        <w:right w:val="none" w:sz="0" w:space="0" w:color="auto"/>
      </w:divBdr>
    </w:div>
    <w:div w:id="1092512986">
      <w:marLeft w:val="0"/>
      <w:marRight w:val="0"/>
      <w:marTop w:val="0"/>
      <w:marBottom w:val="0"/>
      <w:divBdr>
        <w:top w:val="none" w:sz="0" w:space="0" w:color="auto"/>
        <w:left w:val="none" w:sz="0" w:space="0" w:color="auto"/>
        <w:bottom w:val="none" w:sz="0" w:space="0" w:color="auto"/>
        <w:right w:val="none" w:sz="0" w:space="0" w:color="auto"/>
      </w:divBdr>
      <w:divsChild>
        <w:div w:id="1088307103">
          <w:marLeft w:val="0"/>
          <w:marRight w:val="0"/>
          <w:marTop w:val="100"/>
          <w:marBottom w:val="0"/>
          <w:divBdr>
            <w:top w:val="none" w:sz="0" w:space="0" w:color="auto"/>
            <w:left w:val="none" w:sz="0" w:space="0" w:color="auto"/>
            <w:bottom w:val="none" w:sz="0" w:space="0" w:color="auto"/>
            <w:right w:val="none" w:sz="0" w:space="0" w:color="auto"/>
          </w:divBdr>
        </w:div>
      </w:divsChild>
    </w:div>
    <w:div w:id="1094521619">
      <w:marLeft w:val="0"/>
      <w:marRight w:val="0"/>
      <w:marTop w:val="0"/>
      <w:marBottom w:val="160"/>
      <w:divBdr>
        <w:top w:val="none" w:sz="0" w:space="0" w:color="auto"/>
        <w:left w:val="none" w:sz="0" w:space="0" w:color="auto"/>
        <w:bottom w:val="none" w:sz="0" w:space="0" w:color="auto"/>
        <w:right w:val="none" w:sz="0" w:space="0" w:color="auto"/>
      </w:divBdr>
    </w:div>
    <w:div w:id="1103499479">
      <w:marLeft w:val="0"/>
      <w:marRight w:val="0"/>
      <w:marTop w:val="100"/>
      <w:marBottom w:val="0"/>
      <w:divBdr>
        <w:top w:val="none" w:sz="0" w:space="0" w:color="auto"/>
        <w:left w:val="none" w:sz="0" w:space="0" w:color="auto"/>
        <w:bottom w:val="none" w:sz="0" w:space="0" w:color="auto"/>
        <w:right w:val="none" w:sz="0" w:space="0" w:color="auto"/>
      </w:divBdr>
    </w:div>
    <w:div w:id="1104302299">
      <w:marLeft w:val="0"/>
      <w:marRight w:val="0"/>
      <w:marTop w:val="100"/>
      <w:marBottom w:val="0"/>
      <w:divBdr>
        <w:top w:val="none" w:sz="0" w:space="0" w:color="auto"/>
        <w:left w:val="none" w:sz="0" w:space="0" w:color="auto"/>
        <w:bottom w:val="none" w:sz="0" w:space="0" w:color="auto"/>
        <w:right w:val="none" w:sz="0" w:space="0" w:color="auto"/>
      </w:divBdr>
    </w:div>
    <w:div w:id="1105147676">
      <w:marLeft w:val="0"/>
      <w:marRight w:val="0"/>
      <w:marTop w:val="60"/>
      <w:marBottom w:val="0"/>
      <w:divBdr>
        <w:top w:val="none" w:sz="0" w:space="0" w:color="auto"/>
        <w:left w:val="none" w:sz="0" w:space="0" w:color="auto"/>
        <w:bottom w:val="none" w:sz="0" w:space="0" w:color="auto"/>
        <w:right w:val="none" w:sz="0" w:space="0" w:color="auto"/>
      </w:divBdr>
    </w:div>
    <w:div w:id="1107971029">
      <w:marLeft w:val="0"/>
      <w:marRight w:val="0"/>
      <w:marTop w:val="0"/>
      <w:marBottom w:val="0"/>
      <w:divBdr>
        <w:top w:val="none" w:sz="0" w:space="0" w:color="auto"/>
        <w:left w:val="none" w:sz="0" w:space="0" w:color="auto"/>
        <w:bottom w:val="none" w:sz="0" w:space="0" w:color="auto"/>
        <w:right w:val="none" w:sz="0" w:space="0" w:color="auto"/>
      </w:divBdr>
      <w:divsChild>
        <w:div w:id="2126926151">
          <w:marLeft w:val="0"/>
          <w:marRight w:val="0"/>
          <w:marTop w:val="0"/>
          <w:marBottom w:val="0"/>
          <w:divBdr>
            <w:top w:val="none" w:sz="0" w:space="0" w:color="auto"/>
            <w:left w:val="none" w:sz="0" w:space="0" w:color="auto"/>
            <w:bottom w:val="none" w:sz="0" w:space="0" w:color="auto"/>
            <w:right w:val="none" w:sz="0" w:space="0" w:color="auto"/>
          </w:divBdr>
        </w:div>
      </w:divsChild>
    </w:div>
    <w:div w:id="1120689374">
      <w:marLeft w:val="0"/>
      <w:marRight w:val="0"/>
      <w:marTop w:val="100"/>
      <w:marBottom w:val="0"/>
      <w:divBdr>
        <w:top w:val="none" w:sz="0" w:space="0" w:color="auto"/>
        <w:left w:val="none" w:sz="0" w:space="0" w:color="auto"/>
        <w:bottom w:val="none" w:sz="0" w:space="0" w:color="auto"/>
        <w:right w:val="none" w:sz="0" w:space="0" w:color="auto"/>
      </w:divBdr>
    </w:div>
    <w:div w:id="1121608865">
      <w:marLeft w:val="0"/>
      <w:marRight w:val="0"/>
      <w:marTop w:val="0"/>
      <w:marBottom w:val="0"/>
      <w:divBdr>
        <w:top w:val="none" w:sz="0" w:space="0" w:color="auto"/>
        <w:left w:val="none" w:sz="0" w:space="0" w:color="auto"/>
        <w:bottom w:val="none" w:sz="0" w:space="0" w:color="auto"/>
        <w:right w:val="none" w:sz="0" w:space="0" w:color="auto"/>
      </w:divBdr>
      <w:divsChild>
        <w:div w:id="1959294048">
          <w:marLeft w:val="0"/>
          <w:marRight w:val="0"/>
          <w:marTop w:val="100"/>
          <w:marBottom w:val="0"/>
          <w:divBdr>
            <w:top w:val="none" w:sz="0" w:space="0" w:color="auto"/>
            <w:left w:val="none" w:sz="0" w:space="0" w:color="auto"/>
            <w:bottom w:val="none" w:sz="0" w:space="0" w:color="auto"/>
            <w:right w:val="none" w:sz="0" w:space="0" w:color="auto"/>
          </w:divBdr>
        </w:div>
      </w:divsChild>
    </w:div>
    <w:div w:id="1124690227">
      <w:marLeft w:val="0"/>
      <w:marRight w:val="0"/>
      <w:marTop w:val="100"/>
      <w:marBottom w:val="0"/>
      <w:divBdr>
        <w:top w:val="none" w:sz="0" w:space="0" w:color="auto"/>
        <w:left w:val="none" w:sz="0" w:space="0" w:color="auto"/>
        <w:bottom w:val="none" w:sz="0" w:space="0" w:color="auto"/>
        <w:right w:val="none" w:sz="0" w:space="0" w:color="auto"/>
      </w:divBdr>
    </w:div>
    <w:div w:id="1138650272">
      <w:marLeft w:val="0"/>
      <w:marRight w:val="0"/>
      <w:marTop w:val="0"/>
      <w:marBottom w:val="0"/>
      <w:divBdr>
        <w:top w:val="none" w:sz="0" w:space="0" w:color="auto"/>
        <w:left w:val="none" w:sz="0" w:space="0" w:color="auto"/>
        <w:bottom w:val="none" w:sz="0" w:space="0" w:color="auto"/>
        <w:right w:val="none" w:sz="0" w:space="0" w:color="auto"/>
      </w:divBdr>
    </w:div>
    <w:div w:id="1139692295">
      <w:marLeft w:val="0"/>
      <w:marRight w:val="0"/>
      <w:marTop w:val="0"/>
      <w:marBottom w:val="0"/>
      <w:divBdr>
        <w:top w:val="none" w:sz="0" w:space="0" w:color="auto"/>
        <w:left w:val="none" w:sz="0" w:space="0" w:color="auto"/>
        <w:bottom w:val="none" w:sz="0" w:space="0" w:color="auto"/>
        <w:right w:val="none" w:sz="0" w:space="0" w:color="auto"/>
      </w:divBdr>
      <w:divsChild>
        <w:div w:id="385107885">
          <w:marLeft w:val="0"/>
          <w:marRight w:val="0"/>
          <w:marTop w:val="0"/>
          <w:marBottom w:val="0"/>
          <w:divBdr>
            <w:top w:val="none" w:sz="0" w:space="0" w:color="auto"/>
            <w:left w:val="none" w:sz="0" w:space="0" w:color="auto"/>
            <w:bottom w:val="none" w:sz="0" w:space="0" w:color="auto"/>
            <w:right w:val="none" w:sz="0" w:space="0" w:color="auto"/>
          </w:divBdr>
        </w:div>
      </w:divsChild>
    </w:div>
    <w:div w:id="1143691466">
      <w:marLeft w:val="0"/>
      <w:marRight w:val="0"/>
      <w:marTop w:val="100"/>
      <w:marBottom w:val="0"/>
      <w:divBdr>
        <w:top w:val="none" w:sz="0" w:space="0" w:color="auto"/>
        <w:left w:val="none" w:sz="0" w:space="0" w:color="auto"/>
        <w:bottom w:val="none" w:sz="0" w:space="0" w:color="auto"/>
        <w:right w:val="none" w:sz="0" w:space="0" w:color="auto"/>
      </w:divBdr>
    </w:div>
    <w:div w:id="1144159156">
      <w:marLeft w:val="0"/>
      <w:marRight w:val="0"/>
      <w:marTop w:val="100"/>
      <w:marBottom w:val="0"/>
      <w:divBdr>
        <w:top w:val="none" w:sz="0" w:space="0" w:color="auto"/>
        <w:left w:val="none" w:sz="0" w:space="0" w:color="auto"/>
        <w:bottom w:val="none" w:sz="0" w:space="0" w:color="auto"/>
        <w:right w:val="none" w:sz="0" w:space="0" w:color="auto"/>
      </w:divBdr>
    </w:div>
    <w:div w:id="1148321876">
      <w:marLeft w:val="0"/>
      <w:marRight w:val="0"/>
      <w:marTop w:val="100"/>
      <w:marBottom w:val="0"/>
      <w:divBdr>
        <w:top w:val="none" w:sz="0" w:space="0" w:color="auto"/>
        <w:left w:val="none" w:sz="0" w:space="0" w:color="auto"/>
        <w:bottom w:val="none" w:sz="0" w:space="0" w:color="auto"/>
        <w:right w:val="none" w:sz="0" w:space="0" w:color="auto"/>
      </w:divBdr>
    </w:div>
    <w:div w:id="1148477112">
      <w:marLeft w:val="0"/>
      <w:marRight w:val="0"/>
      <w:marTop w:val="100"/>
      <w:marBottom w:val="100"/>
      <w:divBdr>
        <w:top w:val="none" w:sz="0" w:space="0" w:color="auto"/>
        <w:left w:val="none" w:sz="0" w:space="0" w:color="auto"/>
        <w:bottom w:val="none" w:sz="0" w:space="0" w:color="auto"/>
        <w:right w:val="none" w:sz="0" w:space="0" w:color="auto"/>
      </w:divBdr>
    </w:div>
    <w:div w:id="1148979430">
      <w:marLeft w:val="0"/>
      <w:marRight w:val="0"/>
      <w:marTop w:val="100"/>
      <w:marBottom w:val="0"/>
      <w:divBdr>
        <w:top w:val="none" w:sz="0" w:space="0" w:color="auto"/>
        <w:left w:val="none" w:sz="0" w:space="0" w:color="auto"/>
        <w:bottom w:val="none" w:sz="0" w:space="0" w:color="auto"/>
        <w:right w:val="none" w:sz="0" w:space="0" w:color="auto"/>
      </w:divBdr>
    </w:div>
    <w:div w:id="1155100300">
      <w:marLeft w:val="0"/>
      <w:marRight w:val="0"/>
      <w:marTop w:val="160"/>
      <w:marBottom w:val="0"/>
      <w:divBdr>
        <w:top w:val="none" w:sz="0" w:space="0" w:color="auto"/>
        <w:left w:val="none" w:sz="0" w:space="0" w:color="auto"/>
        <w:bottom w:val="none" w:sz="0" w:space="0" w:color="auto"/>
        <w:right w:val="none" w:sz="0" w:space="0" w:color="auto"/>
      </w:divBdr>
    </w:div>
    <w:div w:id="1157185944">
      <w:marLeft w:val="0"/>
      <w:marRight w:val="0"/>
      <w:marTop w:val="0"/>
      <w:marBottom w:val="0"/>
      <w:divBdr>
        <w:top w:val="none" w:sz="0" w:space="0" w:color="auto"/>
        <w:left w:val="none" w:sz="0" w:space="0" w:color="auto"/>
        <w:bottom w:val="none" w:sz="0" w:space="0" w:color="auto"/>
        <w:right w:val="none" w:sz="0" w:space="0" w:color="auto"/>
      </w:divBdr>
      <w:divsChild>
        <w:div w:id="1410617391">
          <w:marLeft w:val="0"/>
          <w:marRight w:val="0"/>
          <w:marTop w:val="100"/>
          <w:marBottom w:val="0"/>
          <w:divBdr>
            <w:top w:val="none" w:sz="0" w:space="0" w:color="auto"/>
            <w:left w:val="none" w:sz="0" w:space="0" w:color="auto"/>
            <w:bottom w:val="none" w:sz="0" w:space="0" w:color="auto"/>
            <w:right w:val="none" w:sz="0" w:space="0" w:color="auto"/>
          </w:divBdr>
        </w:div>
      </w:divsChild>
    </w:div>
    <w:div w:id="1158960501">
      <w:marLeft w:val="0"/>
      <w:marRight w:val="0"/>
      <w:marTop w:val="0"/>
      <w:marBottom w:val="0"/>
      <w:divBdr>
        <w:top w:val="none" w:sz="0" w:space="0" w:color="auto"/>
        <w:left w:val="none" w:sz="0" w:space="0" w:color="auto"/>
        <w:bottom w:val="none" w:sz="0" w:space="0" w:color="auto"/>
        <w:right w:val="none" w:sz="0" w:space="0" w:color="auto"/>
      </w:divBdr>
    </w:div>
    <w:div w:id="1159073400">
      <w:marLeft w:val="0"/>
      <w:marRight w:val="0"/>
      <w:marTop w:val="0"/>
      <w:marBottom w:val="0"/>
      <w:divBdr>
        <w:top w:val="none" w:sz="0" w:space="0" w:color="auto"/>
        <w:left w:val="none" w:sz="0" w:space="0" w:color="auto"/>
        <w:bottom w:val="none" w:sz="0" w:space="0" w:color="auto"/>
        <w:right w:val="none" w:sz="0" w:space="0" w:color="auto"/>
      </w:divBdr>
      <w:divsChild>
        <w:div w:id="1649432851">
          <w:marLeft w:val="0"/>
          <w:marRight w:val="0"/>
          <w:marTop w:val="0"/>
          <w:marBottom w:val="0"/>
          <w:divBdr>
            <w:top w:val="none" w:sz="0" w:space="0" w:color="auto"/>
            <w:left w:val="none" w:sz="0" w:space="0" w:color="auto"/>
            <w:bottom w:val="none" w:sz="0" w:space="0" w:color="auto"/>
            <w:right w:val="none" w:sz="0" w:space="0" w:color="auto"/>
          </w:divBdr>
        </w:div>
      </w:divsChild>
    </w:div>
    <w:div w:id="1159424680">
      <w:marLeft w:val="0"/>
      <w:marRight w:val="0"/>
      <w:marTop w:val="100"/>
      <w:marBottom w:val="0"/>
      <w:divBdr>
        <w:top w:val="none" w:sz="0" w:space="0" w:color="auto"/>
        <w:left w:val="none" w:sz="0" w:space="0" w:color="auto"/>
        <w:bottom w:val="none" w:sz="0" w:space="0" w:color="auto"/>
        <w:right w:val="none" w:sz="0" w:space="0" w:color="auto"/>
      </w:divBdr>
    </w:div>
    <w:div w:id="1159464110">
      <w:marLeft w:val="0"/>
      <w:marRight w:val="0"/>
      <w:marTop w:val="0"/>
      <w:marBottom w:val="0"/>
      <w:divBdr>
        <w:top w:val="none" w:sz="0" w:space="0" w:color="auto"/>
        <w:left w:val="none" w:sz="0" w:space="0" w:color="auto"/>
        <w:bottom w:val="none" w:sz="0" w:space="0" w:color="auto"/>
        <w:right w:val="none" w:sz="0" w:space="0" w:color="auto"/>
      </w:divBdr>
      <w:divsChild>
        <w:div w:id="1214073286">
          <w:marLeft w:val="0"/>
          <w:marRight w:val="0"/>
          <w:marTop w:val="0"/>
          <w:marBottom w:val="0"/>
          <w:divBdr>
            <w:top w:val="none" w:sz="0" w:space="0" w:color="auto"/>
            <w:left w:val="none" w:sz="0" w:space="0" w:color="auto"/>
            <w:bottom w:val="none" w:sz="0" w:space="0" w:color="auto"/>
            <w:right w:val="none" w:sz="0" w:space="0" w:color="auto"/>
          </w:divBdr>
        </w:div>
      </w:divsChild>
    </w:div>
    <w:div w:id="1163854487">
      <w:marLeft w:val="0"/>
      <w:marRight w:val="0"/>
      <w:marTop w:val="90"/>
      <w:marBottom w:val="90"/>
      <w:divBdr>
        <w:top w:val="none" w:sz="0" w:space="0" w:color="auto"/>
        <w:left w:val="none" w:sz="0" w:space="0" w:color="auto"/>
        <w:bottom w:val="none" w:sz="0" w:space="0" w:color="auto"/>
        <w:right w:val="none" w:sz="0" w:space="0" w:color="auto"/>
      </w:divBdr>
      <w:divsChild>
        <w:div w:id="737676568">
          <w:marLeft w:val="0"/>
          <w:marRight w:val="0"/>
          <w:marTop w:val="0"/>
          <w:marBottom w:val="0"/>
          <w:divBdr>
            <w:top w:val="none" w:sz="0" w:space="0" w:color="auto"/>
            <w:left w:val="none" w:sz="0" w:space="0" w:color="auto"/>
            <w:bottom w:val="none" w:sz="0" w:space="0" w:color="auto"/>
            <w:right w:val="none" w:sz="0" w:space="0" w:color="auto"/>
          </w:divBdr>
        </w:div>
        <w:div w:id="1387411986">
          <w:marLeft w:val="0"/>
          <w:marRight w:val="0"/>
          <w:marTop w:val="0"/>
          <w:marBottom w:val="0"/>
          <w:divBdr>
            <w:top w:val="none" w:sz="0" w:space="0" w:color="auto"/>
            <w:left w:val="none" w:sz="0" w:space="0" w:color="auto"/>
            <w:bottom w:val="none" w:sz="0" w:space="0" w:color="auto"/>
            <w:right w:val="none" w:sz="0" w:space="0" w:color="auto"/>
          </w:divBdr>
        </w:div>
        <w:div w:id="1485275105">
          <w:marLeft w:val="0"/>
          <w:marRight w:val="0"/>
          <w:marTop w:val="0"/>
          <w:marBottom w:val="0"/>
          <w:divBdr>
            <w:top w:val="none" w:sz="0" w:space="0" w:color="auto"/>
            <w:left w:val="none" w:sz="0" w:space="0" w:color="auto"/>
            <w:bottom w:val="none" w:sz="0" w:space="0" w:color="auto"/>
            <w:right w:val="none" w:sz="0" w:space="0" w:color="auto"/>
          </w:divBdr>
        </w:div>
      </w:divsChild>
    </w:div>
    <w:div w:id="1171725044">
      <w:marLeft w:val="0"/>
      <w:marRight w:val="0"/>
      <w:marTop w:val="100"/>
      <w:marBottom w:val="0"/>
      <w:divBdr>
        <w:top w:val="none" w:sz="0" w:space="0" w:color="auto"/>
        <w:left w:val="none" w:sz="0" w:space="0" w:color="auto"/>
        <w:bottom w:val="none" w:sz="0" w:space="0" w:color="auto"/>
        <w:right w:val="none" w:sz="0" w:space="0" w:color="auto"/>
      </w:divBdr>
    </w:div>
    <w:div w:id="1175799732">
      <w:marLeft w:val="0"/>
      <w:marRight w:val="0"/>
      <w:marTop w:val="100"/>
      <w:marBottom w:val="0"/>
      <w:divBdr>
        <w:top w:val="none" w:sz="0" w:space="0" w:color="auto"/>
        <w:left w:val="none" w:sz="0" w:space="0" w:color="auto"/>
        <w:bottom w:val="none" w:sz="0" w:space="0" w:color="auto"/>
        <w:right w:val="none" w:sz="0" w:space="0" w:color="auto"/>
      </w:divBdr>
    </w:div>
    <w:div w:id="1180393123">
      <w:marLeft w:val="0"/>
      <w:marRight w:val="0"/>
      <w:marTop w:val="0"/>
      <w:marBottom w:val="0"/>
      <w:divBdr>
        <w:top w:val="none" w:sz="0" w:space="0" w:color="auto"/>
        <w:left w:val="none" w:sz="0" w:space="0" w:color="auto"/>
        <w:bottom w:val="none" w:sz="0" w:space="0" w:color="auto"/>
        <w:right w:val="none" w:sz="0" w:space="0" w:color="auto"/>
      </w:divBdr>
      <w:divsChild>
        <w:div w:id="1917277509">
          <w:marLeft w:val="0"/>
          <w:marRight w:val="0"/>
          <w:marTop w:val="0"/>
          <w:marBottom w:val="0"/>
          <w:divBdr>
            <w:top w:val="none" w:sz="0" w:space="0" w:color="auto"/>
            <w:left w:val="none" w:sz="0" w:space="0" w:color="auto"/>
            <w:bottom w:val="none" w:sz="0" w:space="0" w:color="auto"/>
            <w:right w:val="none" w:sz="0" w:space="0" w:color="auto"/>
          </w:divBdr>
        </w:div>
      </w:divsChild>
    </w:div>
    <w:div w:id="1180775734">
      <w:marLeft w:val="0"/>
      <w:marRight w:val="0"/>
      <w:marTop w:val="100"/>
      <w:marBottom w:val="0"/>
      <w:divBdr>
        <w:top w:val="none" w:sz="0" w:space="0" w:color="auto"/>
        <w:left w:val="none" w:sz="0" w:space="0" w:color="auto"/>
        <w:bottom w:val="none" w:sz="0" w:space="0" w:color="auto"/>
        <w:right w:val="none" w:sz="0" w:space="0" w:color="auto"/>
      </w:divBdr>
    </w:div>
    <w:div w:id="1182469803">
      <w:marLeft w:val="0"/>
      <w:marRight w:val="0"/>
      <w:marTop w:val="100"/>
      <w:marBottom w:val="0"/>
      <w:divBdr>
        <w:top w:val="none" w:sz="0" w:space="0" w:color="auto"/>
        <w:left w:val="none" w:sz="0" w:space="0" w:color="auto"/>
        <w:bottom w:val="none" w:sz="0" w:space="0" w:color="auto"/>
        <w:right w:val="none" w:sz="0" w:space="0" w:color="auto"/>
      </w:divBdr>
    </w:div>
    <w:div w:id="1184519797">
      <w:marLeft w:val="0"/>
      <w:marRight w:val="0"/>
      <w:marTop w:val="100"/>
      <w:marBottom w:val="0"/>
      <w:divBdr>
        <w:top w:val="none" w:sz="0" w:space="0" w:color="auto"/>
        <w:left w:val="none" w:sz="0" w:space="0" w:color="auto"/>
        <w:bottom w:val="none" w:sz="0" w:space="0" w:color="auto"/>
        <w:right w:val="none" w:sz="0" w:space="0" w:color="auto"/>
      </w:divBdr>
    </w:div>
    <w:div w:id="1190486814">
      <w:marLeft w:val="0"/>
      <w:marRight w:val="0"/>
      <w:marTop w:val="100"/>
      <w:marBottom w:val="0"/>
      <w:divBdr>
        <w:top w:val="none" w:sz="0" w:space="0" w:color="auto"/>
        <w:left w:val="none" w:sz="0" w:space="0" w:color="auto"/>
        <w:bottom w:val="none" w:sz="0" w:space="0" w:color="auto"/>
        <w:right w:val="none" w:sz="0" w:space="0" w:color="auto"/>
      </w:divBdr>
    </w:div>
    <w:div w:id="1190872237">
      <w:marLeft w:val="0"/>
      <w:marRight w:val="0"/>
      <w:marTop w:val="180"/>
      <w:marBottom w:val="0"/>
      <w:divBdr>
        <w:top w:val="none" w:sz="0" w:space="0" w:color="auto"/>
        <w:left w:val="none" w:sz="0" w:space="0" w:color="auto"/>
        <w:bottom w:val="none" w:sz="0" w:space="0" w:color="auto"/>
        <w:right w:val="none" w:sz="0" w:space="0" w:color="auto"/>
      </w:divBdr>
    </w:div>
    <w:div w:id="1191338073">
      <w:marLeft w:val="0"/>
      <w:marRight w:val="0"/>
      <w:marTop w:val="100"/>
      <w:marBottom w:val="0"/>
      <w:divBdr>
        <w:top w:val="none" w:sz="0" w:space="0" w:color="auto"/>
        <w:left w:val="none" w:sz="0" w:space="0" w:color="auto"/>
        <w:bottom w:val="none" w:sz="0" w:space="0" w:color="auto"/>
        <w:right w:val="none" w:sz="0" w:space="0" w:color="auto"/>
      </w:divBdr>
    </w:div>
    <w:div w:id="1191648394">
      <w:marLeft w:val="0"/>
      <w:marRight w:val="0"/>
      <w:marTop w:val="0"/>
      <w:marBottom w:val="0"/>
      <w:divBdr>
        <w:top w:val="none" w:sz="0" w:space="0" w:color="auto"/>
        <w:left w:val="none" w:sz="0" w:space="0" w:color="auto"/>
        <w:bottom w:val="none" w:sz="0" w:space="0" w:color="auto"/>
        <w:right w:val="none" w:sz="0" w:space="0" w:color="auto"/>
      </w:divBdr>
      <w:divsChild>
        <w:div w:id="1458795523">
          <w:marLeft w:val="0"/>
          <w:marRight w:val="0"/>
          <w:marTop w:val="100"/>
          <w:marBottom w:val="0"/>
          <w:divBdr>
            <w:top w:val="none" w:sz="0" w:space="0" w:color="auto"/>
            <w:left w:val="none" w:sz="0" w:space="0" w:color="auto"/>
            <w:bottom w:val="none" w:sz="0" w:space="0" w:color="auto"/>
            <w:right w:val="none" w:sz="0" w:space="0" w:color="auto"/>
          </w:divBdr>
        </w:div>
      </w:divsChild>
    </w:div>
    <w:div w:id="1192375893">
      <w:marLeft w:val="0"/>
      <w:marRight w:val="0"/>
      <w:marTop w:val="100"/>
      <w:marBottom w:val="0"/>
      <w:divBdr>
        <w:top w:val="none" w:sz="0" w:space="0" w:color="auto"/>
        <w:left w:val="none" w:sz="0" w:space="0" w:color="auto"/>
        <w:bottom w:val="none" w:sz="0" w:space="0" w:color="auto"/>
        <w:right w:val="none" w:sz="0" w:space="0" w:color="auto"/>
      </w:divBdr>
    </w:div>
    <w:div w:id="1195002566">
      <w:marLeft w:val="0"/>
      <w:marRight w:val="0"/>
      <w:marTop w:val="100"/>
      <w:marBottom w:val="0"/>
      <w:divBdr>
        <w:top w:val="none" w:sz="0" w:space="0" w:color="auto"/>
        <w:left w:val="none" w:sz="0" w:space="0" w:color="auto"/>
        <w:bottom w:val="none" w:sz="0" w:space="0" w:color="auto"/>
        <w:right w:val="none" w:sz="0" w:space="0" w:color="auto"/>
      </w:divBdr>
    </w:div>
    <w:div w:id="1195146430">
      <w:marLeft w:val="0"/>
      <w:marRight w:val="0"/>
      <w:marTop w:val="100"/>
      <w:marBottom w:val="0"/>
      <w:divBdr>
        <w:top w:val="none" w:sz="0" w:space="0" w:color="auto"/>
        <w:left w:val="none" w:sz="0" w:space="0" w:color="auto"/>
        <w:bottom w:val="none" w:sz="0" w:space="0" w:color="auto"/>
        <w:right w:val="none" w:sz="0" w:space="0" w:color="auto"/>
      </w:divBdr>
    </w:div>
    <w:div w:id="1196308890">
      <w:marLeft w:val="0"/>
      <w:marRight w:val="0"/>
      <w:marTop w:val="100"/>
      <w:marBottom w:val="100"/>
      <w:divBdr>
        <w:top w:val="none" w:sz="0" w:space="0" w:color="auto"/>
        <w:left w:val="none" w:sz="0" w:space="0" w:color="auto"/>
        <w:bottom w:val="none" w:sz="0" w:space="0" w:color="auto"/>
        <w:right w:val="none" w:sz="0" w:space="0" w:color="auto"/>
      </w:divBdr>
    </w:div>
    <w:div w:id="1199120044">
      <w:marLeft w:val="0"/>
      <w:marRight w:val="0"/>
      <w:marTop w:val="0"/>
      <w:marBottom w:val="0"/>
      <w:divBdr>
        <w:top w:val="none" w:sz="0" w:space="0" w:color="auto"/>
        <w:left w:val="none" w:sz="0" w:space="0" w:color="auto"/>
        <w:bottom w:val="none" w:sz="0" w:space="0" w:color="auto"/>
        <w:right w:val="none" w:sz="0" w:space="0" w:color="auto"/>
      </w:divBdr>
    </w:div>
    <w:div w:id="1202548174">
      <w:marLeft w:val="0"/>
      <w:marRight w:val="0"/>
      <w:marTop w:val="0"/>
      <w:marBottom w:val="0"/>
      <w:divBdr>
        <w:top w:val="none" w:sz="0" w:space="0" w:color="auto"/>
        <w:left w:val="none" w:sz="0" w:space="0" w:color="auto"/>
        <w:bottom w:val="none" w:sz="0" w:space="0" w:color="auto"/>
        <w:right w:val="none" w:sz="0" w:space="0" w:color="auto"/>
      </w:divBdr>
      <w:divsChild>
        <w:div w:id="695811752">
          <w:marLeft w:val="0"/>
          <w:marRight w:val="0"/>
          <w:marTop w:val="0"/>
          <w:marBottom w:val="0"/>
          <w:divBdr>
            <w:top w:val="none" w:sz="0" w:space="0" w:color="auto"/>
            <w:left w:val="none" w:sz="0" w:space="0" w:color="auto"/>
            <w:bottom w:val="none" w:sz="0" w:space="0" w:color="auto"/>
            <w:right w:val="none" w:sz="0" w:space="0" w:color="auto"/>
          </w:divBdr>
        </w:div>
      </w:divsChild>
    </w:div>
    <w:div w:id="1203514356">
      <w:marLeft w:val="0"/>
      <w:marRight w:val="0"/>
      <w:marTop w:val="100"/>
      <w:marBottom w:val="0"/>
      <w:divBdr>
        <w:top w:val="none" w:sz="0" w:space="0" w:color="auto"/>
        <w:left w:val="none" w:sz="0" w:space="0" w:color="auto"/>
        <w:bottom w:val="none" w:sz="0" w:space="0" w:color="auto"/>
        <w:right w:val="none" w:sz="0" w:space="0" w:color="auto"/>
      </w:divBdr>
    </w:div>
    <w:div w:id="1205024492">
      <w:marLeft w:val="0"/>
      <w:marRight w:val="0"/>
      <w:marTop w:val="0"/>
      <w:marBottom w:val="0"/>
      <w:divBdr>
        <w:top w:val="none" w:sz="0" w:space="0" w:color="auto"/>
        <w:left w:val="none" w:sz="0" w:space="0" w:color="auto"/>
        <w:bottom w:val="none" w:sz="0" w:space="0" w:color="auto"/>
        <w:right w:val="none" w:sz="0" w:space="0" w:color="auto"/>
      </w:divBdr>
      <w:divsChild>
        <w:div w:id="1108430732">
          <w:marLeft w:val="0"/>
          <w:marRight w:val="0"/>
          <w:marTop w:val="100"/>
          <w:marBottom w:val="0"/>
          <w:divBdr>
            <w:top w:val="none" w:sz="0" w:space="0" w:color="auto"/>
            <w:left w:val="none" w:sz="0" w:space="0" w:color="auto"/>
            <w:bottom w:val="none" w:sz="0" w:space="0" w:color="auto"/>
            <w:right w:val="none" w:sz="0" w:space="0" w:color="auto"/>
          </w:divBdr>
        </w:div>
      </w:divsChild>
    </w:div>
    <w:div w:id="1210067488">
      <w:marLeft w:val="0"/>
      <w:marRight w:val="0"/>
      <w:marTop w:val="0"/>
      <w:marBottom w:val="0"/>
      <w:divBdr>
        <w:top w:val="none" w:sz="0" w:space="0" w:color="auto"/>
        <w:left w:val="none" w:sz="0" w:space="0" w:color="auto"/>
        <w:bottom w:val="none" w:sz="0" w:space="0" w:color="auto"/>
        <w:right w:val="none" w:sz="0" w:space="0" w:color="auto"/>
      </w:divBdr>
    </w:div>
    <w:div w:id="1211192920">
      <w:marLeft w:val="0"/>
      <w:marRight w:val="0"/>
      <w:marTop w:val="160"/>
      <w:marBottom w:val="0"/>
      <w:divBdr>
        <w:top w:val="none" w:sz="0" w:space="0" w:color="auto"/>
        <w:left w:val="none" w:sz="0" w:space="0" w:color="auto"/>
        <w:bottom w:val="none" w:sz="0" w:space="0" w:color="auto"/>
        <w:right w:val="none" w:sz="0" w:space="0" w:color="auto"/>
      </w:divBdr>
    </w:div>
    <w:div w:id="1213230584">
      <w:marLeft w:val="0"/>
      <w:marRight w:val="0"/>
      <w:marTop w:val="0"/>
      <w:marBottom w:val="0"/>
      <w:divBdr>
        <w:top w:val="none" w:sz="0" w:space="0" w:color="auto"/>
        <w:left w:val="none" w:sz="0" w:space="0" w:color="auto"/>
        <w:bottom w:val="none" w:sz="0" w:space="0" w:color="auto"/>
        <w:right w:val="none" w:sz="0" w:space="0" w:color="auto"/>
      </w:divBdr>
      <w:divsChild>
        <w:div w:id="448207892">
          <w:marLeft w:val="0"/>
          <w:marRight w:val="0"/>
          <w:marTop w:val="100"/>
          <w:marBottom w:val="0"/>
          <w:divBdr>
            <w:top w:val="none" w:sz="0" w:space="0" w:color="auto"/>
            <w:left w:val="none" w:sz="0" w:space="0" w:color="auto"/>
            <w:bottom w:val="none" w:sz="0" w:space="0" w:color="auto"/>
            <w:right w:val="none" w:sz="0" w:space="0" w:color="auto"/>
          </w:divBdr>
        </w:div>
      </w:divsChild>
    </w:div>
    <w:div w:id="1215116140">
      <w:marLeft w:val="0"/>
      <w:marRight w:val="0"/>
      <w:marTop w:val="0"/>
      <w:marBottom w:val="0"/>
      <w:divBdr>
        <w:top w:val="none" w:sz="0" w:space="0" w:color="auto"/>
        <w:left w:val="none" w:sz="0" w:space="0" w:color="auto"/>
        <w:bottom w:val="none" w:sz="0" w:space="0" w:color="auto"/>
        <w:right w:val="none" w:sz="0" w:space="0" w:color="auto"/>
      </w:divBdr>
    </w:div>
    <w:div w:id="1221140022">
      <w:marLeft w:val="0"/>
      <w:marRight w:val="0"/>
      <w:marTop w:val="180"/>
      <w:marBottom w:val="0"/>
      <w:divBdr>
        <w:top w:val="none" w:sz="0" w:space="0" w:color="auto"/>
        <w:left w:val="none" w:sz="0" w:space="0" w:color="auto"/>
        <w:bottom w:val="none" w:sz="0" w:space="0" w:color="auto"/>
        <w:right w:val="none" w:sz="0" w:space="0" w:color="auto"/>
      </w:divBdr>
    </w:div>
    <w:div w:id="1225218751">
      <w:marLeft w:val="0"/>
      <w:marRight w:val="0"/>
      <w:marTop w:val="0"/>
      <w:marBottom w:val="100"/>
      <w:divBdr>
        <w:top w:val="none" w:sz="0" w:space="0" w:color="auto"/>
        <w:left w:val="none" w:sz="0" w:space="0" w:color="auto"/>
        <w:bottom w:val="none" w:sz="0" w:space="0" w:color="auto"/>
        <w:right w:val="none" w:sz="0" w:space="0" w:color="auto"/>
      </w:divBdr>
    </w:div>
    <w:div w:id="1231117790">
      <w:marLeft w:val="0"/>
      <w:marRight w:val="0"/>
      <w:marTop w:val="100"/>
      <w:marBottom w:val="0"/>
      <w:divBdr>
        <w:top w:val="none" w:sz="0" w:space="0" w:color="auto"/>
        <w:left w:val="none" w:sz="0" w:space="0" w:color="auto"/>
        <w:bottom w:val="none" w:sz="0" w:space="0" w:color="auto"/>
        <w:right w:val="none" w:sz="0" w:space="0" w:color="auto"/>
      </w:divBdr>
    </w:div>
    <w:div w:id="1240943269">
      <w:marLeft w:val="0"/>
      <w:marRight w:val="0"/>
      <w:marTop w:val="0"/>
      <w:marBottom w:val="0"/>
      <w:divBdr>
        <w:top w:val="none" w:sz="0" w:space="0" w:color="auto"/>
        <w:left w:val="none" w:sz="0" w:space="0" w:color="auto"/>
        <w:bottom w:val="none" w:sz="0" w:space="0" w:color="auto"/>
        <w:right w:val="none" w:sz="0" w:space="0" w:color="auto"/>
      </w:divBdr>
      <w:divsChild>
        <w:div w:id="722487319">
          <w:marLeft w:val="0"/>
          <w:marRight w:val="0"/>
          <w:marTop w:val="0"/>
          <w:marBottom w:val="0"/>
          <w:divBdr>
            <w:top w:val="none" w:sz="0" w:space="0" w:color="auto"/>
            <w:left w:val="none" w:sz="0" w:space="0" w:color="auto"/>
            <w:bottom w:val="none" w:sz="0" w:space="0" w:color="auto"/>
            <w:right w:val="none" w:sz="0" w:space="0" w:color="auto"/>
          </w:divBdr>
        </w:div>
      </w:divsChild>
    </w:div>
    <w:div w:id="1244024433">
      <w:marLeft w:val="0"/>
      <w:marRight w:val="0"/>
      <w:marTop w:val="100"/>
      <w:marBottom w:val="0"/>
      <w:divBdr>
        <w:top w:val="none" w:sz="0" w:space="0" w:color="auto"/>
        <w:left w:val="none" w:sz="0" w:space="0" w:color="auto"/>
        <w:bottom w:val="none" w:sz="0" w:space="0" w:color="auto"/>
        <w:right w:val="none" w:sz="0" w:space="0" w:color="auto"/>
      </w:divBdr>
    </w:div>
    <w:div w:id="1246258038">
      <w:marLeft w:val="0"/>
      <w:marRight w:val="0"/>
      <w:marTop w:val="100"/>
      <w:marBottom w:val="0"/>
      <w:divBdr>
        <w:top w:val="none" w:sz="0" w:space="0" w:color="auto"/>
        <w:left w:val="none" w:sz="0" w:space="0" w:color="auto"/>
        <w:bottom w:val="none" w:sz="0" w:space="0" w:color="auto"/>
        <w:right w:val="none" w:sz="0" w:space="0" w:color="auto"/>
      </w:divBdr>
    </w:div>
    <w:div w:id="1248421947">
      <w:marLeft w:val="0"/>
      <w:marRight w:val="0"/>
      <w:marTop w:val="160"/>
      <w:marBottom w:val="0"/>
      <w:divBdr>
        <w:top w:val="none" w:sz="0" w:space="0" w:color="auto"/>
        <w:left w:val="none" w:sz="0" w:space="0" w:color="auto"/>
        <w:bottom w:val="none" w:sz="0" w:space="0" w:color="auto"/>
        <w:right w:val="none" w:sz="0" w:space="0" w:color="auto"/>
      </w:divBdr>
    </w:div>
    <w:div w:id="1248424840">
      <w:marLeft w:val="0"/>
      <w:marRight w:val="0"/>
      <w:marTop w:val="100"/>
      <w:marBottom w:val="0"/>
      <w:divBdr>
        <w:top w:val="none" w:sz="0" w:space="0" w:color="auto"/>
        <w:left w:val="none" w:sz="0" w:space="0" w:color="auto"/>
        <w:bottom w:val="none" w:sz="0" w:space="0" w:color="auto"/>
        <w:right w:val="none" w:sz="0" w:space="0" w:color="auto"/>
      </w:divBdr>
    </w:div>
    <w:div w:id="1249578159">
      <w:marLeft w:val="0"/>
      <w:marRight w:val="0"/>
      <w:marTop w:val="100"/>
      <w:marBottom w:val="0"/>
      <w:divBdr>
        <w:top w:val="none" w:sz="0" w:space="0" w:color="auto"/>
        <w:left w:val="none" w:sz="0" w:space="0" w:color="auto"/>
        <w:bottom w:val="none" w:sz="0" w:space="0" w:color="auto"/>
        <w:right w:val="none" w:sz="0" w:space="0" w:color="auto"/>
      </w:divBdr>
    </w:div>
    <w:div w:id="1249773461">
      <w:marLeft w:val="0"/>
      <w:marRight w:val="0"/>
      <w:marTop w:val="100"/>
      <w:marBottom w:val="0"/>
      <w:divBdr>
        <w:top w:val="none" w:sz="0" w:space="0" w:color="auto"/>
        <w:left w:val="none" w:sz="0" w:space="0" w:color="auto"/>
        <w:bottom w:val="none" w:sz="0" w:space="0" w:color="auto"/>
        <w:right w:val="none" w:sz="0" w:space="0" w:color="auto"/>
      </w:divBdr>
    </w:div>
    <w:div w:id="1257788405">
      <w:marLeft w:val="0"/>
      <w:marRight w:val="0"/>
      <w:marTop w:val="0"/>
      <w:marBottom w:val="0"/>
      <w:divBdr>
        <w:top w:val="none" w:sz="0" w:space="0" w:color="auto"/>
        <w:left w:val="none" w:sz="0" w:space="0" w:color="auto"/>
        <w:bottom w:val="none" w:sz="0" w:space="0" w:color="auto"/>
        <w:right w:val="none" w:sz="0" w:space="0" w:color="auto"/>
      </w:divBdr>
      <w:divsChild>
        <w:div w:id="1722753976">
          <w:marLeft w:val="0"/>
          <w:marRight w:val="0"/>
          <w:marTop w:val="0"/>
          <w:marBottom w:val="0"/>
          <w:divBdr>
            <w:top w:val="none" w:sz="0" w:space="0" w:color="auto"/>
            <w:left w:val="none" w:sz="0" w:space="0" w:color="auto"/>
            <w:bottom w:val="none" w:sz="0" w:space="0" w:color="auto"/>
            <w:right w:val="none" w:sz="0" w:space="0" w:color="auto"/>
          </w:divBdr>
        </w:div>
      </w:divsChild>
    </w:div>
    <w:div w:id="1258557925">
      <w:marLeft w:val="0"/>
      <w:marRight w:val="0"/>
      <w:marTop w:val="100"/>
      <w:marBottom w:val="0"/>
      <w:divBdr>
        <w:top w:val="none" w:sz="0" w:space="0" w:color="auto"/>
        <w:left w:val="none" w:sz="0" w:space="0" w:color="auto"/>
        <w:bottom w:val="none" w:sz="0" w:space="0" w:color="auto"/>
        <w:right w:val="none" w:sz="0" w:space="0" w:color="auto"/>
      </w:divBdr>
    </w:div>
    <w:div w:id="1265462071">
      <w:marLeft w:val="0"/>
      <w:marRight w:val="0"/>
      <w:marTop w:val="0"/>
      <w:marBottom w:val="0"/>
      <w:divBdr>
        <w:top w:val="none" w:sz="0" w:space="0" w:color="auto"/>
        <w:left w:val="none" w:sz="0" w:space="0" w:color="auto"/>
        <w:bottom w:val="none" w:sz="0" w:space="0" w:color="auto"/>
        <w:right w:val="none" w:sz="0" w:space="0" w:color="auto"/>
      </w:divBdr>
      <w:divsChild>
        <w:div w:id="247616340">
          <w:marLeft w:val="0"/>
          <w:marRight w:val="0"/>
          <w:marTop w:val="0"/>
          <w:marBottom w:val="0"/>
          <w:divBdr>
            <w:top w:val="none" w:sz="0" w:space="0" w:color="auto"/>
            <w:left w:val="none" w:sz="0" w:space="0" w:color="auto"/>
            <w:bottom w:val="none" w:sz="0" w:space="0" w:color="auto"/>
            <w:right w:val="none" w:sz="0" w:space="0" w:color="auto"/>
          </w:divBdr>
        </w:div>
      </w:divsChild>
    </w:div>
    <w:div w:id="1266577110">
      <w:marLeft w:val="0"/>
      <w:marRight w:val="0"/>
      <w:marTop w:val="180"/>
      <w:marBottom w:val="0"/>
      <w:divBdr>
        <w:top w:val="none" w:sz="0" w:space="0" w:color="auto"/>
        <w:left w:val="none" w:sz="0" w:space="0" w:color="auto"/>
        <w:bottom w:val="none" w:sz="0" w:space="0" w:color="auto"/>
        <w:right w:val="none" w:sz="0" w:space="0" w:color="auto"/>
      </w:divBdr>
    </w:div>
    <w:div w:id="1267034801">
      <w:marLeft w:val="0"/>
      <w:marRight w:val="0"/>
      <w:marTop w:val="100"/>
      <w:marBottom w:val="0"/>
      <w:divBdr>
        <w:top w:val="none" w:sz="0" w:space="0" w:color="auto"/>
        <w:left w:val="none" w:sz="0" w:space="0" w:color="auto"/>
        <w:bottom w:val="none" w:sz="0" w:space="0" w:color="auto"/>
        <w:right w:val="none" w:sz="0" w:space="0" w:color="auto"/>
      </w:divBdr>
    </w:div>
    <w:div w:id="1267468900">
      <w:marLeft w:val="0"/>
      <w:marRight w:val="0"/>
      <w:marTop w:val="0"/>
      <w:marBottom w:val="0"/>
      <w:divBdr>
        <w:top w:val="none" w:sz="0" w:space="0" w:color="auto"/>
        <w:left w:val="none" w:sz="0" w:space="0" w:color="auto"/>
        <w:bottom w:val="none" w:sz="0" w:space="0" w:color="auto"/>
        <w:right w:val="none" w:sz="0" w:space="0" w:color="auto"/>
      </w:divBdr>
    </w:div>
    <w:div w:id="1267733050">
      <w:marLeft w:val="0"/>
      <w:marRight w:val="0"/>
      <w:marTop w:val="100"/>
      <w:marBottom w:val="100"/>
      <w:divBdr>
        <w:top w:val="none" w:sz="0" w:space="0" w:color="auto"/>
        <w:left w:val="none" w:sz="0" w:space="0" w:color="auto"/>
        <w:bottom w:val="none" w:sz="0" w:space="0" w:color="auto"/>
        <w:right w:val="none" w:sz="0" w:space="0" w:color="auto"/>
      </w:divBdr>
      <w:divsChild>
        <w:div w:id="1687899369">
          <w:marLeft w:val="0"/>
          <w:marRight w:val="0"/>
          <w:marTop w:val="0"/>
          <w:marBottom w:val="0"/>
          <w:divBdr>
            <w:top w:val="none" w:sz="0" w:space="0" w:color="auto"/>
            <w:left w:val="none" w:sz="0" w:space="0" w:color="auto"/>
            <w:bottom w:val="none" w:sz="0" w:space="0" w:color="auto"/>
            <w:right w:val="none" w:sz="0" w:space="0" w:color="auto"/>
          </w:divBdr>
        </w:div>
        <w:div w:id="662470479">
          <w:marLeft w:val="0"/>
          <w:marRight w:val="0"/>
          <w:marTop w:val="0"/>
          <w:marBottom w:val="0"/>
          <w:divBdr>
            <w:top w:val="none" w:sz="0" w:space="0" w:color="auto"/>
            <w:left w:val="none" w:sz="0" w:space="0" w:color="auto"/>
            <w:bottom w:val="none" w:sz="0" w:space="0" w:color="auto"/>
            <w:right w:val="none" w:sz="0" w:space="0" w:color="auto"/>
          </w:divBdr>
        </w:div>
        <w:div w:id="385842224">
          <w:marLeft w:val="0"/>
          <w:marRight w:val="0"/>
          <w:marTop w:val="0"/>
          <w:marBottom w:val="0"/>
          <w:divBdr>
            <w:top w:val="none" w:sz="0" w:space="0" w:color="auto"/>
            <w:left w:val="none" w:sz="0" w:space="0" w:color="auto"/>
            <w:bottom w:val="none" w:sz="0" w:space="0" w:color="auto"/>
            <w:right w:val="none" w:sz="0" w:space="0" w:color="auto"/>
          </w:divBdr>
        </w:div>
        <w:div w:id="2072538749">
          <w:marLeft w:val="0"/>
          <w:marRight w:val="0"/>
          <w:marTop w:val="0"/>
          <w:marBottom w:val="0"/>
          <w:divBdr>
            <w:top w:val="none" w:sz="0" w:space="0" w:color="auto"/>
            <w:left w:val="none" w:sz="0" w:space="0" w:color="auto"/>
            <w:bottom w:val="none" w:sz="0" w:space="0" w:color="auto"/>
            <w:right w:val="none" w:sz="0" w:space="0" w:color="auto"/>
          </w:divBdr>
        </w:div>
        <w:div w:id="1648320901">
          <w:marLeft w:val="0"/>
          <w:marRight w:val="0"/>
          <w:marTop w:val="0"/>
          <w:marBottom w:val="0"/>
          <w:divBdr>
            <w:top w:val="none" w:sz="0" w:space="0" w:color="auto"/>
            <w:left w:val="none" w:sz="0" w:space="0" w:color="auto"/>
            <w:bottom w:val="none" w:sz="0" w:space="0" w:color="auto"/>
            <w:right w:val="none" w:sz="0" w:space="0" w:color="auto"/>
          </w:divBdr>
        </w:div>
      </w:divsChild>
    </w:div>
    <w:div w:id="1274051469">
      <w:marLeft w:val="0"/>
      <w:marRight w:val="0"/>
      <w:marTop w:val="0"/>
      <w:marBottom w:val="0"/>
      <w:divBdr>
        <w:top w:val="none" w:sz="0" w:space="0" w:color="auto"/>
        <w:left w:val="none" w:sz="0" w:space="0" w:color="auto"/>
        <w:bottom w:val="none" w:sz="0" w:space="0" w:color="auto"/>
        <w:right w:val="none" w:sz="0" w:space="0" w:color="auto"/>
      </w:divBdr>
      <w:divsChild>
        <w:div w:id="1038042609">
          <w:marLeft w:val="0"/>
          <w:marRight w:val="0"/>
          <w:marTop w:val="100"/>
          <w:marBottom w:val="0"/>
          <w:divBdr>
            <w:top w:val="none" w:sz="0" w:space="0" w:color="auto"/>
            <w:left w:val="none" w:sz="0" w:space="0" w:color="auto"/>
            <w:bottom w:val="none" w:sz="0" w:space="0" w:color="auto"/>
            <w:right w:val="none" w:sz="0" w:space="0" w:color="auto"/>
          </w:divBdr>
        </w:div>
      </w:divsChild>
    </w:div>
    <w:div w:id="1274901669">
      <w:marLeft w:val="0"/>
      <w:marRight w:val="0"/>
      <w:marTop w:val="100"/>
      <w:marBottom w:val="0"/>
      <w:divBdr>
        <w:top w:val="none" w:sz="0" w:space="0" w:color="auto"/>
        <w:left w:val="none" w:sz="0" w:space="0" w:color="auto"/>
        <w:bottom w:val="none" w:sz="0" w:space="0" w:color="auto"/>
        <w:right w:val="none" w:sz="0" w:space="0" w:color="auto"/>
      </w:divBdr>
    </w:div>
    <w:div w:id="1277174149">
      <w:marLeft w:val="0"/>
      <w:marRight w:val="0"/>
      <w:marTop w:val="100"/>
      <w:marBottom w:val="0"/>
      <w:divBdr>
        <w:top w:val="none" w:sz="0" w:space="0" w:color="auto"/>
        <w:left w:val="none" w:sz="0" w:space="0" w:color="auto"/>
        <w:bottom w:val="none" w:sz="0" w:space="0" w:color="auto"/>
        <w:right w:val="none" w:sz="0" w:space="0" w:color="auto"/>
      </w:divBdr>
    </w:div>
    <w:div w:id="1281111991">
      <w:marLeft w:val="0"/>
      <w:marRight w:val="0"/>
      <w:marTop w:val="100"/>
      <w:marBottom w:val="0"/>
      <w:divBdr>
        <w:top w:val="none" w:sz="0" w:space="0" w:color="auto"/>
        <w:left w:val="none" w:sz="0" w:space="0" w:color="auto"/>
        <w:bottom w:val="none" w:sz="0" w:space="0" w:color="auto"/>
        <w:right w:val="none" w:sz="0" w:space="0" w:color="auto"/>
      </w:divBdr>
    </w:div>
    <w:div w:id="1283345564">
      <w:marLeft w:val="0"/>
      <w:marRight w:val="0"/>
      <w:marTop w:val="100"/>
      <w:marBottom w:val="0"/>
      <w:divBdr>
        <w:top w:val="none" w:sz="0" w:space="0" w:color="auto"/>
        <w:left w:val="none" w:sz="0" w:space="0" w:color="auto"/>
        <w:bottom w:val="none" w:sz="0" w:space="0" w:color="auto"/>
        <w:right w:val="none" w:sz="0" w:space="0" w:color="auto"/>
      </w:divBdr>
    </w:div>
    <w:div w:id="1283879764">
      <w:marLeft w:val="0"/>
      <w:marRight w:val="0"/>
      <w:marTop w:val="100"/>
      <w:marBottom w:val="0"/>
      <w:divBdr>
        <w:top w:val="none" w:sz="0" w:space="0" w:color="auto"/>
        <w:left w:val="none" w:sz="0" w:space="0" w:color="auto"/>
        <w:bottom w:val="none" w:sz="0" w:space="0" w:color="auto"/>
        <w:right w:val="none" w:sz="0" w:space="0" w:color="auto"/>
      </w:divBdr>
    </w:div>
    <w:div w:id="1287853671">
      <w:marLeft w:val="0"/>
      <w:marRight w:val="0"/>
      <w:marTop w:val="0"/>
      <w:marBottom w:val="0"/>
      <w:divBdr>
        <w:top w:val="none" w:sz="0" w:space="0" w:color="auto"/>
        <w:left w:val="none" w:sz="0" w:space="0" w:color="auto"/>
        <w:bottom w:val="none" w:sz="0" w:space="0" w:color="auto"/>
        <w:right w:val="none" w:sz="0" w:space="0" w:color="auto"/>
      </w:divBdr>
      <w:divsChild>
        <w:div w:id="1409035429">
          <w:marLeft w:val="0"/>
          <w:marRight w:val="0"/>
          <w:marTop w:val="0"/>
          <w:marBottom w:val="0"/>
          <w:divBdr>
            <w:top w:val="none" w:sz="0" w:space="0" w:color="auto"/>
            <w:left w:val="none" w:sz="0" w:space="0" w:color="auto"/>
            <w:bottom w:val="none" w:sz="0" w:space="0" w:color="auto"/>
            <w:right w:val="none" w:sz="0" w:space="0" w:color="auto"/>
          </w:divBdr>
        </w:div>
      </w:divsChild>
    </w:div>
    <w:div w:id="1288195450">
      <w:marLeft w:val="0"/>
      <w:marRight w:val="0"/>
      <w:marTop w:val="160"/>
      <w:marBottom w:val="0"/>
      <w:divBdr>
        <w:top w:val="none" w:sz="0" w:space="0" w:color="auto"/>
        <w:left w:val="none" w:sz="0" w:space="0" w:color="auto"/>
        <w:bottom w:val="none" w:sz="0" w:space="0" w:color="auto"/>
        <w:right w:val="none" w:sz="0" w:space="0" w:color="auto"/>
      </w:divBdr>
    </w:div>
    <w:div w:id="1289968684">
      <w:marLeft w:val="0"/>
      <w:marRight w:val="0"/>
      <w:marTop w:val="100"/>
      <w:marBottom w:val="0"/>
      <w:divBdr>
        <w:top w:val="none" w:sz="0" w:space="0" w:color="auto"/>
        <w:left w:val="none" w:sz="0" w:space="0" w:color="auto"/>
        <w:bottom w:val="none" w:sz="0" w:space="0" w:color="auto"/>
        <w:right w:val="none" w:sz="0" w:space="0" w:color="auto"/>
      </w:divBdr>
    </w:div>
    <w:div w:id="1292785010">
      <w:marLeft w:val="0"/>
      <w:marRight w:val="0"/>
      <w:marTop w:val="100"/>
      <w:marBottom w:val="0"/>
      <w:divBdr>
        <w:top w:val="none" w:sz="0" w:space="0" w:color="auto"/>
        <w:left w:val="none" w:sz="0" w:space="0" w:color="auto"/>
        <w:bottom w:val="none" w:sz="0" w:space="0" w:color="auto"/>
        <w:right w:val="none" w:sz="0" w:space="0" w:color="auto"/>
      </w:divBdr>
    </w:div>
    <w:div w:id="1293485892">
      <w:marLeft w:val="0"/>
      <w:marRight w:val="0"/>
      <w:marTop w:val="100"/>
      <w:marBottom w:val="0"/>
      <w:divBdr>
        <w:top w:val="none" w:sz="0" w:space="0" w:color="auto"/>
        <w:left w:val="none" w:sz="0" w:space="0" w:color="auto"/>
        <w:bottom w:val="none" w:sz="0" w:space="0" w:color="auto"/>
        <w:right w:val="none" w:sz="0" w:space="0" w:color="auto"/>
      </w:divBdr>
    </w:div>
    <w:div w:id="1293560845">
      <w:marLeft w:val="0"/>
      <w:marRight w:val="0"/>
      <w:marTop w:val="0"/>
      <w:marBottom w:val="0"/>
      <w:divBdr>
        <w:top w:val="none" w:sz="0" w:space="0" w:color="auto"/>
        <w:left w:val="none" w:sz="0" w:space="0" w:color="auto"/>
        <w:bottom w:val="none" w:sz="0" w:space="0" w:color="auto"/>
        <w:right w:val="none" w:sz="0" w:space="0" w:color="auto"/>
      </w:divBdr>
      <w:divsChild>
        <w:div w:id="36664480">
          <w:marLeft w:val="0"/>
          <w:marRight w:val="0"/>
          <w:marTop w:val="100"/>
          <w:marBottom w:val="0"/>
          <w:divBdr>
            <w:top w:val="none" w:sz="0" w:space="0" w:color="auto"/>
            <w:left w:val="none" w:sz="0" w:space="0" w:color="auto"/>
            <w:bottom w:val="none" w:sz="0" w:space="0" w:color="auto"/>
            <w:right w:val="none" w:sz="0" w:space="0" w:color="auto"/>
          </w:divBdr>
        </w:div>
      </w:divsChild>
    </w:div>
    <w:div w:id="1296132415">
      <w:marLeft w:val="0"/>
      <w:marRight w:val="0"/>
      <w:marTop w:val="190"/>
      <w:marBottom w:val="190"/>
      <w:divBdr>
        <w:top w:val="none" w:sz="0" w:space="0" w:color="auto"/>
        <w:left w:val="none" w:sz="0" w:space="0" w:color="auto"/>
        <w:bottom w:val="none" w:sz="0" w:space="0" w:color="auto"/>
        <w:right w:val="none" w:sz="0" w:space="0" w:color="auto"/>
      </w:divBdr>
      <w:divsChild>
        <w:div w:id="643315233">
          <w:marLeft w:val="0"/>
          <w:marRight w:val="0"/>
          <w:marTop w:val="0"/>
          <w:marBottom w:val="0"/>
          <w:divBdr>
            <w:top w:val="none" w:sz="0" w:space="0" w:color="auto"/>
            <w:left w:val="none" w:sz="0" w:space="0" w:color="auto"/>
            <w:bottom w:val="none" w:sz="0" w:space="0" w:color="auto"/>
            <w:right w:val="none" w:sz="0" w:space="0" w:color="auto"/>
          </w:divBdr>
        </w:div>
      </w:divsChild>
    </w:div>
    <w:div w:id="1305351981">
      <w:marLeft w:val="0"/>
      <w:marRight w:val="0"/>
      <w:marTop w:val="0"/>
      <w:marBottom w:val="0"/>
      <w:divBdr>
        <w:top w:val="none" w:sz="0" w:space="0" w:color="auto"/>
        <w:left w:val="none" w:sz="0" w:space="0" w:color="auto"/>
        <w:bottom w:val="none" w:sz="0" w:space="0" w:color="auto"/>
        <w:right w:val="none" w:sz="0" w:space="0" w:color="auto"/>
      </w:divBdr>
    </w:div>
    <w:div w:id="1309361974">
      <w:marLeft w:val="0"/>
      <w:marRight w:val="0"/>
      <w:marTop w:val="100"/>
      <w:marBottom w:val="0"/>
      <w:divBdr>
        <w:top w:val="none" w:sz="0" w:space="0" w:color="auto"/>
        <w:left w:val="none" w:sz="0" w:space="0" w:color="auto"/>
        <w:bottom w:val="none" w:sz="0" w:space="0" w:color="auto"/>
        <w:right w:val="none" w:sz="0" w:space="0" w:color="auto"/>
      </w:divBdr>
    </w:div>
    <w:div w:id="1312295418">
      <w:marLeft w:val="0"/>
      <w:marRight w:val="0"/>
      <w:marTop w:val="100"/>
      <w:marBottom w:val="0"/>
      <w:divBdr>
        <w:top w:val="none" w:sz="0" w:space="0" w:color="auto"/>
        <w:left w:val="none" w:sz="0" w:space="0" w:color="auto"/>
        <w:bottom w:val="none" w:sz="0" w:space="0" w:color="auto"/>
        <w:right w:val="none" w:sz="0" w:space="0" w:color="auto"/>
      </w:divBdr>
    </w:div>
    <w:div w:id="1313290559">
      <w:marLeft w:val="0"/>
      <w:marRight w:val="0"/>
      <w:marTop w:val="100"/>
      <w:marBottom w:val="0"/>
      <w:divBdr>
        <w:top w:val="none" w:sz="0" w:space="0" w:color="auto"/>
        <w:left w:val="none" w:sz="0" w:space="0" w:color="auto"/>
        <w:bottom w:val="none" w:sz="0" w:space="0" w:color="auto"/>
        <w:right w:val="none" w:sz="0" w:space="0" w:color="auto"/>
      </w:divBdr>
    </w:div>
    <w:div w:id="1315792281">
      <w:marLeft w:val="0"/>
      <w:marRight w:val="0"/>
      <w:marTop w:val="160"/>
      <w:marBottom w:val="0"/>
      <w:divBdr>
        <w:top w:val="none" w:sz="0" w:space="0" w:color="auto"/>
        <w:left w:val="none" w:sz="0" w:space="0" w:color="auto"/>
        <w:bottom w:val="none" w:sz="0" w:space="0" w:color="auto"/>
        <w:right w:val="none" w:sz="0" w:space="0" w:color="auto"/>
      </w:divBdr>
    </w:div>
    <w:div w:id="1317759462">
      <w:marLeft w:val="0"/>
      <w:marRight w:val="0"/>
      <w:marTop w:val="0"/>
      <w:marBottom w:val="0"/>
      <w:divBdr>
        <w:top w:val="none" w:sz="0" w:space="0" w:color="auto"/>
        <w:left w:val="none" w:sz="0" w:space="0" w:color="auto"/>
        <w:bottom w:val="none" w:sz="0" w:space="0" w:color="auto"/>
        <w:right w:val="none" w:sz="0" w:space="0" w:color="auto"/>
      </w:divBdr>
    </w:div>
    <w:div w:id="1318416653">
      <w:marLeft w:val="0"/>
      <w:marRight w:val="0"/>
      <w:marTop w:val="100"/>
      <w:marBottom w:val="0"/>
      <w:divBdr>
        <w:top w:val="none" w:sz="0" w:space="0" w:color="auto"/>
        <w:left w:val="none" w:sz="0" w:space="0" w:color="auto"/>
        <w:bottom w:val="none" w:sz="0" w:space="0" w:color="auto"/>
        <w:right w:val="none" w:sz="0" w:space="0" w:color="auto"/>
      </w:divBdr>
    </w:div>
    <w:div w:id="1325663251">
      <w:marLeft w:val="0"/>
      <w:marRight w:val="0"/>
      <w:marTop w:val="0"/>
      <w:marBottom w:val="0"/>
      <w:divBdr>
        <w:top w:val="none" w:sz="0" w:space="0" w:color="auto"/>
        <w:left w:val="none" w:sz="0" w:space="0" w:color="auto"/>
        <w:bottom w:val="none" w:sz="0" w:space="0" w:color="auto"/>
        <w:right w:val="none" w:sz="0" w:space="0" w:color="auto"/>
      </w:divBdr>
      <w:divsChild>
        <w:div w:id="126553578">
          <w:marLeft w:val="0"/>
          <w:marRight w:val="0"/>
          <w:marTop w:val="100"/>
          <w:marBottom w:val="0"/>
          <w:divBdr>
            <w:top w:val="none" w:sz="0" w:space="0" w:color="auto"/>
            <w:left w:val="none" w:sz="0" w:space="0" w:color="auto"/>
            <w:bottom w:val="none" w:sz="0" w:space="0" w:color="auto"/>
            <w:right w:val="none" w:sz="0" w:space="0" w:color="auto"/>
          </w:divBdr>
        </w:div>
      </w:divsChild>
    </w:div>
    <w:div w:id="1326204187">
      <w:marLeft w:val="0"/>
      <w:marRight w:val="0"/>
      <w:marTop w:val="0"/>
      <w:marBottom w:val="0"/>
      <w:divBdr>
        <w:top w:val="none" w:sz="0" w:space="0" w:color="auto"/>
        <w:left w:val="none" w:sz="0" w:space="0" w:color="auto"/>
        <w:bottom w:val="none" w:sz="0" w:space="0" w:color="auto"/>
        <w:right w:val="none" w:sz="0" w:space="0" w:color="auto"/>
      </w:divBdr>
    </w:div>
    <w:div w:id="1326472464">
      <w:marLeft w:val="0"/>
      <w:marRight w:val="0"/>
      <w:marTop w:val="100"/>
      <w:marBottom w:val="0"/>
      <w:divBdr>
        <w:top w:val="none" w:sz="0" w:space="0" w:color="auto"/>
        <w:left w:val="none" w:sz="0" w:space="0" w:color="auto"/>
        <w:bottom w:val="none" w:sz="0" w:space="0" w:color="auto"/>
        <w:right w:val="none" w:sz="0" w:space="0" w:color="auto"/>
      </w:divBdr>
    </w:div>
    <w:div w:id="1327780816">
      <w:marLeft w:val="0"/>
      <w:marRight w:val="0"/>
      <w:marTop w:val="100"/>
      <w:marBottom w:val="0"/>
      <w:divBdr>
        <w:top w:val="none" w:sz="0" w:space="0" w:color="auto"/>
        <w:left w:val="none" w:sz="0" w:space="0" w:color="auto"/>
        <w:bottom w:val="none" w:sz="0" w:space="0" w:color="auto"/>
        <w:right w:val="none" w:sz="0" w:space="0" w:color="auto"/>
      </w:divBdr>
    </w:div>
    <w:div w:id="1327857275">
      <w:marLeft w:val="0"/>
      <w:marRight w:val="0"/>
      <w:marTop w:val="100"/>
      <w:marBottom w:val="0"/>
      <w:divBdr>
        <w:top w:val="none" w:sz="0" w:space="0" w:color="auto"/>
        <w:left w:val="none" w:sz="0" w:space="0" w:color="auto"/>
        <w:bottom w:val="none" w:sz="0" w:space="0" w:color="auto"/>
        <w:right w:val="none" w:sz="0" w:space="0" w:color="auto"/>
      </w:divBdr>
    </w:div>
    <w:div w:id="1328166262">
      <w:marLeft w:val="0"/>
      <w:marRight w:val="0"/>
      <w:marTop w:val="100"/>
      <w:marBottom w:val="0"/>
      <w:divBdr>
        <w:top w:val="none" w:sz="0" w:space="0" w:color="auto"/>
        <w:left w:val="none" w:sz="0" w:space="0" w:color="auto"/>
        <w:bottom w:val="none" w:sz="0" w:space="0" w:color="auto"/>
        <w:right w:val="none" w:sz="0" w:space="0" w:color="auto"/>
      </w:divBdr>
    </w:div>
    <w:div w:id="1334603866">
      <w:marLeft w:val="0"/>
      <w:marRight w:val="0"/>
      <w:marTop w:val="100"/>
      <w:marBottom w:val="0"/>
      <w:divBdr>
        <w:top w:val="none" w:sz="0" w:space="0" w:color="auto"/>
        <w:left w:val="none" w:sz="0" w:space="0" w:color="auto"/>
        <w:bottom w:val="none" w:sz="0" w:space="0" w:color="auto"/>
        <w:right w:val="none" w:sz="0" w:space="0" w:color="auto"/>
      </w:divBdr>
    </w:div>
    <w:div w:id="1335761789">
      <w:marLeft w:val="0"/>
      <w:marRight w:val="0"/>
      <w:marTop w:val="100"/>
      <w:marBottom w:val="0"/>
      <w:divBdr>
        <w:top w:val="none" w:sz="0" w:space="0" w:color="auto"/>
        <w:left w:val="none" w:sz="0" w:space="0" w:color="auto"/>
        <w:bottom w:val="none" w:sz="0" w:space="0" w:color="auto"/>
        <w:right w:val="none" w:sz="0" w:space="0" w:color="auto"/>
      </w:divBdr>
    </w:div>
    <w:div w:id="1339429704">
      <w:marLeft w:val="0"/>
      <w:marRight w:val="0"/>
      <w:marTop w:val="0"/>
      <w:marBottom w:val="0"/>
      <w:divBdr>
        <w:top w:val="none" w:sz="0" w:space="0" w:color="auto"/>
        <w:left w:val="none" w:sz="0" w:space="0" w:color="auto"/>
        <w:bottom w:val="none" w:sz="0" w:space="0" w:color="auto"/>
        <w:right w:val="none" w:sz="0" w:space="0" w:color="auto"/>
      </w:divBdr>
      <w:divsChild>
        <w:div w:id="804664519">
          <w:marLeft w:val="0"/>
          <w:marRight w:val="0"/>
          <w:marTop w:val="100"/>
          <w:marBottom w:val="0"/>
          <w:divBdr>
            <w:top w:val="none" w:sz="0" w:space="0" w:color="auto"/>
            <w:left w:val="none" w:sz="0" w:space="0" w:color="auto"/>
            <w:bottom w:val="none" w:sz="0" w:space="0" w:color="auto"/>
            <w:right w:val="none" w:sz="0" w:space="0" w:color="auto"/>
          </w:divBdr>
        </w:div>
      </w:divsChild>
    </w:div>
    <w:div w:id="1342006388">
      <w:marLeft w:val="0"/>
      <w:marRight w:val="0"/>
      <w:marTop w:val="100"/>
      <w:marBottom w:val="0"/>
      <w:divBdr>
        <w:top w:val="none" w:sz="0" w:space="0" w:color="auto"/>
        <w:left w:val="none" w:sz="0" w:space="0" w:color="auto"/>
        <w:bottom w:val="none" w:sz="0" w:space="0" w:color="auto"/>
        <w:right w:val="none" w:sz="0" w:space="0" w:color="auto"/>
      </w:divBdr>
    </w:div>
    <w:div w:id="1342900012">
      <w:marLeft w:val="0"/>
      <w:marRight w:val="0"/>
      <w:marTop w:val="160"/>
      <w:marBottom w:val="0"/>
      <w:divBdr>
        <w:top w:val="none" w:sz="0" w:space="0" w:color="auto"/>
        <w:left w:val="none" w:sz="0" w:space="0" w:color="auto"/>
        <w:bottom w:val="none" w:sz="0" w:space="0" w:color="auto"/>
        <w:right w:val="none" w:sz="0" w:space="0" w:color="auto"/>
      </w:divBdr>
    </w:div>
    <w:div w:id="1360472093">
      <w:marLeft w:val="0"/>
      <w:marRight w:val="0"/>
      <w:marTop w:val="0"/>
      <w:marBottom w:val="0"/>
      <w:divBdr>
        <w:top w:val="none" w:sz="0" w:space="0" w:color="auto"/>
        <w:left w:val="none" w:sz="0" w:space="0" w:color="auto"/>
        <w:bottom w:val="none" w:sz="0" w:space="0" w:color="auto"/>
        <w:right w:val="none" w:sz="0" w:space="0" w:color="auto"/>
      </w:divBdr>
      <w:divsChild>
        <w:div w:id="1842156030">
          <w:marLeft w:val="0"/>
          <w:marRight w:val="0"/>
          <w:marTop w:val="100"/>
          <w:marBottom w:val="0"/>
          <w:divBdr>
            <w:top w:val="none" w:sz="0" w:space="0" w:color="auto"/>
            <w:left w:val="none" w:sz="0" w:space="0" w:color="auto"/>
            <w:bottom w:val="none" w:sz="0" w:space="0" w:color="auto"/>
            <w:right w:val="none" w:sz="0" w:space="0" w:color="auto"/>
          </w:divBdr>
        </w:div>
      </w:divsChild>
    </w:div>
    <w:div w:id="1360624607">
      <w:marLeft w:val="0"/>
      <w:marRight w:val="0"/>
      <w:marTop w:val="0"/>
      <w:marBottom w:val="0"/>
      <w:divBdr>
        <w:top w:val="none" w:sz="0" w:space="0" w:color="auto"/>
        <w:left w:val="none" w:sz="0" w:space="0" w:color="auto"/>
        <w:bottom w:val="none" w:sz="0" w:space="0" w:color="auto"/>
        <w:right w:val="none" w:sz="0" w:space="0" w:color="auto"/>
      </w:divBdr>
      <w:divsChild>
        <w:div w:id="1177815803">
          <w:marLeft w:val="0"/>
          <w:marRight w:val="0"/>
          <w:marTop w:val="0"/>
          <w:marBottom w:val="0"/>
          <w:divBdr>
            <w:top w:val="none" w:sz="0" w:space="0" w:color="auto"/>
            <w:left w:val="none" w:sz="0" w:space="0" w:color="auto"/>
            <w:bottom w:val="none" w:sz="0" w:space="0" w:color="auto"/>
            <w:right w:val="none" w:sz="0" w:space="0" w:color="auto"/>
          </w:divBdr>
        </w:div>
      </w:divsChild>
    </w:div>
    <w:div w:id="1365060073">
      <w:marLeft w:val="0"/>
      <w:marRight w:val="0"/>
      <w:marTop w:val="100"/>
      <w:marBottom w:val="0"/>
      <w:divBdr>
        <w:top w:val="none" w:sz="0" w:space="0" w:color="auto"/>
        <w:left w:val="none" w:sz="0" w:space="0" w:color="auto"/>
        <w:bottom w:val="none" w:sz="0" w:space="0" w:color="auto"/>
        <w:right w:val="none" w:sz="0" w:space="0" w:color="auto"/>
      </w:divBdr>
    </w:div>
    <w:div w:id="1378117969">
      <w:marLeft w:val="0"/>
      <w:marRight w:val="0"/>
      <w:marTop w:val="100"/>
      <w:marBottom w:val="0"/>
      <w:divBdr>
        <w:top w:val="none" w:sz="0" w:space="0" w:color="auto"/>
        <w:left w:val="none" w:sz="0" w:space="0" w:color="auto"/>
        <w:bottom w:val="none" w:sz="0" w:space="0" w:color="auto"/>
        <w:right w:val="none" w:sz="0" w:space="0" w:color="auto"/>
      </w:divBdr>
    </w:div>
    <w:div w:id="1383823957">
      <w:marLeft w:val="0"/>
      <w:marRight w:val="0"/>
      <w:marTop w:val="0"/>
      <w:marBottom w:val="0"/>
      <w:divBdr>
        <w:top w:val="none" w:sz="0" w:space="0" w:color="auto"/>
        <w:left w:val="none" w:sz="0" w:space="0" w:color="auto"/>
        <w:bottom w:val="none" w:sz="0" w:space="0" w:color="auto"/>
        <w:right w:val="none" w:sz="0" w:space="0" w:color="auto"/>
      </w:divBdr>
      <w:divsChild>
        <w:div w:id="616449047">
          <w:marLeft w:val="0"/>
          <w:marRight w:val="0"/>
          <w:marTop w:val="100"/>
          <w:marBottom w:val="0"/>
          <w:divBdr>
            <w:top w:val="none" w:sz="0" w:space="0" w:color="auto"/>
            <w:left w:val="none" w:sz="0" w:space="0" w:color="auto"/>
            <w:bottom w:val="none" w:sz="0" w:space="0" w:color="auto"/>
            <w:right w:val="none" w:sz="0" w:space="0" w:color="auto"/>
          </w:divBdr>
        </w:div>
      </w:divsChild>
    </w:div>
    <w:div w:id="1384324990">
      <w:marLeft w:val="0"/>
      <w:marRight w:val="0"/>
      <w:marTop w:val="100"/>
      <w:marBottom w:val="0"/>
      <w:divBdr>
        <w:top w:val="none" w:sz="0" w:space="0" w:color="auto"/>
        <w:left w:val="none" w:sz="0" w:space="0" w:color="auto"/>
        <w:bottom w:val="none" w:sz="0" w:space="0" w:color="auto"/>
        <w:right w:val="none" w:sz="0" w:space="0" w:color="auto"/>
      </w:divBdr>
    </w:div>
    <w:div w:id="1399471784">
      <w:marLeft w:val="0"/>
      <w:marRight w:val="0"/>
      <w:marTop w:val="100"/>
      <w:marBottom w:val="100"/>
      <w:divBdr>
        <w:top w:val="none" w:sz="0" w:space="0" w:color="auto"/>
        <w:left w:val="none" w:sz="0" w:space="0" w:color="auto"/>
        <w:bottom w:val="none" w:sz="0" w:space="0" w:color="auto"/>
        <w:right w:val="none" w:sz="0" w:space="0" w:color="auto"/>
      </w:divBdr>
    </w:div>
    <w:div w:id="1401947778">
      <w:marLeft w:val="0"/>
      <w:marRight w:val="0"/>
      <w:marTop w:val="100"/>
      <w:marBottom w:val="0"/>
      <w:divBdr>
        <w:top w:val="none" w:sz="0" w:space="0" w:color="auto"/>
        <w:left w:val="none" w:sz="0" w:space="0" w:color="auto"/>
        <w:bottom w:val="none" w:sz="0" w:space="0" w:color="auto"/>
        <w:right w:val="none" w:sz="0" w:space="0" w:color="auto"/>
      </w:divBdr>
    </w:div>
    <w:div w:id="1405683234">
      <w:marLeft w:val="0"/>
      <w:marRight w:val="0"/>
      <w:marTop w:val="0"/>
      <w:marBottom w:val="0"/>
      <w:divBdr>
        <w:top w:val="none" w:sz="0" w:space="0" w:color="auto"/>
        <w:left w:val="none" w:sz="0" w:space="0" w:color="auto"/>
        <w:bottom w:val="none" w:sz="0" w:space="0" w:color="auto"/>
        <w:right w:val="none" w:sz="0" w:space="0" w:color="auto"/>
      </w:divBdr>
    </w:div>
    <w:div w:id="1407193595">
      <w:marLeft w:val="0"/>
      <w:marRight w:val="0"/>
      <w:marTop w:val="0"/>
      <w:marBottom w:val="0"/>
      <w:divBdr>
        <w:top w:val="none" w:sz="0" w:space="0" w:color="auto"/>
        <w:left w:val="none" w:sz="0" w:space="0" w:color="auto"/>
        <w:bottom w:val="none" w:sz="0" w:space="0" w:color="auto"/>
        <w:right w:val="none" w:sz="0" w:space="0" w:color="auto"/>
      </w:divBdr>
    </w:div>
    <w:div w:id="1409422034">
      <w:marLeft w:val="0"/>
      <w:marRight w:val="0"/>
      <w:marTop w:val="180"/>
      <w:marBottom w:val="0"/>
      <w:divBdr>
        <w:top w:val="none" w:sz="0" w:space="0" w:color="auto"/>
        <w:left w:val="none" w:sz="0" w:space="0" w:color="auto"/>
        <w:bottom w:val="none" w:sz="0" w:space="0" w:color="auto"/>
        <w:right w:val="none" w:sz="0" w:space="0" w:color="auto"/>
      </w:divBdr>
    </w:div>
    <w:div w:id="1413700817">
      <w:marLeft w:val="0"/>
      <w:marRight w:val="0"/>
      <w:marTop w:val="100"/>
      <w:marBottom w:val="0"/>
      <w:divBdr>
        <w:top w:val="none" w:sz="0" w:space="0" w:color="auto"/>
        <w:left w:val="none" w:sz="0" w:space="0" w:color="auto"/>
        <w:bottom w:val="none" w:sz="0" w:space="0" w:color="auto"/>
        <w:right w:val="none" w:sz="0" w:space="0" w:color="auto"/>
      </w:divBdr>
    </w:div>
    <w:div w:id="1413887622">
      <w:marLeft w:val="0"/>
      <w:marRight w:val="0"/>
      <w:marTop w:val="100"/>
      <w:marBottom w:val="0"/>
      <w:divBdr>
        <w:top w:val="none" w:sz="0" w:space="0" w:color="auto"/>
        <w:left w:val="none" w:sz="0" w:space="0" w:color="auto"/>
        <w:bottom w:val="none" w:sz="0" w:space="0" w:color="auto"/>
        <w:right w:val="none" w:sz="0" w:space="0" w:color="auto"/>
      </w:divBdr>
    </w:div>
    <w:div w:id="1417559241">
      <w:marLeft w:val="0"/>
      <w:marRight w:val="0"/>
      <w:marTop w:val="0"/>
      <w:marBottom w:val="0"/>
      <w:divBdr>
        <w:top w:val="none" w:sz="0" w:space="0" w:color="auto"/>
        <w:left w:val="none" w:sz="0" w:space="0" w:color="auto"/>
        <w:bottom w:val="none" w:sz="0" w:space="0" w:color="auto"/>
        <w:right w:val="none" w:sz="0" w:space="0" w:color="auto"/>
      </w:divBdr>
    </w:div>
    <w:div w:id="1421289046">
      <w:marLeft w:val="0"/>
      <w:marRight w:val="0"/>
      <w:marTop w:val="100"/>
      <w:marBottom w:val="100"/>
      <w:divBdr>
        <w:top w:val="none" w:sz="0" w:space="0" w:color="auto"/>
        <w:left w:val="none" w:sz="0" w:space="0" w:color="auto"/>
        <w:bottom w:val="none" w:sz="0" w:space="0" w:color="auto"/>
        <w:right w:val="none" w:sz="0" w:space="0" w:color="auto"/>
      </w:divBdr>
      <w:divsChild>
        <w:div w:id="1776362054">
          <w:marLeft w:val="0"/>
          <w:marRight w:val="0"/>
          <w:marTop w:val="0"/>
          <w:marBottom w:val="0"/>
          <w:divBdr>
            <w:top w:val="none" w:sz="0" w:space="0" w:color="auto"/>
            <w:left w:val="none" w:sz="0" w:space="0" w:color="auto"/>
            <w:bottom w:val="none" w:sz="0" w:space="0" w:color="auto"/>
            <w:right w:val="none" w:sz="0" w:space="0" w:color="auto"/>
          </w:divBdr>
        </w:div>
      </w:divsChild>
    </w:div>
    <w:div w:id="1424688488">
      <w:marLeft w:val="0"/>
      <w:marRight w:val="0"/>
      <w:marTop w:val="180"/>
      <w:marBottom w:val="0"/>
      <w:divBdr>
        <w:top w:val="none" w:sz="0" w:space="0" w:color="auto"/>
        <w:left w:val="none" w:sz="0" w:space="0" w:color="auto"/>
        <w:bottom w:val="none" w:sz="0" w:space="0" w:color="auto"/>
        <w:right w:val="none" w:sz="0" w:space="0" w:color="auto"/>
      </w:divBdr>
    </w:div>
    <w:div w:id="1426801310">
      <w:marLeft w:val="0"/>
      <w:marRight w:val="0"/>
      <w:marTop w:val="0"/>
      <w:marBottom w:val="0"/>
      <w:divBdr>
        <w:top w:val="none" w:sz="0" w:space="0" w:color="auto"/>
        <w:left w:val="none" w:sz="0" w:space="0" w:color="auto"/>
        <w:bottom w:val="none" w:sz="0" w:space="0" w:color="auto"/>
        <w:right w:val="none" w:sz="0" w:space="0" w:color="auto"/>
      </w:divBdr>
    </w:div>
    <w:div w:id="1429427478">
      <w:marLeft w:val="0"/>
      <w:marRight w:val="0"/>
      <w:marTop w:val="100"/>
      <w:marBottom w:val="0"/>
      <w:divBdr>
        <w:top w:val="none" w:sz="0" w:space="0" w:color="auto"/>
        <w:left w:val="none" w:sz="0" w:space="0" w:color="auto"/>
        <w:bottom w:val="none" w:sz="0" w:space="0" w:color="auto"/>
        <w:right w:val="none" w:sz="0" w:space="0" w:color="auto"/>
      </w:divBdr>
    </w:div>
    <w:div w:id="1430345964">
      <w:marLeft w:val="0"/>
      <w:marRight w:val="0"/>
      <w:marTop w:val="100"/>
      <w:marBottom w:val="0"/>
      <w:divBdr>
        <w:top w:val="none" w:sz="0" w:space="0" w:color="auto"/>
        <w:left w:val="none" w:sz="0" w:space="0" w:color="auto"/>
        <w:bottom w:val="none" w:sz="0" w:space="0" w:color="auto"/>
        <w:right w:val="none" w:sz="0" w:space="0" w:color="auto"/>
      </w:divBdr>
    </w:div>
    <w:div w:id="1432044482">
      <w:marLeft w:val="0"/>
      <w:marRight w:val="0"/>
      <w:marTop w:val="0"/>
      <w:marBottom w:val="0"/>
      <w:divBdr>
        <w:top w:val="none" w:sz="0" w:space="0" w:color="auto"/>
        <w:left w:val="none" w:sz="0" w:space="0" w:color="auto"/>
        <w:bottom w:val="none" w:sz="0" w:space="0" w:color="auto"/>
        <w:right w:val="none" w:sz="0" w:space="0" w:color="auto"/>
      </w:divBdr>
    </w:div>
    <w:div w:id="1434939477">
      <w:marLeft w:val="0"/>
      <w:marRight w:val="0"/>
      <w:marTop w:val="160"/>
      <w:marBottom w:val="0"/>
      <w:divBdr>
        <w:top w:val="none" w:sz="0" w:space="0" w:color="auto"/>
        <w:left w:val="none" w:sz="0" w:space="0" w:color="auto"/>
        <w:bottom w:val="none" w:sz="0" w:space="0" w:color="auto"/>
        <w:right w:val="none" w:sz="0" w:space="0" w:color="auto"/>
      </w:divBdr>
    </w:div>
    <w:div w:id="1436098617">
      <w:marLeft w:val="0"/>
      <w:marRight w:val="0"/>
      <w:marTop w:val="100"/>
      <w:marBottom w:val="0"/>
      <w:divBdr>
        <w:top w:val="none" w:sz="0" w:space="0" w:color="auto"/>
        <w:left w:val="none" w:sz="0" w:space="0" w:color="auto"/>
        <w:bottom w:val="none" w:sz="0" w:space="0" w:color="auto"/>
        <w:right w:val="none" w:sz="0" w:space="0" w:color="auto"/>
      </w:divBdr>
    </w:div>
    <w:div w:id="1439183869">
      <w:marLeft w:val="0"/>
      <w:marRight w:val="0"/>
      <w:marTop w:val="100"/>
      <w:marBottom w:val="0"/>
      <w:divBdr>
        <w:top w:val="none" w:sz="0" w:space="0" w:color="auto"/>
        <w:left w:val="none" w:sz="0" w:space="0" w:color="auto"/>
        <w:bottom w:val="none" w:sz="0" w:space="0" w:color="auto"/>
        <w:right w:val="none" w:sz="0" w:space="0" w:color="auto"/>
      </w:divBdr>
    </w:div>
    <w:div w:id="1449737184">
      <w:marLeft w:val="0"/>
      <w:marRight w:val="0"/>
      <w:marTop w:val="100"/>
      <w:marBottom w:val="0"/>
      <w:divBdr>
        <w:top w:val="none" w:sz="0" w:space="0" w:color="auto"/>
        <w:left w:val="none" w:sz="0" w:space="0" w:color="auto"/>
        <w:bottom w:val="none" w:sz="0" w:space="0" w:color="auto"/>
        <w:right w:val="none" w:sz="0" w:space="0" w:color="auto"/>
      </w:divBdr>
    </w:div>
    <w:div w:id="1450851980">
      <w:marLeft w:val="0"/>
      <w:marRight w:val="0"/>
      <w:marTop w:val="100"/>
      <w:marBottom w:val="0"/>
      <w:divBdr>
        <w:top w:val="none" w:sz="0" w:space="0" w:color="auto"/>
        <w:left w:val="none" w:sz="0" w:space="0" w:color="auto"/>
        <w:bottom w:val="none" w:sz="0" w:space="0" w:color="auto"/>
        <w:right w:val="none" w:sz="0" w:space="0" w:color="auto"/>
      </w:divBdr>
    </w:div>
    <w:div w:id="1451509135">
      <w:marLeft w:val="0"/>
      <w:marRight w:val="0"/>
      <w:marTop w:val="100"/>
      <w:marBottom w:val="0"/>
      <w:divBdr>
        <w:top w:val="none" w:sz="0" w:space="0" w:color="auto"/>
        <w:left w:val="none" w:sz="0" w:space="0" w:color="auto"/>
        <w:bottom w:val="none" w:sz="0" w:space="0" w:color="auto"/>
        <w:right w:val="none" w:sz="0" w:space="0" w:color="auto"/>
      </w:divBdr>
    </w:div>
    <w:div w:id="1453477421">
      <w:marLeft w:val="0"/>
      <w:marRight w:val="0"/>
      <w:marTop w:val="100"/>
      <w:marBottom w:val="0"/>
      <w:divBdr>
        <w:top w:val="none" w:sz="0" w:space="0" w:color="auto"/>
        <w:left w:val="none" w:sz="0" w:space="0" w:color="auto"/>
        <w:bottom w:val="none" w:sz="0" w:space="0" w:color="auto"/>
        <w:right w:val="none" w:sz="0" w:space="0" w:color="auto"/>
      </w:divBdr>
    </w:div>
    <w:div w:id="1455365069">
      <w:marLeft w:val="0"/>
      <w:marRight w:val="0"/>
      <w:marTop w:val="100"/>
      <w:marBottom w:val="0"/>
      <w:divBdr>
        <w:top w:val="none" w:sz="0" w:space="0" w:color="auto"/>
        <w:left w:val="none" w:sz="0" w:space="0" w:color="auto"/>
        <w:bottom w:val="none" w:sz="0" w:space="0" w:color="auto"/>
        <w:right w:val="none" w:sz="0" w:space="0" w:color="auto"/>
      </w:divBdr>
    </w:div>
    <w:div w:id="1467893716">
      <w:marLeft w:val="0"/>
      <w:marRight w:val="0"/>
      <w:marTop w:val="0"/>
      <w:marBottom w:val="0"/>
      <w:divBdr>
        <w:top w:val="none" w:sz="0" w:space="0" w:color="auto"/>
        <w:left w:val="none" w:sz="0" w:space="0" w:color="auto"/>
        <w:bottom w:val="none" w:sz="0" w:space="0" w:color="auto"/>
        <w:right w:val="none" w:sz="0" w:space="0" w:color="auto"/>
      </w:divBdr>
      <w:divsChild>
        <w:div w:id="1761489716">
          <w:marLeft w:val="0"/>
          <w:marRight w:val="0"/>
          <w:marTop w:val="0"/>
          <w:marBottom w:val="0"/>
          <w:divBdr>
            <w:top w:val="none" w:sz="0" w:space="0" w:color="auto"/>
            <w:left w:val="none" w:sz="0" w:space="0" w:color="auto"/>
            <w:bottom w:val="none" w:sz="0" w:space="0" w:color="auto"/>
            <w:right w:val="none" w:sz="0" w:space="0" w:color="auto"/>
          </w:divBdr>
        </w:div>
      </w:divsChild>
    </w:div>
    <w:div w:id="1469977237">
      <w:marLeft w:val="0"/>
      <w:marRight w:val="0"/>
      <w:marTop w:val="0"/>
      <w:marBottom w:val="0"/>
      <w:divBdr>
        <w:top w:val="none" w:sz="0" w:space="0" w:color="auto"/>
        <w:left w:val="none" w:sz="0" w:space="0" w:color="auto"/>
        <w:bottom w:val="none" w:sz="0" w:space="0" w:color="auto"/>
        <w:right w:val="none" w:sz="0" w:space="0" w:color="auto"/>
      </w:divBdr>
    </w:div>
    <w:div w:id="1471557155">
      <w:marLeft w:val="0"/>
      <w:marRight w:val="0"/>
      <w:marTop w:val="100"/>
      <w:marBottom w:val="100"/>
      <w:divBdr>
        <w:top w:val="none" w:sz="0" w:space="0" w:color="auto"/>
        <w:left w:val="none" w:sz="0" w:space="0" w:color="auto"/>
        <w:bottom w:val="none" w:sz="0" w:space="0" w:color="auto"/>
        <w:right w:val="none" w:sz="0" w:space="0" w:color="auto"/>
      </w:divBdr>
    </w:div>
    <w:div w:id="1471752929">
      <w:marLeft w:val="0"/>
      <w:marRight w:val="0"/>
      <w:marTop w:val="100"/>
      <w:marBottom w:val="100"/>
      <w:divBdr>
        <w:top w:val="none" w:sz="0" w:space="0" w:color="auto"/>
        <w:left w:val="none" w:sz="0" w:space="0" w:color="auto"/>
        <w:bottom w:val="none" w:sz="0" w:space="0" w:color="auto"/>
        <w:right w:val="none" w:sz="0" w:space="0" w:color="auto"/>
      </w:divBdr>
      <w:divsChild>
        <w:div w:id="1178889761">
          <w:marLeft w:val="0"/>
          <w:marRight w:val="0"/>
          <w:marTop w:val="0"/>
          <w:marBottom w:val="0"/>
          <w:divBdr>
            <w:top w:val="none" w:sz="0" w:space="0" w:color="auto"/>
            <w:left w:val="none" w:sz="0" w:space="0" w:color="auto"/>
            <w:bottom w:val="none" w:sz="0" w:space="0" w:color="auto"/>
            <w:right w:val="none" w:sz="0" w:space="0" w:color="auto"/>
          </w:divBdr>
        </w:div>
      </w:divsChild>
    </w:div>
    <w:div w:id="1472554143">
      <w:marLeft w:val="0"/>
      <w:marRight w:val="0"/>
      <w:marTop w:val="100"/>
      <w:marBottom w:val="0"/>
      <w:divBdr>
        <w:top w:val="none" w:sz="0" w:space="0" w:color="auto"/>
        <w:left w:val="none" w:sz="0" w:space="0" w:color="auto"/>
        <w:bottom w:val="none" w:sz="0" w:space="0" w:color="auto"/>
        <w:right w:val="none" w:sz="0" w:space="0" w:color="auto"/>
      </w:divBdr>
    </w:div>
    <w:div w:id="1472748493">
      <w:marLeft w:val="0"/>
      <w:marRight w:val="0"/>
      <w:marTop w:val="60"/>
      <w:marBottom w:val="0"/>
      <w:divBdr>
        <w:top w:val="none" w:sz="0" w:space="0" w:color="auto"/>
        <w:left w:val="none" w:sz="0" w:space="0" w:color="auto"/>
        <w:bottom w:val="none" w:sz="0" w:space="0" w:color="auto"/>
        <w:right w:val="none" w:sz="0" w:space="0" w:color="auto"/>
      </w:divBdr>
    </w:div>
    <w:div w:id="1475561564">
      <w:marLeft w:val="0"/>
      <w:marRight w:val="0"/>
      <w:marTop w:val="100"/>
      <w:marBottom w:val="0"/>
      <w:divBdr>
        <w:top w:val="none" w:sz="0" w:space="0" w:color="auto"/>
        <w:left w:val="none" w:sz="0" w:space="0" w:color="auto"/>
        <w:bottom w:val="none" w:sz="0" w:space="0" w:color="auto"/>
        <w:right w:val="none" w:sz="0" w:space="0" w:color="auto"/>
      </w:divBdr>
    </w:div>
    <w:div w:id="1476413648">
      <w:marLeft w:val="0"/>
      <w:marRight w:val="0"/>
      <w:marTop w:val="100"/>
      <w:marBottom w:val="0"/>
      <w:divBdr>
        <w:top w:val="none" w:sz="0" w:space="0" w:color="auto"/>
        <w:left w:val="none" w:sz="0" w:space="0" w:color="auto"/>
        <w:bottom w:val="none" w:sz="0" w:space="0" w:color="auto"/>
        <w:right w:val="none" w:sz="0" w:space="0" w:color="auto"/>
      </w:divBdr>
    </w:div>
    <w:div w:id="1477063315">
      <w:marLeft w:val="0"/>
      <w:marRight w:val="0"/>
      <w:marTop w:val="100"/>
      <w:marBottom w:val="0"/>
      <w:divBdr>
        <w:top w:val="none" w:sz="0" w:space="0" w:color="auto"/>
        <w:left w:val="none" w:sz="0" w:space="0" w:color="auto"/>
        <w:bottom w:val="none" w:sz="0" w:space="0" w:color="auto"/>
        <w:right w:val="none" w:sz="0" w:space="0" w:color="auto"/>
      </w:divBdr>
    </w:div>
    <w:div w:id="1477911693">
      <w:marLeft w:val="0"/>
      <w:marRight w:val="0"/>
      <w:marTop w:val="0"/>
      <w:marBottom w:val="0"/>
      <w:divBdr>
        <w:top w:val="none" w:sz="0" w:space="0" w:color="auto"/>
        <w:left w:val="none" w:sz="0" w:space="0" w:color="auto"/>
        <w:bottom w:val="none" w:sz="0" w:space="0" w:color="auto"/>
        <w:right w:val="none" w:sz="0" w:space="0" w:color="auto"/>
      </w:divBdr>
      <w:divsChild>
        <w:div w:id="223025489">
          <w:marLeft w:val="0"/>
          <w:marRight w:val="0"/>
          <w:marTop w:val="100"/>
          <w:marBottom w:val="0"/>
          <w:divBdr>
            <w:top w:val="none" w:sz="0" w:space="0" w:color="auto"/>
            <w:left w:val="none" w:sz="0" w:space="0" w:color="auto"/>
            <w:bottom w:val="none" w:sz="0" w:space="0" w:color="auto"/>
            <w:right w:val="none" w:sz="0" w:space="0" w:color="auto"/>
          </w:divBdr>
        </w:div>
      </w:divsChild>
    </w:div>
    <w:div w:id="1482573212">
      <w:marLeft w:val="0"/>
      <w:marRight w:val="0"/>
      <w:marTop w:val="0"/>
      <w:marBottom w:val="0"/>
      <w:divBdr>
        <w:top w:val="none" w:sz="0" w:space="0" w:color="auto"/>
        <w:left w:val="none" w:sz="0" w:space="0" w:color="auto"/>
        <w:bottom w:val="none" w:sz="0" w:space="0" w:color="auto"/>
        <w:right w:val="none" w:sz="0" w:space="0" w:color="auto"/>
      </w:divBdr>
    </w:div>
    <w:div w:id="1484471039">
      <w:marLeft w:val="0"/>
      <w:marRight w:val="0"/>
      <w:marTop w:val="0"/>
      <w:marBottom w:val="0"/>
      <w:divBdr>
        <w:top w:val="none" w:sz="0" w:space="0" w:color="auto"/>
        <w:left w:val="none" w:sz="0" w:space="0" w:color="auto"/>
        <w:bottom w:val="none" w:sz="0" w:space="0" w:color="auto"/>
        <w:right w:val="none" w:sz="0" w:space="0" w:color="auto"/>
      </w:divBdr>
      <w:divsChild>
        <w:div w:id="420371458">
          <w:marLeft w:val="0"/>
          <w:marRight w:val="0"/>
          <w:marTop w:val="100"/>
          <w:marBottom w:val="0"/>
          <w:divBdr>
            <w:top w:val="none" w:sz="0" w:space="0" w:color="auto"/>
            <w:left w:val="none" w:sz="0" w:space="0" w:color="auto"/>
            <w:bottom w:val="none" w:sz="0" w:space="0" w:color="auto"/>
            <w:right w:val="none" w:sz="0" w:space="0" w:color="auto"/>
          </w:divBdr>
        </w:div>
      </w:divsChild>
    </w:div>
    <w:div w:id="1485706865">
      <w:marLeft w:val="0"/>
      <w:marRight w:val="0"/>
      <w:marTop w:val="100"/>
      <w:marBottom w:val="0"/>
      <w:divBdr>
        <w:top w:val="none" w:sz="0" w:space="0" w:color="auto"/>
        <w:left w:val="none" w:sz="0" w:space="0" w:color="auto"/>
        <w:bottom w:val="none" w:sz="0" w:space="0" w:color="auto"/>
        <w:right w:val="none" w:sz="0" w:space="0" w:color="auto"/>
      </w:divBdr>
    </w:div>
    <w:div w:id="1486968744">
      <w:marLeft w:val="0"/>
      <w:marRight w:val="0"/>
      <w:marTop w:val="100"/>
      <w:marBottom w:val="0"/>
      <w:divBdr>
        <w:top w:val="none" w:sz="0" w:space="0" w:color="auto"/>
        <w:left w:val="none" w:sz="0" w:space="0" w:color="auto"/>
        <w:bottom w:val="none" w:sz="0" w:space="0" w:color="auto"/>
        <w:right w:val="none" w:sz="0" w:space="0" w:color="auto"/>
      </w:divBdr>
    </w:div>
    <w:div w:id="1491864736">
      <w:marLeft w:val="0"/>
      <w:marRight w:val="0"/>
      <w:marTop w:val="160"/>
      <w:marBottom w:val="0"/>
      <w:divBdr>
        <w:top w:val="none" w:sz="0" w:space="0" w:color="auto"/>
        <w:left w:val="none" w:sz="0" w:space="0" w:color="auto"/>
        <w:bottom w:val="none" w:sz="0" w:space="0" w:color="auto"/>
        <w:right w:val="none" w:sz="0" w:space="0" w:color="auto"/>
      </w:divBdr>
    </w:div>
    <w:div w:id="1495220501">
      <w:marLeft w:val="0"/>
      <w:marRight w:val="0"/>
      <w:marTop w:val="100"/>
      <w:marBottom w:val="100"/>
      <w:divBdr>
        <w:top w:val="none" w:sz="0" w:space="0" w:color="auto"/>
        <w:left w:val="none" w:sz="0" w:space="0" w:color="auto"/>
        <w:bottom w:val="none" w:sz="0" w:space="0" w:color="auto"/>
        <w:right w:val="none" w:sz="0" w:space="0" w:color="auto"/>
      </w:divBdr>
    </w:div>
    <w:div w:id="1501118144">
      <w:marLeft w:val="0"/>
      <w:marRight w:val="0"/>
      <w:marTop w:val="100"/>
      <w:marBottom w:val="100"/>
      <w:divBdr>
        <w:top w:val="none" w:sz="0" w:space="0" w:color="auto"/>
        <w:left w:val="none" w:sz="0" w:space="0" w:color="auto"/>
        <w:bottom w:val="none" w:sz="0" w:space="0" w:color="auto"/>
        <w:right w:val="none" w:sz="0" w:space="0" w:color="auto"/>
      </w:divBdr>
    </w:div>
    <w:div w:id="1501893020">
      <w:marLeft w:val="0"/>
      <w:marRight w:val="0"/>
      <w:marTop w:val="100"/>
      <w:marBottom w:val="0"/>
      <w:divBdr>
        <w:top w:val="none" w:sz="0" w:space="0" w:color="auto"/>
        <w:left w:val="none" w:sz="0" w:space="0" w:color="auto"/>
        <w:bottom w:val="none" w:sz="0" w:space="0" w:color="auto"/>
        <w:right w:val="none" w:sz="0" w:space="0" w:color="auto"/>
      </w:divBdr>
    </w:div>
    <w:div w:id="1505970510">
      <w:marLeft w:val="0"/>
      <w:marRight w:val="0"/>
      <w:marTop w:val="0"/>
      <w:marBottom w:val="0"/>
      <w:divBdr>
        <w:top w:val="none" w:sz="0" w:space="0" w:color="auto"/>
        <w:left w:val="none" w:sz="0" w:space="0" w:color="auto"/>
        <w:bottom w:val="none" w:sz="0" w:space="0" w:color="auto"/>
        <w:right w:val="none" w:sz="0" w:space="0" w:color="auto"/>
      </w:divBdr>
    </w:div>
    <w:div w:id="1506745340">
      <w:marLeft w:val="0"/>
      <w:marRight w:val="0"/>
      <w:marTop w:val="0"/>
      <w:marBottom w:val="0"/>
      <w:divBdr>
        <w:top w:val="none" w:sz="0" w:space="0" w:color="auto"/>
        <w:left w:val="none" w:sz="0" w:space="0" w:color="auto"/>
        <w:bottom w:val="none" w:sz="0" w:space="0" w:color="auto"/>
        <w:right w:val="none" w:sz="0" w:space="0" w:color="auto"/>
      </w:divBdr>
    </w:div>
    <w:div w:id="1509254502">
      <w:marLeft w:val="0"/>
      <w:marRight w:val="0"/>
      <w:marTop w:val="0"/>
      <w:marBottom w:val="0"/>
      <w:divBdr>
        <w:top w:val="none" w:sz="0" w:space="0" w:color="auto"/>
        <w:left w:val="none" w:sz="0" w:space="0" w:color="auto"/>
        <w:bottom w:val="none" w:sz="0" w:space="0" w:color="auto"/>
        <w:right w:val="none" w:sz="0" w:space="0" w:color="auto"/>
      </w:divBdr>
    </w:div>
    <w:div w:id="1517697021">
      <w:marLeft w:val="0"/>
      <w:marRight w:val="0"/>
      <w:marTop w:val="0"/>
      <w:marBottom w:val="0"/>
      <w:divBdr>
        <w:top w:val="none" w:sz="0" w:space="0" w:color="auto"/>
        <w:left w:val="none" w:sz="0" w:space="0" w:color="auto"/>
        <w:bottom w:val="none" w:sz="0" w:space="0" w:color="auto"/>
        <w:right w:val="none" w:sz="0" w:space="0" w:color="auto"/>
      </w:divBdr>
      <w:divsChild>
        <w:div w:id="734164065">
          <w:marLeft w:val="0"/>
          <w:marRight w:val="0"/>
          <w:marTop w:val="100"/>
          <w:marBottom w:val="0"/>
          <w:divBdr>
            <w:top w:val="none" w:sz="0" w:space="0" w:color="auto"/>
            <w:left w:val="none" w:sz="0" w:space="0" w:color="auto"/>
            <w:bottom w:val="none" w:sz="0" w:space="0" w:color="auto"/>
            <w:right w:val="none" w:sz="0" w:space="0" w:color="auto"/>
          </w:divBdr>
        </w:div>
      </w:divsChild>
    </w:div>
    <w:div w:id="1517885892">
      <w:marLeft w:val="0"/>
      <w:marRight w:val="0"/>
      <w:marTop w:val="200"/>
      <w:marBottom w:val="0"/>
      <w:divBdr>
        <w:top w:val="none" w:sz="0" w:space="0" w:color="auto"/>
        <w:left w:val="none" w:sz="0" w:space="0" w:color="auto"/>
        <w:bottom w:val="none" w:sz="0" w:space="0" w:color="auto"/>
        <w:right w:val="none" w:sz="0" w:space="0" w:color="auto"/>
      </w:divBdr>
      <w:divsChild>
        <w:div w:id="1658915463">
          <w:marLeft w:val="0"/>
          <w:marRight w:val="0"/>
          <w:marTop w:val="0"/>
          <w:marBottom w:val="0"/>
          <w:divBdr>
            <w:top w:val="none" w:sz="0" w:space="0" w:color="auto"/>
            <w:left w:val="none" w:sz="0" w:space="0" w:color="auto"/>
            <w:bottom w:val="none" w:sz="0" w:space="0" w:color="auto"/>
            <w:right w:val="none" w:sz="0" w:space="0" w:color="auto"/>
          </w:divBdr>
        </w:div>
      </w:divsChild>
    </w:div>
    <w:div w:id="1520042750">
      <w:marLeft w:val="0"/>
      <w:marRight w:val="0"/>
      <w:marTop w:val="0"/>
      <w:marBottom w:val="0"/>
      <w:divBdr>
        <w:top w:val="none" w:sz="0" w:space="0" w:color="auto"/>
        <w:left w:val="none" w:sz="0" w:space="0" w:color="auto"/>
        <w:bottom w:val="none" w:sz="0" w:space="0" w:color="auto"/>
        <w:right w:val="none" w:sz="0" w:space="0" w:color="auto"/>
      </w:divBdr>
    </w:div>
    <w:div w:id="1524709055">
      <w:marLeft w:val="0"/>
      <w:marRight w:val="0"/>
      <w:marTop w:val="0"/>
      <w:marBottom w:val="0"/>
      <w:divBdr>
        <w:top w:val="none" w:sz="0" w:space="0" w:color="auto"/>
        <w:left w:val="none" w:sz="0" w:space="0" w:color="auto"/>
        <w:bottom w:val="none" w:sz="0" w:space="0" w:color="auto"/>
        <w:right w:val="none" w:sz="0" w:space="0" w:color="auto"/>
      </w:divBdr>
    </w:div>
    <w:div w:id="1527403019">
      <w:marLeft w:val="0"/>
      <w:marRight w:val="0"/>
      <w:marTop w:val="100"/>
      <w:marBottom w:val="100"/>
      <w:divBdr>
        <w:top w:val="none" w:sz="0" w:space="0" w:color="auto"/>
        <w:left w:val="none" w:sz="0" w:space="0" w:color="auto"/>
        <w:bottom w:val="none" w:sz="0" w:space="0" w:color="auto"/>
        <w:right w:val="none" w:sz="0" w:space="0" w:color="auto"/>
      </w:divBdr>
      <w:divsChild>
        <w:div w:id="1350909956">
          <w:marLeft w:val="0"/>
          <w:marRight w:val="0"/>
          <w:marTop w:val="40"/>
          <w:marBottom w:val="40"/>
          <w:divBdr>
            <w:top w:val="none" w:sz="0" w:space="0" w:color="auto"/>
            <w:left w:val="none" w:sz="0" w:space="0" w:color="auto"/>
            <w:bottom w:val="none" w:sz="0" w:space="0" w:color="auto"/>
            <w:right w:val="none" w:sz="0" w:space="0" w:color="auto"/>
          </w:divBdr>
        </w:div>
        <w:div w:id="2027243144">
          <w:marLeft w:val="0"/>
          <w:marRight w:val="0"/>
          <w:marTop w:val="40"/>
          <w:marBottom w:val="40"/>
          <w:divBdr>
            <w:top w:val="none" w:sz="0" w:space="0" w:color="auto"/>
            <w:left w:val="none" w:sz="0" w:space="0" w:color="auto"/>
            <w:bottom w:val="none" w:sz="0" w:space="0" w:color="auto"/>
            <w:right w:val="none" w:sz="0" w:space="0" w:color="auto"/>
          </w:divBdr>
        </w:div>
      </w:divsChild>
    </w:div>
    <w:div w:id="1528523032">
      <w:marLeft w:val="0"/>
      <w:marRight w:val="0"/>
      <w:marTop w:val="100"/>
      <w:marBottom w:val="0"/>
      <w:divBdr>
        <w:top w:val="none" w:sz="0" w:space="0" w:color="auto"/>
        <w:left w:val="none" w:sz="0" w:space="0" w:color="auto"/>
        <w:bottom w:val="none" w:sz="0" w:space="0" w:color="auto"/>
        <w:right w:val="none" w:sz="0" w:space="0" w:color="auto"/>
      </w:divBdr>
    </w:div>
    <w:div w:id="1541241123">
      <w:marLeft w:val="0"/>
      <w:marRight w:val="0"/>
      <w:marTop w:val="0"/>
      <w:marBottom w:val="160"/>
      <w:divBdr>
        <w:top w:val="none" w:sz="0" w:space="0" w:color="auto"/>
        <w:left w:val="none" w:sz="0" w:space="0" w:color="auto"/>
        <w:bottom w:val="none" w:sz="0" w:space="0" w:color="auto"/>
        <w:right w:val="none" w:sz="0" w:space="0" w:color="auto"/>
      </w:divBdr>
      <w:divsChild>
        <w:div w:id="1523856615">
          <w:marLeft w:val="0"/>
          <w:marRight w:val="0"/>
          <w:marTop w:val="0"/>
          <w:marBottom w:val="0"/>
          <w:divBdr>
            <w:top w:val="none" w:sz="0" w:space="0" w:color="auto"/>
            <w:left w:val="none" w:sz="0" w:space="0" w:color="auto"/>
            <w:bottom w:val="none" w:sz="0" w:space="0" w:color="auto"/>
            <w:right w:val="none" w:sz="0" w:space="0" w:color="auto"/>
          </w:divBdr>
        </w:div>
      </w:divsChild>
    </w:div>
    <w:div w:id="1542208686">
      <w:marLeft w:val="0"/>
      <w:marRight w:val="0"/>
      <w:marTop w:val="100"/>
      <w:marBottom w:val="0"/>
      <w:divBdr>
        <w:top w:val="none" w:sz="0" w:space="0" w:color="auto"/>
        <w:left w:val="none" w:sz="0" w:space="0" w:color="auto"/>
        <w:bottom w:val="none" w:sz="0" w:space="0" w:color="auto"/>
        <w:right w:val="none" w:sz="0" w:space="0" w:color="auto"/>
      </w:divBdr>
    </w:div>
    <w:div w:id="1545093984">
      <w:marLeft w:val="0"/>
      <w:marRight w:val="0"/>
      <w:marTop w:val="180"/>
      <w:marBottom w:val="0"/>
      <w:divBdr>
        <w:top w:val="none" w:sz="0" w:space="0" w:color="auto"/>
        <w:left w:val="none" w:sz="0" w:space="0" w:color="auto"/>
        <w:bottom w:val="none" w:sz="0" w:space="0" w:color="auto"/>
        <w:right w:val="none" w:sz="0" w:space="0" w:color="auto"/>
      </w:divBdr>
    </w:div>
    <w:div w:id="1546453129">
      <w:marLeft w:val="0"/>
      <w:marRight w:val="0"/>
      <w:marTop w:val="0"/>
      <w:marBottom w:val="0"/>
      <w:divBdr>
        <w:top w:val="none" w:sz="0" w:space="0" w:color="auto"/>
        <w:left w:val="none" w:sz="0" w:space="0" w:color="auto"/>
        <w:bottom w:val="none" w:sz="0" w:space="0" w:color="auto"/>
        <w:right w:val="none" w:sz="0" w:space="0" w:color="auto"/>
      </w:divBdr>
    </w:div>
    <w:div w:id="1550529429">
      <w:marLeft w:val="0"/>
      <w:marRight w:val="0"/>
      <w:marTop w:val="0"/>
      <w:marBottom w:val="0"/>
      <w:divBdr>
        <w:top w:val="none" w:sz="0" w:space="0" w:color="auto"/>
        <w:left w:val="none" w:sz="0" w:space="0" w:color="auto"/>
        <w:bottom w:val="none" w:sz="0" w:space="0" w:color="auto"/>
        <w:right w:val="none" w:sz="0" w:space="0" w:color="auto"/>
      </w:divBdr>
    </w:div>
    <w:div w:id="1553155550">
      <w:marLeft w:val="0"/>
      <w:marRight w:val="0"/>
      <w:marTop w:val="100"/>
      <w:marBottom w:val="0"/>
      <w:divBdr>
        <w:top w:val="none" w:sz="0" w:space="0" w:color="auto"/>
        <w:left w:val="none" w:sz="0" w:space="0" w:color="auto"/>
        <w:bottom w:val="none" w:sz="0" w:space="0" w:color="auto"/>
        <w:right w:val="none" w:sz="0" w:space="0" w:color="auto"/>
      </w:divBdr>
    </w:div>
    <w:div w:id="1554461549">
      <w:marLeft w:val="0"/>
      <w:marRight w:val="0"/>
      <w:marTop w:val="0"/>
      <w:marBottom w:val="0"/>
      <w:divBdr>
        <w:top w:val="none" w:sz="0" w:space="0" w:color="auto"/>
        <w:left w:val="none" w:sz="0" w:space="0" w:color="auto"/>
        <w:bottom w:val="none" w:sz="0" w:space="0" w:color="auto"/>
        <w:right w:val="none" w:sz="0" w:space="0" w:color="auto"/>
      </w:divBdr>
      <w:divsChild>
        <w:div w:id="1130901950">
          <w:marLeft w:val="0"/>
          <w:marRight w:val="0"/>
          <w:marTop w:val="0"/>
          <w:marBottom w:val="0"/>
          <w:divBdr>
            <w:top w:val="none" w:sz="0" w:space="0" w:color="auto"/>
            <w:left w:val="none" w:sz="0" w:space="0" w:color="auto"/>
            <w:bottom w:val="none" w:sz="0" w:space="0" w:color="auto"/>
            <w:right w:val="none" w:sz="0" w:space="0" w:color="auto"/>
          </w:divBdr>
        </w:div>
      </w:divsChild>
    </w:div>
    <w:div w:id="1555431529">
      <w:marLeft w:val="0"/>
      <w:marRight w:val="0"/>
      <w:marTop w:val="100"/>
      <w:marBottom w:val="0"/>
      <w:divBdr>
        <w:top w:val="none" w:sz="0" w:space="0" w:color="auto"/>
        <w:left w:val="none" w:sz="0" w:space="0" w:color="auto"/>
        <w:bottom w:val="none" w:sz="0" w:space="0" w:color="auto"/>
        <w:right w:val="none" w:sz="0" w:space="0" w:color="auto"/>
      </w:divBdr>
    </w:div>
    <w:div w:id="1556889072">
      <w:marLeft w:val="0"/>
      <w:marRight w:val="0"/>
      <w:marTop w:val="0"/>
      <w:marBottom w:val="0"/>
      <w:divBdr>
        <w:top w:val="none" w:sz="0" w:space="0" w:color="auto"/>
        <w:left w:val="none" w:sz="0" w:space="0" w:color="auto"/>
        <w:bottom w:val="none" w:sz="0" w:space="0" w:color="auto"/>
        <w:right w:val="none" w:sz="0" w:space="0" w:color="auto"/>
      </w:divBdr>
    </w:div>
    <w:div w:id="1557666331">
      <w:marLeft w:val="0"/>
      <w:marRight w:val="0"/>
      <w:marTop w:val="180"/>
      <w:marBottom w:val="0"/>
      <w:divBdr>
        <w:top w:val="none" w:sz="0" w:space="0" w:color="auto"/>
        <w:left w:val="none" w:sz="0" w:space="0" w:color="auto"/>
        <w:bottom w:val="none" w:sz="0" w:space="0" w:color="auto"/>
        <w:right w:val="none" w:sz="0" w:space="0" w:color="auto"/>
      </w:divBdr>
    </w:div>
    <w:div w:id="1562982376">
      <w:marLeft w:val="0"/>
      <w:marRight w:val="0"/>
      <w:marTop w:val="180"/>
      <w:marBottom w:val="0"/>
      <w:divBdr>
        <w:top w:val="none" w:sz="0" w:space="0" w:color="auto"/>
        <w:left w:val="none" w:sz="0" w:space="0" w:color="auto"/>
        <w:bottom w:val="none" w:sz="0" w:space="0" w:color="auto"/>
        <w:right w:val="none" w:sz="0" w:space="0" w:color="auto"/>
      </w:divBdr>
    </w:div>
    <w:div w:id="1567493971">
      <w:marLeft w:val="0"/>
      <w:marRight w:val="0"/>
      <w:marTop w:val="160"/>
      <w:marBottom w:val="0"/>
      <w:divBdr>
        <w:top w:val="none" w:sz="0" w:space="0" w:color="auto"/>
        <w:left w:val="none" w:sz="0" w:space="0" w:color="auto"/>
        <w:bottom w:val="none" w:sz="0" w:space="0" w:color="auto"/>
        <w:right w:val="none" w:sz="0" w:space="0" w:color="auto"/>
      </w:divBdr>
    </w:div>
    <w:div w:id="1567951846">
      <w:marLeft w:val="0"/>
      <w:marRight w:val="0"/>
      <w:marTop w:val="0"/>
      <w:marBottom w:val="0"/>
      <w:divBdr>
        <w:top w:val="none" w:sz="0" w:space="0" w:color="auto"/>
        <w:left w:val="none" w:sz="0" w:space="0" w:color="auto"/>
        <w:bottom w:val="none" w:sz="0" w:space="0" w:color="auto"/>
        <w:right w:val="none" w:sz="0" w:space="0" w:color="auto"/>
      </w:divBdr>
    </w:div>
    <w:div w:id="1570463068">
      <w:marLeft w:val="0"/>
      <w:marRight w:val="0"/>
      <w:marTop w:val="100"/>
      <w:marBottom w:val="100"/>
      <w:divBdr>
        <w:top w:val="none" w:sz="0" w:space="0" w:color="auto"/>
        <w:left w:val="none" w:sz="0" w:space="0" w:color="auto"/>
        <w:bottom w:val="none" w:sz="0" w:space="0" w:color="auto"/>
        <w:right w:val="none" w:sz="0" w:space="0" w:color="auto"/>
      </w:divBdr>
    </w:div>
    <w:div w:id="1572081909">
      <w:marLeft w:val="0"/>
      <w:marRight w:val="0"/>
      <w:marTop w:val="160"/>
      <w:marBottom w:val="0"/>
      <w:divBdr>
        <w:top w:val="none" w:sz="0" w:space="0" w:color="auto"/>
        <w:left w:val="none" w:sz="0" w:space="0" w:color="auto"/>
        <w:bottom w:val="none" w:sz="0" w:space="0" w:color="auto"/>
        <w:right w:val="none" w:sz="0" w:space="0" w:color="auto"/>
      </w:divBdr>
    </w:div>
    <w:div w:id="1578637023">
      <w:marLeft w:val="0"/>
      <w:marRight w:val="0"/>
      <w:marTop w:val="100"/>
      <w:marBottom w:val="0"/>
      <w:divBdr>
        <w:top w:val="none" w:sz="0" w:space="0" w:color="auto"/>
        <w:left w:val="none" w:sz="0" w:space="0" w:color="auto"/>
        <w:bottom w:val="none" w:sz="0" w:space="0" w:color="auto"/>
        <w:right w:val="none" w:sz="0" w:space="0" w:color="auto"/>
      </w:divBdr>
    </w:div>
    <w:div w:id="1585146772">
      <w:marLeft w:val="0"/>
      <w:marRight w:val="0"/>
      <w:marTop w:val="160"/>
      <w:marBottom w:val="0"/>
      <w:divBdr>
        <w:top w:val="none" w:sz="0" w:space="0" w:color="auto"/>
        <w:left w:val="none" w:sz="0" w:space="0" w:color="auto"/>
        <w:bottom w:val="none" w:sz="0" w:space="0" w:color="auto"/>
        <w:right w:val="none" w:sz="0" w:space="0" w:color="auto"/>
      </w:divBdr>
    </w:div>
    <w:div w:id="1591350235">
      <w:marLeft w:val="0"/>
      <w:marRight w:val="0"/>
      <w:marTop w:val="100"/>
      <w:marBottom w:val="0"/>
      <w:divBdr>
        <w:top w:val="none" w:sz="0" w:space="0" w:color="auto"/>
        <w:left w:val="none" w:sz="0" w:space="0" w:color="auto"/>
        <w:bottom w:val="none" w:sz="0" w:space="0" w:color="auto"/>
        <w:right w:val="none" w:sz="0" w:space="0" w:color="auto"/>
      </w:divBdr>
    </w:div>
    <w:div w:id="1592662196">
      <w:marLeft w:val="0"/>
      <w:marRight w:val="0"/>
      <w:marTop w:val="100"/>
      <w:marBottom w:val="0"/>
      <w:divBdr>
        <w:top w:val="none" w:sz="0" w:space="0" w:color="auto"/>
        <w:left w:val="none" w:sz="0" w:space="0" w:color="auto"/>
        <w:bottom w:val="none" w:sz="0" w:space="0" w:color="auto"/>
        <w:right w:val="none" w:sz="0" w:space="0" w:color="auto"/>
      </w:divBdr>
    </w:div>
    <w:div w:id="1595699672">
      <w:marLeft w:val="0"/>
      <w:marRight w:val="0"/>
      <w:marTop w:val="60"/>
      <w:marBottom w:val="0"/>
      <w:divBdr>
        <w:top w:val="none" w:sz="0" w:space="0" w:color="auto"/>
        <w:left w:val="none" w:sz="0" w:space="0" w:color="auto"/>
        <w:bottom w:val="none" w:sz="0" w:space="0" w:color="auto"/>
        <w:right w:val="none" w:sz="0" w:space="0" w:color="auto"/>
      </w:divBdr>
    </w:div>
    <w:div w:id="1600138342">
      <w:marLeft w:val="0"/>
      <w:marRight w:val="0"/>
      <w:marTop w:val="100"/>
      <w:marBottom w:val="0"/>
      <w:divBdr>
        <w:top w:val="none" w:sz="0" w:space="0" w:color="auto"/>
        <w:left w:val="none" w:sz="0" w:space="0" w:color="auto"/>
        <w:bottom w:val="none" w:sz="0" w:space="0" w:color="auto"/>
        <w:right w:val="none" w:sz="0" w:space="0" w:color="auto"/>
      </w:divBdr>
    </w:div>
    <w:div w:id="1601179251">
      <w:marLeft w:val="0"/>
      <w:marRight w:val="0"/>
      <w:marTop w:val="100"/>
      <w:marBottom w:val="0"/>
      <w:divBdr>
        <w:top w:val="none" w:sz="0" w:space="0" w:color="auto"/>
        <w:left w:val="none" w:sz="0" w:space="0" w:color="auto"/>
        <w:bottom w:val="none" w:sz="0" w:space="0" w:color="auto"/>
        <w:right w:val="none" w:sz="0" w:space="0" w:color="auto"/>
      </w:divBdr>
    </w:div>
    <w:div w:id="1608347182">
      <w:marLeft w:val="0"/>
      <w:marRight w:val="0"/>
      <w:marTop w:val="0"/>
      <w:marBottom w:val="0"/>
      <w:divBdr>
        <w:top w:val="none" w:sz="0" w:space="0" w:color="auto"/>
        <w:left w:val="none" w:sz="0" w:space="0" w:color="auto"/>
        <w:bottom w:val="none" w:sz="0" w:space="0" w:color="auto"/>
        <w:right w:val="none" w:sz="0" w:space="0" w:color="auto"/>
      </w:divBdr>
      <w:divsChild>
        <w:div w:id="441846026">
          <w:marLeft w:val="0"/>
          <w:marRight w:val="0"/>
          <w:marTop w:val="0"/>
          <w:marBottom w:val="0"/>
          <w:divBdr>
            <w:top w:val="none" w:sz="0" w:space="0" w:color="auto"/>
            <w:left w:val="none" w:sz="0" w:space="0" w:color="auto"/>
            <w:bottom w:val="none" w:sz="0" w:space="0" w:color="auto"/>
            <w:right w:val="none" w:sz="0" w:space="0" w:color="auto"/>
          </w:divBdr>
        </w:div>
      </w:divsChild>
    </w:div>
    <w:div w:id="1608659138">
      <w:marLeft w:val="0"/>
      <w:marRight w:val="0"/>
      <w:marTop w:val="100"/>
      <w:marBottom w:val="100"/>
      <w:divBdr>
        <w:top w:val="none" w:sz="0" w:space="0" w:color="auto"/>
        <w:left w:val="none" w:sz="0" w:space="0" w:color="auto"/>
        <w:bottom w:val="none" w:sz="0" w:space="0" w:color="auto"/>
        <w:right w:val="none" w:sz="0" w:space="0" w:color="auto"/>
      </w:divBdr>
    </w:div>
    <w:div w:id="1610817614">
      <w:marLeft w:val="0"/>
      <w:marRight w:val="0"/>
      <w:marTop w:val="100"/>
      <w:marBottom w:val="0"/>
      <w:divBdr>
        <w:top w:val="none" w:sz="0" w:space="0" w:color="auto"/>
        <w:left w:val="none" w:sz="0" w:space="0" w:color="auto"/>
        <w:bottom w:val="none" w:sz="0" w:space="0" w:color="auto"/>
        <w:right w:val="none" w:sz="0" w:space="0" w:color="auto"/>
      </w:divBdr>
    </w:div>
    <w:div w:id="1611818381">
      <w:marLeft w:val="0"/>
      <w:marRight w:val="0"/>
      <w:marTop w:val="0"/>
      <w:marBottom w:val="0"/>
      <w:divBdr>
        <w:top w:val="none" w:sz="0" w:space="0" w:color="auto"/>
        <w:left w:val="none" w:sz="0" w:space="0" w:color="auto"/>
        <w:bottom w:val="none" w:sz="0" w:space="0" w:color="auto"/>
        <w:right w:val="none" w:sz="0" w:space="0" w:color="auto"/>
      </w:divBdr>
      <w:divsChild>
        <w:div w:id="323820765">
          <w:marLeft w:val="0"/>
          <w:marRight w:val="0"/>
          <w:marTop w:val="100"/>
          <w:marBottom w:val="0"/>
          <w:divBdr>
            <w:top w:val="none" w:sz="0" w:space="0" w:color="auto"/>
            <w:left w:val="none" w:sz="0" w:space="0" w:color="auto"/>
            <w:bottom w:val="none" w:sz="0" w:space="0" w:color="auto"/>
            <w:right w:val="none" w:sz="0" w:space="0" w:color="auto"/>
          </w:divBdr>
        </w:div>
      </w:divsChild>
    </w:div>
    <w:div w:id="1613393465">
      <w:marLeft w:val="0"/>
      <w:marRight w:val="0"/>
      <w:marTop w:val="0"/>
      <w:marBottom w:val="0"/>
      <w:divBdr>
        <w:top w:val="none" w:sz="0" w:space="0" w:color="auto"/>
        <w:left w:val="none" w:sz="0" w:space="0" w:color="auto"/>
        <w:bottom w:val="none" w:sz="0" w:space="0" w:color="auto"/>
        <w:right w:val="none" w:sz="0" w:space="0" w:color="auto"/>
      </w:divBdr>
    </w:div>
    <w:div w:id="1614437587">
      <w:marLeft w:val="0"/>
      <w:marRight w:val="0"/>
      <w:marTop w:val="160"/>
      <w:marBottom w:val="0"/>
      <w:divBdr>
        <w:top w:val="none" w:sz="0" w:space="0" w:color="auto"/>
        <w:left w:val="none" w:sz="0" w:space="0" w:color="auto"/>
        <w:bottom w:val="none" w:sz="0" w:space="0" w:color="auto"/>
        <w:right w:val="none" w:sz="0" w:space="0" w:color="auto"/>
      </w:divBdr>
    </w:div>
    <w:div w:id="1616868118">
      <w:marLeft w:val="0"/>
      <w:marRight w:val="0"/>
      <w:marTop w:val="100"/>
      <w:marBottom w:val="0"/>
      <w:divBdr>
        <w:top w:val="none" w:sz="0" w:space="0" w:color="auto"/>
        <w:left w:val="none" w:sz="0" w:space="0" w:color="auto"/>
        <w:bottom w:val="none" w:sz="0" w:space="0" w:color="auto"/>
        <w:right w:val="none" w:sz="0" w:space="0" w:color="auto"/>
      </w:divBdr>
    </w:div>
    <w:div w:id="1620142267">
      <w:marLeft w:val="0"/>
      <w:marRight w:val="0"/>
      <w:marTop w:val="0"/>
      <w:marBottom w:val="0"/>
      <w:divBdr>
        <w:top w:val="none" w:sz="0" w:space="0" w:color="auto"/>
        <w:left w:val="none" w:sz="0" w:space="0" w:color="auto"/>
        <w:bottom w:val="none" w:sz="0" w:space="0" w:color="auto"/>
        <w:right w:val="none" w:sz="0" w:space="0" w:color="auto"/>
      </w:divBdr>
    </w:div>
    <w:div w:id="1627154320">
      <w:marLeft w:val="0"/>
      <w:marRight w:val="0"/>
      <w:marTop w:val="100"/>
      <w:marBottom w:val="0"/>
      <w:divBdr>
        <w:top w:val="none" w:sz="0" w:space="0" w:color="auto"/>
        <w:left w:val="none" w:sz="0" w:space="0" w:color="auto"/>
        <w:bottom w:val="none" w:sz="0" w:space="0" w:color="auto"/>
        <w:right w:val="none" w:sz="0" w:space="0" w:color="auto"/>
      </w:divBdr>
    </w:div>
    <w:div w:id="1632786006">
      <w:marLeft w:val="0"/>
      <w:marRight w:val="0"/>
      <w:marTop w:val="100"/>
      <w:marBottom w:val="0"/>
      <w:divBdr>
        <w:top w:val="none" w:sz="0" w:space="0" w:color="auto"/>
        <w:left w:val="none" w:sz="0" w:space="0" w:color="auto"/>
        <w:bottom w:val="none" w:sz="0" w:space="0" w:color="auto"/>
        <w:right w:val="none" w:sz="0" w:space="0" w:color="auto"/>
      </w:divBdr>
    </w:div>
    <w:div w:id="1640377290">
      <w:marLeft w:val="0"/>
      <w:marRight w:val="0"/>
      <w:marTop w:val="0"/>
      <w:marBottom w:val="0"/>
      <w:divBdr>
        <w:top w:val="none" w:sz="0" w:space="0" w:color="auto"/>
        <w:left w:val="none" w:sz="0" w:space="0" w:color="auto"/>
        <w:bottom w:val="none" w:sz="0" w:space="0" w:color="auto"/>
        <w:right w:val="none" w:sz="0" w:space="0" w:color="auto"/>
      </w:divBdr>
    </w:div>
    <w:div w:id="1641575157">
      <w:marLeft w:val="0"/>
      <w:marRight w:val="0"/>
      <w:marTop w:val="100"/>
      <w:marBottom w:val="0"/>
      <w:divBdr>
        <w:top w:val="none" w:sz="0" w:space="0" w:color="auto"/>
        <w:left w:val="none" w:sz="0" w:space="0" w:color="auto"/>
        <w:bottom w:val="none" w:sz="0" w:space="0" w:color="auto"/>
        <w:right w:val="none" w:sz="0" w:space="0" w:color="auto"/>
      </w:divBdr>
    </w:div>
    <w:div w:id="1646740534">
      <w:marLeft w:val="0"/>
      <w:marRight w:val="0"/>
      <w:marTop w:val="0"/>
      <w:marBottom w:val="0"/>
      <w:divBdr>
        <w:top w:val="none" w:sz="0" w:space="0" w:color="auto"/>
        <w:left w:val="none" w:sz="0" w:space="0" w:color="auto"/>
        <w:bottom w:val="none" w:sz="0" w:space="0" w:color="auto"/>
        <w:right w:val="none" w:sz="0" w:space="0" w:color="auto"/>
      </w:divBdr>
      <w:divsChild>
        <w:div w:id="41443577">
          <w:marLeft w:val="0"/>
          <w:marRight w:val="0"/>
          <w:marTop w:val="0"/>
          <w:marBottom w:val="0"/>
          <w:divBdr>
            <w:top w:val="none" w:sz="0" w:space="0" w:color="auto"/>
            <w:left w:val="none" w:sz="0" w:space="0" w:color="auto"/>
            <w:bottom w:val="none" w:sz="0" w:space="0" w:color="auto"/>
            <w:right w:val="none" w:sz="0" w:space="0" w:color="auto"/>
          </w:divBdr>
        </w:div>
      </w:divsChild>
    </w:div>
    <w:div w:id="1648196495">
      <w:marLeft w:val="0"/>
      <w:marRight w:val="0"/>
      <w:marTop w:val="0"/>
      <w:marBottom w:val="0"/>
      <w:divBdr>
        <w:top w:val="none" w:sz="0" w:space="0" w:color="auto"/>
        <w:left w:val="none" w:sz="0" w:space="0" w:color="auto"/>
        <w:bottom w:val="none" w:sz="0" w:space="0" w:color="auto"/>
        <w:right w:val="none" w:sz="0" w:space="0" w:color="auto"/>
      </w:divBdr>
    </w:div>
    <w:div w:id="1651404951">
      <w:marLeft w:val="0"/>
      <w:marRight w:val="0"/>
      <w:marTop w:val="100"/>
      <w:marBottom w:val="0"/>
      <w:divBdr>
        <w:top w:val="none" w:sz="0" w:space="0" w:color="auto"/>
        <w:left w:val="none" w:sz="0" w:space="0" w:color="auto"/>
        <w:bottom w:val="none" w:sz="0" w:space="0" w:color="auto"/>
        <w:right w:val="none" w:sz="0" w:space="0" w:color="auto"/>
      </w:divBdr>
    </w:div>
    <w:div w:id="1654750179">
      <w:marLeft w:val="0"/>
      <w:marRight w:val="0"/>
      <w:marTop w:val="0"/>
      <w:marBottom w:val="0"/>
      <w:divBdr>
        <w:top w:val="none" w:sz="0" w:space="0" w:color="auto"/>
        <w:left w:val="none" w:sz="0" w:space="0" w:color="auto"/>
        <w:bottom w:val="none" w:sz="0" w:space="0" w:color="auto"/>
        <w:right w:val="none" w:sz="0" w:space="0" w:color="auto"/>
      </w:divBdr>
    </w:div>
    <w:div w:id="1655257405">
      <w:marLeft w:val="0"/>
      <w:marRight w:val="0"/>
      <w:marTop w:val="180"/>
      <w:marBottom w:val="0"/>
      <w:divBdr>
        <w:top w:val="none" w:sz="0" w:space="0" w:color="auto"/>
        <w:left w:val="none" w:sz="0" w:space="0" w:color="auto"/>
        <w:bottom w:val="none" w:sz="0" w:space="0" w:color="auto"/>
        <w:right w:val="none" w:sz="0" w:space="0" w:color="auto"/>
      </w:divBdr>
    </w:div>
    <w:div w:id="1656257935">
      <w:marLeft w:val="0"/>
      <w:marRight w:val="0"/>
      <w:marTop w:val="100"/>
      <w:marBottom w:val="0"/>
      <w:divBdr>
        <w:top w:val="none" w:sz="0" w:space="0" w:color="auto"/>
        <w:left w:val="none" w:sz="0" w:space="0" w:color="auto"/>
        <w:bottom w:val="none" w:sz="0" w:space="0" w:color="auto"/>
        <w:right w:val="none" w:sz="0" w:space="0" w:color="auto"/>
      </w:divBdr>
    </w:div>
    <w:div w:id="1658344192">
      <w:marLeft w:val="0"/>
      <w:marRight w:val="0"/>
      <w:marTop w:val="0"/>
      <w:marBottom w:val="0"/>
      <w:divBdr>
        <w:top w:val="none" w:sz="0" w:space="0" w:color="auto"/>
        <w:left w:val="none" w:sz="0" w:space="0" w:color="auto"/>
        <w:bottom w:val="none" w:sz="0" w:space="0" w:color="auto"/>
        <w:right w:val="none" w:sz="0" w:space="0" w:color="auto"/>
      </w:divBdr>
      <w:divsChild>
        <w:div w:id="1554349674">
          <w:marLeft w:val="0"/>
          <w:marRight w:val="0"/>
          <w:marTop w:val="0"/>
          <w:marBottom w:val="0"/>
          <w:divBdr>
            <w:top w:val="none" w:sz="0" w:space="0" w:color="auto"/>
            <w:left w:val="none" w:sz="0" w:space="0" w:color="auto"/>
            <w:bottom w:val="none" w:sz="0" w:space="0" w:color="auto"/>
            <w:right w:val="none" w:sz="0" w:space="0" w:color="auto"/>
          </w:divBdr>
        </w:div>
      </w:divsChild>
    </w:div>
    <w:div w:id="1659726441">
      <w:marLeft w:val="0"/>
      <w:marRight w:val="0"/>
      <w:marTop w:val="100"/>
      <w:marBottom w:val="0"/>
      <w:divBdr>
        <w:top w:val="none" w:sz="0" w:space="0" w:color="auto"/>
        <w:left w:val="none" w:sz="0" w:space="0" w:color="auto"/>
        <w:bottom w:val="none" w:sz="0" w:space="0" w:color="auto"/>
        <w:right w:val="none" w:sz="0" w:space="0" w:color="auto"/>
      </w:divBdr>
    </w:div>
    <w:div w:id="1665668813">
      <w:marLeft w:val="0"/>
      <w:marRight w:val="0"/>
      <w:marTop w:val="100"/>
      <w:marBottom w:val="0"/>
      <w:divBdr>
        <w:top w:val="none" w:sz="0" w:space="0" w:color="auto"/>
        <w:left w:val="none" w:sz="0" w:space="0" w:color="auto"/>
        <w:bottom w:val="none" w:sz="0" w:space="0" w:color="auto"/>
        <w:right w:val="none" w:sz="0" w:space="0" w:color="auto"/>
      </w:divBdr>
    </w:div>
    <w:div w:id="1669286297">
      <w:marLeft w:val="0"/>
      <w:marRight w:val="0"/>
      <w:marTop w:val="180"/>
      <w:marBottom w:val="100"/>
      <w:divBdr>
        <w:top w:val="none" w:sz="0" w:space="0" w:color="auto"/>
        <w:left w:val="none" w:sz="0" w:space="0" w:color="auto"/>
        <w:bottom w:val="none" w:sz="0" w:space="0" w:color="auto"/>
        <w:right w:val="none" w:sz="0" w:space="0" w:color="auto"/>
      </w:divBdr>
      <w:divsChild>
        <w:div w:id="1853566077">
          <w:marLeft w:val="0"/>
          <w:marRight w:val="0"/>
          <w:marTop w:val="0"/>
          <w:marBottom w:val="0"/>
          <w:divBdr>
            <w:top w:val="none" w:sz="0" w:space="0" w:color="auto"/>
            <w:left w:val="none" w:sz="0" w:space="0" w:color="auto"/>
            <w:bottom w:val="none" w:sz="0" w:space="0" w:color="auto"/>
            <w:right w:val="none" w:sz="0" w:space="0" w:color="auto"/>
          </w:divBdr>
        </w:div>
        <w:div w:id="1481843869">
          <w:marLeft w:val="0"/>
          <w:marRight w:val="0"/>
          <w:marTop w:val="0"/>
          <w:marBottom w:val="0"/>
          <w:divBdr>
            <w:top w:val="none" w:sz="0" w:space="0" w:color="auto"/>
            <w:left w:val="none" w:sz="0" w:space="0" w:color="auto"/>
            <w:bottom w:val="none" w:sz="0" w:space="0" w:color="auto"/>
            <w:right w:val="none" w:sz="0" w:space="0" w:color="auto"/>
          </w:divBdr>
        </w:div>
      </w:divsChild>
    </w:div>
    <w:div w:id="1670405229">
      <w:marLeft w:val="0"/>
      <w:marRight w:val="0"/>
      <w:marTop w:val="0"/>
      <w:marBottom w:val="0"/>
      <w:divBdr>
        <w:top w:val="none" w:sz="0" w:space="0" w:color="auto"/>
        <w:left w:val="none" w:sz="0" w:space="0" w:color="auto"/>
        <w:bottom w:val="none" w:sz="0" w:space="0" w:color="auto"/>
        <w:right w:val="none" w:sz="0" w:space="0" w:color="auto"/>
      </w:divBdr>
      <w:divsChild>
        <w:div w:id="1651902077">
          <w:marLeft w:val="0"/>
          <w:marRight w:val="0"/>
          <w:marTop w:val="0"/>
          <w:marBottom w:val="0"/>
          <w:divBdr>
            <w:top w:val="none" w:sz="0" w:space="0" w:color="auto"/>
            <w:left w:val="none" w:sz="0" w:space="0" w:color="auto"/>
            <w:bottom w:val="none" w:sz="0" w:space="0" w:color="auto"/>
            <w:right w:val="none" w:sz="0" w:space="0" w:color="auto"/>
          </w:divBdr>
        </w:div>
      </w:divsChild>
    </w:div>
    <w:div w:id="1672025675">
      <w:marLeft w:val="0"/>
      <w:marRight w:val="0"/>
      <w:marTop w:val="180"/>
      <w:marBottom w:val="0"/>
      <w:divBdr>
        <w:top w:val="none" w:sz="0" w:space="0" w:color="auto"/>
        <w:left w:val="none" w:sz="0" w:space="0" w:color="auto"/>
        <w:bottom w:val="none" w:sz="0" w:space="0" w:color="auto"/>
        <w:right w:val="none" w:sz="0" w:space="0" w:color="auto"/>
      </w:divBdr>
    </w:div>
    <w:div w:id="1675263467">
      <w:marLeft w:val="0"/>
      <w:marRight w:val="0"/>
      <w:marTop w:val="0"/>
      <w:marBottom w:val="0"/>
      <w:divBdr>
        <w:top w:val="none" w:sz="0" w:space="0" w:color="auto"/>
        <w:left w:val="none" w:sz="0" w:space="0" w:color="auto"/>
        <w:bottom w:val="none" w:sz="0" w:space="0" w:color="auto"/>
        <w:right w:val="none" w:sz="0" w:space="0" w:color="auto"/>
      </w:divBdr>
      <w:divsChild>
        <w:div w:id="1954094138">
          <w:marLeft w:val="0"/>
          <w:marRight w:val="0"/>
          <w:marTop w:val="0"/>
          <w:marBottom w:val="0"/>
          <w:divBdr>
            <w:top w:val="none" w:sz="0" w:space="0" w:color="auto"/>
            <w:left w:val="none" w:sz="0" w:space="0" w:color="auto"/>
            <w:bottom w:val="none" w:sz="0" w:space="0" w:color="auto"/>
            <w:right w:val="none" w:sz="0" w:space="0" w:color="auto"/>
          </w:divBdr>
        </w:div>
      </w:divsChild>
    </w:div>
    <w:div w:id="1679890571">
      <w:marLeft w:val="0"/>
      <w:marRight w:val="0"/>
      <w:marTop w:val="0"/>
      <w:marBottom w:val="0"/>
      <w:divBdr>
        <w:top w:val="none" w:sz="0" w:space="0" w:color="auto"/>
        <w:left w:val="none" w:sz="0" w:space="0" w:color="auto"/>
        <w:bottom w:val="none" w:sz="0" w:space="0" w:color="auto"/>
        <w:right w:val="none" w:sz="0" w:space="0" w:color="auto"/>
      </w:divBdr>
    </w:div>
    <w:div w:id="1688558679">
      <w:marLeft w:val="0"/>
      <w:marRight w:val="0"/>
      <w:marTop w:val="100"/>
      <w:marBottom w:val="0"/>
      <w:divBdr>
        <w:top w:val="none" w:sz="0" w:space="0" w:color="auto"/>
        <w:left w:val="none" w:sz="0" w:space="0" w:color="auto"/>
        <w:bottom w:val="none" w:sz="0" w:space="0" w:color="auto"/>
        <w:right w:val="none" w:sz="0" w:space="0" w:color="auto"/>
      </w:divBdr>
    </w:div>
    <w:div w:id="1689717318">
      <w:marLeft w:val="0"/>
      <w:marRight w:val="0"/>
      <w:marTop w:val="100"/>
      <w:marBottom w:val="0"/>
      <w:divBdr>
        <w:top w:val="none" w:sz="0" w:space="0" w:color="auto"/>
        <w:left w:val="none" w:sz="0" w:space="0" w:color="auto"/>
        <w:bottom w:val="none" w:sz="0" w:space="0" w:color="auto"/>
        <w:right w:val="none" w:sz="0" w:space="0" w:color="auto"/>
      </w:divBdr>
    </w:div>
    <w:div w:id="1697542070">
      <w:marLeft w:val="0"/>
      <w:marRight w:val="0"/>
      <w:marTop w:val="0"/>
      <w:marBottom w:val="0"/>
      <w:divBdr>
        <w:top w:val="none" w:sz="0" w:space="0" w:color="auto"/>
        <w:left w:val="none" w:sz="0" w:space="0" w:color="auto"/>
        <w:bottom w:val="none" w:sz="0" w:space="0" w:color="auto"/>
        <w:right w:val="none" w:sz="0" w:space="0" w:color="auto"/>
      </w:divBdr>
    </w:div>
    <w:div w:id="1699744050">
      <w:marLeft w:val="0"/>
      <w:marRight w:val="0"/>
      <w:marTop w:val="0"/>
      <w:marBottom w:val="0"/>
      <w:divBdr>
        <w:top w:val="none" w:sz="0" w:space="0" w:color="auto"/>
        <w:left w:val="none" w:sz="0" w:space="0" w:color="auto"/>
        <w:bottom w:val="none" w:sz="0" w:space="0" w:color="auto"/>
        <w:right w:val="none" w:sz="0" w:space="0" w:color="auto"/>
      </w:divBdr>
      <w:divsChild>
        <w:div w:id="2083290504">
          <w:marLeft w:val="0"/>
          <w:marRight w:val="0"/>
          <w:marTop w:val="0"/>
          <w:marBottom w:val="0"/>
          <w:divBdr>
            <w:top w:val="none" w:sz="0" w:space="0" w:color="auto"/>
            <w:left w:val="none" w:sz="0" w:space="0" w:color="auto"/>
            <w:bottom w:val="none" w:sz="0" w:space="0" w:color="auto"/>
            <w:right w:val="none" w:sz="0" w:space="0" w:color="auto"/>
          </w:divBdr>
        </w:div>
      </w:divsChild>
    </w:div>
    <w:div w:id="1702824981">
      <w:marLeft w:val="0"/>
      <w:marRight w:val="0"/>
      <w:marTop w:val="0"/>
      <w:marBottom w:val="0"/>
      <w:divBdr>
        <w:top w:val="none" w:sz="0" w:space="0" w:color="auto"/>
        <w:left w:val="none" w:sz="0" w:space="0" w:color="auto"/>
        <w:bottom w:val="none" w:sz="0" w:space="0" w:color="auto"/>
        <w:right w:val="none" w:sz="0" w:space="0" w:color="auto"/>
      </w:divBdr>
      <w:divsChild>
        <w:div w:id="187716106">
          <w:marLeft w:val="0"/>
          <w:marRight w:val="0"/>
          <w:marTop w:val="0"/>
          <w:marBottom w:val="0"/>
          <w:divBdr>
            <w:top w:val="none" w:sz="0" w:space="0" w:color="auto"/>
            <w:left w:val="none" w:sz="0" w:space="0" w:color="auto"/>
            <w:bottom w:val="none" w:sz="0" w:space="0" w:color="auto"/>
            <w:right w:val="none" w:sz="0" w:space="0" w:color="auto"/>
          </w:divBdr>
        </w:div>
      </w:divsChild>
    </w:div>
    <w:div w:id="1705907872">
      <w:marLeft w:val="0"/>
      <w:marRight w:val="0"/>
      <w:marTop w:val="100"/>
      <w:marBottom w:val="0"/>
      <w:divBdr>
        <w:top w:val="none" w:sz="0" w:space="0" w:color="auto"/>
        <w:left w:val="none" w:sz="0" w:space="0" w:color="auto"/>
        <w:bottom w:val="none" w:sz="0" w:space="0" w:color="auto"/>
        <w:right w:val="none" w:sz="0" w:space="0" w:color="auto"/>
      </w:divBdr>
    </w:div>
    <w:div w:id="1705984154">
      <w:marLeft w:val="0"/>
      <w:marRight w:val="0"/>
      <w:marTop w:val="100"/>
      <w:marBottom w:val="0"/>
      <w:divBdr>
        <w:top w:val="none" w:sz="0" w:space="0" w:color="auto"/>
        <w:left w:val="none" w:sz="0" w:space="0" w:color="auto"/>
        <w:bottom w:val="none" w:sz="0" w:space="0" w:color="auto"/>
        <w:right w:val="none" w:sz="0" w:space="0" w:color="auto"/>
      </w:divBdr>
    </w:div>
    <w:div w:id="1706368730">
      <w:marLeft w:val="0"/>
      <w:marRight w:val="0"/>
      <w:marTop w:val="100"/>
      <w:marBottom w:val="0"/>
      <w:divBdr>
        <w:top w:val="none" w:sz="0" w:space="0" w:color="auto"/>
        <w:left w:val="none" w:sz="0" w:space="0" w:color="auto"/>
        <w:bottom w:val="none" w:sz="0" w:space="0" w:color="auto"/>
        <w:right w:val="none" w:sz="0" w:space="0" w:color="auto"/>
      </w:divBdr>
    </w:div>
    <w:div w:id="1710257737">
      <w:marLeft w:val="0"/>
      <w:marRight w:val="0"/>
      <w:marTop w:val="100"/>
      <w:marBottom w:val="100"/>
      <w:divBdr>
        <w:top w:val="none" w:sz="0" w:space="0" w:color="auto"/>
        <w:left w:val="none" w:sz="0" w:space="0" w:color="auto"/>
        <w:bottom w:val="none" w:sz="0" w:space="0" w:color="auto"/>
        <w:right w:val="none" w:sz="0" w:space="0" w:color="auto"/>
      </w:divBdr>
      <w:divsChild>
        <w:div w:id="1053891503">
          <w:marLeft w:val="0"/>
          <w:marRight w:val="0"/>
          <w:marTop w:val="0"/>
          <w:marBottom w:val="0"/>
          <w:divBdr>
            <w:top w:val="none" w:sz="0" w:space="0" w:color="auto"/>
            <w:left w:val="none" w:sz="0" w:space="0" w:color="auto"/>
            <w:bottom w:val="none" w:sz="0" w:space="0" w:color="auto"/>
            <w:right w:val="none" w:sz="0" w:space="0" w:color="auto"/>
          </w:divBdr>
        </w:div>
      </w:divsChild>
    </w:div>
    <w:div w:id="1710639957">
      <w:marLeft w:val="0"/>
      <w:marRight w:val="0"/>
      <w:marTop w:val="160"/>
      <w:marBottom w:val="0"/>
      <w:divBdr>
        <w:top w:val="none" w:sz="0" w:space="0" w:color="auto"/>
        <w:left w:val="none" w:sz="0" w:space="0" w:color="auto"/>
        <w:bottom w:val="none" w:sz="0" w:space="0" w:color="auto"/>
        <w:right w:val="none" w:sz="0" w:space="0" w:color="auto"/>
      </w:divBdr>
    </w:div>
    <w:div w:id="1713991667">
      <w:marLeft w:val="0"/>
      <w:marRight w:val="0"/>
      <w:marTop w:val="100"/>
      <w:marBottom w:val="100"/>
      <w:divBdr>
        <w:top w:val="none" w:sz="0" w:space="0" w:color="auto"/>
        <w:left w:val="none" w:sz="0" w:space="0" w:color="auto"/>
        <w:bottom w:val="none" w:sz="0" w:space="0" w:color="auto"/>
        <w:right w:val="none" w:sz="0" w:space="0" w:color="auto"/>
      </w:divBdr>
      <w:divsChild>
        <w:div w:id="1647860844">
          <w:marLeft w:val="0"/>
          <w:marRight w:val="0"/>
          <w:marTop w:val="0"/>
          <w:marBottom w:val="0"/>
          <w:divBdr>
            <w:top w:val="none" w:sz="0" w:space="0" w:color="auto"/>
            <w:left w:val="none" w:sz="0" w:space="0" w:color="auto"/>
            <w:bottom w:val="none" w:sz="0" w:space="0" w:color="auto"/>
            <w:right w:val="none" w:sz="0" w:space="0" w:color="auto"/>
          </w:divBdr>
        </w:div>
      </w:divsChild>
    </w:div>
    <w:div w:id="1719434155">
      <w:marLeft w:val="0"/>
      <w:marRight w:val="0"/>
      <w:marTop w:val="0"/>
      <w:marBottom w:val="0"/>
      <w:divBdr>
        <w:top w:val="none" w:sz="0" w:space="0" w:color="auto"/>
        <w:left w:val="none" w:sz="0" w:space="0" w:color="auto"/>
        <w:bottom w:val="none" w:sz="0" w:space="0" w:color="auto"/>
        <w:right w:val="none" w:sz="0" w:space="0" w:color="auto"/>
      </w:divBdr>
      <w:divsChild>
        <w:div w:id="132530263">
          <w:marLeft w:val="0"/>
          <w:marRight w:val="0"/>
          <w:marTop w:val="0"/>
          <w:marBottom w:val="0"/>
          <w:divBdr>
            <w:top w:val="none" w:sz="0" w:space="0" w:color="auto"/>
            <w:left w:val="none" w:sz="0" w:space="0" w:color="auto"/>
            <w:bottom w:val="none" w:sz="0" w:space="0" w:color="auto"/>
            <w:right w:val="none" w:sz="0" w:space="0" w:color="auto"/>
          </w:divBdr>
        </w:div>
      </w:divsChild>
    </w:div>
    <w:div w:id="1721585805">
      <w:marLeft w:val="0"/>
      <w:marRight w:val="0"/>
      <w:marTop w:val="0"/>
      <w:marBottom w:val="0"/>
      <w:divBdr>
        <w:top w:val="none" w:sz="0" w:space="0" w:color="auto"/>
        <w:left w:val="none" w:sz="0" w:space="0" w:color="auto"/>
        <w:bottom w:val="none" w:sz="0" w:space="0" w:color="auto"/>
        <w:right w:val="none" w:sz="0" w:space="0" w:color="auto"/>
      </w:divBdr>
      <w:divsChild>
        <w:div w:id="1227376334">
          <w:marLeft w:val="0"/>
          <w:marRight w:val="0"/>
          <w:marTop w:val="100"/>
          <w:marBottom w:val="0"/>
          <w:divBdr>
            <w:top w:val="none" w:sz="0" w:space="0" w:color="auto"/>
            <w:left w:val="none" w:sz="0" w:space="0" w:color="auto"/>
            <w:bottom w:val="none" w:sz="0" w:space="0" w:color="auto"/>
            <w:right w:val="none" w:sz="0" w:space="0" w:color="auto"/>
          </w:divBdr>
        </w:div>
      </w:divsChild>
    </w:div>
    <w:div w:id="1723673841">
      <w:marLeft w:val="0"/>
      <w:marRight w:val="0"/>
      <w:marTop w:val="100"/>
      <w:marBottom w:val="0"/>
      <w:divBdr>
        <w:top w:val="none" w:sz="0" w:space="0" w:color="auto"/>
        <w:left w:val="none" w:sz="0" w:space="0" w:color="auto"/>
        <w:bottom w:val="none" w:sz="0" w:space="0" w:color="auto"/>
        <w:right w:val="none" w:sz="0" w:space="0" w:color="auto"/>
      </w:divBdr>
    </w:div>
    <w:div w:id="1727098339">
      <w:marLeft w:val="0"/>
      <w:marRight w:val="0"/>
      <w:marTop w:val="100"/>
      <w:marBottom w:val="0"/>
      <w:divBdr>
        <w:top w:val="none" w:sz="0" w:space="0" w:color="auto"/>
        <w:left w:val="none" w:sz="0" w:space="0" w:color="auto"/>
        <w:bottom w:val="none" w:sz="0" w:space="0" w:color="auto"/>
        <w:right w:val="none" w:sz="0" w:space="0" w:color="auto"/>
      </w:divBdr>
    </w:div>
    <w:div w:id="1727290527">
      <w:marLeft w:val="0"/>
      <w:marRight w:val="0"/>
      <w:marTop w:val="0"/>
      <w:marBottom w:val="100"/>
      <w:divBdr>
        <w:top w:val="none" w:sz="0" w:space="0" w:color="auto"/>
        <w:left w:val="none" w:sz="0" w:space="0" w:color="auto"/>
        <w:bottom w:val="none" w:sz="0" w:space="0" w:color="auto"/>
        <w:right w:val="none" w:sz="0" w:space="0" w:color="auto"/>
      </w:divBdr>
      <w:divsChild>
        <w:div w:id="997151758">
          <w:marLeft w:val="0"/>
          <w:marRight w:val="0"/>
          <w:marTop w:val="0"/>
          <w:marBottom w:val="0"/>
          <w:divBdr>
            <w:top w:val="none" w:sz="0" w:space="0" w:color="auto"/>
            <w:left w:val="none" w:sz="0" w:space="0" w:color="auto"/>
            <w:bottom w:val="none" w:sz="0" w:space="0" w:color="auto"/>
            <w:right w:val="none" w:sz="0" w:space="0" w:color="auto"/>
          </w:divBdr>
        </w:div>
      </w:divsChild>
    </w:div>
    <w:div w:id="1727799638">
      <w:marLeft w:val="0"/>
      <w:marRight w:val="0"/>
      <w:marTop w:val="100"/>
      <w:marBottom w:val="0"/>
      <w:divBdr>
        <w:top w:val="none" w:sz="0" w:space="0" w:color="auto"/>
        <w:left w:val="none" w:sz="0" w:space="0" w:color="auto"/>
        <w:bottom w:val="none" w:sz="0" w:space="0" w:color="auto"/>
        <w:right w:val="none" w:sz="0" w:space="0" w:color="auto"/>
      </w:divBdr>
    </w:div>
    <w:div w:id="1729723483">
      <w:marLeft w:val="0"/>
      <w:marRight w:val="0"/>
      <w:marTop w:val="100"/>
      <w:marBottom w:val="100"/>
      <w:divBdr>
        <w:top w:val="none" w:sz="0" w:space="0" w:color="auto"/>
        <w:left w:val="none" w:sz="0" w:space="0" w:color="auto"/>
        <w:bottom w:val="none" w:sz="0" w:space="0" w:color="auto"/>
        <w:right w:val="none" w:sz="0" w:space="0" w:color="auto"/>
      </w:divBdr>
    </w:div>
    <w:div w:id="1734892326">
      <w:marLeft w:val="0"/>
      <w:marRight w:val="0"/>
      <w:marTop w:val="0"/>
      <w:marBottom w:val="0"/>
      <w:divBdr>
        <w:top w:val="none" w:sz="0" w:space="0" w:color="auto"/>
        <w:left w:val="none" w:sz="0" w:space="0" w:color="auto"/>
        <w:bottom w:val="none" w:sz="0" w:space="0" w:color="auto"/>
        <w:right w:val="none" w:sz="0" w:space="0" w:color="auto"/>
      </w:divBdr>
    </w:div>
    <w:div w:id="1739328415">
      <w:marLeft w:val="0"/>
      <w:marRight w:val="0"/>
      <w:marTop w:val="100"/>
      <w:marBottom w:val="100"/>
      <w:divBdr>
        <w:top w:val="none" w:sz="0" w:space="0" w:color="auto"/>
        <w:left w:val="none" w:sz="0" w:space="0" w:color="auto"/>
        <w:bottom w:val="none" w:sz="0" w:space="0" w:color="auto"/>
        <w:right w:val="none" w:sz="0" w:space="0" w:color="auto"/>
      </w:divBdr>
      <w:divsChild>
        <w:div w:id="1726642101">
          <w:marLeft w:val="0"/>
          <w:marRight w:val="0"/>
          <w:marTop w:val="0"/>
          <w:marBottom w:val="0"/>
          <w:divBdr>
            <w:top w:val="none" w:sz="0" w:space="0" w:color="auto"/>
            <w:left w:val="none" w:sz="0" w:space="0" w:color="auto"/>
            <w:bottom w:val="none" w:sz="0" w:space="0" w:color="auto"/>
            <w:right w:val="none" w:sz="0" w:space="0" w:color="auto"/>
          </w:divBdr>
        </w:div>
      </w:divsChild>
    </w:div>
    <w:div w:id="1744523701">
      <w:marLeft w:val="0"/>
      <w:marRight w:val="0"/>
      <w:marTop w:val="0"/>
      <w:marBottom w:val="0"/>
      <w:divBdr>
        <w:top w:val="none" w:sz="0" w:space="0" w:color="auto"/>
        <w:left w:val="none" w:sz="0" w:space="0" w:color="auto"/>
        <w:bottom w:val="none" w:sz="0" w:space="0" w:color="auto"/>
        <w:right w:val="none" w:sz="0" w:space="0" w:color="auto"/>
      </w:divBdr>
      <w:divsChild>
        <w:div w:id="165944088">
          <w:marLeft w:val="0"/>
          <w:marRight w:val="0"/>
          <w:marTop w:val="100"/>
          <w:marBottom w:val="0"/>
          <w:divBdr>
            <w:top w:val="none" w:sz="0" w:space="0" w:color="auto"/>
            <w:left w:val="none" w:sz="0" w:space="0" w:color="auto"/>
            <w:bottom w:val="none" w:sz="0" w:space="0" w:color="auto"/>
            <w:right w:val="none" w:sz="0" w:space="0" w:color="auto"/>
          </w:divBdr>
        </w:div>
      </w:divsChild>
    </w:div>
    <w:div w:id="1744983994">
      <w:marLeft w:val="0"/>
      <w:marRight w:val="0"/>
      <w:marTop w:val="100"/>
      <w:marBottom w:val="0"/>
      <w:divBdr>
        <w:top w:val="none" w:sz="0" w:space="0" w:color="auto"/>
        <w:left w:val="none" w:sz="0" w:space="0" w:color="auto"/>
        <w:bottom w:val="none" w:sz="0" w:space="0" w:color="auto"/>
        <w:right w:val="none" w:sz="0" w:space="0" w:color="auto"/>
      </w:divBdr>
    </w:div>
    <w:div w:id="1746293629">
      <w:marLeft w:val="0"/>
      <w:marRight w:val="0"/>
      <w:marTop w:val="0"/>
      <w:marBottom w:val="0"/>
      <w:divBdr>
        <w:top w:val="none" w:sz="0" w:space="0" w:color="auto"/>
        <w:left w:val="none" w:sz="0" w:space="0" w:color="auto"/>
        <w:bottom w:val="none" w:sz="0" w:space="0" w:color="auto"/>
        <w:right w:val="none" w:sz="0" w:space="0" w:color="auto"/>
      </w:divBdr>
    </w:div>
    <w:div w:id="1746492079">
      <w:marLeft w:val="0"/>
      <w:marRight w:val="0"/>
      <w:marTop w:val="0"/>
      <w:marBottom w:val="0"/>
      <w:divBdr>
        <w:top w:val="none" w:sz="0" w:space="0" w:color="auto"/>
        <w:left w:val="none" w:sz="0" w:space="0" w:color="auto"/>
        <w:bottom w:val="none" w:sz="0" w:space="0" w:color="auto"/>
        <w:right w:val="none" w:sz="0" w:space="0" w:color="auto"/>
      </w:divBdr>
      <w:divsChild>
        <w:div w:id="1868255467">
          <w:marLeft w:val="0"/>
          <w:marRight w:val="0"/>
          <w:marTop w:val="100"/>
          <w:marBottom w:val="0"/>
          <w:divBdr>
            <w:top w:val="none" w:sz="0" w:space="0" w:color="auto"/>
            <w:left w:val="none" w:sz="0" w:space="0" w:color="auto"/>
            <w:bottom w:val="none" w:sz="0" w:space="0" w:color="auto"/>
            <w:right w:val="none" w:sz="0" w:space="0" w:color="auto"/>
          </w:divBdr>
        </w:div>
      </w:divsChild>
    </w:div>
    <w:div w:id="1749037663">
      <w:marLeft w:val="0"/>
      <w:marRight w:val="0"/>
      <w:marTop w:val="100"/>
      <w:marBottom w:val="0"/>
      <w:divBdr>
        <w:top w:val="none" w:sz="0" w:space="0" w:color="auto"/>
        <w:left w:val="none" w:sz="0" w:space="0" w:color="auto"/>
        <w:bottom w:val="none" w:sz="0" w:space="0" w:color="auto"/>
        <w:right w:val="none" w:sz="0" w:space="0" w:color="auto"/>
      </w:divBdr>
    </w:div>
    <w:div w:id="1751543237">
      <w:marLeft w:val="0"/>
      <w:marRight w:val="0"/>
      <w:marTop w:val="180"/>
      <w:marBottom w:val="0"/>
      <w:divBdr>
        <w:top w:val="none" w:sz="0" w:space="0" w:color="auto"/>
        <w:left w:val="none" w:sz="0" w:space="0" w:color="auto"/>
        <w:bottom w:val="none" w:sz="0" w:space="0" w:color="auto"/>
        <w:right w:val="none" w:sz="0" w:space="0" w:color="auto"/>
      </w:divBdr>
    </w:div>
    <w:div w:id="1756323799">
      <w:marLeft w:val="0"/>
      <w:marRight w:val="0"/>
      <w:marTop w:val="0"/>
      <w:marBottom w:val="0"/>
      <w:divBdr>
        <w:top w:val="none" w:sz="0" w:space="0" w:color="auto"/>
        <w:left w:val="none" w:sz="0" w:space="0" w:color="auto"/>
        <w:bottom w:val="none" w:sz="0" w:space="0" w:color="auto"/>
        <w:right w:val="none" w:sz="0" w:space="0" w:color="auto"/>
      </w:divBdr>
      <w:divsChild>
        <w:div w:id="1874221702">
          <w:marLeft w:val="0"/>
          <w:marRight w:val="0"/>
          <w:marTop w:val="100"/>
          <w:marBottom w:val="0"/>
          <w:divBdr>
            <w:top w:val="none" w:sz="0" w:space="0" w:color="auto"/>
            <w:left w:val="none" w:sz="0" w:space="0" w:color="auto"/>
            <w:bottom w:val="none" w:sz="0" w:space="0" w:color="auto"/>
            <w:right w:val="none" w:sz="0" w:space="0" w:color="auto"/>
          </w:divBdr>
        </w:div>
      </w:divsChild>
    </w:div>
    <w:div w:id="1759980740">
      <w:marLeft w:val="0"/>
      <w:marRight w:val="0"/>
      <w:marTop w:val="100"/>
      <w:marBottom w:val="0"/>
      <w:divBdr>
        <w:top w:val="none" w:sz="0" w:space="0" w:color="auto"/>
        <w:left w:val="none" w:sz="0" w:space="0" w:color="auto"/>
        <w:bottom w:val="none" w:sz="0" w:space="0" w:color="auto"/>
        <w:right w:val="none" w:sz="0" w:space="0" w:color="auto"/>
      </w:divBdr>
    </w:div>
    <w:div w:id="1761177469">
      <w:marLeft w:val="0"/>
      <w:marRight w:val="0"/>
      <w:marTop w:val="160"/>
      <w:marBottom w:val="0"/>
      <w:divBdr>
        <w:top w:val="none" w:sz="0" w:space="0" w:color="auto"/>
        <w:left w:val="none" w:sz="0" w:space="0" w:color="auto"/>
        <w:bottom w:val="none" w:sz="0" w:space="0" w:color="auto"/>
        <w:right w:val="none" w:sz="0" w:space="0" w:color="auto"/>
      </w:divBdr>
    </w:div>
    <w:div w:id="1764186742">
      <w:marLeft w:val="0"/>
      <w:marRight w:val="0"/>
      <w:marTop w:val="0"/>
      <w:marBottom w:val="160"/>
      <w:divBdr>
        <w:top w:val="none" w:sz="0" w:space="0" w:color="auto"/>
        <w:left w:val="none" w:sz="0" w:space="0" w:color="auto"/>
        <w:bottom w:val="none" w:sz="0" w:space="0" w:color="auto"/>
        <w:right w:val="none" w:sz="0" w:space="0" w:color="auto"/>
      </w:divBdr>
    </w:div>
    <w:div w:id="1770005318">
      <w:marLeft w:val="0"/>
      <w:marRight w:val="0"/>
      <w:marTop w:val="0"/>
      <w:marBottom w:val="0"/>
      <w:divBdr>
        <w:top w:val="none" w:sz="0" w:space="0" w:color="auto"/>
        <w:left w:val="none" w:sz="0" w:space="0" w:color="auto"/>
        <w:bottom w:val="none" w:sz="0" w:space="0" w:color="auto"/>
        <w:right w:val="none" w:sz="0" w:space="0" w:color="auto"/>
      </w:divBdr>
      <w:divsChild>
        <w:div w:id="740251837">
          <w:marLeft w:val="0"/>
          <w:marRight w:val="0"/>
          <w:marTop w:val="0"/>
          <w:marBottom w:val="0"/>
          <w:divBdr>
            <w:top w:val="none" w:sz="0" w:space="0" w:color="auto"/>
            <w:left w:val="none" w:sz="0" w:space="0" w:color="auto"/>
            <w:bottom w:val="none" w:sz="0" w:space="0" w:color="auto"/>
            <w:right w:val="none" w:sz="0" w:space="0" w:color="auto"/>
          </w:divBdr>
        </w:div>
      </w:divsChild>
    </w:div>
    <w:div w:id="1776632520">
      <w:marLeft w:val="0"/>
      <w:marRight w:val="0"/>
      <w:marTop w:val="0"/>
      <w:marBottom w:val="0"/>
      <w:divBdr>
        <w:top w:val="none" w:sz="0" w:space="0" w:color="auto"/>
        <w:left w:val="none" w:sz="0" w:space="0" w:color="auto"/>
        <w:bottom w:val="none" w:sz="0" w:space="0" w:color="auto"/>
        <w:right w:val="none" w:sz="0" w:space="0" w:color="auto"/>
      </w:divBdr>
    </w:div>
    <w:div w:id="1778597281">
      <w:marLeft w:val="0"/>
      <w:marRight w:val="0"/>
      <w:marTop w:val="100"/>
      <w:marBottom w:val="0"/>
      <w:divBdr>
        <w:top w:val="none" w:sz="0" w:space="0" w:color="auto"/>
        <w:left w:val="none" w:sz="0" w:space="0" w:color="auto"/>
        <w:bottom w:val="none" w:sz="0" w:space="0" w:color="auto"/>
        <w:right w:val="none" w:sz="0" w:space="0" w:color="auto"/>
      </w:divBdr>
    </w:div>
    <w:div w:id="1781485529">
      <w:marLeft w:val="0"/>
      <w:marRight w:val="0"/>
      <w:marTop w:val="100"/>
      <w:marBottom w:val="0"/>
      <w:divBdr>
        <w:top w:val="none" w:sz="0" w:space="0" w:color="auto"/>
        <w:left w:val="none" w:sz="0" w:space="0" w:color="auto"/>
        <w:bottom w:val="none" w:sz="0" w:space="0" w:color="auto"/>
        <w:right w:val="none" w:sz="0" w:space="0" w:color="auto"/>
      </w:divBdr>
    </w:div>
    <w:div w:id="1791043905">
      <w:marLeft w:val="0"/>
      <w:marRight w:val="0"/>
      <w:marTop w:val="0"/>
      <w:marBottom w:val="0"/>
      <w:divBdr>
        <w:top w:val="none" w:sz="0" w:space="0" w:color="auto"/>
        <w:left w:val="none" w:sz="0" w:space="0" w:color="auto"/>
        <w:bottom w:val="none" w:sz="0" w:space="0" w:color="auto"/>
        <w:right w:val="none" w:sz="0" w:space="0" w:color="auto"/>
      </w:divBdr>
      <w:divsChild>
        <w:div w:id="1033843535">
          <w:marLeft w:val="0"/>
          <w:marRight w:val="0"/>
          <w:marTop w:val="0"/>
          <w:marBottom w:val="0"/>
          <w:divBdr>
            <w:top w:val="none" w:sz="0" w:space="0" w:color="auto"/>
            <w:left w:val="none" w:sz="0" w:space="0" w:color="auto"/>
            <w:bottom w:val="none" w:sz="0" w:space="0" w:color="auto"/>
            <w:right w:val="none" w:sz="0" w:space="0" w:color="auto"/>
          </w:divBdr>
        </w:div>
      </w:divsChild>
    </w:div>
    <w:div w:id="1794204937">
      <w:marLeft w:val="0"/>
      <w:marRight w:val="0"/>
      <w:marTop w:val="100"/>
      <w:marBottom w:val="0"/>
      <w:divBdr>
        <w:top w:val="none" w:sz="0" w:space="0" w:color="auto"/>
        <w:left w:val="none" w:sz="0" w:space="0" w:color="auto"/>
        <w:bottom w:val="none" w:sz="0" w:space="0" w:color="auto"/>
        <w:right w:val="none" w:sz="0" w:space="0" w:color="auto"/>
      </w:divBdr>
    </w:div>
    <w:div w:id="1799059047">
      <w:marLeft w:val="0"/>
      <w:marRight w:val="0"/>
      <w:marTop w:val="180"/>
      <w:marBottom w:val="0"/>
      <w:divBdr>
        <w:top w:val="none" w:sz="0" w:space="0" w:color="auto"/>
        <w:left w:val="none" w:sz="0" w:space="0" w:color="auto"/>
        <w:bottom w:val="none" w:sz="0" w:space="0" w:color="auto"/>
        <w:right w:val="none" w:sz="0" w:space="0" w:color="auto"/>
      </w:divBdr>
    </w:div>
    <w:div w:id="1800146152">
      <w:marLeft w:val="0"/>
      <w:marRight w:val="0"/>
      <w:marTop w:val="0"/>
      <w:marBottom w:val="0"/>
      <w:divBdr>
        <w:top w:val="none" w:sz="0" w:space="0" w:color="auto"/>
        <w:left w:val="none" w:sz="0" w:space="0" w:color="auto"/>
        <w:bottom w:val="none" w:sz="0" w:space="0" w:color="auto"/>
        <w:right w:val="none" w:sz="0" w:space="0" w:color="auto"/>
      </w:divBdr>
      <w:divsChild>
        <w:div w:id="1141311047">
          <w:marLeft w:val="0"/>
          <w:marRight w:val="0"/>
          <w:marTop w:val="0"/>
          <w:marBottom w:val="0"/>
          <w:divBdr>
            <w:top w:val="none" w:sz="0" w:space="0" w:color="auto"/>
            <w:left w:val="none" w:sz="0" w:space="0" w:color="auto"/>
            <w:bottom w:val="none" w:sz="0" w:space="0" w:color="auto"/>
            <w:right w:val="none" w:sz="0" w:space="0" w:color="auto"/>
          </w:divBdr>
        </w:div>
      </w:divsChild>
    </w:div>
    <w:div w:id="1800566517">
      <w:marLeft w:val="0"/>
      <w:marRight w:val="0"/>
      <w:marTop w:val="100"/>
      <w:marBottom w:val="0"/>
      <w:divBdr>
        <w:top w:val="none" w:sz="0" w:space="0" w:color="auto"/>
        <w:left w:val="none" w:sz="0" w:space="0" w:color="auto"/>
        <w:bottom w:val="none" w:sz="0" w:space="0" w:color="auto"/>
        <w:right w:val="none" w:sz="0" w:space="0" w:color="auto"/>
      </w:divBdr>
    </w:div>
    <w:div w:id="1801530283">
      <w:marLeft w:val="0"/>
      <w:marRight w:val="0"/>
      <w:marTop w:val="0"/>
      <w:marBottom w:val="0"/>
      <w:divBdr>
        <w:top w:val="none" w:sz="0" w:space="0" w:color="auto"/>
        <w:left w:val="none" w:sz="0" w:space="0" w:color="auto"/>
        <w:bottom w:val="none" w:sz="0" w:space="0" w:color="auto"/>
        <w:right w:val="none" w:sz="0" w:space="0" w:color="auto"/>
      </w:divBdr>
    </w:div>
    <w:div w:id="1806465403">
      <w:marLeft w:val="0"/>
      <w:marRight w:val="0"/>
      <w:marTop w:val="160"/>
      <w:marBottom w:val="0"/>
      <w:divBdr>
        <w:top w:val="none" w:sz="0" w:space="0" w:color="auto"/>
        <w:left w:val="none" w:sz="0" w:space="0" w:color="auto"/>
        <w:bottom w:val="none" w:sz="0" w:space="0" w:color="auto"/>
        <w:right w:val="none" w:sz="0" w:space="0" w:color="auto"/>
      </w:divBdr>
    </w:div>
    <w:div w:id="1809131329">
      <w:marLeft w:val="0"/>
      <w:marRight w:val="0"/>
      <w:marTop w:val="100"/>
      <w:marBottom w:val="0"/>
      <w:divBdr>
        <w:top w:val="none" w:sz="0" w:space="0" w:color="auto"/>
        <w:left w:val="none" w:sz="0" w:space="0" w:color="auto"/>
        <w:bottom w:val="none" w:sz="0" w:space="0" w:color="auto"/>
        <w:right w:val="none" w:sz="0" w:space="0" w:color="auto"/>
      </w:divBdr>
    </w:div>
    <w:div w:id="1809589397">
      <w:marLeft w:val="0"/>
      <w:marRight w:val="0"/>
      <w:marTop w:val="180"/>
      <w:marBottom w:val="0"/>
      <w:divBdr>
        <w:top w:val="none" w:sz="0" w:space="0" w:color="auto"/>
        <w:left w:val="none" w:sz="0" w:space="0" w:color="auto"/>
        <w:bottom w:val="none" w:sz="0" w:space="0" w:color="auto"/>
        <w:right w:val="none" w:sz="0" w:space="0" w:color="auto"/>
      </w:divBdr>
    </w:div>
    <w:div w:id="1815833146">
      <w:marLeft w:val="0"/>
      <w:marRight w:val="0"/>
      <w:marTop w:val="100"/>
      <w:marBottom w:val="0"/>
      <w:divBdr>
        <w:top w:val="none" w:sz="0" w:space="0" w:color="auto"/>
        <w:left w:val="none" w:sz="0" w:space="0" w:color="auto"/>
        <w:bottom w:val="none" w:sz="0" w:space="0" w:color="auto"/>
        <w:right w:val="none" w:sz="0" w:space="0" w:color="auto"/>
      </w:divBdr>
    </w:div>
    <w:div w:id="1819179926">
      <w:marLeft w:val="0"/>
      <w:marRight w:val="0"/>
      <w:marTop w:val="100"/>
      <w:marBottom w:val="100"/>
      <w:divBdr>
        <w:top w:val="none" w:sz="0" w:space="0" w:color="auto"/>
        <w:left w:val="none" w:sz="0" w:space="0" w:color="auto"/>
        <w:bottom w:val="none" w:sz="0" w:space="0" w:color="auto"/>
        <w:right w:val="none" w:sz="0" w:space="0" w:color="auto"/>
      </w:divBdr>
    </w:div>
    <w:div w:id="1820538114">
      <w:marLeft w:val="0"/>
      <w:marRight w:val="0"/>
      <w:marTop w:val="100"/>
      <w:marBottom w:val="0"/>
      <w:divBdr>
        <w:top w:val="none" w:sz="0" w:space="0" w:color="auto"/>
        <w:left w:val="none" w:sz="0" w:space="0" w:color="auto"/>
        <w:bottom w:val="none" w:sz="0" w:space="0" w:color="auto"/>
        <w:right w:val="none" w:sz="0" w:space="0" w:color="auto"/>
      </w:divBdr>
    </w:div>
    <w:div w:id="1820611535">
      <w:marLeft w:val="0"/>
      <w:marRight w:val="0"/>
      <w:marTop w:val="0"/>
      <w:marBottom w:val="0"/>
      <w:divBdr>
        <w:top w:val="none" w:sz="0" w:space="0" w:color="auto"/>
        <w:left w:val="none" w:sz="0" w:space="0" w:color="auto"/>
        <w:bottom w:val="none" w:sz="0" w:space="0" w:color="auto"/>
        <w:right w:val="none" w:sz="0" w:space="0" w:color="auto"/>
      </w:divBdr>
    </w:div>
    <w:div w:id="1824198755">
      <w:marLeft w:val="0"/>
      <w:marRight w:val="0"/>
      <w:marTop w:val="160"/>
      <w:marBottom w:val="0"/>
      <w:divBdr>
        <w:top w:val="none" w:sz="0" w:space="0" w:color="auto"/>
        <w:left w:val="none" w:sz="0" w:space="0" w:color="auto"/>
        <w:bottom w:val="none" w:sz="0" w:space="0" w:color="auto"/>
        <w:right w:val="none" w:sz="0" w:space="0" w:color="auto"/>
      </w:divBdr>
    </w:div>
    <w:div w:id="1827160741">
      <w:marLeft w:val="0"/>
      <w:marRight w:val="0"/>
      <w:marTop w:val="100"/>
      <w:marBottom w:val="0"/>
      <w:divBdr>
        <w:top w:val="none" w:sz="0" w:space="0" w:color="auto"/>
        <w:left w:val="none" w:sz="0" w:space="0" w:color="auto"/>
        <w:bottom w:val="none" w:sz="0" w:space="0" w:color="auto"/>
        <w:right w:val="none" w:sz="0" w:space="0" w:color="auto"/>
      </w:divBdr>
    </w:div>
    <w:div w:id="1837190773">
      <w:marLeft w:val="0"/>
      <w:marRight w:val="0"/>
      <w:marTop w:val="200"/>
      <w:marBottom w:val="100"/>
      <w:divBdr>
        <w:top w:val="none" w:sz="0" w:space="0" w:color="auto"/>
        <w:left w:val="none" w:sz="0" w:space="0" w:color="auto"/>
        <w:bottom w:val="none" w:sz="0" w:space="0" w:color="auto"/>
        <w:right w:val="none" w:sz="0" w:space="0" w:color="auto"/>
      </w:divBdr>
    </w:div>
    <w:div w:id="1844010291">
      <w:marLeft w:val="0"/>
      <w:marRight w:val="0"/>
      <w:marTop w:val="0"/>
      <w:marBottom w:val="0"/>
      <w:divBdr>
        <w:top w:val="none" w:sz="0" w:space="0" w:color="auto"/>
        <w:left w:val="none" w:sz="0" w:space="0" w:color="auto"/>
        <w:bottom w:val="none" w:sz="0" w:space="0" w:color="auto"/>
        <w:right w:val="none" w:sz="0" w:space="0" w:color="auto"/>
      </w:divBdr>
      <w:divsChild>
        <w:div w:id="514924419">
          <w:marLeft w:val="0"/>
          <w:marRight w:val="0"/>
          <w:marTop w:val="100"/>
          <w:marBottom w:val="0"/>
          <w:divBdr>
            <w:top w:val="none" w:sz="0" w:space="0" w:color="auto"/>
            <w:left w:val="none" w:sz="0" w:space="0" w:color="auto"/>
            <w:bottom w:val="none" w:sz="0" w:space="0" w:color="auto"/>
            <w:right w:val="none" w:sz="0" w:space="0" w:color="auto"/>
          </w:divBdr>
        </w:div>
      </w:divsChild>
    </w:div>
    <w:div w:id="1844776656">
      <w:marLeft w:val="0"/>
      <w:marRight w:val="0"/>
      <w:marTop w:val="100"/>
      <w:marBottom w:val="0"/>
      <w:divBdr>
        <w:top w:val="none" w:sz="0" w:space="0" w:color="auto"/>
        <w:left w:val="none" w:sz="0" w:space="0" w:color="auto"/>
        <w:bottom w:val="none" w:sz="0" w:space="0" w:color="auto"/>
        <w:right w:val="none" w:sz="0" w:space="0" w:color="auto"/>
      </w:divBdr>
    </w:div>
    <w:div w:id="1845513095">
      <w:marLeft w:val="0"/>
      <w:marRight w:val="0"/>
      <w:marTop w:val="100"/>
      <w:marBottom w:val="0"/>
      <w:divBdr>
        <w:top w:val="none" w:sz="0" w:space="0" w:color="auto"/>
        <w:left w:val="none" w:sz="0" w:space="0" w:color="auto"/>
        <w:bottom w:val="none" w:sz="0" w:space="0" w:color="auto"/>
        <w:right w:val="none" w:sz="0" w:space="0" w:color="auto"/>
      </w:divBdr>
    </w:div>
    <w:div w:id="1853572224">
      <w:marLeft w:val="0"/>
      <w:marRight w:val="0"/>
      <w:marTop w:val="180"/>
      <w:marBottom w:val="100"/>
      <w:divBdr>
        <w:top w:val="none" w:sz="0" w:space="0" w:color="auto"/>
        <w:left w:val="none" w:sz="0" w:space="0" w:color="auto"/>
        <w:bottom w:val="none" w:sz="0" w:space="0" w:color="auto"/>
        <w:right w:val="none" w:sz="0" w:space="0" w:color="auto"/>
      </w:divBdr>
      <w:divsChild>
        <w:div w:id="601650944">
          <w:marLeft w:val="0"/>
          <w:marRight w:val="0"/>
          <w:marTop w:val="0"/>
          <w:marBottom w:val="0"/>
          <w:divBdr>
            <w:top w:val="none" w:sz="0" w:space="0" w:color="auto"/>
            <w:left w:val="none" w:sz="0" w:space="0" w:color="auto"/>
            <w:bottom w:val="none" w:sz="0" w:space="0" w:color="auto"/>
            <w:right w:val="none" w:sz="0" w:space="0" w:color="auto"/>
          </w:divBdr>
        </w:div>
        <w:div w:id="1700470555">
          <w:marLeft w:val="0"/>
          <w:marRight w:val="0"/>
          <w:marTop w:val="0"/>
          <w:marBottom w:val="0"/>
          <w:divBdr>
            <w:top w:val="none" w:sz="0" w:space="0" w:color="auto"/>
            <w:left w:val="none" w:sz="0" w:space="0" w:color="auto"/>
            <w:bottom w:val="none" w:sz="0" w:space="0" w:color="auto"/>
            <w:right w:val="none" w:sz="0" w:space="0" w:color="auto"/>
          </w:divBdr>
        </w:div>
        <w:div w:id="1778603326">
          <w:marLeft w:val="0"/>
          <w:marRight w:val="0"/>
          <w:marTop w:val="0"/>
          <w:marBottom w:val="0"/>
          <w:divBdr>
            <w:top w:val="none" w:sz="0" w:space="0" w:color="auto"/>
            <w:left w:val="none" w:sz="0" w:space="0" w:color="auto"/>
            <w:bottom w:val="none" w:sz="0" w:space="0" w:color="auto"/>
            <w:right w:val="none" w:sz="0" w:space="0" w:color="auto"/>
          </w:divBdr>
        </w:div>
        <w:div w:id="1386760746">
          <w:marLeft w:val="0"/>
          <w:marRight w:val="0"/>
          <w:marTop w:val="0"/>
          <w:marBottom w:val="0"/>
          <w:divBdr>
            <w:top w:val="none" w:sz="0" w:space="0" w:color="auto"/>
            <w:left w:val="none" w:sz="0" w:space="0" w:color="auto"/>
            <w:bottom w:val="none" w:sz="0" w:space="0" w:color="auto"/>
            <w:right w:val="none" w:sz="0" w:space="0" w:color="auto"/>
          </w:divBdr>
        </w:div>
        <w:div w:id="1509835169">
          <w:marLeft w:val="0"/>
          <w:marRight w:val="0"/>
          <w:marTop w:val="0"/>
          <w:marBottom w:val="0"/>
          <w:divBdr>
            <w:top w:val="none" w:sz="0" w:space="0" w:color="auto"/>
            <w:left w:val="none" w:sz="0" w:space="0" w:color="auto"/>
            <w:bottom w:val="none" w:sz="0" w:space="0" w:color="auto"/>
            <w:right w:val="none" w:sz="0" w:space="0" w:color="auto"/>
          </w:divBdr>
        </w:div>
        <w:div w:id="1304575943">
          <w:marLeft w:val="0"/>
          <w:marRight w:val="0"/>
          <w:marTop w:val="0"/>
          <w:marBottom w:val="0"/>
          <w:divBdr>
            <w:top w:val="none" w:sz="0" w:space="0" w:color="auto"/>
            <w:left w:val="none" w:sz="0" w:space="0" w:color="auto"/>
            <w:bottom w:val="none" w:sz="0" w:space="0" w:color="auto"/>
            <w:right w:val="none" w:sz="0" w:space="0" w:color="auto"/>
          </w:divBdr>
        </w:div>
        <w:div w:id="1089812305">
          <w:marLeft w:val="0"/>
          <w:marRight w:val="0"/>
          <w:marTop w:val="0"/>
          <w:marBottom w:val="0"/>
          <w:divBdr>
            <w:top w:val="none" w:sz="0" w:space="0" w:color="auto"/>
            <w:left w:val="none" w:sz="0" w:space="0" w:color="auto"/>
            <w:bottom w:val="none" w:sz="0" w:space="0" w:color="auto"/>
            <w:right w:val="none" w:sz="0" w:space="0" w:color="auto"/>
          </w:divBdr>
        </w:div>
        <w:div w:id="807864852">
          <w:marLeft w:val="0"/>
          <w:marRight w:val="0"/>
          <w:marTop w:val="0"/>
          <w:marBottom w:val="0"/>
          <w:divBdr>
            <w:top w:val="none" w:sz="0" w:space="0" w:color="auto"/>
            <w:left w:val="none" w:sz="0" w:space="0" w:color="auto"/>
            <w:bottom w:val="none" w:sz="0" w:space="0" w:color="auto"/>
            <w:right w:val="none" w:sz="0" w:space="0" w:color="auto"/>
          </w:divBdr>
        </w:div>
        <w:div w:id="812677125">
          <w:marLeft w:val="0"/>
          <w:marRight w:val="0"/>
          <w:marTop w:val="0"/>
          <w:marBottom w:val="0"/>
          <w:divBdr>
            <w:top w:val="none" w:sz="0" w:space="0" w:color="auto"/>
            <w:left w:val="none" w:sz="0" w:space="0" w:color="auto"/>
            <w:bottom w:val="none" w:sz="0" w:space="0" w:color="auto"/>
            <w:right w:val="none" w:sz="0" w:space="0" w:color="auto"/>
          </w:divBdr>
        </w:div>
        <w:div w:id="9574147">
          <w:marLeft w:val="0"/>
          <w:marRight w:val="0"/>
          <w:marTop w:val="0"/>
          <w:marBottom w:val="0"/>
          <w:divBdr>
            <w:top w:val="none" w:sz="0" w:space="0" w:color="auto"/>
            <w:left w:val="none" w:sz="0" w:space="0" w:color="auto"/>
            <w:bottom w:val="none" w:sz="0" w:space="0" w:color="auto"/>
            <w:right w:val="none" w:sz="0" w:space="0" w:color="auto"/>
          </w:divBdr>
        </w:div>
        <w:div w:id="1754280944">
          <w:marLeft w:val="0"/>
          <w:marRight w:val="0"/>
          <w:marTop w:val="0"/>
          <w:marBottom w:val="0"/>
          <w:divBdr>
            <w:top w:val="none" w:sz="0" w:space="0" w:color="auto"/>
            <w:left w:val="none" w:sz="0" w:space="0" w:color="auto"/>
            <w:bottom w:val="none" w:sz="0" w:space="0" w:color="auto"/>
            <w:right w:val="none" w:sz="0" w:space="0" w:color="auto"/>
          </w:divBdr>
        </w:div>
        <w:div w:id="104741563">
          <w:marLeft w:val="0"/>
          <w:marRight w:val="0"/>
          <w:marTop w:val="0"/>
          <w:marBottom w:val="0"/>
          <w:divBdr>
            <w:top w:val="none" w:sz="0" w:space="0" w:color="auto"/>
            <w:left w:val="none" w:sz="0" w:space="0" w:color="auto"/>
            <w:bottom w:val="none" w:sz="0" w:space="0" w:color="auto"/>
            <w:right w:val="none" w:sz="0" w:space="0" w:color="auto"/>
          </w:divBdr>
        </w:div>
      </w:divsChild>
    </w:div>
    <w:div w:id="1854103686">
      <w:marLeft w:val="0"/>
      <w:marRight w:val="0"/>
      <w:marTop w:val="0"/>
      <w:marBottom w:val="0"/>
      <w:divBdr>
        <w:top w:val="none" w:sz="0" w:space="0" w:color="auto"/>
        <w:left w:val="none" w:sz="0" w:space="0" w:color="auto"/>
        <w:bottom w:val="none" w:sz="0" w:space="0" w:color="auto"/>
        <w:right w:val="none" w:sz="0" w:space="0" w:color="auto"/>
      </w:divBdr>
    </w:div>
    <w:div w:id="1854371484">
      <w:marLeft w:val="0"/>
      <w:marRight w:val="0"/>
      <w:marTop w:val="0"/>
      <w:marBottom w:val="0"/>
      <w:divBdr>
        <w:top w:val="none" w:sz="0" w:space="0" w:color="auto"/>
        <w:left w:val="none" w:sz="0" w:space="0" w:color="auto"/>
        <w:bottom w:val="none" w:sz="0" w:space="0" w:color="auto"/>
        <w:right w:val="none" w:sz="0" w:space="0" w:color="auto"/>
      </w:divBdr>
      <w:divsChild>
        <w:div w:id="1686594039">
          <w:marLeft w:val="0"/>
          <w:marRight w:val="0"/>
          <w:marTop w:val="0"/>
          <w:marBottom w:val="0"/>
          <w:divBdr>
            <w:top w:val="none" w:sz="0" w:space="0" w:color="auto"/>
            <w:left w:val="none" w:sz="0" w:space="0" w:color="auto"/>
            <w:bottom w:val="none" w:sz="0" w:space="0" w:color="auto"/>
            <w:right w:val="none" w:sz="0" w:space="0" w:color="auto"/>
          </w:divBdr>
        </w:div>
      </w:divsChild>
    </w:div>
    <w:div w:id="1854687696">
      <w:marLeft w:val="0"/>
      <w:marRight w:val="0"/>
      <w:marTop w:val="100"/>
      <w:marBottom w:val="0"/>
      <w:divBdr>
        <w:top w:val="none" w:sz="0" w:space="0" w:color="auto"/>
        <w:left w:val="none" w:sz="0" w:space="0" w:color="auto"/>
        <w:bottom w:val="none" w:sz="0" w:space="0" w:color="auto"/>
        <w:right w:val="none" w:sz="0" w:space="0" w:color="auto"/>
      </w:divBdr>
    </w:div>
    <w:div w:id="1857301675">
      <w:marLeft w:val="0"/>
      <w:marRight w:val="0"/>
      <w:marTop w:val="100"/>
      <w:marBottom w:val="0"/>
      <w:divBdr>
        <w:top w:val="none" w:sz="0" w:space="0" w:color="auto"/>
        <w:left w:val="none" w:sz="0" w:space="0" w:color="auto"/>
        <w:bottom w:val="none" w:sz="0" w:space="0" w:color="auto"/>
        <w:right w:val="none" w:sz="0" w:space="0" w:color="auto"/>
      </w:divBdr>
    </w:div>
    <w:div w:id="1858036326">
      <w:marLeft w:val="0"/>
      <w:marRight w:val="0"/>
      <w:marTop w:val="100"/>
      <w:marBottom w:val="0"/>
      <w:divBdr>
        <w:top w:val="none" w:sz="0" w:space="0" w:color="auto"/>
        <w:left w:val="none" w:sz="0" w:space="0" w:color="auto"/>
        <w:bottom w:val="none" w:sz="0" w:space="0" w:color="auto"/>
        <w:right w:val="none" w:sz="0" w:space="0" w:color="auto"/>
      </w:divBdr>
    </w:div>
    <w:div w:id="1865705026">
      <w:marLeft w:val="0"/>
      <w:marRight w:val="0"/>
      <w:marTop w:val="100"/>
      <w:marBottom w:val="0"/>
      <w:divBdr>
        <w:top w:val="none" w:sz="0" w:space="0" w:color="auto"/>
        <w:left w:val="none" w:sz="0" w:space="0" w:color="auto"/>
        <w:bottom w:val="none" w:sz="0" w:space="0" w:color="auto"/>
        <w:right w:val="none" w:sz="0" w:space="0" w:color="auto"/>
      </w:divBdr>
    </w:div>
    <w:div w:id="1868592988">
      <w:marLeft w:val="0"/>
      <w:marRight w:val="0"/>
      <w:marTop w:val="160"/>
      <w:marBottom w:val="0"/>
      <w:divBdr>
        <w:top w:val="none" w:sz="0" w:space="0" w:color="auto"/>
        <w:left w:val="none" w:sz="0" w:space="0" w:color="auto"/>
        <w:bottom w:val="none" w:sz="0" w:space="0" w:color="auto"/>
        <w:right w:val="none" w:sz="0" w:space="0" w:color="auto"/>
      </w:divBdr>
    </w:div>
    <w:div w:id="1871452917">
      <w:marLeft w:val="0"/>
      <w:marRight w:val="0"/>
      <w:marTop w:val="180"/>
      <w:marBottom w:val="100"/>
      <w:divBdr>
        <w:top w:val="none" w:sz="0" w:space="0" w:color="auto"/>
        <w:left w:val="none" w:sz="0" w:space="0" w:color="auto"/>
        <w:bottom w:val="none" w:sz="0" w:space="0" w:color="auto"/>
        <w:right w:val="none" w:sz="0" w:space="0" w:color="auto"/>
      </w:divBdr>
      <w:divsChild>
        <w:div w:id="1056857093">
          <w:marLeft w:val="0"/>
          <w:marRight w:val="0"/>
          <w:marTop w:val="0"/>
          <w:marBottom w:val="0"/>
          <w:divBdr>
            <w:top w:val="none" w:sz="0" w:space="0" w:color="auto"/>
            <w:left w:val="none" w:sz="0" w:space="0" w:color="auto"/>
            <w:bottom w:val="none" w:sz="0" w:space="0" w:color="auto"/>
            <w:right w:val="none" w:sz="0" w:space="0" w:color="auto"/>
          </w:divBdr>
        </w:div>
        <w:div w:id="1580869911">
          <w:marLeft w:val="0"/>
          <w:marRight w:val="0"/>
          <w:marTop w:val="0"/>
          <w:marBottom w:val="0"/>
          <w:divBdr>
            <w:top w:val="none" w:sz="0" w:space="0" w:color="auto"/>
            <w:left w:val="none" w:sz="0" w:space="0" w:color="auto"/>
            <w:bottom w:val="none" w:sz="0" w:space="0" w:color="auto"/>
            <w:right w:val="none" w:sz="0" w:space="0" w:color="auto"/>
          </w:divBdr>
        </w:div>
        <w:div w:id="2120640547">
          <w:marLeft w:val="0"/>
          <w:marRight w:val="0"/>
          <w:marTop w:val="0"/>
          <w:marBottom w:val="0"/>
          <w:divBdr>
            <w:top w:val="none" w:sz="0" w:space="0" w:color="auto"/>
            <w:left w:val="none" w:sz="0" w:space="0" w:color="auto"/>
            <w:bottom w:val="none" w:sz="0" w:space="0" w:color="auto"/>
            <w:right w:val="none" w:sz="0" w:space="0" w:color="auto"/>
          </w:divBdr>
        </w:div>
        <w:div w:id="818378135">
          <w:marLeft w:val="0"/>
          <w:marRight w:val="0"/>
          <w:marTop w:val="0"/>
          <w:marBottom w:val="0"/>
          <w:divBdr>
            <w:top w:val="none" w:sz="0" w:space="0" w:color="auto"/>
            <w:left w:val="none" w:sz="0" w:space="0" w:color="auto"/>
            <w:bottom w:val="none" w:sz="0" w:space="0" w:color="auto"/>
            <w:right w:val="none" w:sz="0" w:space="0" w:color="auto"/>
          </w:divBdr>
        </w:div>
      </w:divsChild>
    </w:div>
    <w:div w:id="1875724537">
      <w:marLeft w:val="0"/>
      <w:marRight w:val="0"/>
      <w:marTop w:val="160"/>
      <w:marBottom w:val="0"/>
      <w:divBdr>
        <w:top w:val="none" w:sz="0" w:space="0" w:color="auto"/>
        <w:left w:val="none" w:sz="0" w:space="0" w:color="auto"/>
        <w:bottom w:val="none" w:sz="0" w:space="0" w:color="auto"/>
        <w:right w:val="none" w:sz="0" w:space="0" w:color="auto"/>
      </w:divBdr>
    </w:div>
    <w:div w:id="1877228573">
      <w:marLeft w:val="0"/>
      <w:marRight w:val="0"/>
      <w:marTop w:val="180"/>
      <w:marBottom w:val="0"/>
      <w:divBdr>
        <w:top w:val="none" w:sz="0" w:space="0" w:color="auto"/>
        <w:left w:val="none" w:sz="0" w:space="0" w:color="auto"/>
        <w:bottom w:val="none" w:sz="0" w:space="0" w:color="auto"/>
        <w:right w:val="none" w:sz="0" w:space="0" w:color="auto"/>
      </w:divBdr>
    </w:div>
    <w:div w:id="1886479135">
      <w:marLeft w:val="0"/>
      <w:marRight w:val="0"/>
      <w:marTop w:val="160"/>
      <w:marBottom w:val="0"/>
      <w:divBdr>
        <w:top w:val="none" w:sz="0" w:space="0" w:color="auto"/>
        <w:left w:val="none" w:sz="0" w:space="0" w:color="auto"/>
        <w:bottom w:val="none" w:sz="0" w:space="0" w:color="auto"/>
        <w:right w:val="none" w:sz="0" w:space="0" w:color="auto"/>
      </w:divBdr>
    </w:div>
    <w:div w:id="1890648915">
      <w:marLeft w:val="0"/>
      <w:marRight w:val="0"/>
      <w:marTop w:val="100"/>
      <w:marBottom w:val="100"/>
      <w:divBdr>
        <w:top w:val="none" w:sz="0" w:space="0" w:color="auto"/>
        <w:left w:val="none" w:sz="0" w:space="0" w:color="auto"/>
        <w:bottom w:val="none" w:sz="0" w:space="0" w:color="auto"/>
        <w:right w:val="none" w:sz="0" w:space="0" w:color="auto"/>
      </w:divBdr>
      <w:divsChild>
        <w:div w:id="1648238842">
          <w:marLeft w:val="0"/>
          <w:marRight w:val="0"/>
          <w:marTop w:val="0"/>
          <w:marBottom w:val="0"/>
          <w:divBdr>
            <w:top w:val="none" w:sz="0" w:space="0" w:color="auto"/>
            <w:left w:val="none" w:sz="0" w:space="0" w:color="auto"/>
            <w:bottom w:val="none" w:sz="0" w:space="0" w:color="auto"/>
            <w:right w:val="none" w:sz="0" w:space="0" w:color="auto"/>
          </w:divBdr>
        </w:div>
      </w:divsChild>
    </w:div>
    <w:div w:id="1890997244">
      <w:marLeft w:val="0"/>
      <w:marRight w:val="0"/>
      <w:marTop w:val="100"/>
      <w:marBottom w:val="0"/>
      <w:divBdr>
        <w:top w:val="none" w:sz="0" w:space="0" w:color="auto"/>
        <w:left w:val="none" w:sz="0" w:space="0" w:color="auto"/>
        <w:bottom w:val="none" w:sz="0" w:space="0" w:color="auto"/>
        <w:right w:val="none" w:sz="0" w:space="0" w:color="auto"/>
      </w:divBdr>
    </w:div>
    <w:div w:id="1901599044">
      <w:marLeft w:val="0"/>
      <w:marRight w:val="0"/>
      <w:marTop w:val="180"/>
      <w:marBottom w:val="0"/>
      <w:divBdr>
        <w:top w:val="none" w:sz="0" w:space="0" w:color="auto"/>
        <w:left w:val="none" w:sz="0" w:space="0" w:color="auto"/>
        <w:bottom w:val="none" w:sz="0" w:space="0" w:color="auto"/>
        <w:right w:val="none" w:sz="0" w:space="0" w:color="auto"/>
      </w:divBdr>
    </w:div>
    <w:div w:id="1905990355">
      <w:marLeft w:val="0"/>
      <w:marRight w:val="0"/>
      <w:marTop w:val="100"/>
      <w:marBottom w:val="0"/>
      <w:divBdr>
        <w:top w:val="none" w:sz="0" w:space="0" w:color="auto"/>
        <w:left w:val="none" w:sz="0" w:space="0" w:color="auto"/>
        <w:bottom w:val="none" w:sz="0" w:space="0" w:color="auto"/>
        <w:right w:val="none" w:sz="0" w:space="0" w:color="auto"/>
      </w:divBdr>
    </w:div>
    <w:div w:id="1907950904">
      <w:marLeft w:val="0"/>
      <w:marRight w:val="0"/>
      <w:marTop w:val="0"/>
      <w:marBottom w:val="0"/>
      <w:divBdr>
        <w:top w:val="none" w:sz="0" w:space="0" w:color="auto"/>
        <w:left w:val="none" w:sz="0" w:space="0" w:color="auto"/>
        <w:bottom w:val="none" w:sz="0" w:space="0" w:color="auto"/>
        <w:right w:val="none" w:sz="0" w:space="0" w:color="auto"/>
      </w:divBdr>
      <w:divsChild>
        <w:div w:id="1498498683">
          <w:marLeft w:val="0"/>
          <w:marRight w:val="0"/>
          <w:marTop w:val="100"/>
          <w:marBottom w:val="0"/>
          <w:divBdr>
            <w:top w:val="none" w:sz="0" w:space="0" w:color="auto"/>
            <w:left w:val="none" w:sz="0" w:space="0" w:color="auto"/>
            <w:bottom w:val="none" w:sz="0" w:space="0" w:color="auto"/>
            <w:right w:val="none" w:sz="0" w:space="0" w:color="auto"/>
          </w:divBdr>
        </w:div>
      </w:divsChild>
    </w:div>
    <w:div w:id="1908027505">
      <w:marLeft w:val="0"/>
      <w:marRight w:val="0"/>
      <w:marTop w:val="100"/>
      <w:marBottom w:val="0"/>
      <w:divBdr>
        <w:top w:val="none" w:sz="0" w:space="0" w:color="auto"/>
        <w:left w:val="none" w:sz="0" w:space="0" w:color="auto"/>
        <w:bottom w:val="none" w:sz="0" w:space="0" w:color="auto"/>
        <w:right w:val="none" w:sz="0" w:space="0" w:color="auto"/>
      </w:divBdr>
    </w:div>
    <w:div w:id="1910727138">
      <w:marLeft w:val="0"/>
      <w:marRight w:val="0"/>
      <w:marTop w:val="100"/>
      <w:marBottom w:val="0"/>
      <w:divBdr>
        <w:top w:val="none" w:sz="0" w:space="0" w:color="auto"/>
        <w:left w:val="none" w:sz="0" w:space="0" w:color="auto"/>
        <w:bottom w:val="none" w:sz="0" w:space="0" w:color="auto"/>
        <w:right w:val="none" w:sz="0" w:space="0" w:color="auto"/>
      </w:divBdr>
    </w:div>
    <w:div w:id="1915045058">
      <w:marLeft w:val="0"/>
      <w:marRight w:val="0"/>
      <w:marTop w:val="0"/>
      <w:marBottom w:val="160"/>
      <w:divBdr>
        <w:top w:val="none" w:sz="0" w:space="0" w:color="auto"/>
        <w:left w:val="none" w:sz="0" w:space="0" w:color="auto"/>
        <w:bottom w:val="none" w:sz="0" w:space="0" w:color="auto"/>
        <w:right w:val="none" w:sz="0" w:space="0" w:color="auto"/>
      </w:divBdr>
    </w:div>
    <w:div w:id="1917664659">
      <w:marLeft w:val="0"/>
      <w:marRight w:val="0"/>
      <w:marTop w:val="160"/>
      <w:marBottom w:val="0"/>
      <w:divBdr>
        <w:top w:val="none" w:sz="0" w:space="0" w:color="auto"/>
        <w:left w:val="none" w:sz="0" w:space="0" w:color="auto"/>
        <w:bottom w:val="none" w:sz="0" w:space="0" w:color="auto"/>
        <w:right w:val="none" w:sz="0" w:space="0" w:color="auto"/>
      </w:divBdr>
    </w:div>
    <w:div w:id="1918394372">
      <w:marLeft w:val="0"/>
      <w:marRight w:val="0"/>
      <w:marTop w:val="0"/>
      <w:marBottom w:val="0"/>
      <w:divBdr>
        <w:top w:val="none" w:sz="0" w:space="0" w:color="auto"/>
        <w:left w:val="none" w:sz="0" w:space="0" w:color="auto"/>
        <w:bottom w:val="none" w:sz="0" w:space="0" w:color="auto"/>
        <w:right w:val="none" w:sz="0" w:space="0" w:color="auto"/>
      </w:divBdr>
    </w:div>
    <w:div w:id="1918635197">
      <w:marLeft w:val="0"/>
      <w:marRight w:val="0"/>
      <w:marTop w:val="100"/>
      <w:marBottom w:val="0"/>
      <w:divBdr>
        <w:top w:val="none" w:sz="0" w:space="0" w:color="auto"/>
        <w:left w:val="none" w:sz="0" w:space="0" w:color="auto"/>
        <w:bottom w:val="none" w:sz="0" w:space="0" w:color="auto"/>
        <w:right w:val="none" w:sz="0" w:space="0" w:color="auto"/>
      </w:divBdr>
    </w:div>
    <w:div w:id="1918829893">
      <w:marLeft w:val="0"/>
      <w:marRight w:val="0"/>
      <w:marTop w:val="100"/>
      <w:marBottom w:val="0"/>
      <w:divBdr>
        <w:top w:val="none" w:sz="0" w:space="0" w:color="auto"/>
        <w:left w:val="none" w:sz="0" w:space="0" w:color="auto"/>
        <w:bottom w:val="none" w:sz="0" w:space="0" w:color="auto"/>
        <w:right w:val="none" w:sz="0" w:space="0" w:color="auto"/>
      </w:divBdr>
    </w:div>
    <w:div w:id="1921062210">
      <w:marLeft w:val="0"/>
      <w:marRight w:val="0"/>
      <w:marTop w:val="100"/>
      <w:marBottom w:val="0"/>
      <w:divBdr>
        <w:top w:val="none" w:sz="0" w:space="0" w:color="auto"/>
        <w:left w:val="none" w:sz="0" w:space="0" w:color="auto"/>
        <w:bottom w:val="none" w:sz="0" w:space="0" w:color="auto"/>
        <w:right w:val="none" w:sz="0" w:space="0" w:color="auto"/>
      </w:divBdr>
    </w:div>
    <w:div w:id="1921211318">
      <w:marLeft w:val="0"/>
      <w:marRight w:val="0"/>
      <w:marTop w:val="100"/>
      <w:marBottom w:val="0"/>
      <w:divBdr>
        <w:top w:val="none" w:sz="0" w:space="0" w:color="auto"/>
        <w:left w:val="none" w:sz="0" w:space="0" w:color="auto"/>
        <w:bottom w:val="none" w:sz="0" w:space="0" w:color="auto"/>
        <w:right w:val="none" w:sz="0" w:space="0" w:color="auto"/>
      </w:divBdr>
    </w:div>
    <w:div w:id="1921329801">
      <w:marLeft w:val="0"/>
      <w:marRight w:val="0"/>
      <w:marTop w:val="0"/>
      <w:marBottom w:val="0"/>
      <w:divBdr>
        <w:top w:val="none" w:sz="0" w:space="0" w:color="auto"/>
        <w:left w:val="none" w:sz="0" w:space="0" w:color="auto"/>
        <w:bottom w:val="none" w:sz="0" w:space="0" w:color="auto"/>
        <w:right w:val="none" w:sz="0" w:space="0" w:color="auto"/>
      </w:divBdr>
    </w:div>
    <w:div w:id="1925524924">
      <w:marLeft w:val="0"/>
      <w:marRight w:val="0"/>
      <w:marTop w:val="100"/>
      <w:marBottom w:val="0"/>
      <w:divBdr>
        <w:top w:val="none" w:sz="0" w:space="0" w:color="auto"/>
        <w:left w:val="none" w:sz="0" w:space="0" w:color="auto"/>
        <w:bottom w:val="none" w:sz="0" w:space="0" w:color="auto"/>
        <w:right w:val="none" w:sz="0" w:space="0" w:color="auto"/>
      </w:divBdr>
    </w:div>
    <w:div w:id="1926649404">
      <w:marLeft w:val="0"/>
      <w:marRight w:val="0"/>
      <w:marTop w:val="0"/>
      <w:marBottom w:val="0"/>
      <w:divBdr>
        <w:top w:val="none" w:sz="0" w:space="0" w:color="auto"/>
        <w:left w:val="none" w:sz="0" w:space="0" w:color="auto"/>
        <w:bottom w:val="none" w:sz="0" w:space="0" w:color="auto"/>
        <w:right w:val="none" w:sz="0" w:space="0" w:color="auto"/>
      </w:divBdr>
      <w:divsChild>
        <w:div w:id="1228876806">
          <w:marLeft w:val="0"/>
          <w:marRight w:val="0"/>
          <w:marTop w:val="0"/>
          <w:marBottom w:val="0"/>
          <w:divBdr>
            <w:top w:val="none" w:sz="0" w:space="0" w:color="auto"/>
            <w:left w:val="none" w:sz="0" w:space="0" w:color="auto"/>
            <w:bottom w:val="none" w:sz="0" w:space="0" w:color="auto"/>
            <w:right w:val="none" w:sz="0" w:space="0" w:color="auto"/>
          </w:divBdr>
        </w:div>
      </w:divsChild>
    </w:div>
    <w:div w:id="1928685934">
      <w:marLeft w:val="0"/>
      <w:marRight w:val="0"/>
      <w:marTop w:val="0"/>
      <w:marBottom w:val="0"/>
      <w:divBdr>
        <w:top w:val="none" w:sz="0" w:space="0" w:color="auto"/>
        <w:left w:val="none" w:sz="0" w:space="0" w:color="auto"/>
        <w:bottom w:val="none" w:sz="0" w:space="0" w:color="auto"/>
        <w:right w:val="none" w:sz="0" w:space="0" w:color="auto"/>
      </w:divBdr>
    </w:div>
    <w:div w:id="1929314518">
      <w:marLeft w:val="0"/>
      <w:marRight w:val="0"/>
      <w:marTop w:val="0"/>
      <w:marBottom w:val="100"/>
      <w:divBdr>
        <w:top w:val="none" w:sz="0" w:space="0" w:color="auto"/>
        <w:left w:val="none" w:sz="0" w:space="0" w:color="auto"/>
        <w:bottom w:val="none" w:sz="0" w:space="0" w:color="auto"/>
        <w:right w:val="none" w:sz="0" w:space="0" w:color="auto"/>
      </w:divBdr>
      <w:divsChild>
        <w:div w:id="2112625047">
          <w:marLeft w:val="0"/>
          <w:marRight w:val="0"/>
          <w:marTop w:val="0"/>
          <w:marBottom w:val="0"/>
          <w:divBdr>
            <w:top w:val="none" w:sz="0" w:space="0" w:color="auto"/>
            <w:left w:val="none" w:sz="0" w:space="0" w:color="auto"/>
            <w:bottom w:val="none" w:sz="0" w:space="0" w:color="auto"/>
            <w:right w:val="none" w:sz="0" w:space="0" w:color="auto"/>
          </w:divBdr>
        </w:div>
        <w:div w:id="1026175762">
          <w:marLeft w:val="0"/>
          <w:marRight w:val="0"/>
          <w:marTop w:val="0"/>
          <w:marBottom w:val="0"/>
          <w:divBdr>
            <w:top w:val="none" w:sz="0" w:space="0" w:color="auto"/>
            <w:left w:val="none" w:sz="0" w:space="0" w:color="auto"/>
            <w:bottom w:val="none" w:sz="0" w:space="0" w:color="auto"/>
            <w:right w:val="none" w:sz="0" w:space="0" w:color="auto"/>
          </w:divBdr>
        </w:div>
        <w:div w:id="1215965669">
          <w:marLeft w:val="0"/>
          <w:marRight w:val="0"/>
          <w:marTop w:val="0"/>
          <w:marBottom w:val="0"/>
          <w:divBdr>
            <w:top w:val="none" w:sz="0" w:space="0" w:color="auto"/>
            <w:left w:val="none" w:sz="0" w:space="0" w:color="auto"/>
            <w:bottom w:val="none" w:sz="0" w:space="0" w:color="auto"/>
            <w:right w:val="none" w:sz="0" w:space="0" w:color="auto"/>
          </w:divBdr>
        </w:div>
        <w:div w:id="1234969445">
          <w:marLeft w:val="0"/>
          <w:marRight w:val="0"/>
          <w:marTop w:val="0"/>
          <w:marBottom w:val="0"/>
          <w:divBdr>
            <w:top w:val="none" w:sz="0" w:space="0" w:color="auto"/>
            <w:left w:val="none" w:sz="0" w:space="0" w:color="auto"/>
            <w:bottom w:val="none" w:sz="0" w:space="0" w:color="auto"/>
            <w:right w:val="none" w:sz="0" w:space="0" w:color="auto"/>
          </w:divBdr>
        </w:div>
      </w:divsChild>
    </w:div>
    <w:div w:id="1930039184">
      <w:marLeft w:val="0"/>
      <w:marRight w:val="0"/>
      <w:marTop w:val="0"/>
      <w:marBottom w:val="0"/>
      <w:divBdr>
        <w:top w:val="none" w:sz="0" w:space="0" w:color="auto"/>
        <w:left w:val="none" w:sz="0" w:space="0" w:color="auto"/>
        <w:bottom w:val="none" w:sz="0" w:space="0" w:color="auto"/>
        <w:right w:val="none" w:sz="0" w:space="0" w:color="auto"/>
      </w:divBdr>
      <w:divsChild>
        <w:div w:id="666057531">
          <w:marLeft w:val="0"/>
          <w:marRight w:val="0"/>
          <w:marTop w:val="0"/>
          <w:marBottom w:val="0"/>
          <w:divBdr>
            <w:top w:val="none" w:sz="0" w:space="0" w:color="auto"/>
            <w:left w:val="none" w:sz="0" w:space="0" w:color="auto"/>
            <w:bottom w:val="none" w:sz="0" w:space="0" w:color="auto"/>
            <w:right w:val="none" w:sz="0" w:space="0" w:color="auto"/>
          </w:divBdr>
        </w:div>
      </w:divsChild>
    </w:div>
    <w:div w:id="1935018792">
      <w:marLeft w:val="0"/>
      <w:marRight w:val="0"/>
      <w:marTop w:val="100"/>
      <w:marBottom w:val="160"/>
      <w:divBdr>
        <w:top w:val="none" w:sz="0" w:space="0" w:color="auto"/>
        <w:left w:val="none" w:sz="0" w:space="0" w:color="auto"/>
        <w:bottom w:val="none" w:sz="0" w:space="0" w:color="auto"/>
        <w:right w:val="none" w:sz="0" w:space="0" w:color="auto"/>
      </w:divBdr>
      <w:divsChild>
        <w:div w:id="2053922021">
          <w:marLeft w:val="0"/>
          <w:marRight w:val="0"/>
          <w:marTop w:val="0"/>
          <w:marBottom w:val="0"/>
          <w:divBdr>
            <w:top w:val="none" w:sz="0" w:space="0" w:color="auto"/>
            <w:left w:val="none" w:sz="0" w:space="0" w:color="auto"/>
            <w:bottom w:val="none" w:sz="0" w:space="0" w:color="auto"/>
            <w:right w:val="none" w:sz="0" w:space="0" w:color="auto"/>
          </w:divBdr>
        </w:div>
        <w:div w:id="1747143285">
          <w:marLeft w:val="0"/>
          <w:marRight w:val="0"/>
          <w:marTop w:val="0"/>
          <w:marBottom w:val="0"/>
          <w:divBdr>
            <w:top w:val="none" w:sz="0" w:space="0" w:color="auto"/>
            <w:left w:val="none" w:sz="0" w:space="0" w:color="auto"/>
            <w:bottom w:val="none" w:sz="0" w:space="0" w:color="auto"/>
            <w:right w:val="none" w:sz="0" w:space="0" w:color="auto"/>
          </w:divBdr>
        </w:div>
        <w:div w:id="2052218654">
          <w:marLeft w:val="0"/>
          <w:marRight w:val="0"/>
          <w:marTop w:val="0"/>
          <w:marBottom w:val="0"/>
          <w:divBdr>
            <w:top w:val="none" w:sz="0" w:space="0" w:color="auto"/>
            <w:left w:val="none" w:sz="0" w:space="0" w:color="auto"/>
            <w:bottom w:val="none" w:sz="0" w:space="0" w:color="auto"/>
            <w:right w:val="none" w:sz="0" w:space="0" w:color="auto"/>
          </w:divBdr>
        </w:div>
        <w:div w:id="815924799">
          <w:marLeft w:val="0"/>
          <w:marRight w:val="0"/>
          <w:marTop w:val="0"/>
          <w:marBottom w:val="0"/>
          <w:divBdr>
            <w:top w:val="none" w:sz="0" w:space="0" w:color="auto"/>
            <w:left w:val="none" w:sz="0" w:space="0" w:color="auto"/>
            <w:bottom w:val="none" w:sz="0" w:space="0" w:color="auto"/>
            <w:right w:val="none" w:sz="0" w:space="0" w:color="auto"/>
          </w:divBdr>
        </w:div>
        <w:div w:id="629357031">
          <w:marLeft w:val="0"/>
          <w:marRight w:val="0"/>
          <w:marTop w:val="0"/>
          <w:marBottom w:val="0"/>
          <w:divBdr>
            <w:top w:val="none" w:sz="0" w:space="0" w:color="auto"/>
            <w:left w:val="none" w:sz="0" w:space="0" w:color="auto"/>
            <w:bottom w:val="none" w:sz="0" w:space="0" w:color="auto"/>
            <w:right w:val="none" w:sz="0" w:space="0" w:color="auto"/>
          </w:divBdr>
        </w:div>
        <w:div w:id="1549341279">
          <w:marLeft w:val="0"/>
          <w:marRight w:val="0"/>
          <w:marTop w:val="0"/>
          <w:marBottom w:val="0"/>
          <w:divBdr>
            <w:top w:val="none" w:sz="0" w:space="0" w:color="auto"/>
            <w:left w:val="none" w:sz="0" w:space="0" w:color="auto"/>
            <w:bottom w:val="none" w:sz="0" w:space="0" w:color="auto"/>
            <w:right w:val="none" w:sz="0" w:space="0" w:color="auto"/>
          </w:divBdr>
        </w:div>
      </w:divsChild>
    </w:div>
    <w:div w:id="1936589468">
      <w:marLeft w:val="0"/>
      <w:marRight w:val="0"/>
      <w:marTop w:val="100"/>
      <w:marBottom w:val="0"/>
      <w:divBdr>
        <w:top w:val="none" w:sz="0" w:space="0" w:color="auto"/>
        <w:left w:val="none" w:sz="0" w:space="0" w:color="auto"/>
        <w:bottom w:val="none" w:sz="0" w:space="0" w:color="auto"/>
        <w:right w:val="none" w:sz="0" w:space="0" w:color="auto"/>
      </w:divBdr>
    </w:div>
    <w:div w:id="1939212095">
      <w:marLeft w:val="0"/>
      <w:marRight w:val="0"/>
      <w:marTop w:val="0"/>
      <w:marBottom w:val="0"/>
      <w:divBdr>
        <w:top w:val="none" w:sz="0" w:space="0" w:color="auto"/>
        <w:left w:val="none" w:sz="0" w:space="0" w:color="auto"/>
        <w:bottom w:val="none" w:sz="0" w:space="0" w:color="auto"/>
        <w:right w:val="none" w:sz="0" w:space="0" w:color="auto"/>
      </w:divBdr>
    </w:div>
    <w:div w:id="1939752839">
      <w:marLeft w:val="0"/>
      <w:marRight w:val="0"/>
      <w:marTop w:val="100"/>
      <w:marBottom w:val="100"/>
      <w:divBdr>
        <w:top w:val="none" w:sz="0" w:space="0" w:color="auto"/>
        <w:left w:val="none" w:sz="0" w:space="0" w:color="auto"/>
        <w:bottom w:val="none" w:sz="0" w:space="0" w:color="auto"/>
        <w:right w:val="none" w:sz="0" w:space="0" w:color="auto"/>
      </w:divBdr>
      <w:divsChild>
        <w:div w:id="893270561">
          <w:marLeft w:val="0"/>
          <w:marRight w:val="0"/>
          <w:marTop w:val="0"/>
          <w:marBottom w:val="0"/>
          <w:divBdr>
            <w:top w:val="none" w:sz="0" w:space="0" w:color="auto"/>
            <w:left w:val="none" w:sz="0" w:space="0" w:color="auto"/>
            <w:bottom w:val="none" w:sz="0" w:space="0" w:color="auto"/>
            <w:right w:val="none" w:sz="0" w:space="0" w:color="auto"/>
          </w:divBdr>
        </w:div>
      </w:divsChild>
    </w:div>
    <w:div w:id="1941448944">
      <w:marLeft w:val="0"/>
      <w:marRight w:val="0"/>
      <w:marTop w:val="100"/>
      <w:marBottom w:val="0"/>
      <w:divBdr>
        <w:top w:val="none" w:sz="0" w:space="0" w:color="auto"/>
        <w:left w:val="none" w:sz="0" w:space="0" w:color="auto"/>
        <w:bottom w:val="none" w:sz="0" w:space="0" w:color="auto"/>
        <w:right w:val="none" w:sz="0" w:space="0" w:color="auto"/>
      </w:divBdr>
    </w:div>
    <w:div w:id="1942955493">
      <w:marLeft w:val="0"/>
      <w:marRight w:val="0"/>
      <w:marTop w:val="160"/>
      <w:marBottom w:val="0"/>
      <w:divBdr>
        <w:top w:val="none" w:sz="0" w:space="0" w:color="auto"/>
        <w:left w:val="none" w:sz="0" w:space="0" w:color="auto"/>
        <w:bottom w:val="none" w:sz="0" w:space="0" w:color="auto"/>
        <w:right w:val="none" w:sz="0" w:space="0" w:color="auto"/>
      </w:divBdr>
    </w:div>
    <w:div w:id="1950886969">
      <w:marLeft w:val="0"/>
      <w:marRight w:val="0"/>
      <w:marTop w:val="100"/>
      <w:marBottom w:val="0"/>
      <w:divBdr>
        <w:top w:val="none" w:sz="0" w:space="0" w:color="auto"/>
        <w:left w:val="none" w:sz="0" w:space="0" w:color="auto"/>
        <w:bottom w:val="none" w:sz="0" w:space="0" w:color="auto"/>
        <w:right w:val="none" w:sz="0" w:space="0" w:color="auto"/>
      </w:divBdr>
    </w:div>
    <w:div w:id="1957515474">
      <w:marLeft w:val="0"/>
      <w:marRight w:val="0"/>
      <w:marTop w:val="100"/>
      <w:marBottom w:val="0"/>
      <w:divBdr>
        <w:top w:val="none" w:sz="0" w:space="0" w:color="auto"/>
        <w:left w:val="none" w:sz="0" w:space="0" w:color="auto"/>
        <w:bottom w:val="none" w:sz="0" w:space="0" w:color="auto"/>
        <w:right w:val="none" w:sz="0" w:space="0" w:color="auto"/>
      </w:divBdr>
    </w:div>
    <w:div w:id="1959680525">
      <w:marLeft w:val="0"/>
      <w:marRight w:val="0"/>
      <w:marTop w:val="180"/>
      <w:marBottom w:val="0"/>
      <w:divBdr>
        <w:top w:val="none" w:sz="0" w:space="0" w:color="auto"/>
        <w:left w:val="none" w:sz="0" w:space="0" w:color="auto"/>
        <w:bottom w:val="none" w:sz="0" w:space="0" w:color="auto"/>
        <w:right w:val="none" w:sz="0" w:space="0" w:color="auto"/>
      </w:divBdr>
    </w:div>
    <w:div w:id="1962373630">
      <w:marLeft w:val="0"/>
      <w:marRight w:val="0"/>
      <w:marTop w:val="100"/>
      <w:marBottom w:val="0"/>
      <w:divBdr>
        <w:top w:val="none" w:sz="0" w:space="0" w:color="auto"/>
        <w:left w:val="none" w:sz="0" w:space="0" w:color="auto"/>
        <w:bottom w:val="none" w:sz="0" w:space="0" w:color="auto"/>
        <w:right w:val="none" w:sz="0" w:space="0" w:color="auto"/>
      </w:divBdr>
    </w:div>
    <w:div w:id="1963149188">
      <w:marLeft w:val="0"/>
      <w:marRight w:val="0"/>
      <w:marTop w:val="180"/>
      <w:marBottom w:val="0"/>
      <w:divBdr>
        <w:top w:val="none" w:sz="0" w:space="0" w:color="auto"/>
        <w:left w:val="none" w:sz="0" w:space="0" w:color="auto"/>
        <w:bottom w:val="none" w:sz="0" w:space="0" w:color="auto"/>
        <w:right w:val="none" w:sz="0" w:space="0" w:color="auto"/>
      </w:divBdr>
    </w:div>
    <w:div w:id="1963614638">
      <w:marLeft w:val="0"/>
      <w:marRight w:val="0"/>
      <w:marTop w:val="0"/>
      <w:marBottom w:val="0"/>
      <w:divBdr>
        <w:top w:val="none" w:sz="0" w:space="0" w:color="auto"/>
        <w:left w:val="none" w:sz="0" w:space="0" w:color="auto"/>
        <w:bottom w:val="none" w:sz="0" w:space="0" w:color="auto"/>
        <w:right w:val="none" w:sz="0" w:space="0" w:color="auto"/>
      </w:divBdr>
      <w:divsChild>
        <w:div w:id="1913419574">
          <w:marLeft w:val="0"/>
          <w:marRight w:val="0"/>
          <w:marTop w:val="100"/>
          <w:marBottom w:val="0"/>
          <w:divBdr>
            <w:top w:val="none" w:sz="0" w:space="0" w:color="auto"/>
            <w:left w:val="none" w:sz="0" w:space="0" w:color="auto"/>
            <w:bottom w:val="none" w:sz="0" w:space="0" w:color="auto"/>
            <w:right w:val="none" w:sz="0" w:space="0" w:color="auto"/>
          </w:divBdr>
        </w:div>
      </w:divsChild>
    </w:div>
    <w:div w:id="1968312585">
      <w:marLeft w:val="0"/>
      <w:marRight w:val="0"/>
      <w:marTop w:val="100"/>
      <w:marBottom w:val="0"/>
      <w:divBdr>
        <w:top w:val="none" w:sz="0" w:space="0" w:color="auto"/>
        <w:left w:val="none" w:sz="0" w:space="0" w:color="auto"/>
        <w:bottom w:val="none" w:sz="0" w:space="0" w:color="auto"/>
        <w:right w:val="none" w:sz="0" w:space="0" w:color="auto"/>
      </w:divBdr>
    </w:div>
    <w:div w:id="1973320961">
      <w:marLeft w:val="0"/>
      <w:marRight w:val="0"/>
      <w:marTop w:val="0"/>
      <w:marBottom w:val="0"/>
      <w:divBdr>
        <w:top w:val="none" w:sz="0" w:space="0" w:color="auto"/>
        <w:left w:val="none" w:sz="0" w:space="0" w:color="auto"/>
        <w:bottom w:val="none" w:sz="0" w:space="0" w:color="auto"/>
        <w:right w:val="none" w:sz="0" w:space="0" w:color="auto"/>
      </w:divBdr>
    </w:div>
    <w:div w:id="1985623998">
      <w:marLeft w:val="0"/>
      <w:marRight w:val="0"/>
      <w:marTop w:val="160"/>
      <w:marBottom w:val="0"/>
      <w:divBdr>
        <w:top w:val="none" w:sz="0" w:space="0" w:color="auto"/>
        <w:left w:val="none" w:sz="0" w:space="0" w:color="auto"/>
        <w:bottom w:val="none" w:sz="0" w:space="0" w:color="auto"/>
        <w:right w:val="none" w:sz="0" w:space="0" w:color="auto"/>
      </w:divBdr>
    </w:div>
    <w:div w:id="1987539972">
      <w:marLeft w:val="0"/>
      <w:marRight w:val="0"/>
      <w:marTop w:val="0"/>
      <w:marBottom w:val="0"/>
      <w:divBdr>
        <w:top w:val="none" w:sz="0" w:space="0" w:color="auto"/>
        <w:left w:val="none" w:sz="0" w:space="0" w:color="auto"/>
        <w:bottom w:val="none" w:sz="0" w:space="0" w:color="auto"/>
        <w:right w:val="none" w:sz="0" w:space="0" w:color="auto"/>
      </w:divBdr>
    </w:div>
    <w:div w:id="1994214907">
      <w:marLeft w:val="0"/>
      <w:marRight w:val="0"/>
      <w:marTop w:val="0"/>
      <w:marBottom w:val="0"/>
      <w:divBdr>
        <w:top w:val="none" w:sz="0" w:space="0" w:color="auto"/>
        <w:left w:val="none" w:sz="0" w:space="0" w:color="auto"/>
        <w:bottom w:val="none" w:sz="0" w:space="0" w:color="auto"/>
        <w:right w:val="none" w:sz="0" w:space="0" w:color="auto"/>
      </w:divBdr>
    </w:div>
    <w:div w:id="1995521463">
      <w:marLeft w:val="0"/>
      <w:marRight w:val="0"/>
      <w:marTop w:val="100"/>
      <w:marBottom w:val="0"/>
      <w:divBdr>
        <w:top w:val="none" w:sz="0" w:space="0" w:color="auto"/>
        <w:left w:val="none" w:sz="0" w:space="0" w:color="auto"/>
        <w:bottom w:val="none" w:sz="0" w:space="0" w:color="auto"/>
        <w:right w:val="none" w:sz="0" w:space="0" w:color="auto"/>
      </w:divBdr>
    </w:div>
    <w:div w:id="1998723004">
      <w:marLeft w:val="0"/>
      <w:marRight w:val="0"/>
      <w:marTop w:val="180"/>
      <w:marBottom w:val="0"/>
      <w:divBdr>
        <w:top w:val="none" w:sz="0" w:space="0" w:color="auto"/>
        <w:left w:val="none" w:sz="0" w:space="0" w:color="auto"/>
        <w:bottom w:val="none" w:sz="0" w:space="0" w:color="auto"/>
        <w:right w:val="none" w:sz="0" w:space="0" w:color="auto"/>
      </w:divBdr>
    </w:div>
    <w:div w:id="1998798356">
      <w:marLeft w:val="0"/>
      <w:marRight w:val="0"/>
      <w:marTop w:val="100"/>
      <w:marBottom w:val="0"/>
      <w:divBdr>
        <w:top w:val="none" w:sz="0" w:space="0" w:color="auto"/>
        <w:left w:val="none" w:sz="0" w:space="0" w:color="auto"/>
        <w:bottom w:val="none" w:sz="0" w:space="0" w:color="auto"/>
        <w:right w:val="none" w:sz="0" w:space="0" w:color="auto"/>
      </w:divBdr>
    </w:div>
    <w:div w:id="1999068429">
      <w:marLeft w:val="0"/>
      <w:marRight w:val="0"/>
      <w:marTop w:val="0"/>
      <w:marBottom w:val="0"/>
      <w:divBdr>
        <w:top w:val="none" w:sz="0" w:space="0" w:color="auto"/>
        <w:left w:val="none" w:sz="0" w:space="0" w:color="auto"/>
        <w:bottom w:val="none" w:sz="0" w:space="0" w:color="auto"/>
        <w:right w:val="none" w:sz="0" w:space="0" w:color="auto"/>
      </w:divBdr>
    </w:div>
    <w:div w:id="2001079965">
      <w:marLeft w:val="0"/>
      <w:marRight w:val="0"/>
      <w:marTop w:val="0"/>
      <w:marBottom w:val="0"/>
      <w:divBdr>
        <w:top w:val="none" w:sz="0" w:space="0" w:color="auto"/>
        <w:left w:val="none" w:sz="0" w:space="0" w:color="auto"/>
        <w:bottom w:val="none" w:sz="0" w:space="0" w:color="auto"/>
        <w:right w:val="none" w:sz="0" w:space="0" w:color="auto"/>
      </w:divBdr>
      <w:divsChild>
        <w:div w:id="1887138900">
          <w:marLeft w:val="0"/>
          <w:marRight w:val="0"/>
          <w:marTop w:val="100"/>
          <w:marBottom w:val="0"/>
          <w:divBdr>
            <w:top w:val="none" w:sz="0" w:space="0" w:color="auto"/>
            <w:left w:val="none" w:sz="0" w:space="0" w:color="auto"/>
            <w:bottom w:val="none" w:sz="0" w:space="0" w:color="auto"/>
            <w:right w:val="none" w:sz="0" w:space="0" w:color="auto"/>
          </w:divBdr>
        </w:div>
      </w:divsChild>
    </w:div>
    <w:div w:id="2005621520">
      <w:marLeft w:val="0"/>
      <w:marRight w:val="0"/>
      <w:marTop w:val="100"/>
      <w:marBottom w:val="0"/>
      <w:divBdr>
        <w:top w:val="none" w:sz="0" w:space="0" w:color="auto"/>
        <w:left w:val="none" w:sz="0" w:space="0" w:color="auto"/>
        <w:bottom w:val="none" w:sz="0" w:space="0" w:color="auto"/>
        <w:right w:val="none" w:sz="0" w:space="0" w:color="auto"/>
      </w:divBdr>
    </w:div>
    <w:div w:id="2006125539">
      <w:marLeft w:val="0"/>
      <w:marRight w:val="0"/>
      <w:marTop w:val="180"/>
      <w:marBottom w:val="0"/>
      <w:divBdr>
        <w:top w:val="none" w:sz="0" w:space="0" w:color="auto"/>
        <w:left w:val="none" w:sz="0" w:space="0" w:color="auto"/>
        <w:bottom w:val="none" w:sz="0" w:space="0" w:color="auto"/>
        <w:right w:val="none" w:sz="0" w:space="0" w:color="auto"/>
      </w:divBdr>
    </w:div>
    <w:div w:id="2007130835">
      <w:marLeft w:val="0"/>
      <w:marRight w:val="0"/>
      <w:marTop w:val="160"/>
      <w:marBottom w:val="0"/>
      <w:divBdr>
        <w:top w:val="none" w:sz="0" w:space="0" w:color="auto"/>
        <w:left w:val="none" w:sz="0" w:space="0" w:color="auto"/>
        <w:bottom w:val="none" w:sz="0" w:space="0" w:color="auto"/>
        <w:right w:val="none" w:sz="0" w:space="0" w:color="auto"/>
      </w:divBdr>
    </w:div>
    <w:div w:id="2009206724">
      <w:marLeft w:val="0"/>
      <w:marRight w:val="0"/>
      <w:marTop w:val="100"/>
      <w:marBottom w:val="0"/>
      <w:divBdr>
        <w:top w:val="none" w:sz="0" w:space="0" w:color="auto"/>
        <w:left w:val="none" w:sz="0" w:space="0" w:color="auto"/>
        <w:bottom w:val="none" w:sz="0" w:space="0" w:color="auto"/>
        <w:right w:val="none" w:sz="0" w:space="0" w:color="auto"/>
      </w:divBdr>
    </w:div>
    <w:div w:id="2010520484">
      <w:marLeft w:val="0"/>
      <w:marRight w:val="0"/>
      <w:marTop w:val="0"/>
      <w:marBottom w:val="0"/>
      <w:divBdr>
        <w:top w:val="none" w:sz="0" w:space="0" w:color="auto"/>
        <w:left w:val="none" w:sz="0" w:space="0" w:color="auto"/>
        <w:bottom w:val="none" w:sz="0" w:space="0" w:color="auto"/>
        <w:right w:val="none" w:sz="0" w:space="0" w:color="auto"/>
      </w:divBdr>
      <w:divsChild>
        <w:div w:id="1926499622">
          <w:marLeft w:val="0"/>
          <w:marRight w:val="0"/>
          <w:marTop w:val="0"/>
          <w:marBottom w:val="0"/>
          <w:divBdr>
            <w:top w:val="none" w:sz="0" w:space="0" w:color="auto"/>
            <w:left w:val="none" w:sz="0" w:space="0" w:color="auto"/>
            <w:bottom w:val="none" w:sz="0" w:space="0" w:color="auto"/>
            <w:right w:val="none" w:sz="0" w:space="0" w:color="auto"/>
          </w:divBdr>
        </w:div>
      </w:divsChild>
    </w:div>
    <w:div w:id="2013096067">
      <w:marLeft w:val="0"/>
      <w:marRight w:val="0"/>
      <w:marTop w:val="0"/>
      <w:marBottom w:val="0"/>
      <w:divBdr>
        <w:top w:val="none" w:sz="0" w:space="0" w:color="auto"/>
        <w:left w:val="none" w:sz="0" w:space="0" w:color="auto"/>
        <w:bottom w:val="none" w:sz="0" w:space="0" w:color="auto"/>
        <w:right w:val="none" w:sz="0" w:space="0" w:color="auto"/>
      </w:divBdr>
      <w:divsChild>
        <w:div w:id="1567183791">
          <w:marLeft w:val="0"/>
          <w:marRight w:val="0"/>
          <w:marTop w:val="100"/>
          <w:marBottom w:val="0"/>
          <w:divBdr>
            <w:top w:val="none" w:sz="0" w:space="0" w:color="auto"/>
            <w:left w:val="none" w:sz="0" w:space="0" w:color="auto"/>
            <w:bottom w:val="none" w:sz="0" w:space="0" w:color="auto"/>
            <w:right w:val="none" w:sz="0" w:space="0" w:color="auto"/>
          </w:divBdr>
        </w:div>
      </w:divsChild>
    </w:div>
    <w:div w:id="2014065652">
      <w:marLeft w:val="0"/>
      <w:marRight w:val="0"/>
      <w:marTop w:val="180"/>
      <w:marBottom w:val="0"/>
      <w:divBdr>
        <w:top w:val="none" w:sz="0" w:space="0" w:color="auto"/>
        <w:left w:val="none" w:sz="0" w:space="0" w:color="auto"/>
        <w:bottom w:val="none" w:sz="0" w:space="0" w:color="auto"/>
        <w:right w:val="none" w:sz="0" w:space="0" w:color="auto"/>
      </w:divBdr>
    </w:div>
    <w:div w:id="2017266687">
      <w:marLeft w:val="0"/>
      <w:marRight w:val="0"/>
      <w:marTop w:val="100"/>
      <w:marBottom w:val="0"/>
      <w:divBdr>
        <w:top w:val="none" w:sz="0" w:space="0" w:color="auto"/>
        <w:left w:val="none" w:sz="0" w:space="0" w:color="auto"/>
        <w:bottom w:val="none" w:sz="0" w:space="0" w:color="auto"/>
        <w:right w:val="none" w:sz="0" w:space="0" w:color="auto"/>
      </w:divBdr>
    </w:div>
    <w:div w:id="2018775310">
      <w:marLeft w:val="0"/>
      <w:marRight w:val="0"/>
      <w:marTop w:val="0"/>
      <w:marBottom w:val="0"/>
      <w:divBdr>
        <w:top w:val="none" w:sz="0" w:space="0" w:color="auto"/>
        <w:left w:val="none" w:sz="0" w:space="0" w:color="auto"/>
        <w:bottom w:val="none" w:sz="0" w:space="0" w:color="auto"/>
        <w:right w:val="none" w:sz="0" w:space="0" w:color="auto"/>
      </w:divBdr>
    </w:div>
    <w:div w:id="2019116758">
      <w:marLeft w:val="0"/>
      <w:marRight w:val="0"/>
      <w:marTop w:val="160"/>
      <w:marBottom w:val="0"/>
      <w:divBdr>
        <w:top w:val="none" w:sz="0" w:space="0" w:color="auto"/>
        <w:left w:val="none" w:sz="0" w:space="0" w:color="auto"/>
        <w:bottom w:val="none" w:sz="0" w:space="0" w:color="auto"/>
        <w:right w:val="none" w:sz="0" w:space="0" w:color="auto"/>
      </w:divBdr>
    </w:div>
    <w:div w:id="2022930793">
      <w:marLeft w:val="0"/>
      <w:marRight w:val="0"/>
      <w:marTop w:val="0"/>
      <w:marBottom w:val="0"/>
      <w:divBdr>
        <w:top w:val="none" w:sz="0" w:space="0" w:color="auto"/>
        <w:left w:val="none" w:sz="0" w:space="0" w:color="auto"/>
        <w:bottom w:val="none" w:sz="0" w:space="0" w:color="auto"/>
        <w:right w:val="none" w:sz="0" w:space="0" w:color="auto"/>
      </w:divBdr>
      <w:divsChild>
        <w:div w:id="655039036">
          <w:marLeft w:val="0"/>
          <w:marRight w:val="0"/>
          <w:marTop w:val="100"/>
          <w:marBottom w:val="0"/>
          <w:divBdr>
            <w:top w:val="none" w:sz="0" w:space="0" w:color="auto"/>
            <w:left w:val="none" w:sz="0" w:space="0" w:color="auto"/>
            <w:bottom w:val="none" w:sz="0" w:space="0" w:color="auto"/>
            <w:right w:val="none" w:sz="0" w:space="0" w:color="auto"/>
          </w:divBdr>
        </w:div>
      </w:divsChild>
    </w:div>
    <w:div w:id="2023124121">
      <w:marLeft w:val="0"/>
      <w:marRight w:val="0"/>
      <w:marTop w:val="0"/>
      <w:marBottom w:val="0"/>
      <w:divBdr>
        <w:top w:val="none" w:sz="0" w:space="0" w:color="auto"/>
        <w:left w:val="none" w:sz="0" w:space="0" w:color="auto"/>
        <w:bottom w:val="none" w:sz="0" w:space="0" w:color="auto"/>
        <w:right w:val="none" w:sz="0" w:space="0" w:color="auto"/>
      </w:divBdr>
      <w:divsChild>
        <w:div w:id="950167185">
          <w:marLeft w:val="0"/>
          <w:marRight w:val="0"/>
          <w:marTop w:val="100"/>
          <w:marBottom w:val="0"/>
          <w:divBdr>
            <w:top w:val="none" w:sz="0" w:space="0" w:color="auto"/>
            <w:left w:val="none" w:sz="0" w:space="0" w:color="auto"/>
            <w:bottom w:val="none" w:sz="0" w:space="0" w:color="auto"/>
            <w:right w:val="none" w:sz="0" w:space="0" w:color="auto"/>
          </w:divBdr>
        </w:div>
      </w:divsChild>
    </w:div>
    <w:div w:id="2030138056">
      <w:marLeft w:val="0"/>
      <w:marRight w:val="0"/>
      <w:marTop w:val="160"/>
      <w:marBottom w:val="0"/>
      <w:divBdr>
        <w:top w:val="none" w:sz="0" w:space="0" w:color="auto"/>
        <w:left w:val="none" w:sz="0" w:space="0" w:color="auto"/>
        <w:bottom w:val="none" w:sz="0" w:space="0" w:color="auto"/>
        <w:right w:val="none" w:sz="0" w:space="0" w:color="auto"/>
      </w:divBdr>
    </w:div>
    <w:div w:id="2030182346">
      <w:marLeft w:val="0"/>
      <w:marRight w:val="0"/>
      <w:marTop w:val="0"/>
      <w:marBottom w:val="0"/>
      <w:divBdr>
        <w:top w:val="none" w:sz="0" w:space="0" w:color="auto"/>
        <w:left w:val="none" w:sz="0" w:space="0" w:color="auto"/>
        <w:bottom w:val="none" w:sz="0" w:space="0" w:color="auto"/>
        <w:right w:val="none" w:sz="0" w:space="0" w:color="auto"/>
      </w:divBdr>
      <w:divsChild>
        <w:div w:id="674575043">
          <w:marLeft w:val="0"/>
          <w:marRight w:val="0"/>
          <w:marTop w:val="0"/>
          <w:marBottom w:val="0"/>
          <w:divBdr>
            <w:top w:val="none" w:sz="0" w:space="0" w:color="auto"/>
            <w:left w:val="none" w:sz="0" w:space="0" w:color="auto"/>
            <w:bottom w:val="none" w:sz="0" w:space="0" w:color="auto"/>
            <w:right w:val="none" w:sz="0" w:space="0" w:color="auto"/>
          </w:divBdr>
        </w:div>
      </w:divsChild>
    </w:div>
    <w:div w:id="2033527011">
      <w:marLeft w:val="0"/>
      <w:marRight w:val="0"/>
      <w:marTop w:val="160"/>
      <w:marBottom w:val="0"/>
      <w:divBdr>
        <w:top w:val="none" w:sz="0" w:space="0" w:color="auto"/>
        <w:left w:val="none" w:sz="0" w:space="0" w:color="auto"/>
        <w:bottom w:val="none" w:sz="0" w:space="0" w:color="auto"/>
        <w:right w:val="none" w:sz="0" w:space="0" w:color="auto"/>
      </w:divBdr>
    </w:div>
    <w:div w:id="2037384441">
      <w:marLeft w:val="0"/>
      <w:marRight w:val="0"/>
      <w:marTop w:val="100"/>
      <w:marBottom w:val="0"/>
      <w:divBdr>
        <w:top w:val="none" w:sz="0" w:space="0" w:color="auto"/>
        <w:left w:val="none" w:sz="0" w:space="0" w:color="auto"/>
        <w:bottom w:val="none" w:sz="0" w:space="0" w:color="auto"/>
        <w:right w:val="none" w:sz="0" w:space="0" w:color="auto"/>
      </w:divBdr>
    </w:div>
    <w:div w:id="2038894504">
      <w:marLeft w:val="0"/>
      <w:marRight w:val="0"/>
      <w:marTop w:val="100"/>
      <w:marBottom w:val="100"/>
      <w:divBdr>
        <w:top w:val="none" w:sz="0" w:space="0" w:color="auto"/>
        <w:left w:val="none" w:sz="0" w:space="0" w:color="auto"/>
        <w:bottom w:val="none" w:sz="0" w:space="0" w:color="auto"/>
        <w:right w:val="none" w:sz="0" w:space="0" w:color="auto"/>
      </w:divBdr>
    </w:div>
    <w:div w:id="2042049921">
      <w:marLeft w:val="0"/>
      <w:marRight w:val="0"/>
      <w:marTop w:val="100"/>
      <w:marBottom w:val="0"/>
      <w:divBdr>
        <w:top w:val="none" w:sz="0" w:space="0" w:color="auto"/>
        <w:left w:val="none" w:sz="0" w:space="0" w:color="auto"/>
        <w:bottom w:val="none" w:sz="0" w:space="0" w:color="auto"/>
        <w:right w:val="none" w:sz="0" w:space="0" w:color="auto"/>
      </w:divBdr>
    </w:div>
    <w:div w:id="2043288572">
      <w:marLeft w:val="0"/>
      <w:marRight w:val="0"/>
      <w:marTop w:val="0"/>
      <w:marBottom w:val="0"/>
      <w:divBdr>
        <w:top w:val="none" w:sz="0" w:space="0" w:color="auto"/>
        <w:left w:val="none" w:sz="0" w:space="0" w:color="auto"/>
        <w:bottom w:val="none" w:sz="0" w:space="0" w:color="auto"/>
        <w:right w:val="none" w:sz="0" w:space="0" w:color="auto"/>
      </w:divBdr>
    </w:div>
    <w:div w:id="2044087492">
      <w:marLeft w:val="0"/>
      <w:marRight w:val="0"/>
      <w:marTop w:val="100"/>
      <w:marBottom w:val="0"/>
      <w:divBdr>
        <w:top w:val="none" w:sz="0" w:space="0" w:color="auto"/>
        <w:left w:val="none" w:sz="0" w:space="0" w:color="auto"/>
        <w:bottom w:val="none" w:sz="0" w:space="0" w:color="auto"/>
        <w:right w:val="none" w:sz="0" w:space="0" w:color="auto"/>
      </w:divBdr>
    </w:div>
    <w:div w:id="2045397356">
      <w:marLeft w:val="0"/>
      <w:marRight w:val="0"/>
      <w:marTop w:val="100"/>
      <w:marBottom w:val="0"/>
      <w:divBdr>
        <w:top w:val="none" w:sz="0" w:space="0" w:color="auto"/>
        <w:left w:val="none" w:sz="0" w:space="0" w:color="auto"/>
        <w:bottom w:val="none" w:sz="0" w:space="0" w:color="auto"/>
        <w:right w:val="none" w:sz="0" w:space="0" w:color="auto"/>
      </w:divBdr>
    </w:div>
    <w:div w:id="2045596159">
      <w:marLeft w:val="0"/>
      <w:marRight w:val="0"/>
      <w:marTop w:val="160"/>
      <w:marBottom w:val="0"/>
      <w:divBdr>
        <w:top w:val="none" w:sz="0" w:space="0" w:color="auto"/>
        <w:left w:val="none" w:sz="0" w:space="0" w:color="auto"/>
        <w:bottom w:val="none" w:sz="0" w:space="0" w:color="auto"/>
        <w:right w:val="none" w:sz="0" w:space="0" w:color="auto"/>
      </w:divBdr>
    </w:div>
    <w:div w:id="2053843084">
      <w:marLeft w:val="0"/>
      <w:marRight w:val="0"/>
      <w:marTop w:val="160"/>
      <w:marBottom w:val="0"/>
      <w:divBdr>
        <w:top w:val="none" w:sz="0" w:space="0" w:color="auto"/>
        <w:left w:val="none" w:sz="0" w:space="0" w:color="auto"/>
        <w:bottom w:val="none" w:sz="0" w:space="0" w:color="auto"/>
        <w:right w:val="none" w:sz="0" w:space="0" w:color="auto"/>
      </w:divBdr>
    </w:div>
    <w:div w:id="2055350278">
      <w:marLeft w:val="0"/>
      <w:marRight w:val="0"/>
      <w:marTop w:val="0"/>
      <w:marBottom w:val="0"/>
      <w:divBdr>
        <w:top w:val="none" w:sz="0" w:space="0" w:color="auto"/>
        <w:left w:val="none" w:sz="0" w:space="0" w:color="auto"/>
        <w:bottom w:val="none" w:sz="0" w:space="0" w:color="auto"/>
        <w:right w:val="none" w:sz="0" w:space="0" w:color="auto"/>
      </w:divBdr>
      <w:divsChild>
        <w:div w:id="1998149808">
          <w:marLeft w:val="0"/>
          <w:marRight w:val="0"/>
          <w:marTop w:val="100"/>
          <w:marBottom w:val="0"/>
          <w:divBdr>
            <w:top w:val="none" w:sz="0" w:space="0" w:color="auto"/>
            <w:left w:val="none" w:sz="0" w:space="0" w:color="auto"/>
            <w:bottom w:val="none" w:sz="0" w:space="0" w:color="auto"/>
            <w:right w:val="none" w:sz="0" w:space="0" w:color="auto"/>
          </w:divBdr>
        </w:div>
      </w:divsChild>
    </w:div>
    <w:div w:id="2055422223">
      <w:marLeft w:val="0"/>
      <w:marRight w:val="0"/>
      <w:marTop w:val="0"/>
      <w:marBottom w:val="0"/>
      <w:divBdr>
        <w:top w:val="none" w:sz="0" w:space="0" w:color="auto"/>
        <w:left w:val="none" w:sz="0" w:space="0" w:color="auto"/>
        <w:bottom w:val="none" w:sz="0" w:space="0" w:color="auto"/>
        <w:right w:val="none" w:sz="0" w:space="0" w:color="auto"/>
      </w:divBdr>
    </w:div>
    <w:div w:id="2056469087">
      <w:marLeft w:val="0"/>
      <w:marRight w:val="0"/>
      <w:marTop w:val="100"/>
      <w:marBottom w:val="100"/>
      <w:divBdr>
        <w:top w:val="none" w:sz="0" w:space="0" w:color="auto"/>
        <w:left w:val="none" w:sz="0" w:space="0" w:color="auto"/>
        <w:bottom w:val="none" w:sz="0" w:space="0" w:color="auto"/>
        <w:right w:val="none" w:sz="0" w:space="0" w:color="auto"/>
      </w:divBdr>
      <w:divsChild>
        <w:div w:id="878052359">
          <w:marLeft w:val="0"/>
          <w:marRight w:val="0"/>
          <w:marTop w:val="0"/>
          <w:marBottom w:val="0"/>
          <w:divBdr>
            <w:top w:val="none" w:sz="0" w:space="0" w:color="auto"/>
            <w:left w:val="none" w:sz="0" w:space="0" w:color="auto"/>
            <w:bottom w:val="none" w:sz="0" w:space="0" w:color="auto"/>
            <w:right w:val="none" w:sz="0" w:space="0" w:color="auto"/>
          </w:divBdr>
        </w:div>
        <w:div w:id="482894040">
          <w:marLeft w:val="0"/>
          <w:marRight w:val="0"/>
          <w:marTop w:val="0"/>
          <w:marBottom w:val="0"/>
          <w:divBdr>
            <w:top w:val="none" w:sz="0" w:space="0" w:color="auto"/>
            <w:left w:val="none" w:sz="0" w:space="0" w:color="auto"/>
            <w:bottom w:val="none" w:sz="0" w:space="0" w:color="auto"/>
            <w:right w:val="none" w:sz="0" w:space="0" w:color="auto"/>
          </w:divBdr>
        </w:div>
        <w:div w:id="1530416737">
          <w:marLeft w:val="0"/>
          <w:marRight w:val="0"/>
          <w:marTop w:val="0"/>
          <w:marBottom w:val="0"/>
          <w:divBdr>
            <w:top w:val="none" w:sz="0" w:space="0" w:color="auto"/>
            <w:left w:val="none" w:sz="0" w:space="0" w:color="auto"/>
            <w:bottom w:val="none" w:sz="0" w:space="0" w:color="auto"/>
            <w:right w:val="none" w:sz="0" w:space="0" w:color="auto"/>
          </w:divBdr>
        </w:div>
        <w:div w:id="97993333">
          <w:marLeft w:val="0"/>
          <w:marRight w:val="0"/>
          <w:marTop w:val="0"/>
          <w:marBottom w:val="0"/>
          <w:divBdr>
            <w:top w:val="none" w:sz="0" w:space="0" w:color="auto"/>
            <w:left w:val="none" w:sz="0" w:space="0" w:color="auto"/>
            <w:bottom w:val="none" w:sz="0" w:space="0" w:color="auto"/>
            <w:right w:val="none" w:sz="0" w:space="0" w:color="auto"/>
          </w:divBdr>
        </w:div>
        <w:div w:id="242573254">
          <w:marLeft w:val="0"/>
          <w:marRight w:val="0"/>
          <w:marTop w:val="0"/>
          <w:marBottom w:val="0"/>
          <w:divBdr>
            <w:top w:val="none" w:sz="0" w:space="0" w:color="auto"/>
            <w:left w:val="none" w:sz="0" w:space="0" w:color="auto"/>
            <w:bottom w:val="none" w:sz="0" w:space="0" w:color="auto"/>
            <w:right w:val="none" w:sz="0" w:space="0" w:color="auto"/>
          </w:divBdr>
        </w:div>
        <w:div w:id="1717506942">
          <w:marLeft w:val="0"/>
          <w:marRight w:val="0"/>
          <w:marTop w:val="0"/>
          <w:marBottom w:val="0"/>
          <w:divBdr>
            <w:top w:val="none" w:sz="0" w:space="0" w:color="auto"/>
            <w:left w:val="none" w:sz="0" w:space="0" w:color="auto"/>
            <w:bottom w:val="none" w:sz="0" w:space="0" w:color="auto"/>
            <w:right w:val="none" w:sz="0" w:space="0" w:color="auto"/>
          </w:divBdr>
        </w:div>
        <w:div w:id="1441484707">
          <w:marLeft w:val="0"/>
          <w:marRight w:val="0"/>
          <w:marTop w:val="0"/>
          <w:marBottom w:val="0"/>
          <w:divBdr>
            <w:top w:val="none" w:sz="0" w:space="0" w:color="auto"/>
            <w:left w:val="none" w:sz="0" w:space="0" w:color="auto"/>
            <w:bottom w:val="none" w:sz="0" w:space="0" w:color="auto"/>
            <w:right w:val="none" w:sz="0" w:space="0" w:color="auto"/>
          </w:divBdr>
        </w:div>
        <w:div w:id="1162771189">
          <w:marLeft w:val="0"/>
          <w:marRight w:val="0"/>
          <w:marTop w:val="0"/>
          <w:marBottom w:val="0"/>
          <w:divBdr>
            <w:top w:val="none" w:sz="0" w:space="0" w:color="auto"/>
            <w:left w:val="none" w:sz="0" w:space="0" w:color="auto"/>
            <w:bottom w:val="none" w:sz="0" w:space="0" w:color="auto"/>
            <w:right w:val="none" w:sz="0" w:space="0" w:color="auto"/>
          </w:divBdr>
        </w:div>
        <w:div w:id="961694318">
          <w:marLeft w:val="0"/>
          <w:marRight w:val="0"/>
          <w:marTop w:val="0"/>
          <w:marBottom w:val="0"/>
          <w:divBdr>
            <w:top w:val="none" w:sz="0" w:space="0" w:color="auto"/>
            <w:left w:val="none" w:sz="0" w:space="0" w:color="auto"/>
            <w:bottom w:val="none" w:sz="0" w:space="0" w:color="auto"/>
            <w:right w:val="none" w:sz="0" w:space="0" w:color="auto"/>
          </w:divBdr>
        </w:div>
        <w:div w:id="2019454726">
          <w:marLeft w:val="0"/>
          <w:marRight w:val="0"/>
          <w:marTop w:val="0"/>
          <w:marBottom w:val="0"/>
          <w:divBdr>
            <w:top w:val="none" w:sz="0" w:space="0" w:color="auto"/>
            <w:left w:val="none" w:sz="0" w:space="0" w:color="auto"/>
            <w:bottom w:val="none" w:sz="0" w:space="0" w:color="auto"/>
            <w:right w:val="none" w:sz="0" w:space="0" w:color="auto"/>
          </w:divBdr>
        </w:div>
        <w:div w:id="1622491327">
          <w:marLeft w:val="0"/>
          <w:marRight w:val="0"/>
          <w:marTop w:val="0"/>
          <w:marBottom w:val="0"/>
          <w:divBdr>
            <w:top w:val="none" w:sz="0" w:space="0" w:color="auto"/>
            <w:left w:val="none" w:sz="0" w:space="0" w:color="auto"/>
            <w:bottom w:val="none" w:sz="0" w:space="0" w:color="auto"/>
            <w:right w:val="none" w:sz="0" w:space="0" w:color="auto"/>
          </w:divBdr>
        </w:div>
        <w:div w:id="117183615">
          <w:marLeft w:val="0"/>
          <w:marRight w:val="0"/>
          <w:marTop w:val="0"/>
          <w:marBottom w:val="0"/>
          <w:divBdr>
            <w:top w:val="none" w:sz="0" w:space="0" w:color="auto"/>
            <w:left w:val="none" w:sz="0" w:space="0" w:color="auto"/>
            <w:bottom w:val="none" w:sz="0" w:space="0" w:color="auto"/>
            <w:right w:val="none" w:sz="0" w:space="0" w:color="auto"/>
          </w:divBdr>
        </w:div>
      </w:divsChild>
    </w:div>
    <w:div w:id="2059550737">
      <w:marLeft w:val="0"/>
      <w:marRight w:val="0"/>
      <w:marTop w:val="100"/>
      <w:marBottom w:val="0"/>
      <w:divBdr>
        <w:top w:val="none" w:sz="0" w:space="0" w:color="auto"/>
        <w:left w:val="none" w:sz="0" w:space="0" w:color="auto"/>
        <w:bottom w:val="none" w:sz="0" w:space="0" w:color="auto"/>
        <w:right w:val="none" w:sz="0" w:space="0" w:color="auto"/>
      </w:divBdr>
    </w:div>
    <w:div w:id="2060668213">
      <w:marLeft w:val="0"/>
      <w:marRight w:val="0"/>
      <w:marTop w:val="100"/>
      <w:marBottom w:val="100"/>
      <w:divBdr>
        <w:top w:val="none" w:sz="0" w:space="0" w:color="auto"/>
        <w:left w:val="none" w:sz="0" w:space="0" w:color="auto"/>
        <w:bottom w:val="none" w:sz="0" w:space="0" w:color="auto"/>
        <w:right w:val="none" w:sz="0" w:space="0" w:color="auto"/>
      </w:divBdr>
      <w:divsChild>
        <w:div w:id="506603950">
          <w:marLeft w:val="0"/>
          <w:marRight w:val="0"/>
          <w:marTop w:val="0"/>
          <w:marBottom w:val="0"/>
          <w:divBdr>
            <w:top w:val="none" w:sz="0" w:space="0" w:color="auto"/>
            <w:left w:val="none" w:sz="0" w:space="0" w:color="auto"/>
            <w:bottom w:val="none" w:sz="0" w:space="0" w:color="auto"/>
            <w:right w:val="none" w:sz="0" w:space="0" w:color="auto"/>
          </w:divBdr>
        </w:div>
      </w:divsChild>
    </w:div>
    <w:div w:id="2061319476">
      <w:marLeft w:val="0"/>
      <w:marRight w:val="0"/>
      <w:marTop w:val="100"/>
      <w:marBottom w:val="0"/>
      <w:divBdr>
        <w:top w:val="none" w:sz="0" w:space="0" w:color="auto"/>
        <w:left w:val="none" w:sz="0" w:space="0" w:color="auto"/>
        <w:bottom w:val="none" w:sz="0" w:space="0" w:color="auto"/>
        <w:right w:val="none" w:sz="0" w:space="0" w:color="auto"/>
      </w:divBdr>
    </w:div>
    <w:div w:id="2063165061">
      <w:marLeft w:val="0"/>
      <w:marRight w:val="0"/>
      <w:marTop w:val="0"/>
      <w:marBottom w:val="0"/>
      <w:divBdr>
        <w:top w:val="none" w:sz="0" w:space="0" w:color="auto"/>
        <w:left w:val="none" w:sz="0" w:space="0" w:color="auto"/>
        <w:bottom w:val="none" w:sz="0" w:space="0" w:color="auto"/>
        <w:right w:val="none" w:sz="0" w:space="0" w:color="auto"/>
      </w:divBdr>
      <w:divsChild>
        <w:div w:id="2127044376">
          <w:marLeft w:val="0"/>
          <w:marRight w:val="0"/>
          <w:marTop w:val="100"/>
          <w:marBottom w:val="0"/>
          <w:divBdr>
            <w:top w:val="none" w:sz="0" w:space="0" w:color="auto"/>
            <w:left w:val="none" w:sz="0" w:space="0" w:color="auto"/>
            <w:bottom w:val="none" w:sz="0" w:space="0" w:color="auto"/>
            <w:right w:val="none" w:sz="0" w:space="0" w:color="auto"/>
          </w:divBdr>
        </w:div>
      </w:divsChild>
    </w:div>
    <w:div w:id="2065833564">
      <w:marLeft w:val="0"/>
      <w:marRight w:val="0"/>
      <w:marTop w:val="180"/>
      <w:marBottom w:val="0"/>
      <w:divBdr>
        <w:top w:val="none" w:sz="0" w:space="0" w:color="auto"/>
        <w:left w:val="none" w:sz="0" w:space="0" w:color="auto"/>
        <w:bottom w:val="none" w:sz="0" w:space="0" w:color="auto"/>
        <w:right w:val="none" w:sz="0" w:space="0" w:color="auto"/>
      </w:divBdr>
    </w:div>
    <w:div w:id="2070491413">
      <w:marLeft w:val="0"/>
      <w:marRight w:val="0"/>
      <w:marTop w:val="160"/>
      <w:marBottom w:val="0"/>
      <w:divBdr>
        <w:top w:val="none" w:sz="0" w:space="0" w:color="auto"/>
        <w:left w:val="none" w:sz="0" w:space="0" w:color="auto"/>
        <w:bottom w:val="none" w:sz="0" w:space="0" w:color="auto"/>
        <w:right w:val="none" w:sz="0" w:space="0" w:color="auto"/>
      </w:divBdr>
    </w:div>
    <w:div w:id="2073964405">
      <w:marLeft w:val="0"/>
      <w:marRight w:val="0"/>
      <w:marTop w:val="0"/>
      <w:marBottom w:val="0"/>
      <w:divBdr>
        <w:top w:val="none" w:sz="0" w:space="0" w:color="auto"/>
        <w:left w:val="none" w:sz="0" w:space="0" w:color="auto"/>
        <w:bottom w:val="none" w:sz="0" w:space="0" w:color="auto"/>
        <w:right w:val="none" w:sz="0" w:space="0" w:color="auto"/>
      </w:divBdr>
    </w:div>
    <w:div w:id="2074086208">
      <w:marLeft w:val="0"/>
      <w:marRight w:val="0"/>
      <w:marTop w:val="160"/>
      <w:marBottom w:val="0"/>
      <w:divBdr>
        <w:top w:val="none" w:sz="0" w:space="0" w:color="auto"/>
        <w:left w:val="none" w:sz="0" w:space="0" w:color="auto"/>
        <w:bottom w:val="none" w:sz="0" w:space="0" w:color="auto"/>
        <w:right w:val="none" w:sz="0" w:space="0" w:color="auto"/>
      </w:divBdr>
    </w:div>
    <w:div w:id="2075464094">
      <w:marLeft w:val="0"/>
      <w:marRight w:val="0"/>
      <w:marTop w:val="100"/>
      <w:marBottom w:val="0"/>
      <w:divBdr>
        <w:top w:val="none" w:sz="0" w:space="0" w:color="auto"/>
        <w:left w:val="none" w:sz="0" w:space="0" w:color="auto"/>
        <w:bottom w:val="none" w:sz="0" w:space="0" w:color="auto"/>
        <w:right w:val="none" w:sz="0" w:space="0" w:color="auto"/>
      </w:divBdr>
    </w:div>
    <w:div w:id="2077629828">
      <w:marLeft w:val="0"/>
      <w:marRight w:val="0"/>
      <w:marTop w:val="100"/>
      <w:marBottom w:val="0"/>
      <w:divBdr>
        <w:top w:val="none" w:sz="0" w:space="0" w:color="auto"/>
        <w:left w:val="none" w:sz="0" w:space="0" w:color="auto"/>
        <w:bottom w:val="none" w:sz="0" w:space="0" w:color="auto"/>
        <w:right w:val="none" w:sz="0" w:space="0" w:color="auto"/>
      </w:divBdr>
    </w:div>
    <w:div w:id="2080249979">
      <w:marLeft w:val="0"/>
      <w:marRight w:val="0"/>
      <w:marTop w:val="100"/>
      <w:marBottom w:val="0"/>
      <w:divBdr>
        <w:top w:val="none" w:sz="0" w:space="0" w:color="auto"/>
        <w:left w:val="none" w:sz="0" w:space="0" w:color="auto"/>
        <w:bottom w:val="none" w:sz="0" w:space="0" w:color="auto"/>
        <w:right w:val="none" w:sz="0" w:space="0" w:color="auto"/>
      </w:divBdr>
    </w:div>
    <w:div w:id="2081293982">
      <w:marLeft w:val="0"/>
      <w:marRight w:val="0"/>
      <w:marTop w:val="100"/>
      <w:marBottom w:val="0"/>
      <w:divBdr>
        <w:top w:val="none" w:sz="0" w:space="0" w:color="auto"/>
        <w:left w:val="none" w:sz="0" w:space="0" w:color="auto"/>
        <w:bottom w:val="none" w:sz="0" w:space="0" w:color="auto"/>
        <w:right w:val="none" w:sz="0" w:space="0" w:color="auto"/>
      </w:divBdr>
    </w:div>
    <w:div w:id="2085563138">
      <w:marLeft w:val="0"/>
      <w:marRight w:val="0"/>
      <w:marTop w:val="100"/>
      <w:marBottom w:val="0"/>
      <w:divBdr>
        <w:top w:val="none" w:sz="0" w:space="0" w:color="auto"/>
        <w:left w:val="none" w:sz="0" w:space="0" w:color="auto"/>
        <w:bottom w:val="none" w:sz="0" w:space="0" w:color="auto"/>
        <w:right w:val="none" w:sz="0" w:space="0" w:color="auto"/>
      </w:divBdr>
    </w:div>
    <w:div w:id="2087073325">
      <w:marLeft w:val="0"/>
      <w:marRight w:val="0"/>
      <w:marTop w:val="100"/>
      <w:marBottom w:val="0"/>
      <w:divBdr>
        <w:top w:val="none" w:sz="0" w:space="0" w:color="auto"/>
        <w:left w:val="none" w:sz="0" w:space="0" w:color="auto"/>
        <w:bottom w:val="none" w:sz="0" w:space="0" w:color="auto"/>
        <w:right w:val="none" w:sz="0" w:space="0" w:color="auto"/>
      </w:divBdr>
    </w:div>
    <w:div w:id="2095009154">
      <w:marLeft w:val="0"/>
      <w:marRight w:val="0"/>
      <w:marTop w:val="100"/>
      <w:marBottom w:val="0"/>
      <w:divBdr>
        <w:top w:val="none" w:sz="0" w:space="0" w:color="auto"/>
        <w:left w:val="none" w:sz="0" w:space="0" w:color="auto"/>
        <w:bottom w:val="none" w:sz="0" w:space="0" w:color="auto"/>
        <w:right w:val="none" w:sz="0" w:space="0" w:color="auto"/>
      </w:divBdr>
    </w:div>
    <w:div w:id="2096852498">
      <w:marLeft w:val="0"/>
      <w:marRight w:val="0"/>
      <w:marTop w:val="100"/>
      <w:marBottom w:val="0"/>
      <w:divBdr>
        <w:top w:val="none" w:sz="0" w:space="0" w:color="auto"/>
        <w:left w:val="none" w:sz="0" w:space="0" w:color="auto"/>
        <w:bottom w:val="none" w:sz="0" w:space="0" w:color="auto"/>
        <w:right w:val="none" w:sz="0" w:space="0" w:color="auto"/>
      </w:divBdr>
    </w:div>
    <w:div w:id="2106268611">
      <w:marLeft w:val="0"/>
      <w:marRight w:val="0"/>
      <w:marTop w:val="190"/>
      <w:marBottom w:val="100"/>
      <w:divBdr>
        <w:top w:val="none" w:sz="0" w:space="0" w:color="auto"/>
        <w:left w:val="none" w:sz="0" w:space="0" w:color="auto"/>
        <w:bottom w:val="none" w:sz="0" w:space="0" w:color="auto"/>
        <w:right w:val="none" w:sz="0" w:space="0" w:color="auto"/>
      </w:divBdr>
      <w:divsChild>
        <w:div w:id="1401631758">
          <w:marLeft w:val="0"/>
          <w:marRight w:val="0"/>
          <w:marTop w:val="0"/>
          <w:marBottom w:val="0"/>
          <w:divBdr>
            <w:top w:val="none" w:sz="0" w:space="0" w:color="auto"/>
            <w:left w:val="none" w:sz="0" w:space="0" w:color="auto"/>
            <w:bottom w:val="none" w:sz="0" w:space="0" w:color="auto"/>
            <w:right w:val="none" w:sz="0" w:space="0" w:color="auto"/>
          </w:divBdr>
        </w:div>
      </w:divsChild>
    </w:div>
    <w:div w:id="2110200954">
      <w:marLeft w:val="0"/>
      <w:marRight w:val="0"/>
      <w:marTop w:val="100"/>
      <w:marBottom w:val="0"/>
      <w:divBdr>
        <w:top w:val="none" w:sz="0" w:space="0" w:color="auto"/>
        <w:left w:val="none" w:sz="0" w:space="0" w:color="auto"/>
        <w:bottom w:val="none" w:sz="0" w:space="0" w:color="auto"/>
        <w:right w:val="none" w:sz="0" w:space="0" w:color="auto"/>
      </w:divBdr>
    </w:div>
    <w:div w:id="2115200654">
      <w:marLeft w:val="0"/>
      <w:marRight w:val="0"/>
      <w:marTop w:val="0"/>
      <w:marBottom w:val="0"/>
      <w:divBdr>
        <w:top w:val="none" w:sz="0" w:space="0" w:color="auto"/>
        <w:left w:val="none" w:sz="0" w:space="0" w:color="auto"/>
        <w:bottom w:val="none" w:sz="0" w:space="0" w:color="auto"/>
        <w:right w:val="none" w:sz="0" w:space="0" w:color="auto"/>
      </w:divBdr>
      <w:divsChild>
        <w:div w:id="1389380039">
          <w:marLeft w:val="0"/>
          <w:marRight w:val="0"/>
          <w:marTop w:val="0"/>
          <w:marBottom w:val="0"/>
          <w:divBdr>
            <w:top w:val="none" w:sz="0" w:space="0" w:color="auto"/>
            <w:left w:val="none" w:sz="0" w:space="0" w:color="auto"/>
            <w:bottom w:val="none" w:sz="0" w:space="0" w:color="auto"/>
            <w:right w:val="none" w:sz="0" w:space="0" w:color="auto"/>
          </w:divBdr>
        </w:div>
      </w:divsChild>
    </w:div>
    <w:div w:id="2117821316">
      <w:marLeft w:val="0"/>
      <w:marRight w:val="0"/>
      <w:marTop w:val="0"/>
      <w:marBottom w:val="0"/>
      <w:divBdr>
        <w:top w:val="none" w:sz="0" w:space="0" w:color="auto"/>
        <w:left w:val="none" w:sz="0" w:space="0" w:color="auto"/>
        <w:bottom w:val="none" w:sz="0" w:space="0" w:color="auto"/>
        <w:right w:val="none" w:sz="0" w:space="0" w:color="auto"/>
      </w:divBdr>
      <w:divsChild>
        <w:div w:id="364601174">
          <w:marLeft w:val="0"/>
          <w:marRight w:val="0"/>
          <w:marTop w:val="0"/>
          <w:marBottom w:val="0"/>
          <w:divBdr>
            <w:top w:val="none" w:sz="0" w:space="0" w:color="auto"/>
            <w:left w:val="none" w:sz="0" w:space="0" w:color="auto"/>
            <w:bottom w:val="none" w:sz="0" w:space="0" w:color="auto"/>
            <w:right w:val="none" w:sz="0" w:space="0" w:color="auto"/>
          </w:divBdr>
          <w:divsChild>
            <w:div w:id="330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30">
      <w:marLeft w:val="0"/>
      <w:marRight w:val="0"/>
      <w:marTop w:val="100"/>
      <w:marBottom w:val="0"/>
      <w:divBdr>
        <w:top w:val="none" w:sz="0" w:space="0" w:color="auto"/>
        <w:left w:val="none" w:sz="0" w:space="0" w:color="auto"/>
        <w:bottom w:val="none" w:sz="0" w:space="0" w:color="auto"/>
        <w:right w:val="none" w:sz="0" w:space="0" w:color="auto"/>
      </w:divBdr>
    </w:div>
    <w:div w:id="2121754298">
      <w:marLeft w:val="0"/>
      <w:marRight w:val="0"/>
      <w:marTop w:val="100"/>
      <w:marBottom w:val="0"/>
      <w:divBdr>
        <w:top w:val="none" w:sz="0" w:space="0" w:color="auto"/>
        <w:left w:val="none" w:sz="0" w:space="0" w:color="auto"/>
        <w:bottom w:val="none" w:sz="0" w:space="0" w:color="auto"/>
        <w:right w:val="none" w:sz="0" w:space="0" w:color="auto"/>
      </w:divBdr>
    </w:div>
    <w:div w:id="2122219094">
      <w:marLeft w:val="0"/>
      <w:marRight w:val="0"/>
      <w:marTop w:val="0"/>
      <w:marBottom w:val="0"/>
      <w:divBdr>
        <w:top w:val="none" w:sz="0" w:space="0" w:color="auto"/>
        <w:left w:val="none" w:sz="0" w:space="0" w:color="auto"/>
        <w:bottom w:val="none" w:sz="0" w:space="0" w:color="auto"/>
        <w:right w:val="none" w:sz="0" w:space="0" w:color="auto"/>
      </w:divBdr>
    </w:div>
    <w:div w:id="2134590362">
      <w:marLeft w:val="0"/>
      <w:marRight w:val="0"/>
      <w:marTop w:val="100"/>
      <w:marBottom w:val="0"/>
      <w:divBdr>
        <w:top w:val="none" w:sz="0" w:space="0" w:color="auto"/>
        <w:left w:val="none" w:sz="0" w:space="0" w:color="auto"/>
        <w:bottom w:val="none" w:sz="0" w:space="0" w:color="auto"/>
        <w:right w:val="none" w:sz="0" w:space="0" w:color="auto"/>
      </w:divBdr>
    </w:div>
    <w:div w:id="2137794494">
      <w:marLeft w:val="0"/>
      <w:marRight w:val="0"/>
      <w:marTop w:val="160"/>
      <w:marBottom w:val="100"/>
      <w:divBdr>
        <w:top w:val="none" w:sz="0" w:space="0" w:color="auto"/>
        <w:left w:val="none" w:sz="0" w:space="0" w:color="auto"/>
        <w:bottom w:val="none" w:sz="0" w:space="0" w:color="auto"/>
        <w:right w:val="none" w:sz="0" w:space="0" w:color="auto"/>
      </w:divBdr>
      <w:divsChild>
        <w:div w:id="85352308">
          <w:marLeft w:val="0"/>
          <w:marRight w:val="0"/>
          <w:marTop w:val="0"/>
          <w:marBottom w:val="0"/>
          <w:divBdr>
            <w:top w:val="none" w:sz="0" w:space="0" w:color="auto"/>
            <w:left w:val="none" w:sz="0" w:space="0" w:color="auto"/>
            <w:bottom w:val="none" w:sz="0" w:space="0" w:color="auto"/>
            <w:right w:val="none" w:sz="0" w:space="0" w:color="auto"/>
          </w:divBdr>
        </w:div>
      </w:divsChild>
    </w:div>
    <w:div w:id="2142839814">
      <w:marLeft w:val="0"/>
      <w:marRight w:val="0"/>
      <w:marTop w:val="0"/>
      <w:marBottom w:val="0"/>
      <w:divBdr>
        <w:top w:val="none" w:sz="0" w:space="0" w:color="auto"/>
        <w:left w:val="none" w:sz="0" w:space="0" w:color="auto"/>
        <w:bottom w:val="none" w:sz="0" w:space="0" w:color="auto"/>
        <w:right w:val="none" w:sz="0" w:space="0" w:color="auto"/>
      </w:divBdr>
      <w:divsChild>
        <w:div w:id="883179704">
          <w:marLeft w:val="0"/>
          <w:marRight w:val="0"/>
          <w:marTop w:val="100"/>
          <w:marBottom w:val="0"/>
          <w:divBdr>
            <w:top w:val="none" w:sz="0" w:space="0" w:color="auto"/>
            <w:left w:val="none" w:sz="0" w:space="0" w:color="auto"/>
            <w:bottom w:val="none" w:sz="0" w:space="0" w:color="auto"/>
            <w:right w:val="none" w:sz="0" w:space="0" w:color="auto"/>
          </w:divBdr>
        </w:div>
      </w:divsChild>
    </w:div>
    <w:div w:id="2147039890">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202058/000020205820000056/bod-20x181equityincent.htm" TargetMode="External"/><Relationship Id="rId13" Type="http://schemas.openxmlformats.org/officeDocument/2006/relationships/hyperlink" Target="exhibit322q3cy2010-q.htm" TargetMode="External"/><Relationship Id="rId3" Type="http://schemas.openxmlformats.org/officeDocument/2006/relationships/webSettings" Target="webSettings.xml"/><Relationship Id="rId7" Type="http://schemas.openxmlformats.org/officeDocument/2006/relationships/hyperlink" Target="https://www.sec.gov/Archives/edgar/data/202058/000020205820000056/bod-20x180annualincent.htm" TargetMode="External"/><Relationship Id="rId12" Type="http://schemas.openxmlformats.org/officeDocument/2006/relationships/hyperlink" Target="exhibit321q3cy2010-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202058/000020205820000027/bylawsamendedandrestated.htm" TargetMode="External"/><Relationship Id="rId11" Type="http://schemas.openxmlformats.org/officeDocument/2006/relationships/hyperlink" Target="exhibit312q3cy2010-q.htm" TargetMode="External"/><Relationship Id="rId5" Type="http://schemas.openxmlformats.org/officeDocument/2006/relationships/hyperlink" Target="http://www.sec.gov/Archives/edgar/data/202058/000020205820000040/restatedcertificateofinc.htm" TargetMode="External"/><Relationship Id="rId15" Type="http://schemas.openxmlformats.org/officeDocument/2006/relationships/theme" Target="theme/theme1.xml"/><Relationship Id="rId10" Type="http://schemas.openxmlformats.org/officeDocument/2006/relationships/hyperlink" Target="exhibit311q3cy2010-q.htm" TargetMode="External"/><Relationship Id="rId4" Type="http://schemas.openxmlformats.org/officeDocument/2006/relationships/image" Target="file:///E:\projects\LLMs\new_data_collection\data_new\htm\L3HARRIS%20TECHNOLOGIES,%20INC\hrs-20201002_g1.jpg" TargetMode="External"/><Relationship Id="rId9" Type="http://schemas.openxmlformats.org/officeDocument/2006/relationships/hyperlink" Target="exhibit15q3cy2010-q.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45157</Words>
  <Characters>257398</Characters>
  <Application>Microsoft Office Word</Application>
  <DocSecurity>0</DocSecurity>
  <Lines>2144</Lines>
  <Paragraphs>603</Paragraphs>
  <ScaleCrop>false</ScaleCrop>
  <Company/>
  <LinksUpToDate>false</LinksUpToDate>
  <CharactersWithSpaces>301952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hrs-20201002</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