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9054C">
      <w:pPr>
        <w:divId w:val="1907450211"/>
        <w:rPr>
          <w:rFonts w:eastAsia="Times New Roman"/>
          <w:vanish/>
        </w:rPr>
      </w:pPr>
      <w:r>
        <w:rPr>
          <w:rFonts w:eastAsia="Times New Roman"/>
          <w:vanish/>
        </w:rPr>
        <w:t>0000202058false2021Q112/31101 year, 9 months100002020582021-01-022021-04-02xbrli:shares00002020582021-04-30iso4217:USD00002020582020-01-042020-04-03iso4217:USDxbrli:shares00002020582021-04-0200002020582021-01-0100002020582020-01-030000202058</w:t>
      </w:r>
      <w:r>
        <w:rPr>
          <w:rFonts w:eastAsia="Times New Roman"/>
          <w:vanish/>
        </w:rPr>
        <w:t>2020-04-030000202058us-gaap:CommonStockMember2021-01-010000202058us-gaap:OtherAdditionalCapitalMember2021-01-010000202058us-gaap:RetainedEarningsMember2021-01-010000202058us-gaap:AccumulatedOtherComprehensiveIncomeMember2021-01-010000202058us-gaap:Noncontr</w:t>
      </w:r>
      <w:r>
        <w:rPr>
          <w:rFonts w:eastAsia="Times New Roman"/>
          <w:vanish/>
        </w:rPr>
        <w:t>ollingInterestMember2021-01-010000202058us-gaap:RetainedEarningsMember2021-01-022021-04-020000202058us-gaap:NoncontrollingInterestMember2021-01-022021-04-020000202058us-gaap:AccumulatedOtherComprehensiveIncomeMember2021-01-022021-04-020000202058us-gaap:Oth</w:t>
      </w:r>
      <w:r>
        <w:rPr>
          <w:rFonts w:eastAsia="Times New Roman"/>
          <w:vanish/>
        </w:rPr>
        <w:t>erAdditionalCapitalMember2021-01-022021-04-020000202058us-gaap:CommonStockMember2021-01-022021-04-020000202058us-gaap:CommonStockMember2021-04-020000202058us-gaap:OtherAdditionalCapitalMember2021-04-020000202058us-gaap:RetainedEarningsMember2021-04-0200002</w:t>
      </w:r>
      <w:r>
        <w:rPr>
          <w:rFonts w:eastAsia="Times New Roman"/>
          <w:vanish/>
        </w:rPr>
        <w:t>02058us-gaap:AccumulatedOtherComprehensiveIncomeMember2021-04-020000202058us-gaap:NoncontrollingInterestMember2021-04-020000202058us-gaap:CommonStockMember2020-01-030000202058us-gaap:OtherAdditionalCapitalMember2020-01-030000202058us-gaap:RetainedEarningsM</w:t>
      </w:r>
      <w:r>
        <w:rPr>
          <w:rFonts w:eastAsia="Times New Roman"/>
          <w:vanish/>
        </w:rPr>
        <w:t>ember2020-01-030000202058us-gaap:AccumulatedOtherComprehensiveIncomeMember2020-01-030000202058us-gaap:NoncontrollingInterestMember2020-01-030000202058us-gaap:RetainedEarningsMember2020-01-042020-04-030000202058us-gaap:NoncontrollingInterestMember2020-01-04</w:t>
      </w:r>
      <w:r>
        <w:rPr>
          <w:rFonts w:eastAsia="Times New Roman"/>
          <w:vanish/>
        </w:rPr>
        <w:t>2020-04-030000202058us-gaap:AccumulatedOtherComprehensiveIncomeMember2020-01-042020-04-030000202058us-gaap:CommonStockMember2020-01-042020-04-030000202058us-gaap:OtherAdditionalCapitalMember2020-01-042020-04-030000202058us-gaap:CommonStockMember2020-04-030</w:t>
      </w:r>
      <w:r>
        <w:rPr>
          <w:rFonts w:eastAsia="Times New Roman"/>
          <w:vanish/>
        </w:rPr>
        <w:t>000202058us-gaap:OtherAdditionalCapitalMember2020-04-030000202058us-gaap:RetainedEarningsMember2020-04-030000202058us-gaap:AccumulatedOtherComprehensiveIncomeMember2020-04-030000202058us-gaap:NoncontrollingInterestMember2020-04-030000202058hrs:L3HarrisTech</w:t>
      </w:r>
      <w:r>
        <w:rPr>
          <w:rFonts w:eastAsia="Times New Roman"/>
          <w:vanish/>
        </w:rPr>
        <w:t>nologiesInc.Member2021-01-022021-04-020000202058hrs:L3HarrisTechnologiesInc.Member2020-01-042020-04-030000202058hrs:AviationSystemsMemberus-gaap:DisposalGroupHeldforsaleNotDiscontinuedOperationsMemberhrs:CombatPropulsionSystemsMember2021-03-010000202058hrs</w:t>
      </w:r>
      <w:r>
        <w:rPr>
          <w:rFonts w:eastAsia="Times New Roman"/>
          <w:vanish/>
        </w:rPr>
        <w:t>:AviationSystemsMemberus-gaap:DisposalGroupHeldforsaleNotDiscontinuedOperationsMemberhrs:CombatPropulsionSystemsMember2021-01-022021-04-020000202058hrs:AviationSystemsMemberus-gaap:DisposalGroupHeldforsaleNotDiscontinuedOperationsMemberhrs:CombatPropulsion</w:t>
      </w:r>
      <w:r>
        <w:rPr>
          <w:rFonts w:eastAsia="Times New Roman"/>
          <w:vanish/>
        </w:rPr>
        <w:t>SystemsMember2020-01-042020-04-030000202058hrs:AviationSystemsMemberus-gaap:DisposalGroupHeldforsaleNotDiscontinuedOperationsMemberhrs:CombatPropulsionSystemsMember2021-04-020000202058hrs:AviationSystemsMemberus-gaap:DisposalGroupHeldforsaleNotDiscontinued</w:t>
      </w:r>
      <w:r>
        <w:rPr>
          <w:rFonts w:eastAsia="Times New Roman"/>
          <w:vanish/>
        </w:rPr>
        <w:t>OperationsMemberhrs:CombatPropulsionSystemsMember2021-01-022021-04-020000202058us-gaap:DisposalGroupHeldforsaleNotDiscontinuedOperationsMemberhrs:CombatPropulsionSystemsMember2021-04-020000202058hrs:AviationSystemsMemberhrs:MilitaryTrainingBusinessMemberus</w:t>
      </w:r>
      <w:r>
        <w:rPr>
          <w:rFonts w:eastAsia="Times New Roman"/>
          <w:vanish/>
        </w:rPr>
        <w:t>-gaap:DisposalGroupHeldforsaleNotDiscontinuedOperationsMember2021-02-270000202058hrs:AviationSystemsMemberhrs:MilitaryTrainingBusinessMemberus-gaap:DisposalGroupHeldforsaleNotDiscontinuedOperationsMember2021-01-022021-04-020000202058hrs:AviationSystemsMemb</w:t>
      </w:r>
      <w:r>
        <w:rPr>
          <w:rFonts w:eastAsia="Times New Roman"/>
          <w:vanish/>
        </w:rPr>
        <w:t>erhrs:MilitaryTrainingBusinessMemberus-gaap:DisposalGroupHeldforsaleNotDiscontinuedOperationsMember2020-01-042020-04-030000202058hrs:AviationSystemsMemberhrs:MilitaryTrainingBusinessMemberus-gaap:DisposalGroupHeldforsaleNotDiscontinuedOperationsMember2021-</w:t>
      </w:r>
      <w:r>
        <w:rPr>
          <w:rFonts w:eastAsia="Times New Roman"/>
          <w:vanish/>
        </w:rPr>
        <w:t>01-022021-04-020000202058hrs:MilitaryTrainingBusinessMemberus-gaap:DisposalGroupHeldforsaleNotDiscontinuedOperationsMember2021-04-020000202058hrs:AviationSystemsMemberus-gaap:DisposalGroupHeldforsaleNotDiscontinuedOperationsMemberhrs:VoiceSwitchEnterpriseM</w:t>
      </w:r>
      <w:r>
        <w:rPr>
          <w:rFonts w:eastAsia="Times New Roman"/>
          <w:vanish/>
        </w:rPr>
        <w:t>ember2021-02-230000202058hrs:AviationSystemsMemberus-gaap:DisposalGroupHeldforsaleNotDiscontinuedOperationsMemberhrs:VoiceSwitchEnterpriseMember2020-07-030000202058hrs:AviationSystemsMemberus-gaap:DisposalGroupHeldforsaleNotDiscontinuedOperationsMemberhrs:</w:t>
      </w:r>
      <w:r>
        <w:rPr>
          <w:rFonts w:eastAsia="Times New Roman"/>
          <w:vanish/>
        </w:rPr>
        <w:t>VoiceSwitchEnterpriseMember2020-01-042021-01-010000202058hrs:AviationSystemsMemberus-gaap:DisposalGroupHeldforsaleNotDiscontinuedOperationsMemberhrs:VoiceSwitchEnterpriseMember2021-01-022021-04-020000202058hrs:AviationSystemsMemberus-gaap:DisposalGroupHeld</w:t>
      </w:r>
      <w:r>
        <w:rPr>
          <w:rFonts w:eastAsia="Times New Roman"/>
          <w:vanish/>
        </w:rPr>
        <w:t>forsaleNotDiscontinuedOperationsMemberhrs:VoiceSwitchEnterpriseMember2021-04-020000202058hrs:AviationSystemsMemberus-gaap:DisposalGroupHeldforsaleNotDiscontinuedOperationsMemberhrs:VoiceSwitchEnterpriseMember2021-01-010000202058hrs:CommunicationSystemsMemb</w:t>
      </w:r>
      <w:r>
        <w:rPr>
          <w:rFonts w:eastAsia="Times New Roman"/>
          <w:vanish/>
        </w:rPr>
        <w:t>erhrs:EOTechBusinessMemberus-gaap:DisposalGroupDisposedOfBySaleNotDiscontinuedOperationsMember2020-07-310000202058hrs:CommunicationSystemsMemberhrs:EOTechBusinessMemberus-gaap:DisposalGroupDisposedOfBySaleNotDiscontinuedOperationsMember2020-07-312020-07-31</w:t>
      </w:r>
      <w:r>
        <w:rPr>
          <w:rFonts w:eastAsia="Times New Roman"/>
          <w:vanish/>
        </w:rPr>
        <w:t>0000202058hrs:SpaceandAirborneSystemsMemberhrs:AppliedKilovoltsandAnalyticalInstrumentationBusinessMemberus-gaap:DisposalGroupDisposedOfBySaleNotDiscontinuedOperationsMember2020-05-152020-05-150000202058hrs:SpaceandAirborneSystemsMemberhrs:AppliedKilovolts</w:t>
      </w:r>
      <w:r>
        <w:rPr>
          <w:rFonts w:eastAsia="Times New Roman"/>
          <w:vanish/>
        </w:rPr>
        <w:t>andAnalyticalInstrumentationBusinessMemberus-gaap:DisposalGroupDisposedOfBySaleNotDiscontinuedOperationsMember2020-01-042020-04-030000202058hrs:AviationSystemsMemberhrs:AirportSecurityandAutomationBusinessMemberus-gaap:DisposalGroupDisposedOfBySaleNotDisco</w:t>
      </w:r>
      <w:r>
        <w:rPr>
          <w:rFonts w:eastAsia="Times New Roman"/>
          <w:vanish/>
        </w:rPr>
        <w:t>ntinuedOperationsMember2020-05-040000202058hrs:AviationSystemsMemberhrs:AirportSecurityandAutomationBusinessMemberus-gaap:DisposalGroupDisposedOfBySaleNotDiscontinuedOperationsMember2020-05-042020-05-040000202058hrs:AviationSystemsMemberhrs:AirportSecurity</w:t>
      </w:r>
      <w:r>
        <w:rPr>
          <w:rFonts w:eastAsia="Times New Roman"/>
          <w:vanish/>
        </w:rPr>
        <w:t>andAutomationBusinessMemberus-gaap:DisposalGroupDisposedOfBySaleNotDiscontinuedOperationsMember2020-01-042020-04-03hrs:plan0000202058hrs:ShareholderapprovedEmployeeStockIncentivePlansMember2021-04-020000202058hrs:L3HarrisShareholderapprovedEmployeeStockInc</w:t>
      </w:r>
      <w:r>
        <w:rPr>
          <w:rFonts w:eastAsia="Times New Roman"/>
          <w:vanish/>
        </w:rPr>
        <w:t>entivePlansMember2021-01-022021-04-020000202058hrs:L3HarrisShareholderapprovedEmployeeStockIncentivePlansMember2020-01-042020-04-030000202058hrs:L3HarrisShareholderapprovedEmployeeStockIncentivePlansMemberhrs:PerformanceStockUnitsMember2021-01-022021-04-02</w:t>
      </w:r>
      <w:r>
        <w:rPr>
          <w:rFonts w:eastAsia="Times New Roman"/>
          <w:vanish/>
        </w:rPr>
        <w:t>0000202058hrs:L3HarrisShareholderapprovedEmployeeStockIncentivePlansMemberus-gaap:RestrictedStockUnitsRSUMember2021-01-022021-04-02xbrli:pure0000202058hrs:L3HarrisShareholderapprovedEmployeeStockIncentivePlansMemberus-gaap:EmployeeStockOptionMember2021-01-</w:t>
      </w:r>
      <w:r>
        <w:rPr>
          <w:rFonts w:eastAsia="Times New Roman"/>
          <w:vanish/>
        </w:rPr>
        <w:t>022021-04-020000202058hrs:L3HarrisTechnologiesInc.Memberus-gaap:EmployeeSeveranceMember2020-01-042021-01-010000202058hrs:L3HarrisTechnologiesInc.Memberus-gaap:EmployeeSeveranceMember2019-06-292020-01-030000202058hrs:L3HarrisTechnologiesInc.Memberus-gaap:Em</w:t>
      </w:r>
      <w:r>
        <w:rPr>
          <w:rFonts w:eastAsia="Times New Roman"/>
          <w:vanish/>
        </w:rPr>
        <w:t>ployeeSeveranceMember2021-04-020000202058hrs:AviationSystemsMemberhrs:COVID19PandemicMemberus-gaap:EmployeeSeveranceMember2020-01-042021-01-010000202058hrs:AviationSystemsMemberhrs:COVID19PandemicMemberus-gaap:EmployeeSeveranceMember2020-01-042020-04-03000</w:t>
      </w:r>
      <w:r>
        <w:rPr>
          <w:rFonts w:eastAsia="Times New Roman"/>
          <w:vanish/>
        </w:rPr>
        <w:t>0202058hrs:COVID19PandemicMemberus-gaap:EmployeeSeveranceMember2021-04-020000202058us-gaap:AccumulatedTranslationAdjustmentMember2021-01-010000202058us-gaap:AccumulatedGainLossNetCashFlowHedgeParentMember2021-01-010000202058us-gaap:AccumulatedDefinedBenefi</w:t>
      </w:r>
      <w:r>
        <w:rPr>
          <w:rFonts w:eastAsia="Times New Roman"/>
          <w:vanish/>
        </w:rPr>
        <w:t>tPlansAdjustmentMember2021-01-010000202058us-gaap:AccumulatedTranslationAdjustmentMember2021-01-022021-04-020000202058us-gaap:AccumulatedGainLossNetCashFlowHedgeParentMember2021-01-022021-04-020000202058us-gaap:AccumulatedDefinedBenefitPlansAdjustmentMembe</w:t>
      </w:r>
      <w:r>
        <w:rPr>
          <w:rFonts w:eastAsia="Times New Roman"/>
          <w:vanish/>
        </w:rPr>
        <w:t>r2021-01-022021-04-020000202058us-gaap:AccumulatedTranslationAdjustmentMember2021-04-020000202058us-gaap:AccumulatedGainLossNetCashFlowHedgeParentMember2021-04-020000202058us-gaap:AccumulatedDefinedBenefitPlansAdjustmentMember2021-04-020000202058us-gaap:Ac</w:t>
      </w:r>
      <w:r>
        <w:rPr>
          <w:rFonts w:eastAsia="Times New Roman"/>
          <w:vanish/>
        </w:rPr>
        <w:t>cumulatedTranslationAdjustmentMember2020-01-030000202058us-gaap:AccumulatedGainLossNetCashFlowHedgeParentMember2020-01-030000202058us-gaap:AccumulatedDefinedBenefitPlansAdjustmentMember2020-01-030000202058us-gaap:AccumulatedTranslationAdjustmentMember2020-</w:t>
      </w:r>
      <w:r>
        <w:rPr>
          <w:rFonts w:eastAsia="Times New Roman"/>
          <w:vanish/>
        </w:rPr>
        <w:t>01-042020-04-030000202058us-gaap:AccumulatedGainLossNetCashFlowHedgeParentMember2020-01-042020-04-030000202058us-gaap:AccumulatedDefinedBenefitPlansAdjustmentMember2020-01-042020-04-030000202058us-gaap:AccumulatedTranslationAdjustmentMember2020-04-03000020</w:t>
      </w:r>
      <w:r>
        <w:rPr>
          <w:rFonts w:eastAsia="Times New Roman"/>
          <w:vanish/>
        </w:rPr>
        <w:t>2058us-gaap:AccumulatedGainLossNetCashFlowHedgeParentMember2020-04-030000202058us-gaap:AccumulatedDefinedBenefitPlansAdjustmentMember2020-04-03hrs:receivableSaleAgreement0000202058hrs:ReceivableSaleAgreementTwoMember2021-04-020000202058hrs:ReceivableSaleAg</w:t>
      </w:r>
      <w:r>
        <w:rPr>
          <w:rFonts w:eastAsia="Times New Roman"/>
          <w:vanish/>
        </w:rPr>
        <w:t>reementOneMember2021-04-020000202058hrs:IntegratedMissionSystemsMember2021-01-010000202058hrs:SpaceandAirborneSystemsMember2021-01-010000202058hrs:CommunicationSystemsMember2021-01-010000202058hrs:AviationSystemsMember2021-01-010000202058hrs:IntegratedMiss</w:t>
      </w:r>
      <w:r>
        <w:rPr>
          <w:rFonts w:eastAsia="Times New Roman"/>
          <w:vanish/>
        </w:rPr>
        <w:t>ionSystemsMember2021-01-022021-04-020000202058hrs:SpaceandAirborneSystemsMember2021-01-022021-04-020000202058hrs:CommunicationSystemsMember2021-01-022021-04-020000202058hrs:AviationSystemsMember2021-01-022021-04-020000202058hrs:IntegratedMissionSystemsMemb</w:t>
      </w:r>
      <w:r>
        <w:rPr>
          <w:rFonts w:eastAsia="Times New Roman"/>
          <w:vanish/>
        </w:rPr>
        <w:t>er2021-04-020000202058hrs:SpaceandAirborneSystemsMember2021-04-020000202058hrs:CommunicationSystemsMember2021-04-020000202058hrs:AviationSystemsMember2021-04-020000202058hrs:IntegratedMissionSystemsMember2020-01-030000202058hrs:SpaceandAirborneSystemsMembe</w:t>
      </w:r>
      <w:r>
        <w:rPr>
          <w:rFonts w:eastAsia="Times New Roman"/>
          <w:vanish/>
        </w:rPr>
        <w:t>r2020-01-030000202058hrs:CommunicationSystemsMember2020-01-030000202058hrs:AviationSystemsMember2020-01-030000202058hrs:IntegratedMissionSystemsMember2020-01-042020-04-030000202058hrs:SpaceandAirborneSystemsMember2020-01-042020-04-030000202058hrs:Communica</w:t>
      </w:r>
      <w:r>
        <w:rPr>
          <w:rFonts w:eastAsia="Times New Roman"/>
          <w:vanish/>
        </w:rPr>
        <w:t>tionSystemsMember2020-01-042020-04-030000202058hrs:AviationSystemsMember2020-01-042020-04-030000202058hrs:IntegratedMissionSystemsMember2020-04-030000202058hrs:SpaceandAirborneSystemsMember2020-04-030000202058hrs:CommunicationSystemsMember2020-04-030000202</w:t>
      </w:r>
      <w:r>
        <w:rPr>
          <w:rFonts w:eastAsia="Times New Roman"/>
          <w:vanish/>
        </w:rPr>
        <w:t>058hrs:AviationSystemsMember2020-04-030000202058us-gaap:DisposalGroupHeldforsaleNotDiscontinuedOperationsMember2021-01-022021-04-020000202058us-gaap:DisposalGroupHeldforsaleNotDiscontinuedOperationsMember2020-01-042020-04-030000202058hrs:COVID19PandemicMem</w:t>
      </w:r>
      <w:r>
        <w:rPr>
          <w:rFonts w:eastAsia="Times New Roman"/>
          <w:vanish/>
        </w:rPr>
        <w:t>berhrs:CommercialAviationSolutionsMember2020-01-042020-04-030000202058us-gaap:CustomerRelationshipsMember2021-04-020000202058us-gaap:CustomerRelationshipsMember2021-01-010000202058us-gaap:DevelopedTechnologyRightsMember2021-04-020000202058us-gaap:Developed</w:t>
      </w:r>
      <w:r>
        <w:rPr>
          <w:rFonts w:eastAsia="Times New Roman"/>
          <w:vanish/>
        </w:rPr>
        <w:t>TechnologyRightsMember2021-01-010000202058us-gaap:OrderOrProductionBacklogMember2021-04-020000202058us-gaap:OrderOrProductionBacklogMember2021-01-010000202058us-gaap:TradeNamesMember2021-04-020000202058us-gaap:TradeNamesMember2021-01-010000202058us-gaap:Ot</w:t>
      </w:r>
      <w:r>
        <w:rPr>
          <w:rFonts w:eastAsia="Times New Roman"/>
          <w:vanish/>
        </w:rPr>
        <w:t>herIntangibleAssetsMember2021-04-020000202058us-gaap:OtherIntangibleAssetsMember2021-01-010000202058us-gaap:InProcessResearchAndDevelopmentMember2021-04-020000202058us-gaap:InProcessResearchAndDevelopmentMember2021-01-010000202058us-gaap:TradeNamesMember20</w:t>
      </w:r>
      <w:r>
        <w:rPr>
          <w:rFonts w:eastAsia="Times New Roman"/>
          <w:vanish/>
        </w:rPr>
        <w:t>21-04-020000202058us-gaap:TradeNamesMember2021-01-010000202058us-gaap:DisposalGroupHeldforsaleNotDiscontinuedOperationsMember2021-04-020000202058us-gaap:PensionPlansDefinedBenefitMember2021-01-022021-04-020000202058us-gaap:OtherPostretirementBenefitPlansDe</w:t>
      </w:r>
      <w:r>
        <w:rPr>
          <w:rFonts w:eastAsia="Times New Roman"/>
          <w:vanish/>
        </w:rPr>
        <w:t>finedBenefitMember2021-01-022021-04-020000202058us-gaap:PensionPlansDefinedBenefitMember2020-01-042020-04-030000202058us-gaap:OtherPostretirementBenefitPlansDefinedBenefitMember2020-01-042020-04-030000202058us-gaap:PensionPlansDefinedBenefitMembercountry:U</w:t>
      </w:r>
      <w:r>
        <w:rPr>
          <w:rFonts w:eastAsia="Times New Roman"/>
          <w:vanish/>
        </w:rPr>
        <w:t>S2019-06-292019-09-270000202058us-gaap:PensionPlansDefinedBenefitMembercountry:US2017-07-012017-12-290000202058us-gaap:PensionPlansDefinedBenefitMembercountry:US2018-06-302018-12-280000202058us-gaap:PensionPlansDefinedBenefitMembercountry:US2021-04-0200002</w:t>
      </w:r>
      <w:r>
        <w:rPr>
          <w:rFonts w:eastAsia="Times New Roman"/>
          <w:vanish/>
        </w:rPr>
        <w:t>02058us-gaap:EquitySecuritiesMemberus-gaap:EstimateOfFairValueFairValueDisclosureMember2021-04-020000202058us-gaap:EquitySecuritiesMemberus-gaap:EstimateOfFairValueFairValueDisclosureMemberus-gaap:FairValueInputsLevel1Member2021-04-020000202058us-gaap:Equi</w:t>
      </w:r>
      <w:r>
        <w:rPr>
          <w:rFonts w:eastAsia="Times New Roman"/>
          <w:vanish/>
        </w:rPr>
        <w:t>tySecuritiesMemberus-gaap:EstimateOfFairValueFairValueDisclosureMemberus-gaap:FairValueInputsLevel2Member2021-04-020000202058us-gaap:EquitySecuritiesMemberus-gaap:EstimateOfFairValueFairValueDisclosureMember2021-01-010000202058us-gaap:EquitySecuritiesMembe</w:t>
      </w:r>
      <w:r>
        <w:rPr>
          <w:rFonts w:eastAsia="Times New Roman"/>
          <w:vanish/>
        </w:rPr>
        <w:t>rus-gaap:EstimateOfFairValueFairValueDisclosureMemberus-gaap:FairValueInputsLevel1Member2021-01-010000202058us-gaap:EquitySecuritiesMemberus-gaap:EstimateOfFairValueFairValueDisclosureMemberus-gaap:FairValueInputsLevel2Member2021-01-010000202058us-gaap:Fai</w:t>
      </w:r>
      <w:r>
        <w:rPr>
          <w:rFonts w:eastAsia="Times New Roman"/>
          <w:vanish/>
        </w:rPr>
        <w:t>rValueMeasuredAtNetAssetValuePerShareMemberhrs:CorporateownedlifeinsuranceMemberus-gaap:EstimateOfFairValueFairValueDisclosureMember2021-04-020000202058us-gaap:FairValueMeasuredAtNetAssetValuePerShareMemberhrs:CorporateownedlifeinsuranceMemberus-gaap:Estim</w:t>
      </w:r>
      <w:r>
        <w:rPr>
          <w:rFonts w:eastAsia="Times New Roman"/>
          <w:vanish/>
        </w:rPr>
        <w:t>ateOfFairValueFairValueDisclosureMember2021-01-010000202058us-gaap:EstimateOfFairValueFairValueDisclosureMember2021-04-020000202058us-gaap:EstimateOfFairValueFairValueDisclosureMemberus-gaap:FairValueInputsLevel1Member2021-04-020000202058us-gaap:EstimateOf</w:t>
      </w:r>
      <w:r>
        <w:rPr>
          <w:rFonts w:eastAsia="Times New Roman"/>
          <w:vanish/>
        </w:rPr>
        <w:t>FairValueFairValueDisclosureMemberus-gaap:FairValueInputsLevel2Member2021-04-020000202058us-gaap:EstimateOfFairValueFairValueDisclosureMember2021-01-010000202058us-gaap:EstimateOfFairValueFairValueDisclosureMemberus-gaap:FairValueInputsLevel1Member2021-01-</w:t>
      </w:r>
      <w:r>
        <w:rPr>
          <w:rFonts w:eastAsia="Times New Roman"/>
          <w:vanish/>
        </w:rPr>
        <w:t>010000202058us-gaap:EstimateOfFairValueFairValueDisclosureMemberus-gaap:FairValueInputsLevel2Member2021-01-010000202058us-gaap:MutualFundMemberus-gaap:EstimateOfFairValueFairValueDisclosureMember2021-04-020000202058us-gaap:MutualFundMemberus-gaap:EstimateO</w:t>
      </w:r>
      <w:r>
        <w:rPr>
          <w:rFonts w:eastAsia="Times New Roman"/>
          <w:vanish/>
        </w:rPr>
        <w:t>fFairValueFairValueDisclosureMemberus-gaap:FairValueInputsLevel1Member2021-04-020000202058us-gaap:MutualFundMemberus-gaap:EstimateOfFairValueFairValueDisclosureMemberus-gaap:FairValueInputsLevel2Member2021-04-020000202058us-gaap:MutualFundMemberus-gaap:Est</w:t>
      </w:r>
      <w:r>
        <w:rPr>
          <w:rFonts w:eastAsia="Times New Roman"/>
          <w:vanish/>
        </w:rPr>
        <w:t>imateOfFairValueFairValueDisclosureMember2021-01-010000202058us-gaap:MutualFundMemberus-gaap:EstimateOfFairValueFairValueDisclosureMemberus-gaap:FairValueInputsLevel1Member2021-01-010000202058us-gaap:MutualFundMemberus-gaap:EstimateOfFairValueFairValueDisc</w:t>
      </w:r>
      <w:r>
        <w:rPr>
          <w:rFonts w:eastAsia="Times New Roman"/>
          <w:vanish/>
        </w:rPr>
        <w:t>losureMemberus-gaap:FairValueInputsLevel2Member2021-01-010000202058hrs:CommonCollectiveTrustsandGuaranteedInvestmentProgramMemberus-gaap:FairValueMeasuredAtNetAssetValuePerShareMemberus-gaap:EstimateOfFairValueFairValueDisclosureMember2021-04-020000202058h</w:t>
      </w:r>
      <w:r>
        <w:rPr>
          <w:rFonts w:eastAsia="Times New Roman"/>
          <w:vanish/>
        </w:rPr>
        <w:t>rs:CommonCollectiveTrustsandGuaranteedInvestmentProgramMemberus-gaap:FairValueMeasuredAtNetAssetValuePerShareMemberus-gaap:EstimateOfFairValueFairValueDisclosureMember2021-01-010000202058us-gaap:CarryingReportedAmountFairValueDisclosureMember2021-04-020000</w:t>
      </w:r>
      <w:r>
        <w:rPr>
          <w:rFonts w:eastAsia="Times New Roman"/>
          <w:vanish/>
        </w:rPr>
        <w:t>202058us-gaap:EstimateOfFairValueFairValueDisclosureMemberus-gaap:FairValueInputsLevel2Memberus-gaap:MarketApproachValuationTechniqueMember2021-04-020000202058us-gaap:CarryingReportedAmountFairValueDisclosureMember2021-01-010000202058us-gaap:EstimateOfFair</w:t>
      </w:r>
      <w:r>
        <w:rPr>
          <w:rFonts w:eastAsia="Times New Roman"/>
          <w:vanish/>
        </w:rPr>
        <w:t>ValueFairValueDisclosureMemberus-gaap:FairValueInputsLevel2Memberus-gaap:MarketApproachValuationTechniqueMember2021-01-010000202058us-gaap:ForeignExchangeForwardMemberus-gaap:CashFlowHedgingMember2021-04-020000202058us-gaap:ForeignExchangeForwardMemberus-g</w:t>
      </w:r>
      <w:r>
        <w:rPr>
          <w:rFonts w:eastAsia="Times New Roman"/>
          <w:vanish/>
        </w:rPr>
        <w:t>aap:CashFlowHedgingMember2021-01-010000202058us-gaap:DesignatedAsHedgingInstrumentMemberus-gaap:OtherCurrentAssetsMemberus-gaap:ForeignExchangeForwardMemberus-gaap:CashFlowHedgingMember2021-04-020000202058us-gaap:DesignatedAsHedgingInstrumentMemberus-gaap:</w:t>
      </w:r>
      <w:r>
        <w:rPr>
          <w:rFonts w:eastAsia="Times New Roman"/>
          <w:vanish/>
        </w:rPr>
        <w:t>OtherCurrentAssetsMemberus-gaap:ForeignExchangeForwardMemberus-gaap:CashFlowHedgingMember2021-01-010000202058us-gaap:OtherNoncurrentAssetsMemberus-gaap:DesignatedAsHedgingInstrumentMemberus-gaap:ForeignExchangeForwardMemberus-gaap:CashFlowHedgingMember2021</w:t>
      </w:r>
      <w:r>
        <w:rPr>
          <w:rFonts w:eastAsia="Times New Roman"/>
          <w:vanish/>
        </w:rPr>
        <w:t>-04-020000202058us-gaap:OtherNoncurrentAssetsMemberus-gaap:DesignatedAsHedgingInstrumentMemberus-gaap:ForeignExchangeForwardMemberus-gaap:CashFlowHedgingMember2021-01-010000202058us-gaap:OtherCurrentLiabilitiesMemberus-gaap:DesignatedAsHedgingInstrumentMem</w:t>
      </w:r>
      <w:r>
        <w:rPr>
          <w:rFonts w:eastAsia="Times New Roman"/>
          <w:vanish/>
        </w:rPr>
        <w:t>berus-gaap:ForeignExchangeForwardMemberus-gaap:CashFlowHedgingMember2021-04-020000202058us-gaap:OtherCurrentLiabilitiesMemberus-gaap:DesignatedAsHedgingInstrumentMemberus-gaap:ForeignExchangeForwardMemberus-gaap:CashFlowHedgingMember2021-01-010000202058us-</w:t>
      </w:r>
      <w:r>
        <w:rPr>
          <w:rFonts w:eastAsia="Times New Roman"/>
          <w:vanish/>
        </w:rPr>
        <w:t>gaap:ForeignExchangeForwardMemberus-gaap:CashFlowHedgingMember2021-01-022021-04-020000202058us-gaap:ContractsAccountedForUnderPercentageOfCompletionMember2021-01-022021-04-020000202058us-gaap:ContractsAccountedForUnderPercentageOfCompletionMember2020-01-04</w:t>
      </w:r>
      <w:r>
        <w:rPr>
          <w:rFonts w:eastAsia="Times New Roman"/>
          <w:vanish/>
        </w:rPr>
        <w:t>2020-04-0300002020582021-04-032021-04-0200002020582023-01-012021-04-02hrs:segment0000202058us-gaap:OperatingSegmentsMemberhrs:IntegratedMissionSystemsMember2021-01-022021-04-020000202058us-gaap:OperatingSegmentsMemberhrs:IntegratedMissionSystemsMember2020-</w:t>
      </w:r>
      <w:r>
        <w:rPr>
          <w:rFonts w:eastAsia="Times New Roman"/>
          <w:vanish/>
        </w:rPr>
        <w:t>01-042020-04-030000202058hrs:SpaceandAirborneSystemsMemberus-gaap:OperatingSegmentsMember2021-01-022021-04-020000202058hrs:SpaceandAirborneSystemsMemberus-gaap:OperatingSegmentsMember2020-01-042020-04-030000202058us-gaap:OperatingSegmentsMemberhrs:Communic</w:t>
      </w:r>
      <w:r>
        <w:rPr>
          <w:rFonts w:eastAsia="Times New Roman"/>
          <w:vanish/>
        </w:rPr>
        <w:t>ationSystemsMember2021-01-022021-04-020000202058us-gaap:OperatingSegmentsMemberhrs:CommunicationSystemsMember2020-01-042020-04-030000202058hrs:AviationSystemsMemberus-gaap:OperatingSegmentsMember2021-01-022021-04-020000202058hrs:AviationSystemsMemberus-gaa</w:t>
      </w:r>
      <w:r>
        <w:rPr>
          <w:rFonts w:eastAsia="Times New Roman"/>
          <w:vanish/>
        </w:rPr>
        <w:t>p:OperatingSegmentsMember2020-01-042020-04-030000202058us-gaap:IntersegmentEliminationMember2021-01-022021-04-020000202058us-gaap:IntersegmentEliminationMember2020-01-042020-04-030000202058us-gaap:CorporateNonSegmentMember2021-01-022021-04-020000202058us-g</w:t>
      </w:r>
      <w:r>
        <w:rPr>
          <w:rFonts w:eastAsia="Times New Roman"/>
          <w:vanish/>
        </w:rPr>
        <w:t>aap:CorporateNonSegmentMember2020-01-042020-04-030000202058hrs:ExelisMember2021-01-022021-04-020000202058hrs:ExelisMember2020-01-042020-04-030000202058us-gaap:TransferredOverTimeMemberus-gaap:SalesChannelDirectlyToConsumerMemberhrs:IntegratedMissionSystems</w:t>
      </w:r>
      <w:r>
        <w:rPr>
          <w:rFonts w:eastAsia="Times New Roman"/>
          <w:vanish/>
        </w:rPr>
        <w:t>Member2021-01-022021-04-020000202058us-gaap:TransferredOverTimeMemberus-gaap:SalesChannelDirectlyToConsumerMemberhrs:IntegratedMissionSystemsMember2020-01-042020-04-030000202058us-gaap:TransferredOverTimeMemberus-gaap:SalesChannelThroughIntermediaryMemberh</w:t>
      </w:r>
      <w:r>
        <w:rPr>
          <w:rFonts w:eastAsia="Times New Roman"/>
          <w:vanish/>
        </w:rPr>
        <w:t>rs:IntegratedMissionSystemsMember2021-01-022021-04-020000202058us-gaap:TransferredOverTimeMemberus-gaap:SalesChannelThroughIntermediaryMemberhrs:IntegratedMissionSystemsMember2020-01-042020-04-030000202058us-gaap:TransferredOverTimeMemberhrs:IntegratedMiss</w:t>
      </w:r>
      <w:r>
        <w:rPr>
          <w:rFonts w:eastAsia="Times New Roman"/>
          <w:vanish/>
        </w:rPr>
        <w:t>ionSystemsMember2021-01-022021-04-020000202058us-gaap:TransferredOverTimeMemberhrs:IntegratedMissionSystemsMember2020-01-042020-04-030000202058us-gaap:TransferredOverTimeMemberus-gaap:FixedPriceContractMemberhrs:IntegratedMissionSystemsMember2021-01-022021</w:t>
      </w:r>
      <w:r>
        <w:rPr>
          <w:rFonts w:eastAsia="Times New Roman"/>
          <w:vanish/>
        </w:rPr>
        <w:t>-04-020000202058us-gaap:TransferredOverTimeMemberus-gaap:FixedPriceContractMemberhrs:IntegratedMissionSystemsMember2020-01-042020-04-030000202058us-gaap:TransferredOverTimeMemberhrs:CostreimbursableMemberhrs:IntegratedMissionSystemsMember2021-01-022021-04-</w:t>
      </w:r>
      <w:r>
        <w:rPr>
          <w:rFonts w:eastAsia="Times New Roman"/>
          <w:vanish/>
        </w:rPr>
        <w:t>020000202058us-gaap:TransferredOverTimeMemberhrs:CostreimbursableMemberhrs:IntegratedMissionSystemsMember2020-01-042020-04-030000202058us-gaap:TransferredOverTimeMembercountry:UShrs:IntegratedMissionSystemsMember2021-01-022021-04-020000202058us-gaap:Transf</w:t>
      </w:r>
      <w:r>
        <w:rPr>
          <w:rFonts w:eastAsia="Times New Roman"/>
          <w:vanish/>
        </w:rPr>
        <w:t>erredOverTimeMembercountry:UShrs:IntegratedMissionSystemsMember2020-01-042020-04-030000202058us-gaap:TransferredOverTimeMemberus-gaap:NonUsMemberhrs:IntegratedMissionSystemsMember2021-01-022021-04-020000202058us-gaap:TransferredOverTimeMemberus-gaap:NonUsM</w:t>
      </w:r>
      <w:r>
        <w:rPr>
          <w:rFonts w:eastAsia="Times New Roman"/>
          <w:vanish/>
        </w:rPr>
        <w:t>emberhrs:IntegratedMissionSystemsMember2020-01-042020-04-030000202058hrs:SpaceandAirborneSystemsMemberus-gaap:TransferredOverTimeMemberus-gaap:SalesChannelDirectlyToConsumerMember2021-01-022021-04-020000202058hrs:SpaceandAirborneSystemsMemberus-gaap:Transf</w:t>
      </w:r>
      <w:r>
        <w:rPr>
          <w:rFonts w:eastAsia="Times New Roman"/>
          <w:vanish/>
        </w:rPr>
        <w:t>erredOverTimeMemberus-gaap:SalesChannelDirectlyToConsumerMember2020-01-042020-04-030000202058hrs:SpaceandAirborneSystemsMemberus-gaap:TransferredOverTimeMemberus-gaap:SalesChannelThroughIntermediaryMember2021-01-022021-04-020000202058hrs:SpaceandAirborneSy</w:t>
      </w:r>
      <w:r>
        <w:rPr>
          <w:rFonts w:eastAsia="Times New Roman"/>
          <w:vanish/>
        </w:rPr>
        <w:t>stemsMemberus-gaap:TransferredOverTimeMemberus-gaap:SalesChannelThroughIntermediaryMember2020-01-042020-04-030000202058hrs:SpaceandAirborneSystemsMemberus-gaap:TransferredOverTimeMember2021-01-022021-04-020000202058hrs:SpaceandAirborneSystemsMemberus-gaap:</w:t>
      </w:r>
      <w:r>
        <w:rPr>
          <w:rFonts w:eastAsia="Times New Roman"/>
          <w:vanish/>
        </w:rPr>
        <w:t>TransferredOverTimeMember2020-01-042020-04-030000202058hrs:SpaceandAirborneSystemsMemberus-gaap:TransferredOverTimeMemberus-gaap:FixedPriceContractMember2021-01-022021-04-020000202058hrs:SpaceandAirborneSystemsMemberus-gaap:TransferredOverTimeMemberus-gaap</w:t>
      </w:r>
      <w:r>
        <w:rPr>
          <w:rFonts w:eastAsia="Times New Roman"/>
          <w:vanish/>
        </w:rPr>
        <w:t>:FixedPriceContractMember2020-01-042020-04-030000202058hrs:SpaceandAirborneSystemsMemberus-gaap:TransferredOverTimeMemberhrs:CostreimbursableMember2021-01-022021-04-020000202058hrs:SpaceandAirborneSystemsMemberus-gaap:TransferredOverTimeMemberhrs:Costreimb</w:t>
      </w:r>
      <w:r>
        <w:rPr>
          <w:rFonts w:eastAsia="Times New Roman"/>
          <w:vanish/>
        </w:rPr>
        <w:t>ursableMember2020-01-042020-04-030000202058hrs:SpaceandAirborneSystemsMemberus-gaap:TransferredOverTimeMembercountry:US2021-01-022021-04-020000202058hrs:SpaceandAirborneSystemsMemberus-gaap:TransferredOverTimeMembercountry:US2020-01-042020-04-030000202058h</w:t>
      </w:r>
      <w:r>
        <w:rPr>
          <w:rFonts w:eastAsia="Times New Roman"/>
          <w:vanish/>
        </w:rPr>
        <w:t>rs:SpaceandAirborneSystemsMemberus-gaap:TransferredOverTimeMemberus-gaap:NonUsMember2021-01-022021-04-020000202058hrs:SpaceandAirborneSystemsMemberus-gaap:TransferredOverTimeMemberus-gaap:NonUsMember2020-01-042020-04-030000202058hrs:CommunicationSystemsMem</w:t>
      </w:r>
      <w:r>
        <w:rPr>
          <w:rFonts w:eastAsia="Times New Roman"/>
          <w:vanish/>
        </w:rPr>
        <w:t>berhrs:TransferredAtPointInTimeAndOverTimeMemberus-gaap:SalesChannelDirectlyToConsumerMember2021-01-022021-04-020000202058hrs:CommunicationSystemsMemberhrs:TransferredAtPointInTimeAndOverTimeMemberus-gaap:SalesChannelDirectlyToConsumerMember2020-01-042020-</w:t>
      </w:r>
      <w:r>
        <w:rPr>
          <w:rFonts w:eastAsia="Times New Roman"/>
          <w:vanish/>
        </w:rPr>
        <w:t>04-030000202058hrs:CommunicationSystemsMemberhrs:TransferredAtPointInTimeAndOverTimeMemberus-gaap:SalesChannelThroughIntermediaryMember2021-01-022021-04-020000202058hrs:CommunicationSystemsMemberhrs:TransferredAtPointInTimeAndOverTimeMemberus-gaap:SalesCha</w:t>
      </w:r>
      <w:r>
        <w:rPr>
          <w:rFonts w:eastAsia="Times New Roman"/>
          <w:vanish/>
        </w:rPr>
        <w:t>nnelThroughIntermediaryMember2020-01-042020-04-030000202058hrs:CommunicationSystemsMemberhrs:TransferredAtPointInTimeAndOverTimeMember2021-01-022021-04-020000202058hrs:CommunicationSystemsMemberhrs:TransferredAtPointInTimeAndOverTimeMember2020-01-042020-04</w:t>
      </w:r>
      <w:r>
        <w:rPr>
          <w:rFonts w:eastAsia="Times New Roman"/>
          <w:vanish/>
        </w:rPr>
        <w:t>-030000202058us-gaap:FixedPriceContractMemberhrs:CommunicationSystemsMemberhrs:TransferredAtPointInTimeAndOverTimeMember2021-01-022021-04-020000202058us-gaap:FixedPriceContractMemberhrs:CommunicationSystemsMemberhrs:TransferredAtPointInTimeAndOverTimeMembe</w:t>
      </w:r>
      <w:r>
        <w:rPr>
          <w:rFonts w:eastAsia="Times New Roman"/>
          <w:vanish/>
        </w:rPr>
        <w:t>r2020-01-042020-04-030000202058hrs:CommunicationSystemsMemberhrs:CostreimbursableMemberhrs:TransferredAtPointInTimeAndOverTimeMember2021-01-022021-04-020000202058hrs:CommunicationSystemsMemberhrs:CostreimbursableMemberhrs:TransferredAtPointInTimeAndOverTim</w:t>
      </w:r>
      <w:r>
        <w:rPr>
          <w:rFonts w:eastAsia="Times New Roman"/>
          <w:vanish/>
        </w:rPr>
        <w:t>eMember2020-01-042020-04-030000202058hrs:CommunicationSystemsMemberhrs:TransferredAtPointInTimeAndOverTimeMembercountry:US2021-01-022021-04-020000202058hrs:CommunicationSystemsMemberhrs:TransferredAtPointInTimeAndOverTimeMembercountry:US2020-01-042020-04-0</w:t>
      </w:r>
      <w:r>
        <w:rPr>
          <w:rFonts w:eastAsia="Times New Roman"/>
          <w:vanish/>
        </w:rPr>
        <w:t>30000202058hrs:CommunicationSystemsMemberhrs:TransferredAtPointInTimeAndOverTimeMemberus-gaap:NonUsMember2021-01-022021-04-020000202058hrs:CommunicationSystemsMemberhrs:TransferredAtPointInTimeAndOverTimeMemberus-gaap:NonUsMember2020-01-042020-04-030000202</w:t>
      </w:r>
      <w:r>
        <w:rPr>
          <w:rFonts w:eastAsia="Times New Roman"/>
          <w:vanish/>
        </w:rPr>
        <w:t>058hrs:AviationSystemsMemberhrs:TransferredAtPointInTimeAndOverTimeMemberus-gaap:SalesChannelDirectlyToConsumerMember2021-01-022021-04-020000202058hrs:AviationSystemsMemberhrs:TransferredAtPointInTimeAndOverTimeMemberus-gaap:SalesChannelDirectlyToConsumerM</w:t>
      </w:r>
      <w:r>
        <w:rPr>
          <w:rFonts w:eastAsia="Times New Roman"/>
          <w:vanish/>
        </w:rPr>
        <w:t>ember2020-01-042020-04-030000202058hrs:AviationSystemsMemberhrs:TransferredAtPointInTimeAndOverTimeMemberus-gaap:SalesChannelThroughIntermediaryMember2021-01-022021-04-020000202058hrs:AviationSystemsMemberhrs:TransferredAtPointInTimeAndOverTimeMemberus-gaa</w:t>
      </w:r>
      <w:r>
        <w:rPr>
          <w:rFonts w:eastAsia="Times New Roman"/>
          <w:vanish/>
        </w:rPr>
        <w:t>p:SalesChannelThroughIntermediaryMember2020-01-042020-04-030000202058hrs:AviationSystemsMemberhrs:TransferredAtPointInTimeAndOverTimeMember2021-01-022021-04-020000202058hrs:AviationSystemsMemberhrs:TransferredAtPointInTimeAndOverTimeMember2020-01-042020-04</w:t>
      </w:r>
      <w:r>
        <w:rPr>
          <w:rFonts w:eastAsia="Times New Roman"/>
          <w:vanish/>
        </w:rPr>
        <w:t>-030000202058hrs:AviationSystemsMemberus-gaap:FixedPriceContractMemberhrs:TransferredAtPointInTimeAndOverTimeMember2021-01-022021-04-020000202058hrs:AviationSystemsMemberus-gaap:FixedPriceContractMemberhrs:TransferredAtPointInTimeAndOverTimeMember2020-01-0</w:t>
      </w:r>
      <w:r>
        <w:rPr>
          <w:rFonts w:eastAsia="Times New Roman"/>
          <w:vanish/>
        </w:rPr>
        <w:t>42020-04-030000202058hrs:AviationSystemsMemberhrs:CostreimbursableMemberhrs:TransferredAtPointInTimeAndOverTimeMember2021-01-022021-04-020000202058hrs:AviationSystemsMemberhrs:CostreimbursableMemberhrs:TransferredAtPointInTimeAndOverTimeMember2020-01-04202</w:t>
      </w:r>
      <w:r>
        <w:rPr>
          <w:rFonts w:eastAsia="Times New Roman"/>
          <w:vanish/>
        </w:rPr>
        <w:t>0-04-030000202058hrs:AviationSystemsMemberhrs:TransferredAtPointInTimeAndOverTimeMembercountry:US2021-01-022021-04-020000202058hrs:AviationSystemsMemberhrs:TransferredAtPointInTimeAndOverTimeMembercountry:US2020-01-042020-04-030000202058hrs:AviationSystems</w:t>
      </w:r>
      <w:r>
        <w:rPr>
          <w:rFonts w:eastAsia="Times New Roman"/>
          <w:vanish/>
        </w:rPr>
        <w:t>Memberhrs:TransferredAtPointInTimeAndOverTimeMemberus-gaap:NonUsMember2021-01-022021-04-020000202058hrs:AviationSystemsMemberhrs:TransferredAtPointInTimeAndOverTimeMemberus-gaap:NonUsMember2020-01-042020-04-030000202058us-gaap:OperatingSegmentsMemberhrs:In</w:t>
      </w:r>
      <w:r>
        <w:rPr>
          <w:rFonts w:eastAsia="Times New Roman"/>
          <w:vanish/>
        </w:rPr>
        <w:t>tegratedMissionSystemsMember2021-04-020000202058us-gaap:OperatingSegmentsMemberhrs:IntegratedMissionSystemsMember2021-01-010000202058hrs:SpaceandAirborneSystemsMemberus-gaap:OperatingSegmentsMember2021-04-020000202058hrs:SpaceandAirborneSystemsMemberus-gaa</w:t>
      </w:r>
      <w:r>
        <w:rPr>
          <w:rFonts w:eastAsia="Times New Roman"/>
          <w:vanish/>
        </w:rPr>
        <w:t>p:OperatingSegmentsMember2021-01-010000202058us-gaap:OperatingSegmentsMemberhrs:CommunicationSystemsMember2021-04-020000202058us-gaap:OperatingSegmentsMemberhrs:CommunicationSystemsMember2021-01-010000202058hrs:AviationSystemsMemberus-gaap:OperatingSegment</w:t>
      </w:r>
      <w:r>
        <w:rPr>
          <w:rFonts w:eastAsia="Times New Roman"/>
          <w:vanish/>
        </w:rPr>
        <w:t>sMember2021-04-020000202058hrs:AviationSystemsMemberus-gaap:OperatingSegmentsMember2021-01-010000202058us-gaap:CorporateNonSegmentMember2021-04-020000202058us-gaap:CorporateNonSegmentMember2021-01-010000202058hrs:ExelisMemberus-gaap:CorporateNonSegmentMemb</w:t>
      </w:r>
      <w:r>
        <w:rPr>
          <w:rFonts w:eastAsia="Times New Roman"/>
          <w:vanish/>
        </w:rPr>
        <w:t>er2021-04-020000202058hrs:ExelisMemberus-gaap:CorporateNonSegmentMember2021-01-01hrs:responsible_party0000202058hrs:ExelisMemberhrs:PassaicRiverAlaskaMember2016-03-012016-03-310000202058hrs:ExelisMemberhrs:PassaicRiverAlaskaMember2021-01-022021-04-02</w:t>
      </w:r>
    </w:p>
    <w:p w:rsidR="00000000" w:rsidRDefault="0039054C">
      <w:pPr>
        <w:ind w:firstLine="450"/>
        <w:jc w:val="center"/>
        <w:divId w:val="1134252855"/>
        <w:rPr>
          <w:rFonts w:eastAsia="Times New Roman"/>
        </w:rPr>
      </w:pPr>
    </w:p>
    <w:p w:rsidR="00000000" w:rsidRDefault="0039054C">
      <w:pPr>
        <w:ind w:firstLine="450"/>
        <w:jc w:val="center"/>
        <w:divId w:val="186255780"/>
        <w:rPr>
          <w:rFonts w:eastAsia="Times New Roman"/>
        </w:rPr>
      </w:pPr>
    </w:p>
    <w:p w:rsidR="00000000" w:rsidRDefault="0039054C">
      <w:pPr>
        <w:ind w:firstLine="450"/>
        <w:jc w:val="center"/>
        <w:divId w:val="1576746180"/>
        <w:rPr>
          <w:rFonts w:eastAsia="Times New Roman"/>
        </w:rPr>
      </w:pPr>
    </w:p>
    <w:p w:rsidR="00000000" w:rsidRDefault="0039054C">
      <w:pPr>
        <w:ind w:firstLine="450"/>
        <w:jc w:val="center"/>
        <w:divId w:val="1114667560"/>
        <w:rPr>
          <w:rFonts w:eastAsia="Times New Roman"/>
        </w:rPr>
      </w:pPr>
    </w:p>
    <w:p w:rsidR="00000000" w:rsidRDefault="0039054C">
      <w:pPr>
        <w:ind w:firstLine="450"/>
        <w:jc w:val="center"/>
        <w:divId w:val="2087334853"/>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39054C">
      <w:pPr>
        <w:ind w:firstLine="450"/>
        <w:jc w:val="center"/>
        <w:divId w:val="330332951"/>
        <w:rPr>
          <w:rFonts w:eastAsia="Times New Roman"/>
        </w:rPr>
      </w:pPr>
      <w:r>
        <w:rPr>
          <w:rFonts w:eastAsia="Times New Roman"/>
          <w:b/>
          <w:bCs/>
          <w:color w:val="000000"/>
          <w:sz w:val="32"/>
          <w:szCs w:val="32"/>
        </w:rPr>
        <w:t>UNITED STATES</w:t>
      </w:r>
    </w:p>
    <w:p w:rsidR="00000000" w:rsidRDefault="0039054C">
      <w:pPr>
        <w:ind w:firstLine="450"/>
        <w:jc w:val="center"/>
        <w:divId w:val="1181745983"/>
        <w:rPr>
          <w:rFonts w:eastAsia="Times New Roman"/>
        </w:rPr>
      </w:pPr>
      <w:r>
        <w:rPr>
          <w:rFonts w:eastAsia="Times New Roman"/>
          <w:b/>
          <w:bCs/>
          <w:color w:val="000000"/>
          <w:sz w:val="32"/>
          <w:szCs w:val="32"/>
        </w:rPr>
        <w:t>SECURITIES AND EXCHANGE COMMISSION</w:t>
      </w:r>
    </w:p>
    <w:p w:rsidR="00000000" w:rsidRDefault="0039054C">
      <w:pPr>
        <w:ind w:firstLine="450"/>
        <w:jc w:val="center"/>
        <w:divId w:val="283578136"/>
        <w:rPr>
          <w:rFonts w:eastAsia="Times New Roman"/>
        </w:rPr>
      </w:pPr>
      <w:r>
        <w:rPr>
          <w:rFonts w:eastAsia="Times New Roman"/>
          <w:b/>
          <w:bCs/>
          <w:color w:val="000000"/>
        </w:rPr>
        <w:t>Washington, D.C. 20549</w:t>
      </w:r>
    </w:p>
    <w:p w:rsidR="00000000" w:rsidRDefault="0039054C">
      <w:pPr>
        <w:ind w:firstLine="450"/>
        <w:jc w:val="center"/>
        <w:divId w:val="574969706"/>
        <w:rPr>
          <w:rFonts w:eastAsia="Times New Roman"/>
        </w:rPr>
      </w:pPr>
      <w:r>
        <w:rPr>
          <w:rFonts w:eastAsia="Times New Roman"/>
          <w:b/>
          <w:bCs/>
          <w:color w:val="000000"/>
          <w:sz w:val="32"/>
          <w:szCs w:val="32"/>
        </w:rPr>
        <w:t xml:space="preserve">FORM 10-Q </w:t>
      </w:r>
    </w:p>
    <w:p w:rsidR="00000000" w:rsidRDefault="0039054C">
      <w:pPr>
        <w:divId w:val="702365728"/>
        <w:rPr>
          <w:rFonts w:eastAsia="Times New Roman"/>
        </w:rPr>
      </w:pPr>
      <w:r>
        <w:rPr>
          <w:rFonts w:eastAsia="Times New Roman"/>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94"/>
        <w:gridCol w:w="267"/>
        <w:gridCol w:w="36"/>
        <w:gridCol w:w="37"/>
        <w:gridCol w:w="7823"/>
        <w:gridCol w:w="36"/>
      </w:tblGrid>
      <w:tr w:rsidR="00000000">
        <w:trPr>
          <w:divId w:val="1265504143"/>
        </w:trPr>
        <w:tc>
          <w:tcPr>
            <w:tcW w:w="50" w:type="pct"/>
            <w:vAlign w:val="center"/>
            <w:hideMark/>
          </w:tcPr>
          <w:p w:rsidR="00000000" w:rsidRDefault="0039054C">
            <w:pPr>
              <w:rPr>
                <w:rFonts w:eastAsia="Times New Roman"/>
              </w:rPr>
            </w:pPr>
          </w:p>
        </w:tc>
        <w:tc>
          <w:tcPr>
            <w:tcW w:w="14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4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265504143"/>
        </w:trPr>
        <w:tc>
          <w:tcPr>
            <w:tcW w:w="0" w:type="auto"/>
            <w:gridSpan w:val="3"/>
            <w:tcMar>
              <w:top w:w="30" w:type="dxa"/>
              <w:left w:w="20" w:type="dxa"/>
              <w:bottom w:w="30" w:type="dxa"/>
              <w:right w:w="20" w:type="dxa"/>
            </w:tcMar>
            <w:hideMark/>
          </w:tcPr>
          <w:p w:rsidR="00000000" w:rsidRDefault="0039054C">
            <w:pPr>
              <w:rPr>
                <w:rFonts w:eastAsia="Times New Roman"/>
              </w:rPr>
            </w:pPr>
            <w:r>
              <w:rPr>
                <w:rFonts w:ascii="Segoe UI Emoji" w:eastAsia="Times New Roman" w:hAnsi="Segoe UI Emoji" w:cs="Segoe UI Emoji"/>
                <w:color w:val="000000"/>
              </w:rPr>
              <w:t>☑</w:t>
            </w:r>
          </w:p>
        </w:tc>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QUARTERLY REPORT PURSUANT TO SECTION 13 OR 15(d) OF THE SECURITIES EXCHANGE ACT OF 1934</w:t>
            </w:r>
          </w:p>
        </w:tc>
      </w:tr>
      <w:tr w:rsidR="00000000">
        <w:trPr>
          <w:divId w:val="1265504143"/>
        </w:trPr>
        <w:tc>
          <w:tcPr>
            <w:tcW w:w="0" w:type="auto"/>
            <w:gridSpan w:val="6"/>
            <w:tcMar>
              <w:top w:w="30" w:type="dxa"/>
              <w:left w:w="20" w:type="dxa"/>
              <w:bottom w:w="30" w:type="dxa"/>
              <w:right w:w="20" w:type="dxa"/>
            </w:tcMar>
            <w:hideMark/>
          </w:tcPr>
          <w:p w:rsidR="00000000" w:rsidRDefault="0039054C">
            <w:pPr>
              <w:jc w:val="center"/>
              <w:rPr>
                <w:rFonts w:eastAsia="Times New Roman"/>
              </w:rPr>
            </w:pPr>
            <w:r>
              <w:rPr>
                <w:rFonts w:eastAsia="Times New Roman"/>
                <w:b/>
                <w:bCs/>
                <w:color w:val="000000"/>
                <w:sz w:val="20"/>
                <w:szCs w:val="20"/>
              </w:rPr>
              <w:t>For the quarterly period ended April 2, 2021</w:t>
            </w:r>
          </w:p>
        </w:tc>
      </w:tr>
    </w:tbl>
    <w:p w:rsidR="00000000" w:rsidRDefault="0039054C">
      <w:pPr>
        <w:ind w:firstLine="450"/>
        <w:jc w:val="center"/>
        <w:divId w:val="1871868651"/>
        <w:rPr>
          <w:rFonts w:eastAsia="Times New Roman"/>
        </w:rPr>
      </w:pPr>
      <w:r>
        <w:rPr>
          <w:rFonts w:eastAsia="Times New Roman"/>
          <w:b/>
          <w:bCs/>
          <w:color w:val="000000"/>
          <w:sz w:val="20"/>
          <w:szCs w:val="20"/>
        </w:rPr>
        <w:t>or</w:t>
      </w:r>
    </w:p>
    <w:tbl>
      <w:tblPr>
        <w:tblW w:w="4992" w:type="pct"/>
        <w:tblCellMar>
          <w:top w:w="15" w:type="dxa"/>
          <w:left w:w="15" w:type="dxa"/>
          <w:bottom w:w="15" w:type="dxa"/>
          <w:right w:w="15" w:type="dxa"/>
        </w:tblCellMar>
        <w:tblLook w:val="04A0" w:firstRow="1" w:lastRow="0" w:firstColumn="1" w:lastColumn="0" w:noHBand="0" w:noVBand="1"/>
      </w:tblPr>
      <w:tblGrid>
        <w:gridCol w:w="68"/>
        <w:gridCol w:w="222"/>
        <w:gridCol w:w="36"/>
        <w:gridCol w:w="69"/>
        <w:gridCol w:w="7861"/>
        <w:gridCol w:w="37"/>
      </w:tblGrid>
      <w:tr w:rsidR="00000000">
        <w:trPr>
          <w:divId w:val="14769210"/>
        </w:trPr>
        <w:tc>
          <w:tcPr>
            <w:tcW w:w="50" w:type="pct"/>
            <w:vAlign w:val="center"/>
            <w:hideMark/>
          </w:tcPr>
          <w:p w:rsidR="00000000" w:rsidRDefault="0039054C">
            <w:pPr>
              <w:ind w:firstLine="450"/>
              <w:jc w:val="center"/>
              <w:rPr>
                <w:rFonts w:eastAsia="Times New Roman"/>
              </w:rPr>
            </w:pPr>
          </w:p>
        </w:tc>
        <w:tc>
          <w:tcPr>
            <w:tcW w:w="14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4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4769210"/>
        </w:trPr>
        <w:tc>
          <w:tcPr>
            <w:tcW w:w="0" w:type="auto"/>
            <w:gridSpan w:val="3"/>
            <w:tcMar>
              <w:top w:w="30" w:type="dxa"/>
              <w:left w:w="20" w:type="dxa"/>
              <w:bottom w:w="30" w:type="dxa"/>
              <w:right w:w="20" w:type="dxa"/>
            </w:tcMar>
            <w:hideMark/>
          </w:tcPr>
          <w:p w:rsidR="00000000" w:rsidRDefault="0039054C">
            <w:pPr>
              <w:rPr>
                <w:rFonts w:eastAsia="Times New Roman"/>
              </w:rPr>
            </w:pPr>
            <w:r>
              <w:rPr>
                <w:rFonts w:ascii="Segoe UI Symbol" w:eastAsia="Times New Roman" w:hAnsi="Segoe UI Symbol" w:cs="Segoe UI Symbol"/>
                <w:color w:val="000000"/>
              </w:rPr>
              <w:t>☐</w:t>
            </w:r>
          </w:p>
        </w:tc>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TRANSITION REPORT PURSUANT TO SECTION 13 OR 15(d) OF THE SECURITIES EXCHANGE ACT OF 1934</w:t>
            </w:r>
          </w:p>
        </w:tc>
      </w:tr>
      <w:tr w:rsidR="00000000">
        <w:trPr>
          <w:divId w:val="14769210"/>
        </w:trPr>
        <w:tc>
          <w:tcPr>
            <w:tcW w:w="0" w:type="auto"/>
            <w:gridSpan w:val="6"/>
            <w:tcMar>
              <w:top w:w="30" w:type="dxa"/>
              <w:left w:w="20" w:type="dxa"/>
              <w:bottom w:w="30" w:type="dxa"/>
              <w:right w:w="20" w:type="dxa"/>
            </w:tcMar>
            <w:hideMark/>
          </w:tcPr>
          <w:p w:rsidR="00000000" w:rsidRDefault="0039054C">
            <w:pPr>
              <w:jc w:val="center"/>
              <w:divId w:val="1250503704"/>
              <w:rPr>
                <w:rFonts w:eastAsia="Times New Roman"/>
              </w:rPr>
            </w:pPr>
            <w:r>
              <w:rPr>
                <w:rFonts w:eastAsia="Times New Roman"/>
                <w:b/>
                <w:bCs/>
                <w:color w:val="000000"/>
                <w:sz w:val="20"/>
                <w:szCs w:val="20"/>
              </w:rPr>
              <w:t xml:space="preserve">For the transition period from </w:t>
            </w:r>
            <w:r>
              <w:rPr>
                <w:rFonts w:eastAsia="Times New Roman"/>
                <w:b/>
                <w:bCs/>
                <w:color w:val="000000"/>
                <w:sz w:val="20"/>
                <w:szCs w:val="20"/>
                <w:u w:val="single"/>
              </w:rPr>
              <w:t>                            </w:t>
            </w:r>
            <w:r>
              <w:rPr>
                <w:rFonts w:eastAsia="Times New Roman"/>
                <w:b/>
                <w:bCs/>
                <w:color w:val="000000"/>
                <w:sz w:val="20"/>
                <w:szCs w:val="20"/>
              </w:rPr>
              <w:t xml:space="preserve"> to </w:t>
            </w:r>
            <w:r>
              <w:rPr>
                <w:rFonts w:eastAsia="Times New Roman"/>
                <w:b/>
                <w:bCs/>
                <w:color w:val="000000"/>
                <w:sz w:val="20"/>
                <w:szCs w:val="20"/>
                <w:u w:val="single"/>
              </w:rPr>
              <w:t>                           _</w:t>
            </w:r>
          </w:p>
        </w:tc>
      </w:tr>
    </w:tbl>
    <w:p w:rsidR="00000000" w:rsidRDefault="0039054C">
      <w:pPr>
        <w:ind w:firstLine="450"/>
        <w:jc w:val="center"/>
        <w:divId w:val="1365979478"/>
        <w:rPr>
          <w:rFonts w:eastAsia="Times New Roman"/>
        </w:rPr>
      </w:pPr>
      <w:r>
        <w:rPr>
          <w:rFonts w:eastAsia="Times New Roman"/>
          <w:color w:val="000000"/>
          <w:sz w:val="20"/>
          <w:szCs w:val="20"/>
        </w:rPr>
        <w:t xml:space="preserve">Commission File Number: 1-3863 </w:t>
      </w:r>
    </w:p>
    <w:p w:rsidR="00000000" w:rsidRDefault="0039054C">
      <w:pPr>
        <w:ind w:firstLine="450"/>
        <w:jc w:val="center"/>
        <w:divId w:val="1362049784"/>
        <w:rPr>
          <w:rFonts w:eastAsia="Times New Roman"/>
        </w:rPr>
      </w:pPr>
      <w:r>
        <w:rPr>
          <w:rFonts w:ascii="Arial" w:eastAsia="Times New Roman" w:hAnsi="Arial" w:cs="Arial"/>
          <w:b/>
          <w:bCs/>
          <w:color w:val="000000"/>
          <w:sz w:val="44"/>
          <w:szCs w:val="44"/>
        </w:rPr>
        <w:t xml:space="preserve">L3HARRIS TECHNOLOGIES, INC. </w:t>
      </w:r>
    </w:p>
    <w:p w:rsidR="00000000" w:rsidRDefault="0039054C">
      <w:pPr>
        <w:ind w:firstLine="450"/>
        <w:jc w:val="center"/>
        <w:divId w:val="1233153581"/>
        <w:rPr>
          <w:rFonts w:eastAsia="Times New Roman"/>
        </w:rPr>
      </w:pPr>
      <w:r>
        <w:rPr>
          <w:rFonts w:eastAsia="Times New Roman"/>
          <w:color w:val="000000"/>
          <w:sz w:val="18"/>
          <w:szCs w:val="18"/>
        </w:rPr>
        <w:t>(Exact name of registrant as specified in its charter)</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3038"/>
        <w:gridCol w:w="38"/>
        <w:gridCol w:w="69"/>
        <w:gridCol w:w="660"/>
        <w:gridCol w:w="36"/>
        <w:gridCol w:w="69"/>
        <w:gridCol w:w="1170"/>
        <w:gridCol w:w="36"/>
        <w:gridCol w:w="69"/>
        <w:gridCol w:w="2966"/>
        <w:gridCol w:w="37"/>
      </w:tblGrid>
      <w:tr w:rsidR="00000000">
        <w:trPr>
          <w:divId w:val="862982736"/>
          <w:jc w:val="center"/>
        </w:trPr>
        <w:tc>
          <w:tcPr>
            <w:tcW w:w="50" w:type="pct"/>
            <w:vAlign w:val="center"/>
            <w:hideMark/>
          </w:tcPr>
          <w:p w:rsidR="00000000" w:rsidRDefault="0039054C">
            <w:pPr>
              <w:ind w:firstLine="450"/>
              <w:jc w:val="center"/>
              <w:rPr>
                <w:rFonts w:eastAsia="Times New Roman"/>
              </w:rPr>
            </w:pPr>
          </w:p>
        </w:tc>
        <w:tc>
          <w:tcPr>
            <w:tcW w:w="184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0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71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80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862982736"/>
          <w:jc w:val="center"/>
        </w:trPr>
        <w:tc>
          <w:tcPr>
            <w:tcW w:w="0" w:type="auto"/>
            <w:gridSpan w:val="6"/>
            <w:tcMar>
              <w:top w:w="30" w:type="dxa"/>
              <w:left w:w="20" w:type="dxa"/>
              <w:bottom w:w="30" w:type="dxa"/>
              <w:right w:w="20" w:type="dxa"/>
            </w:tcMar>
            <w:hideMark/>
          </w:tcPr>
          <w:p w:rsidR="00000000" w:rsidRDefault="0039054C">
            <w:pPr>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jc w:val="center"/>
              <w:rPr>
                <w:rFonts w:eastAsia="Times New Roman"/>
              </w:rPr>
            </w:pPr>
            <w:r>
              <w:rPr>
                <w:rFonts w:eastAsia="Times New Roman"/>
                <w:b/>
                <w:bCs/>
                <w:color w:val="000000"/>
                <w:sz w:val="18"/>
                <w:szCs w:val="18"/>
              </w:rPr>
              <w:t>34-0276860</w:t>
            </w:r>
          </w:p>
        </w:tc>
      </w:tr>
      <w:tr w:rsidR="00000000">
        <w:trPr>
          <w:divId w:val="862982736"/>
          <w:jc w:val="center"/>
        </w:trPr>
        <w:tc>
          <w:tcPr>
            <w:tcW w:w="0" w:type="auto"/>
            <w:gridSpan w:val="6"/>
            <w:tcMar>
              <w:top w:w="30" w:type="dxa"/>
              <w:left w:w="20" w:type="dxa"/>
              <w:bottom w:w="30" w:type="dxa"/>
              <w:right w:w="20" w:type="dxa"/>
            </w:tcMar>
            <w:hideMark/>
          </w:tcPr>
          <w:p w:rsidR="00000000" w:rsidRDefault="0039054C">
            <w:pPr>
              <w:jc w:val="center"/>
              <w:rPr>
                <w:rFonts w:eastAsia="Times New Roman"/>
              </w:rPr>
            </w:pPr>
            <w:r>
              <w:rPr>
                <w:rFonts w:eastAsia="Times New Roman"/>
                <w:color w:val="000000"/>
                <w:sz w:val="16"/>
                <w:szCs w:val="16"/>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jc w:val="center"/>
              <w:rPr>
                <w:rFonts w:eastAsia="Times New Roman"/>
              </w:rPr>
            </w:pPr>
            <w:r>
              <w:rPr>
                <w:rFonts w:eastAsia="Times New Roman"/>
                <w:color w:val="000000"/>
                <w:sz w:val="16"/>
                <w:szCs w:val="16"/>
              </w:rPr>
              <w:t>(I.R.S. Employer Identification No.)</w:t>
            </w:r>
          </w:p>
        </w:tc>
      </w:tr>
    </w:tbl>
    <w:tbl>
      <w:tblPr>
        <w:tblW w:w="4963" w:type="pct"/>
        <w:jc w:val="center"/>
        <w:tblCellMar>
          <w:top w:w="15" w:type="dxa"/>
          <w:left w:w="15" w:type="dxa"/>
          <w:bottom w:w="15" w:type="dxa"/>
          <w:right w:w="15" w:type="dxa"/>
        </w:tblCellMar>
        <w:tblLook w:val="04A0" w:firstRow="1" w:lastRow="0" w:firstColumn="1" w:lastColumn="0" w:noHBand="0" w:noVBand="1"/>
      </w:tblPr>
      <w:tblGrid>
        <w:gridCol w:w="62"/>
        <w:gridCol w:w="1735"/>
        <w:gridCol w:w="38"/>
        <w:gridCol w:w="85"/>
        <w:gridCol w:w="517"/>
        <w:gridCol w:w="37"/>
        <w:gridCol w:w="62"/>
        <w:gridCol w:w="1104"/>
        <w:gridCol w:w="36"/>
        <w:gridCol w:w="63"/>
        <w:gridCol w:w="1407"/>
        <w:gridCol w:w="36"/>
        <w:gridCol w:w="63"/>
        <w:gridCol w:w="2964"/>
        <w:gridCol w:w="36"/>
      </w:tblGrid>
      <w:tr w:rsidR="00000000">
        <w:trPr>
          <w:jc w:val="center"/>
        </w:trPr>
        <w:tc>
          <w:tcPr>
            <w:tcW w:w="50" w:type="pct"/>
            <w:vAlign w:val="center"/>
            <w:hideMark/>
          </w:tcPr>
          <w:p w:rsidR="00000000" w:rsidRDefault="0039054C">
            <w:pPr>
              <w:jc w:val="center"/>
              <w:rPr>
                <w:rFonts w:eastAsia="Times New Roman"/>
              </w:rPr>
            </w:pPr>
          </w:p>
        </w:tc>
        <w:tc>
          <w:tcPr>
            <w:tcW w:w="1064"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0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6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80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jc w:val="center"/>
        </w:trPr>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8"/>
                <w:szCs w:val="18"/>
              </w:rPr>
              <w:t>1025 West NASA Boulevard</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b/>
                <w:bCs/>
                <w:color w:val="000000"/>
                <w:sz w:val="18"/>
                <w:szCs w:val="18"/>
              </w:rPr>
              <w:t>Melbourne,</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8"/>
                <w:szCs w:val="18"/>
              </w:rPr>
              <w:t>Florida</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8"/>
                <w:szCs w:val="18"/>
              </w:rPr>
              <w:t>32919</w:t>
            </w:r>
          </w:p>
        </w:tc>
      </w:tr>
      <w:tr w:rsidR="00000000">
        <w:trPr>
          <w:jc w:val="center"/>
        </w:trPr>
        <w:tc>
          <w:tcPr>
            <w:tcW w:w="0" w:type="auto"/>
            <w:gridSpan w:val="9"/>
            <w:tcMar>
              <w:top w:w="30" w:type="dxa"/>
              <w:left w:w="20" w:type="dxa"/>
              <w:bottom w:w="30" w:type="dxa"/>
              <w:right w:w="20" w:type="dxa"/>
            </w:tcMar>
            <w:hideMark/>
          </w:tcPr>
          <w:p w:rsidR="00000000" w:rsidRDefault="0039054C">
            <w:pPr>
              <w:jc w:val="center"/>
              <w:rPr>
                <w:rFonts w:eastAsia="Times New Roman"/>
              </w:rPr>
            </w:pPr>
            <w:r>
              <w:rPr>
                <w:rFonts w:eastAsia="Times New Roman"/>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hideMark/>
          </w:tcPr>
          <w:p w:rsidR="00000000" w:rsidRDefault="0039054C">
            <w:pPr>
              <w:jc w:val="center"/>
              <w:rPr>
                <w:rFonts w:eastAsia="Times New Roman"/>
              </w:rPr>
            </w:pPr>
            <w:r>
              <w:rPr>
                <w:rFonts w:eastAsia="Times New Roman"/>
                <w:color w:val="000000"/>
                <w:sz w:val="16"/>
                <w:szCs w:val="16"/>
              </w:rPr>
              <w:t>(Zip Code)</w:t>
            </w:r>
          </w:p>
        </w:tc>
      </w:tr>
    </w:tbl>
    <w:p w:rsidR="00000000" w:rsidRDefault="0039054C">
      <w:pPr>
        <w:ind w:firstLine="450"/>
        <w:jc w:val="center"/>
        <w:divId w:val="1098136463"/>
        <w:rPr>
          <w:rFonts w:eastAsia="Times New Roman"/>
        </w:rPr>
      </w:pPr>
      <w:r>
        <w:rPr>
          <w:rFonts w:eastAsia="Times New Roman"/>
          <w:b/>
          <w:bCs/>
          <w:color w:val="000000"/>
          <w:sz w:val="18"/>
          <w:szCs w:val="18"/>
        </w:rPr>
        <w:t>Registrant’</w:t>
      </w:r>
      <w:r>
        <w:rPr>
          <w:rFonts w:eastAsia="Times New Roman"/>
          <w:b/>
          <w:bCs/>
          <w:color w:val="000000"/>
          <w:sz w:val="18"/>
          <w:szCs w:val="18"/>
        </w:rPr>
        <w:t xml:space="preserve">s telephone number, including area code: (321) 727-9100 </w:t>
      </w:r>
    </w:p>
    <w:tbl>
      <w:tblPr>
        <w:tblW w:w="4978" w:type="pct"/>
        <w:jc w:val="center"/>
        <w:tblCellMar>
          <w:top w:w="15" w:type="dxa"/>
          <w:left w:w="15" w:type="dxa"/>
          <w:bottom w:w="15" w:type="dxa"/>
          <w:right w:w="15" w:type="dxa"/>
        </w:tblCellMar>
        <w:tblLook w:val="04A0" w:firstRow="1" w:lastRow="0" w:firstColumn="1" w:lastColumn="0" w:noHBand="0" w:noVBand="1"/>
      </w:tblPr>
      <w:tblGrid>
        <w:gridCol w:w="68"/>
        <w:gridCol w:w="2894"/>
        <w:gridCol w:w="39"/>
        <w:gridCol w:w="68"/>
        <w:gridCol w:w="221"/>
        <w:gridCol w:w="37"/>
        <w:gridCol w:w="68"/>
        <w:gridCol w:w="1509"/>
        <w:gridCol w:w="37"/>
        <w:gridCol w:w="69"/>
        <w:gridCol w:w="222"/>
        <w:gridCol w:w="36"/>
        <w:gridCol w:w="69"/>
        <w:gridCol w:w="2895"/>
        <w:gridCol w:w="37"/>
      </w:tblGrid>
      <w:tr w:rsidR="00000000">
        <w:trPr>
          <w:divId w:val="659193488"/>
          <w:jc w:val="center"/>
        </w:trPr>
        <w:tc>
          <w:tcPr>
            <w:tcW w:w="50" w:type="pct"/>
            <w:vAlign w:val="center"/>
            <w:hideMark/>
          </w:tcPr>
          <w:p w:rsidR="00000000" w:rsidRDefault="0039054C">
            <w:pPr>
              <w:ind w:firstLine="450"/>
              <w:jc w:val="center"/>
              <w:rPr>
                <w:rFonts w:eastAsia="Times New Roman"/>
              </w:rPr>
            </w:pPr>
          </w:p>
        </w:tc>
        <w:tc>
          <w:tcPr>
            <w:tcW w:w="175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4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92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4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75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659193488"/>
          <w:jc w:val="center"/>
        </w:trPr>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Securities registered pursuant to Section 12(b) of the Act:</w:t>
            </w:r>
          </w:p>
        </w:tc>
      </w:tr>
      <w:tr w:rsidR="00000000">
        <w:trPr>
          <w:divId w:val="659193488"/>
          <w:jc w:val="center"/>
        </w:trPr>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Name of each exchange on which registered</w:t>
            </w:r>
          </w:p>
        </w:tc>
      </w:tr>
      <w:tr w:rsidR="00000000">
        <w:trPr>
          <w:divId w:val="659193488"/>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color w:val="000000"/>
                <w:sz w:val="16"/>
                <w:szCs w:val="16"/>
              </w:rPr>
              <w:t>Common Stock, par value $1.00 per share</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color w:val="000000"/>
                <w:sz w:val="16"/>
                <w:szCs w:val="16"/>
              </w:rPr>
              <w:t>LHX</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color w:val="000000"/>
                <w:sz w:val="16"/>
                <w:szCs w:val="16"/>
              </w:rPr>
              <w:t>New York Stock Exchange</w:t>
            </w:r>
          </w:p>
        </w:tc>
      </w:tr>
    </w:tbl>
    <w:p w:rsidR="00000000" w:rsidRDefault="0039054C">
      <w:pPr>
        <w:divId w:val="2001739059"/>
        <w:rPr>
          <w:rFonts w:eastAsia="Times New Roman"/>
        </w:rPr>
      </w:pPr>
      <w:r>
        <w:rPr>
          <w:rFonts w:eastAsia="Times New Roman"/>
          <w:color w:val="000000"/>
          <w:sz w:val="18"/>
          <w:szCs w:val="18"/>
        </w:rPr>
        <w:t>Indicate by check mark whether the registrant (l) </w:t>
      </w:r>
      <w:r>
        <w:rPr>
          <w:rFonts w:eastAsia="Times New Roman"/>
          <w:color w:val="000000"/>
          <w:sz w:val="18"/>
          <w:szCs w:val="18"/>
        </w:rPr>
        <w:t>has filed all reports required to be filed by Section 13 or 15(d) of the Securities Exchange Act of 1934 during the preceding 12 months (or for such shorter period that the registrant was required to file such reports), and (2) has been subject to such fil</w:t>
      </w:r>
      <w:r>
        <w:rPr>
          <w:rFonts w:eastAsia="Times New Roman"/>
          <w:color w:val="000000"/>
          <w:sz w:val="18"/>
          <w:szCs w:val="18"/>
        </w:rPr>
        <w:t>ing requirements for the past 90 days.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rsidR="00000000" w:rsidRDefault="0039054C">
      <w:pPr>
        <w:divId w:val="1303581544"/>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dur</w:t>
      </w:r>
      <w:r>
        <w:rPr>
          <w:rFonts w:eastAsia="Times New Roman"/>
          <w:color w:val="000000"/>
          <w:sz w:val="18"/>
          <w:szCs w:val="18"/>
        </w:rPr>
        <w:t>ing the preceding 12 months (or for such shorter period that the registrant was required to submit such files).                                                     </w:t>
      </w:r>
      <w:r>
        <w:rPr>
          <w:rFonts w:ascii="Wingdings" w:eastAsia="Times New Roman" w:hAnsi="Wingdings"/>
          <w:color w:val="000000"/>
          <w:sz w:val="18"/>
          <w:szCs w:val="18"/>
        </w:rPr>
        <w:t>þ</w:t>
      </w:r>
      <w:r>
        <w:rPr>
          <w:rFonts w:eastAsia="Times New Roman"/>
          <w:color w:val="000000"/>
          <w:sz w:val="18"/>
          <w:szCs w:val="18"/>
        </w:rPr>
        <w:t>  Yes    </w:t>
      </w:r>
      <w:r>
        <w:rPr>
          <w:rFonts w:ascii="Wingdings" w:eastAsia="Times New Roman" w:hAnsi="Wingdings"/>
          <w:color w:val="000000"/>
          <w:sz w:val="18"/>
          <w:szCs w:val="18"/>
        </w:rPr>
        <w:t>o</w:t>
      </w:r>
      <w:r>
        <w:rPr>
          <w:rFonts w:eastAsia="Times New Roman"/>
          <w:color w:val="000000"/>
          <w:sz w:val="18"/>
          <w:szCs w:val="18"/>
        </w:rPr>
        <w:t>  No</w:t>
      </w:r>
    </w:p>
    <w:p w:rsidR="00000000" w:rsidRDefault="0039054C">
      <w:pPr>
        <w:divId w:val="2121679152"/>
        <w:rPr>
          <w:rFonts w:eastAsia="Times New Roman"/>
        </w:rPr>
      </w:pPr>
      <w:r>
        <w:rPr>
          <w:rFonts w:eastAsia="Times New Roman"/>
          <w:color w:val="000000"/>
          <w:sz w:val="18"/>
          <w:szCs w:val="18"/>
        </w:rPr>
        <w:t xml:space="preserve">Indicate by check mark whether the registrant is a large accelerated filer, </w:t>
      </w:r>
      <w:r>
        <w:rPr>
          <w:rFonts w:eastAsia="Times New Roman"/>
          <w:color w:val="000000"/>
          <w:sz w:val="18"/>
          <w:szCs w:val="18"/>
        </w:rPr>
        <w:t>an accelerated filer, a non-accelerated filer, a smaller reporting company, or an emerging growth company. See the definitions of “large accelerated filer,” “accelerated filer,” “smaller reporting company” and “emerging growth company” in Rule 12b-2 of the</w:t>
      </w:r>
      <w:r>
        <w:rPr>
          <w:rFonts w:eastAsia="Times New Roman"/>
          <w:color w:val="000000"/>
          <w:sz w:val="18"/>
          <w:szCs w:val="18"/>
        </w:rPr>
        <w:t xml:space="preserve"> Exchange Act.</w:t>
      </w:r>
    </w:p>
    <w:tbl>
      <w:tblPr>
        <w:tblW w:w="4883" w:type="pct"/>
        <w:tblCellMar>
          <w:top w:w="15" w:type="dxa"/>
          <w:left w:w="15" w:type="dxa"/>
          <w:bottom w:w="15" w:type="dxa"/>
          <w:right w:w="15" w:type="dxa"/>
        </w:tblCellMar>
        <w:tblLook w:val="04A0" w:firstRow="1" w:lastRow="0" w:firstColumn="1" w:lastColumn="0" w:noHBand="0" w:noVBand="1"/>
      </w:tblPr>
      <w:tblGrid>
        <w:gridCol w:w="37"/>
        <w:gridCol w:w="1747"/>
        <w:gridCol w:w="36"/>
        <w:gridCol w:w="36"/>
        <w:gridCol w:w="110"/>
        <w:gridCol w:w="36"/>
        <w:gridCol w:w="37"/>
        <w:gridCol w:w="188"/>
        <w:gridCol w:w="36"/>
        <w:gridCol w:w="37"/>
        <w:gridCol w:w="119"/>
        <w:gridCol w:w="36"/>
        <w:gridCol w:w="36"/>
        <w:gridCol w:w="3287"/>
        <w:gridCol w:w="36"/>
        <w:gridCol w:w="93"/>
        <w:gridCol w:w="1908"/>
        <w:gridCol w:w="36"/>
        <w:gridCol w:w="37"/>
        <w:gridCol w:w="188"/>
        <w:gridCol w:w="36"/>
      </w:tblGrid>
      <w:tr w:rsidR="00000000">
        <w:trPr>
          <w:divId w:val="1087072627"/>
        </w:trPr>
        <w:tc>
          <w:tcPr>
            <w:tcW w:w="50" w:type="pct"/>
            <w:vAlign w:val="center"/>
            <w:hideMark/>
          </w:tcPr>
          <w:p w:rsidR="00000000" w:rsidRDefault="0039054C">
            <w:pPr>
              <w:rPr>
                <w:rFonts w:eastAsia="Times New Roman"/>
              </w:rPr>
            </w:pPr>
          </w:p>
        </w:tc>
        <w:tc>
          <w:tcPr>
            <w:tcW w:w="114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11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1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11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210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03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1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08707262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lastRenderedPageBreak/>
              <w:t>Large accelerated filer</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ascii="Wingdings" w:eastAsia="Times New Roman" w:hAnsi="Wingdings"/>
                <w:color w:val="000000"/>
                <w:sz w:val="18"/>
                <w:szCs w:val="18"/>
              </w:rPr>
              <w:t>þ</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ascii="Wingdings" w:eastAsia="Times New Roman" w:hAnsi="Wingdings"/>
                <w:color w:val="000000"/>
                <w:sz w:val="18"/>
                <w:szCs w:val="18"/>
              </w:rPr>
              <w:t>o</w:t>
            </w:r>
          </w:p>
        </w:tc>
      </w:tr>
      <w:tr w:rsidR="00000000">
        <w:trPr>
          <w:divId w:val="108707262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ascii="Wingdings" w:eastAsia="Times New Roman" w:hAnsi="Wingdings"/>
                <w:color w:val="000000"/>
                <w:sz w:val="18"/>
                <w:szCs w:val="18"/>
              </w:rPr>
              <w:t>o</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ascii="Wingdings" w:eastAsia="Times New Roman" w:hAnsi="Wingdings"/>
                <w:color w:val="000000"/>
                <w:sz w:val="18"/>
                <w:szCs w:val="18"/>
              </w:rPr>
              <w:t>☐</w:t>
            </w:r>
          </w:p>
        </w:tc>
      </w:tr>
      <w:tr w:rsidR="00000000">
        <w:trPr>
          <w:divId w:val="1087072627"/>
        </w:trPr>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ascii="Wingdings" w:eastAsia="Times New Roman" w:hAnsi="Wingdings"/>
                <w:color w:val="000000"/>
                <w:sz w:val="18"/>
                <w:szCs w:val="18"/>
              </w:rPr>
              <w:t>☐</w:t>
            </w:r>
          </w:p>
        </w:tc>
      </w:tr>
    </w:tbl>
    <w:p w:rsidR="00000000" w:rsidRDefault="0039054C">
      <w:pPr>
        <w:divId w:val="2088915787"/>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w:t>
      </w:r>
    </w:p>
    <w:p w:rsidR="00000000" w:rsidRDefault="0039054C">
      <w:pPr>
        <w:divId w:val="1948654108"/>
        <w:rPr>
          <w:rFonts w:eastAsia="Times New Roman"/>
        </w:rPr>
      </w:pPr>
      <w:r>
        <w:rPr>
          <w:rFonts w:eastAsia="Times New Roman"/>
          <w:color w:val="000000"/>
          <w:sz w:val="18"/>
          <w:szCs w:val="18"/>
        </w:rPr>
        <w:t xml:space="preserve">Exchange Act </w:t>
      </w:r>
      <w:r>
        <w:rPr>
          <w:rFonts w:ascii="Wingdings" w:eastAsia="Times New Roman" w:hAnsi="Wingdings"/>
          <w:color w:val="000000"/>
          <w:sz w:val="18"/>
          <w:szCs w:val="18"/>
        </w:rPr>
        <w:t>o</w:t>
      </w:r>
    </w:p>
    <w:p w:rsidR="00000000" w:rsidRDefault="0039054C">
      <w:pPr>
        <w:divId w:val="1059017596"/>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w:t>
      </w:r>
      <w:r>
        <w:rPr>
          <w:rFonts w:ascii="Segoe UI Symbol" w:eastAsia="Times New Roman" w:hAnsi="Segoe UI Symbol" w:cs="Segoe UI Symbol"/>
          <w:color w:val="000000"/>
          <w:sz w:val="18"/>
          <w:szCs w:val="18"/>
        </w:rPr>
        <w:t>☐</w:t>
      </w:r>
      <w:r>
        <w:rPr>
          <w:rFonts w:eastAsia="Times New Roman"/>
          <w:color w:val="000000"/>
          <w:sz w:val="18"/>
          <w:szCs w:val="18"/>
        </w:rPr>
        <w:t>  Yes   </w:t>
      </w:r>
      <w:r>
        <w:rPr>
          <w:rFonts w:ascii="Wingdings" w:eastAsia="Times New Roman" w:hAnsi="Wingdings"/>
          <w:color w:val="000000"/>
          <w:sz w:val="18"/>
          <w:szCs w:val="18"/>
        </w:rPr>
        <w:t>þ</w:t>
      </w:r>
      <w:r>
        <w:rPr>
          <w:rFonts w:eastAsia="Times New Roman"/>
          <w:color w:val="000000"/>
          <w:sz w:val="18"/>
          <w:szCs w:val="18"/>
        </w:rPr>
        <w:t>  No</w:t>
      </w:r>
    </w:p>
    <w:p w:rsidR="00000000" w:rsidRDefault="0039054C">
      <w:pPr>
        <w:divId w:val="1668023000"/>
        <w:rPr>
          <w:rFonts w:eastAsia="Times New Roman"/>
        </w:rPr>
      </w:pPr>
      <w:r>
        <w:rPr>
          <w:rFonts w:eastAsia="Times New Roman"/>
          <w:color w:val="000000"/>
          <w:sz w:val="18"/>
          <w:szCs w:val="18"/>
        </w:rPr>
        <w:t xml:space="preserve">The number of shares outstanding of the registrant’s common stock as of April 30, 2021 was 204,983,822 shares. </w:t>
      </w:r>
    </w:p>
    <w:p w:rsidR="00000000" w:rsidRDefault="0039054C">
      <w:pPr>
        <w:ind w:firstLine="450"/>
        <w:divId w:val="798764240"/>
        <w:rPr>
          <w:rFonts w:eastAsia="Times New Roman"/>
        </w:rPr>
      </w:pPr>
    </w:p>
    <w:p w:rsidR="00000000" w:rsidRDefault="0039054C">
      <w:pPr>
        <w:rPr>
          <w:rFonts w:eastAsia="Times New Roman"/>
        </w:rPr>
      </w:pPr>
      <w:r>
        <w:rPr>
          <w:rFonts w:eastAsia="Times New Roman"/>
        </w:rPr>
        <w:pict>
          <v:rect id="_x0000_i1026" style="width:0;height:1.5pt" o:hralign="center" o:hrstd="t" o:hr="t" fillcolor="#a0a0a0" stroked="f"/>
        </w:pict>
      </w:r>
    </w:p>
    <w:p w:rsidR="00000000" w:rsidRDefault="0039054C">
      <w:pPr>
        <w:ind w:firstLine="450"/>
        <w:divId w:val="644163532"/>
        <w:rPr>
          <w:rFonts w:eastAsia="Times New Roman"/>
        </w:rPr>
      </w:pPr>
    </w:p>
    <w:p w:rsidR="00000000" w:rsidRDefault="0039054C">
      <w:pPr>
        <w:ind w:firstLine="450"/>
        <w:divId w:val="1267814751"/>
        <w:rPr>
          <w:rFonts w:eastAsia="Times New Roman"/>
        </w:rPr>
      </w:pPr>
    </w:p>
    <w:p w:rsidR="00000000" w:rsidRDefault="0039054C">
      <w:pPr>
        <w:ind w:firstLine="450"/>
        <w:jc w:val="center"/>
        <w:divId w:val="987169063"/>
        <w:rPr>
          <w:rFonts w:eastAsia="Times New Roman"/>
        </w:rPr>
      </w:pPr>
      <w:r>
        <w:rPr>
          <w:rFonts w:eastAsia="Times New Roman"/>
          <w:b/>
          <w:bCs/>
          <w:color w:val="000000"/>
          <w:sz w:val="20"/>
          <w:szCs w:val="20"/>
        </w:rPr>
        <w:t>L3HARRIS TECHNOLOGIES, INC.</w:t>
      </w:r>
    </w:p>
    <w:p w:rsidR="00000000" w:rsidRDefault="0039054C">
      <w:pPr>
        <w:ind w:firstLine="450"/>
        <w:jc w:val="center"/>
        <w:divId w:val="1083183183"/>
        <w:rPr>
          <w:rFonts w:eastAsia="Times New Roman"/>
        </w:rPr>
      </w:pPr>
      <w:r>
        <w:rPr>
          <w:rFonts w:eastAsia="Times New Roman"/>
          <w:b/>
          <w:bCs/>
          <w:color w:val="000000"/>
          <w:sz w:val="20"/>
          <w:szCs w:val="20"/>
        </w:rPr>
        <w:t>FORM 10-Q</w:t>
      </w:r>
    </w:p>
    <w:p w:rsidR="00000000" w:rsidRDefault="0039054C">
      <w:pPr>
        <w:ind w:firstLine="450"/>
        <w:jc w:val="center"/>
        <w:divId w:val="649359129"/>
        <w:rPr>
          <w:rFonts w:eastAsia="Times New Roman"/>
        </w:rPr>
      </w:pPr>
      <w:r>
        <w:rPr>
          <w:rFonts w:eastAsia="Times New Roman"/>
          <w:b/>
          <w:bCs/>
          <w:color w:val="000000"/>
          <w:sz w:val="20"/>
          <w:szCs w:val="20"/>
        </w:rPr>
        <w:t xml:space="preserve">For the Quarter Ended April 2, 2021 </w:t>
      </w:r>
    </w:p>
    <w:p w:rsidR="00000000" w:rsidRDefault="0039054C">
      <w:pPr>
        <w:ind w:firstLine="450"/>
        <w:jc w:val="center"/>
        <w:divId w:val="1294487268"/>
        <w:rPr>
          <w:rFonts w:eastAsia="Times New Roman"/>
        </w:rPr>
      </w:pPr>
      <w:r>
        <w:rPr>
          <w:rFonts w:eastAsia="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569"/>
        <w:gridCol w:w="38"/>
        <w:gridCol w:w="69"/>
        <w:gridCol w:w="526"/>
        <w:gridCol w:w="36"/>
      </w:tblGrid>
      <w:tr w:rsidR="00000000">
        <w:trPr>
          <w:divId w:val="167134815"/>
          <w:jc w:val="center"/>
        </w:trPr>
        <w:tc>
          <w:tcPr>
            <w:tcW w:w="50" w:type="pct"/>
            <w:vAlign w:val="center"/>
            <w:hideMark/>
          </w:tcPr>
          <w:p w:rsidR="00000000" w:rsidRDefault="0039054C">
            <w:pPr>
              <w:ind w:firstLine="450"/>
              <w:jc w:val="center"/>
              <w:rPr>
                <w:rFonts w:eastAsia="Times New Roman"/>
              </w:rPr>
            </w:pPr>
          </w:p>
        </w:tc>
        <w:tc>
          <w:tcPr>
            <w:tcW w:w="4564"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2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67134815"/>
          <w:jc w:val="center"/>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8"/>
                <w:szCs w:val="18"/>
              </w:rPr>
              <w:t>Page</w:t>
            </w:r>
            <w:r>
              <w:rPr>
                <w:rFonts w:eastAsia="Times New Roman"/>
                <w:b/>
                <w:bCs/>
                <w:color w:val="000000"/>
                <w:sz w:val="18"/>
                <w:szCs w:val="18"/>
              </w:rPr>
              <w:br/>
              <w:t>No.</w:t>
            </w:r>
          </w:p>
        </w:tc>
      </w:tr>
      <w:tr w:rsidR="00000000">
        <w:trPr>
          <w:divId w:val="167134815"/>
          <w:jc w:val="center"/>
        </w:trPr>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b/>
                <w:bCs/>
                <w:color w:val="000000"/>
                <w:sz w:val="18"/>
                <w:szCs w:val="18"/>
              </w:rPr>
              <w:t>Part I. Financial Information:</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1. Financial Statements (Unaudited):</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r>
      <w:tr w:rsidR="00000000">
        <w:trPr>
          <w:divId w:val="167134815"/>
          <w:jc w:val="center"/>
        </w:trPr>
        <w:tc>
          <w:tcPr>
            <w:tcW w:w="0" w:type="auto"/>
            <w:gridSpan w:val="3"/>
            <w:tcMar>
              <w:top w:w="30" w:type="dxa"/>
              <w:left w:w="20" w:type="dxa"/>
              <w:bottom w:w="30" w:type="dxa"/>
              <w:right w:w="20" w:type="dxa"/>
            </w:tcMar>
            <w:hideMark/>
          </w:tcPr>
          <w:p w:rsidR="00000000" w:rsidRDefault="0039054C">
            <w:pPr>
              <w:divId w:val="429274876"/>
              <w:rPr>
                <w:rFonts w:eastAsia="Times New Roman"/>
              </w:rPr>
            </w:pPr>
            <w:r>
              <w:rPr>
                <w:rFonts w:eastAsia="Times New Roman"/>
                <w:color w:val="000000"/>
                <w:sz w:val="18"/>
                <w:szCs w:val="18"/>
              </w:rPr>
              <w:t>Condensed Consolidated Statement of Income for the Quarter Ended April 2, 2021 and April 3, 2020</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6" w:history="1">
              <w:r>
                <w:rPr>
                  <w:rStyle w:val="a3"/>
                  <w:rFonts w:eastAsia="Times New Roman"/>
                  <w:color w:val="000000"/>
                  <w:sz w:val="18"/>
                  <w:szCs w:val="18"/>
                  <w:u w:val="none"/>
                </w:rPr>
                <w:t>1</w:t>
              </w:r>
            </w:hyperlink>
          </w:p>
        </w:tc>
      </w:tr>
      <w:tr w:rsidR="00000000">
        <w:trPr>
          <w:divId w:val="167134815"/>
          <w:jc w:val="center"/>
        </w:trPr>
        <w:tc>
          <w:tcPr>
            <w:tcW w:w="0" w:type="auto"/>
            <w:gridSpan w:val="3"/>
            <w:tcMar>
              <w:top w:w="30" w:type="dxa"/>
              <w:left w:w="20" w:type="dxa"/>
              <w:bottom w:w="30" w:type="dxa"/>
              <w:right w:w="20" w:type="dxa"/>
            </w:tcMar>
            <w:hideMark/>
          </w:tcPr>
          <w:p w:rsidR="00000000" w:rsidRDefault="0039054C">
            <w:pPr>
              <w:divId w:val="2146578108"/>
              <w:rPr>
                <w:rFonts w:eastAsia="Times New Roman"/>
              </w:rPr>
            </w:pPr>
            <w:r>
              <w:rPr>
                <w:rFonts w:eastAsia="Times New Roman"/>
                <w:color w:val="000000"/>
                <w:sz w:val="18"/>
                <w:szCs w:val="18"/>
              </w:rPr>
              <w:t xml:space="preserve">Condensed Consolidated Statement of Comprehensive Income for the Quarter Ended April 2, 2021 </w:t>
            </w:r>
            <w:r>
              <w:rPr>
                <w:rFonts w:eastAsia="Times New Roman"/>
                <w:color w:val="000000"/>
                <w:sz w:val="18"/>
                <w:szCs w:val="18"/>
              </w:rPr>
              <w:t>and April 3, 2020</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hyperlink w:anchor="ia644020c40aa40aba9133c0a8ae7a5fd_19" w:history="1">
              <w:r>
                <w:rPr>
                  <w:rStyle w:val="a3"/>
                  <w:rFonts w:eastAsia="Times New Roman"/>
                  <w:color w:val="000000"/>
                  <w:sz w:val="18"/>
                  <w:szCs w:val="18"/>
                  <w:u w:val="none"/>
                </w:rPr>
                <w:t>2</w:t>
              </w:r>
            </w:hyperlink>
          </w:p>
        </w:tc>
      </w:tr>
      <w:tr w:rsidR="00000000">
        <w:trPr>
          <w:divId w:val="167134815"/>
          <w:jc w:val="center"/>
        </w:trPr>
        <w:tc>
          <w:tcPr>
            <w:tcW w:w="0" w:type="auto"/>
            <w:gridSpan w:val="3"/>
            <w:tcMar>
              <w:top w:w="30" w:type="dxa"/>
              <w:left w:w="20" w:type="dxa"/>
              <w:bottom w:w="30" w:type="dxa"/>
              <w:right w:w="20" w:type="dxa"/>
            </w:tcMar>
            <w:hideMark/>
          </w:tcPr>
          <w:p w:rsidR="00000000" w:rsidRDefault="0039054C">
            <w:pPr>
              <w:divId w:val="2132284966"/>
              <w:rPr>
                <w:rFonts w:eastAsia="Times New Roman"/>
              </w:rPr>
            </w:pPr>
            <w:r>
              <w:rPr>
                <w:rFonts w:eastAsia="Times New Roman"/>
                <w:color w:val="000000"/>
                <w:sz w:val="18"/>
                <w:szCs w:val="18"/>
              </w:rPr>
              <w:t>Condensed Consolidated Balance Sheet at April 2, 2021 and January 1, 2021</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22" w:history="1">
              <w:r>
                <w:rPr>
                  <w:rStyle w:val="a3"/>
                  <w:rFonts w:eastAsia="Times New Roman"/>
                  <w:color w:val="000000"/>
                  <w:sz w:val="18"/>
                  <w:szCs w:val="18"/>
                  <w:u w:val="none"/>
                </w:rPr>
                <w:t>3</w:t>
              </w:r>
            </w:hyperlink>
          </w:p>
        </w:tc>
      </w:tr>
      <w:tr w:rsidR="00000000">
        <w:trPr>
          <w:divId w:val="167134815"/>
          <w:jc w:val="center"/>
        </w:trPr>
        <w:tc>
          <w:tcPr>
            <w:tcW w:w="0" w:type="auto"/>
            <w:gridSpan w:val="3"/>
            <w:tcMar>
              <w:top w:w="30" w:type="dxa"/>
              <w:left w:w="20" w:type="dxa"/>
              <w:bottom w:w="30" w:type="dxa"/>
              <w:right w:w="20" w:type="dxa"/>
            </w:tcMar>
            <w:hideMark/>
          </w:tcPr>
          <w:p w:rsidR="00000000" w:rsidRDefault="0039054C">
            <w:pPr>
              <w:divId w:val="928585281"/>
              <w:rPr>
                <w:rFonts w:eastAsia="Times New Roman"/>
              </w:rPr>
            </w:pPr>
            <w:r>
              <w:rPr>
                <w:rFonts w:eastAsia="Times New Roman"/>
                <w:color w:val="000000"/>
                <w:sz w:val="18"/>
                <w:szCs w:val="18"/>
              </w:rPr>
              <w:t>Condensed Consolidated Statement of Cash Flows for the Quarter Ended April 2, 2021 and April 3, 2020</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25" w:history="1">
              <w:r>
                <w:rPr>
                  <w:rStyle w:val="a3"/>
                  <w:rFonts w:eastAsia="Times New Roman"/>
                  <w:color w:val="000000"/>
                  <w:sz w:val="18"/>
                  <w:szCs w:val="18"/>
                  <w:u w:val="none"/>
                </w:rPr>
                <w:t>4</w:t>
              </w:r>
            </w:hyperlink>
          </w:p>
        </w:tc>
      </w:tr>
      <w:tr w:rsidR="00000000">
        <w:trPr>
          <w:divId w:val="167134815"/>
          <w:jc w:val="center"/>
        </w:trPr>
        <w:tc>
          <w:tcPr>
            <w:tcW w:w="0" w:type="auto"/>
            <w:gridSpan w:val="3"/>
            <w:tcMar>
              <w:top w:w="30" w:type="dxa"/>
              <w:left w:w="20" w:type="dxa"/>
              <w:bottom w:w="30" w:type="dxa"/>
              <w:right w:w="20" w:type="dxa"/>
            </w:tcMar>
            <w:hideMark/>
          </w:tcPr>
          <w:p w:rsidR="00000000" w:rsidRDefault="0039054C">
            <w:pPr>
              <w:divId w:val="1035429598"/>
              <w:rPr>
                <w:rFonts w:eastAsia="Times New Roman"/>
              </w:rPr>
            </w:pPr>
            <w:r>
              <w:rPr>
                <w:rFonts w:eastAsia="Times New Roman"/>
                <w:color w:val="000000"/>
                <w:sz w:val="18"/>
                <w:szCs w:val="18"/>
              </w:rPr>
              <w:t>Condensed Consolidated Statement of Equity for the Quarter Ended April 2, 2021 and April 3, 2020</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hyperlink w:anchor="ia644020c40aa40aba9133c0a8ae7a5fd_28" w:history="1">
              <w:r>
                <w:rPr>
                  <w:rStyle w:val="a3"/>
                  <w:rFonts w:eastAsia="Times New Roman"/>
                  <w:color w:val="000000"/>
                  <w:sz w:val="18"/>
                  <w:szCs w:val="18"/>
                  <w:u w:val="none"/>
                </w:rPr>
                <w:t>5</w:t>
              </w:r>
            </w:hyperlink>
          </w:p>
        </w:tc>
      </w:tr>
      <w:tr w:rsidR="00000000">
        <w:trPr>
          <w:divId w:val="167134815"/>
          <w:jc w:val="center"/>
        </w:trPr>
        <w:tc>
          <w:tcPr>
            <w:tcW w:w="0" w:type="auto"/>
            <w:gridSpan w:val="3"/>
            <w:tcMar>
              <w:top w:w="30" w:type="dxa"/>
              <w:left w:w="245" w:type="dxa"/>
              <w:bottom w:w="30" w:type="dxa"/>
              <w:right w:w="20" w:type="dxa"/>
            </w:tcMar>
            <w:hideMark/>
          </w:tcPr>
          <w:p w:rsidR="00000000" w:rsidRDefault="0039054C">
            <w:pPr>
              <w:rPr>
                <w:rFonts w:eastAsia="Times New Roman"/>
              </w:rPr>
            </w:pPr>
            <w:r>
              <w:rPr>
                <w:rFonts w:eastAsia="Times New Roman"/>
                <w:color w:val="000000"/>
                <w:sz w:val="18"/>
                <w:szCs w:val="18"/>
              </w:rPr>
              <w:t>Notes to Condensed Consolidat</w:t>
            </w:r>
            <w:r>
              <w:rPr>
                <w:rFonts w:eastAsia="Times New Roman"/>
                <w:color w:val="000000"/>
                <w:sz w:val="18"/>
                <w:szCs w:val="18"/>
              </w:rPr>
              <w:t>ed Financial Statements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31" w:history="1">
              <w:r>
                <w:rPr>
                  <w:rStyle w:val="a3"/>
                  <w:rFonts w:eastAsia="Times New Roman"/>
                  <w:color w:val="000000"/>
                  <w:sz w:val="18"/>
                  <w:szCs w:val="18"/>
                  <w:u w:val="none"/>
                </w:rPr>
                <w:t>6</w:t>
              </w:r>
            </w:hyperlink>
          </w:p>
        </w:tc>
      </w:tr>
      <w:tr w:rsidR="00000000">
        <w:trPr>
          <w:divId w:val="167134815"/>
          <w:jc w:val="center"/>
        </w:trPr>
        <w:tc>
          <w:tcPr>
            <w:tcW w:w="0" w:type="auto"/>
            <w:gridSpan w:val="3"/>
            <w:tcMar>
              <w:top w:w="30" w:type="dxa"/>
              <w:left w:w="245" w:type="dxa"/>
              <w:bottom w:w="30" w:type="dxa"/>
              <w:right w:w="20" w:type="dxa"/>
            </w:tcMar>
            <w:hideMark/>
          </w:tcPr>
          <w:p w:rsidR="00000000" w:rsidRDefault="0039054C">
            <w:pPr>
              <w:rPr>
                <w:rFonts w:eastAsia="Times New Roman"/>
              </w:rPr>
            </w:pPr>
            <w:r>
              <w:rPr>
                <w:rFonts w:eastAsia="Times New Roman"/>
                <w:color w:val="000000"/>
                <w:sz w:val="18"/>
                <w:szCs w:val="18"/>
              </w:rPr>
              <w:t>Report of Independent Registered Public Accounting Firm</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12" w:history="1">
              <w:r>
                <w:rPr>
                  <w:rStyle w:val="a3"/>
                  <w:rFonts w:eastAsia="Times New Roman"/>
                  <w:color w:val="000000"/>
                  <w:sz w:val="18"/>
                  <w:szCs w:val="18"/>
                  <w:u w:val="none"/>
                </w:rPr>
                <w:t>24</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2. Management’</w:t>
            </w:r>
            <w:r>
              <w:rPr>
                <w:rFonts w:eastAsia="Times New Roman"/>
                <w:color w:val="000000"/>
                <w:sz w:val="18"/>
                <w:szCs w:val="18"/>
              </w:rPr>
              <w:t>s Discussion and Analysis of Financial Condition and Results of Operations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15" w:history="1">
              <w:r>
                <w:rPr>
                  <w:rStyle w:val="a3"/>
                  <w:rFonts w:eastAsia="Times New Roman"/>
                  <w:color w:val="000000"/>
                  <w:sz w:val="18"/>
                  <w:szCs w:val="18"/>
                  <w:u w:val="none"/>
                </w:rPr>
                <w:t>25</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3. Quantitative and Qualitative Disclosures About Market Risk</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33" w:history="1">
              <w:r>
                <w:rPr>
                  <w:rStyle w:val="a3"/>
                  <w:rFonts w:eastAsia="Times New Roman"/>
                  <w:color w:val="000000"/>
                  <w:sz w:val="18"/>
                  <w:szCs w:val="18"/>
                  <w:u w:val="none"/>
                </w:rPr>
                <w:t>37</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4. Controls and Procedures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36" w:history="1">
              <w:r>
                <w:rPr>
                  <w:rStyle w:val="a3"/>
                  <w:rFonts w:eastAsia="Times New Roman"/>
                  <w:color w:val="000000"/>
                  <w:sz w:val="18"/>
                  <w:szCs w:val="18"/>
                  <w:u w:val="none"/>
                </w:rPr>
                <w:t>38</w:t>
              </w:r>
            </w:hyperlink>
          </w:p>
        </w:tc>
      </w:tr>
      <w:tr w:rsidR="00000000">
        <w:trPr>
          <w:divId w:val="167134815"/>
          <w:trHeight w:val="60"/>
          <w:jc w:val="center"/>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67134815"/>
          <w:jc w:val="center"/>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8"/>
                <w:szCs w:val="18"/>
              </w:rPr>
              <w:t>Part II. Other Information:</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1. Legal Proceedings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42" w:history="1">
              <w:r>
                <w:rPr>
                  <w:rStyle w:val="a3"/>
                  <w:rFonts w:eastAsia="Times New Roman"/>
                  <w:color w:val="000000"/>
                  <w:sz w:val="18"/>
                  <w:szCs w:val="18"/>
                  <w:u w:val="none"/>
                </w:rPr>
                <w:t>39</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1A. Risk Factors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45" w:history="1">
              <w:r>
                <w:rPr>
                  <w:rStyle w:val="a3"/>
                  <w:rFonts w:eastAsia="Times New Roman"/>
                  <w:color w:val="000000"/>
                  <w:sz w:val="18"/>
                  <w:szCs w:val="18"/>
                  <w:u w:val="none"/>
                </w:rPr>
                <w:t>39</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w:t>
            </w:r>
            <w:r>
              <w:rPr>
                <w:rFonts w:eastAsia="Times New Roman"/>
                <w:color w:val="000000"/>
                <w:sz w:val="18"/>
                <w:szCs w:val="18"/>
              </w:rPr>
              <w:t>2. Unregistered Sales of Equity Securities and Use of Proceeds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48" w:history="1">
              <w:r>
                <w:rPr>
                  <w:rStyle w:val="a3"/>
                  <w:rFonts w:eastAsia="Times New Roman"/>
                  <w:color w:val="000000"/>
                  <w:sz w:val="18"/>
                  <w:szCs w:val="18"/>
                  <w:u w:val="none"/>
                </w:rPr>
                <w:t>39</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3. Defaults Upon Senior Securities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51" w:history="1">
              <w:r>
                <w:rPr>
                  <w:rStyle w:val="a3"/>
                  <w:rFonts w:eastAsia="Times New Roman"/>
                  <w:color w:val="000000"/>
                  <w:sz w:val="18"/>
                  <w:szCs w:val="18"/>
                  <w:u w:val="none"/>
                </w:rPr>
                <w:t>40</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4. Mine Safe</w:t>
            </w:r>
            <w:r>
              <w:rPr>
                <w:rFonts w:eastAsia="Times New Roman"/>
                <w:color w:val="000000"/>
                <w:sz w:val="18"/>
                <w:szCs w:val="18"/>
              </w:rPr>
              <w:t>ty Disclosures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54" w:history="1">
              <w:r>
                <w:rPr>
                  <w:rStyle w:val="a3"/>
                  <w:rFonts w:eastAsia="Times New Roman"/>
                  <w:color w:val="000000"/>
                  <w:sz w:val="18"/>
                  <w:szCs w:val="18"/>
                  <w:u w:val="none"/>
                </w:rPr>
                <w:t>40</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5. Other Information</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57" w:history="1">
              <w:r>
                <w:rPr>
                  <w:rStyle w:val="a3"/>
                  <w:rFonts w:eastAsia="Times New Roman"/>
                  <w:color w:val="000000"/>
                  <w:sz w:val="18"/>
                  <w:szCs w:val="18"/>
                  <w:u w:val="none"/>
                </w:rPr>
                <w:t>40</w:t>
              </w:r>
            </w:hyperlink>
          </w:p>
        </w:tc>
      </w:tr>
      <w:tr w:rsidR="00000000">
        <w:trPr>
          <w:divId w:val="167134815"/>
          <w:jc w:val="center"/>
        </w:trPr>
        <w:tc>
          <w:tcPr>
            <w:tcW w:w="0" w:type="auto"/>
            <w:gridSpan w:val="3"/>
            <w:tcMar>
              <w:top w:w="30" w:type="dxa"/>
              <w:left w:w="155" w:type="dxa"/>
              <w:bottom w:w="30" w:type="dxa"/>
              <w:right w:w="20" w:type="dxa"/>
            </w:tcMar>
            <w:hideMark/>
          </w:tcPr>
          <w:p w:rsidR="00000000" w:rsidRDefault="0039054C">
            <w:pPr>
              <w:rPr>
                <w:rFonts w:eastAsia="Times New Roman"/>
              </w:rPr>
            </w:pPr>
            <w:r>
              <w:rPr>
                <w:rFonts w:eastAsia="Times New Roman"/>
                <w:color w:val="000000"/>
                <w:sz w:val="18"/>
                <w:szCs w:val="18"/>
              </w:rPr>
              <w:t>Item 6. Exhibits</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60" w:history="1">
              <w:r>
                <w:rPr>
                  <w:rStyle w:val="a3"/>
                  <w:rFonts w:eastAsia="Times New Roman"/>
                  <w:color w:val="000000"/>
                  <w:sz w:val="18"/>
                  <w:szCs w:val="18"/>
                  <w:u w:val="none"/>
                </w:rPr>
                <w:t>41</w:t>
              </w:r>
            </w:hyperlink>
          </w:p>
        </w:tc>
      </w:tr>
      <w:tr w:rsidR="00000000">
        <w:trPr>
          <w:divId w:val="167134815"/>
          <w:trHeight w:val="60"/>
          <w:jc w:val="center"/>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67134815"/>
          <w:jc w:val="center"/>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8"/>
                <w:szCs w:val="18"/>
              </w:rPr>
              <w:t>Signature</w:t>
            </w:r>
          </w:p>
        </w:tc>
        <w:tc>
          <w:tcPr>
            <w:tcW w:w="0" w:type="auto"/>
            <w:gridSpan w:val="3"/>
            <w:tcMar>
              <w:top w:w="30" w:type="dxa"/>
              <w:left w:w="20" w:type="dxa"/>
              <w:bottom w:w="30" w:type="dxa"/>
              <w:right w:w="20" w:type="dxa"/>
            </w:tcMar>
            <w:hideMark/>
          </w:tcPr>
          <w:p w:rsidR="00000000" w:rsidRDefault="0039054C">
            <w:pPr>
              <w:jc w:val="center"/>
              <w:rPr>
                <w:rFonts w:eastAsia="Times New Roman"/>
              </w:rPr>
            </w:pPr>
            <w:hyperlink w:anchor="ia644020c40aa40aba9133c0a8ae7a5fd_163" w:history="1">
              <w:r>
                <w:rPr>
                  <w:rStyle w:val="a3"/>
                  <w:rFonts w:eastAsia="Times New Roman"/>
                  <w:color w:val="000000"/>
                  <w:sz w:val="18"/>
                  <w:szCs w:val="18"/>
                  <w:u w:val="none"/>
                </w:rPr>
                <w:t>42</w:t>
              </w:r>
            </w:hyperlink>
          </w:p>
        </w:tc>
      </w:tr>
    </w:tbl>
    <w:p w:rsidR="00000000" w:rsidRDefault="0039054C">
      <w:pPr>
        <w:ind w:firstLine="450"/>
        <w:divId w:val="1392968788"/>
        <w:rPr>
          <w:rFonts w:eastAsia="Times New Roman"/>
        </w:rPr>
      </w:pPr>
      <w:r>
        <w:rPr>
          <w:rFonts w:eastAsia="Times New Roman"/>
          <w:color w:val="000000"/>
          <w:sz w:val="18"/>
          <w:szCs w:val="18"/>
        </w:rPr>
        <w:t xml:space="preserve">This Report contains trademarks, service marks and registered marks of L3Harris Technologies, Inc. and its subsidiaries. All other trademarks are the property of their respective owners. </w:t>
      </w:r>
    </w:p>
    <w:p w:rsidR="00000000" w:rsidRDefault="0039054C">
      <w:pPr>
        <w:ind w:firstLine="450"/>
        <w:divId w:val="108666524"/>
        <w:rPr>
          <w:rFonts w:eastAsia="Times New Roman"/>
        </w:rPr>
      </w:pPr>
    </w:p>
    <w:p w:rsidR="00000000" w:rsidRDefault="0039054C">
      <w:pPr>
        <w:ind w:firstLine="450"/>
        <w:divId w:val="1294557151"/>
        <w:rPr>
          <w:rFonts w:eastAsia="Times New Roman"/>
        </w:rPr>
      </w:pPr>
    </w:p>
    <w:p w:rsidR="00000000" w:rsidRDefault="0039054C">
      <w:pPr>
        <w:ind w:firstLine="450"/>
        <w:jc w:val="center"/>
        <w:divId w:val="474375251"/>
        <w:rPr>
          <w:rFonts w:eastAsia="Times New Roman"/>
        </w:rPr>
      </w:pPr>
    </w:p>
    <w:p w:rsidR="00000000" w:rsidRDefault="0039054C">
      <w:pPr>
        <w:rPr>
          <w:rFonts w:eastAsia="Times New Roman"/>
        </w:rPr>
      </w:pPr>
      <w:r>
        <w:rPr>
          <w:rFonts w:eastAsia="Times New Roman"/>
        </w:rPr>
        <w:lastRenderedPageBreak/>
        <w:pict>
          <v:rect id="_x0000_i1027" style="width:0;height:1.5pt" o:hralign="center" o:hrstd="t" o:hr="t" fillcolor="#a0a0a0" stroked="f"/>
        </w:pict>
      </w:r>
    </w:p>
    <w:p w:rsidR="00000000" w:rsidRDefault="0039054C">
      <w:pPr>
        <w:ind w:firstLine="450"/>
        <w:divId w:val="1315140620"/>
        <w:rPr>
          <w:rFonts w:eastAsia="Times New Roman"/>
        </w:rPr>
      </w:pPr>
    </w:p>
    <w:p w:rsidR="00000000" w:rsidRDefault="0039054C">
      <w:pPr>
        <w:ind w:firstLine="450"/>
        <w:divId w:val="588150192"/>
        <w:rPr>
          <w:rFonts w:eastAsia="Times New Roman"/>
        </w:rPr>
      </w:pPr>
    </w:p>
    <w:p w:rsidR="00000000" w:rsidRDefault="0039054C">
      <w:pPr>
        <w:ind w:firstLine="450"/>
        <w:jc w:val="center"/>
        <w:divId w:val="1652713865"/>
        <w:rPr>
          <w:rFonts w:eastAsia="Times New Roman"/>
        </w:rPr>
      </w:pPr>
      <w:r>
        <w:rPr>
          <w:rFonts w:eastAsia="Times New Roman"/>
          <w:b/>
          <w:bCs/>
          <w:color w:val="000000"/>
          <w:sz w:val="20"/>
          <w:szCs w:val="20"/>
        </w:rPr>
        <w:t>PART I. FINANCIAL INFO</w:t>
      </w:r>
      <w:r>
        <w:rPr>
          <w:rFonts w:eastAsia="Times New Roman"/>
          <w:b/>
          <w:bCs/>
          <w:color w:val="000000"/>
          <w:sz w:val="20"/>
          <w:szCs w:val="20"/>
        </w:rPr>
        <w:t>RMATION</w:t>
      </w:r>
    </w:p>
    <w:p w:rsidR="00000000" w:rsidRDefault="0039054C">
      <w:pPr>
        <w:divId w:val="1133862824"/>
        <w:rPr>
          <w:rFonts w:eastAsia="Times New Roman"/>
        </w:rPr>
      </w:pPr>
      <w:r>
        <w:rPr>
          <w:rFonts w:eastAsia="Times New Roman"/>
          <w:b/>
          <w:bCs/>
          <w:color w:val="000000"/>
          <w:sz w:val="20"/>
          <w:szCs w:val="20"/>
        </w:rPr>
        <w:t>Item 1. Financial Statements (Unaudited).</w:t>
      </w:r>
    </w:p>
    <w:p w:rsidR="00000000" w:rsidRDefault="0039054C">
      <w:pPr>
        <w:ind w:firstLine="450"/>
        <w:jc w:val="center"/>
        <w:rPr>
          <w:rFonts w:eastAsia="Times New Roman"/>
        </w:rPr>
      </w:pPr>
      <w:r>
        <w:rPr>
          <w:rFonts w:eastAsia="Times New Roman"/>
          <w:b/>
          <w:bCs/>
          <w:color w:val="000000"/>
          <w:sz w:val="20"/>
          <w:szCs w:val="20"/>
        </w:rPr>
        <w:t>L3HARRIS TECHNOLOGIES, INC. AND SUBSIDIARIES</w:t>
      </w:r>
    </w:p>
    <w:p w:rsidR="00000000" w:rsidRDefault="0039054C">
      <w:pPr>
        <w:ind w:firstLine="450"/>
        <w:jc w:val="center"/>
        <w:rPr>
          <w:rFonts w:eastAsia="Times New Roman"/>
        </w:rPr>
      </w:pPr>
      <w:r>
        <w:rPr>
          <w:rFonts w:eastAsia="Times New Roman"/>
          <w:b/>
          <w:bCs/>
          <w:color w:val="000000"/>
          <w:sz w:val="20"/>
          <w:szCs w:val="20"/>
        </w:rPr>
        <w:t>CONDENSED CONSOLIDATED STATEMENT OF INCOME</w:t>
      </w:r>
    </w:p>
    <w:p w:rsidR="00000000" w:rsidRDefault="0039054C">
      <w:pPr>
        <w:ind w:firstLine="450"/>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376"/>
        <w:gridCol w:w="39"/>
        <w:gridCol w:w="120"/>
        <w:gridCol w:w="1018"/>
        <w:gridCol w:w="36"/>
        <w:gridCol w:w="36"/>
        <w:gridCol w:w="36"/>
        <w:gridCol w:w="36"/>
        <w:gridCol w:w="120"/>
        <w:gridCol w:w="981"/>
        <w:gridCol w:w="36"/>
        <w:gridCol w:w="36"/>
        <w:gridCol w:w="36"/>
        <w:gridCol w:w="36"/>
        <w:gridCol w:w="36"/>
        <w:gridCol w:w="36"/>
        <w:gridCol w:w="36"/>
        <w:gridCol w:w="36"/>
        <w:gridCol w:w="36"/>
        <w:gridCol w:w="36"/>
        <w:gridCol w:w="36"/>
        <w:gridCol w:w="36"/>
        <w:gridCol w:w="36"/>
      </w:tblGrid>
      <w:tr w:rsidR="00000000">
        <w:trPr>
          <w:divId w:val="824391796"/>
        </w:trPr>
        <w:tc>
          <w:tcPr>
            <w:tcW w:w="50" w:type="pct"/>
            <w:vAlign w:val="center"/>
            <w:hideMark/>
          </w:tcPr>
          <w:p w:rsidR="00000000" w:rsidRDefault="0039054C">
            <w:pPr>
              <w:ind w:firstLine="450"/>
              <w:jc w:val="center"/>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824391796"/>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Revenue from product sales and services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4,567 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4,626 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(3,213)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(3,298)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(801)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Business divestiture-related losses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(324)</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Non-operating income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Discontinued operations,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Noncontrolling interests,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income attributable to L3Harris Technologies, Inc.</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Height w:val="300"/>
        </w:trPr>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12"/>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Amounts attributable to L3Harris Technologies, Inc. common shareholders</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from continuing operations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Discontinued operations,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Height w:val="300"/>
        </w:trPr>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12"/>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Net income per common share attributable to L3Harris Technologies, Inc. common shareholders</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Continuing operations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0.99 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Discontinued operations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0.99 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Height w:val="300"/>
        </w:trPr>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Basic weighted 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206.7 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217.3 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82439179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Diluted weighted average common shares outstanding</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208.5 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219.3 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ind w:firstLine="450"/>
        <w:jc w:val="center"/>
        <w:divId w:val="1319264804"/>
        <w:rPr>
          <w:rFonts w:eastAsia="Times New Roman"/>
        </w:rPr>
      </w:pPr>
      <w:r>
        <w:rPr>
          <w:rFonts w:eastAsia="Times New Roman"/>
          <w:color w:val="000000"/>
          <w:sz w:val="20"/>
          <w:szCs w:val="20"/>
        </w:rPr>
        <w:t>See accompanying Notes to Condensed Consolidated Financial Statements (Unaudited).</w:t>
      </w:r>
    </w:p>
    <w:p w:rsidR="00000000" w:rsidRDefault="0039054C">
      <w:pPr>
        <w:ind w:firstLine="450"/>
        <w:jc w:val="center"/>
        <w:divId w:val="299119950"/>
        <w:rPr>
          <w:rFonts w:eastAsia="Times New Roman"/>
        </w:rPr>
      </w:pPr>
      <w:r>
        <w:rPr>
          <w:rFonts w:eastAsia="Times New Roman"/>
          <w:color w:val="000000"/>
          <w:sz w:val="20"/>
          <w:szCs w:val="20"/>
        </w:rPr>
        <w:lastRenderedPageBreak/>
        <w:t>1</w:t>
      </w:r>
    </w:p>
    <w:p w:rsidR="00000000" w:rsidRDefault="0039054C">
      <w:pPr>
        <w:rPr>
          <w:rFonts w:eastAsia="Times New Roman"/>
        </w:rPr>
      </w:pPr>
      <w:r>
        <w:rPr>
          <w:rFonts w:eastAsia="Times New Roman"/>
        </w:rPr>
        <w:pict>
          <v:rect id="_x0000_i1028" style="width:0;height:1.5pt" o:hralign="center" o:hrstd="t" o:hr="t" fillcolor="#a0a0a0" stroked="f"/>
        </w:pict>
      </w:r>
    </w:p>
    <w:p w:rsidR="00000000" w:rsidRDefault="0039054C">
      <w:pPr>
        <w:ind w:firstLine="450"/>
        <w:divId w:val="658508170"/>
        <w:rPr>
          <w:rFonts w:eastAsia="Times New Roman"/>
        </w:rPr>
      </w:pPr>
    </w:p>
    <w:p w:rsidR="00000000" w:rsidRDefault="0039054C">
      <w:pPr>
        <w:ind w:firstLine="450"/>
        <w:divId w:val="164053563"/>
        <w:rPr>
          <w:rFonts w:eastAsia="Times New Roman"/>
        </w:rPr>
      </w:pPr>
    </w:p>
    <w:p w:rsidR="00000000" w:rsidRDefault="0039054C">
      <w:pPr>
        <w:ind w:firstLine="450"/>
        <w:jc w:val="center"/>
        <w:rPr>
          <w:rFonts w:eastAsia="Times New Roman"/>
        </w:rPr>
      </w:pPr>
      <w:r>
        <w:rPr>
          <w:rFonts w:eastAsia="Times New Roman"/>
          <w:b/>
          <w:bCs/>
          <w:color w:val="000000"/>
          <w:sz w:val="20"/>
          <w:szCs w:val="20"/>
        </w:rPr>
        <w:t>L3HARRIS TECHNOLOGIES, INC. AND SUBSIDIARIES</w:t>
      </w:r>
    </w:p>
    <w:p w:rsidR="00000000" w:rsidRDefault="0039054C">
      <w:pPr>
        <w:ind w:firstLine="135"/>
        <w:jc w:val="center"/>
        <w:rPr>
          <w:rFonts w:eastAsia="Times New Roman"/>
        </w:rPr>
      </w:pPr>
      <w:r>
        <w:rPr>
          <w:rFonts w:eastAsia="Times New Roman"/>
          <w:b/>
          <w:bCs/>
          <w:color w:val="000000"/>
          <w:sz w:val="20"/>
          <w:szCs w:val="20"/>
        </w:rPr>
        <w:t>CONDENSED CONSOLIDATED STATEMENT OF COMPREHENSIVE INCOME</w:t>
      </w:r>
    </w:p>
    <w:p w:rsidR="00000000" w:rsidRDefault="0039054C">
      <w:pPr>
        <w:ind w:firstLine="450"/>
        <w:jc w:val="center"/>
        <w:rPr>
          <w:rFonts w:eastAsia="Times New Roman"/>
        </w:rPr>
      </w:pPr>
      <w:r>
        <w:rPr>
          <w:rFonts w:eastAsia="Times New Roman"/>
          <w:b/>
          <w:bCs/>
          <w:color w:val="000000"/>
          <w:sz w:val="20"/>
          <w:szCs w:val="20"/>
        </w:rPr>
        <w:t>(Unaudited)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41"/>
        <w:gridCol w:w="5477"/>
        <w:gridCol w:w="39"/>
        <w:gridCol w:w="120"/>
        <w:gridCol w:w="1038"/>
        <w:gridCol w:w="36"/>
        <w:gridCol w:w="36"/>
        <w:gridCol w:w="36"/>
        <w:gridCol w:w="36"/>
        <w:gridCol w:w="120"/>
        <w:gridCol w:w="1003"/>
        <w:gridCol w:w="36"/>
        <w:gridCol w:w="36"/>
        <w:gridCol w:w="36"/>
        <w:gridCol w:w="36"/>
        <w:gridCol w:w="36"/>
        <w:gridCol w:w="36"/>
        <w:gridCol w:w="36"/>
        <w:gridCol w:w="36"/>
        <w:gridCol w:w="36"/>
      </w:tblGrid>
      <w:tr w:rsidR="00000000">
        <w:trPr>
          <w:divId w:val="398022784"/>
        </w:trPr>
        <w:tc>
          <w:tcPr>
            <w:tcW w:w="50" w:type="pct"/>
            <w:vAlign w:val="center"/>
            <w:hideMark/>
          </w:tcPr>
          <w:p w:rsidR="00000000" w:rsidRDefault="0039054C">
            <w:pPr>
              <w:ind w:firstLine="450"/>
              <w:jc w:val="center"/>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98022784"/>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CCEE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Foreign currency translation loss,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FFFF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Net unrealized gain (loss) on hedging derivatives, net of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CCEE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Net unrecognized loss on postretirement obligations,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comprehensive loss recognized during the period</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CCEE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Less: reclassification adjustments for gains included in net income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FFFFFF"/>
            <w:tcMar>
              <w:top w:w="30" w:type="dxa"/>
              <w:left w:w="5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comprehensive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CCEEFF"/>
            <w:tcMar>
              <w:top w:w="30" w:type="dxa"/>
              <w:left w:w="5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comprehensive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Comprehensive loss attributable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398022784"/>
        </w:trPr>
        <w:tc>
          <w:tcPr>
            <w:tcW w:w="0" w:type="auto"/>
            <w:gridSpan w:val="3"/>
            <w:shd w:val="clear" w:color="auto" w:fill="CCEEFF"/>
            <w:tcMar>
              <w:top w:w="30" w:type="dxa"/>
              <w:left w:w="30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Total comprehensive income attributable to L3Harris Technologies, Inc.</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ind w:firstLine="450"/>
        <w:jc w:val="center"/>
        <w:divId w:val="1484393522"/>
        <w:rPr>
          <w:rFonts w:eastAsia="Times New Roman"/>
        </w:rPr>
      </w:pPr>
      <w:r>
        <w:rPr>
          <w:rFonts w:eastAsia="Times New Roman"/>
          <w:color w:val="000000"/>
          <w:sz w:val="20"/>
          <w:szCs w:val="20"/>
        </w:rPr>
        <w:t>See accompanying Notes to Condensed Consolidated Financial Statements (Unaudited).</w:t>
      </w:r>
    </w:p>
    <w:p w:rsidR="00000000" w:rsidRDefault="0039054C">
      <w:pPr>
        <w:ind w:firstLine="450"/>
        <w:jc w:val="center"/>
        <w:divId w:val="1918049437"/>
        <w:rPr>
          <w:rFonts w:eastAsia="Times New Roman"/>
        </w:rPr>
      </w:pPr>
      <w:r>
        <w:rPr>
          <w:rFonts w:eastAsia="Times New Roman"/>
          <w:color w:val="000000"/>
          <w:sz w:val="20"/>
          <w:szCs w:val="20"/>
        </w:rPr>
        <w:t>2</w:t>
      </w:r>
    </w:p>
    <w:p w:rsidR="00000000" w:rsidRDefault="0039054C">
      <w:pPr>
        <w:rPr>
          <w:rFonts w:eastAsia="Times New Roman"/>
        </w:rPr>
      </w:pPr>
      <w:r>
        <w:rPr>
          <w:rFonts w:eastAsia="Times New Roman"/>
        </w:rPr>
        <w:pict>
          <v:rect id="_x0000_i1029" style="width:0;height:1.5pt" o:hralign="center" o:hrstd="t" o:hr="t" fillcolor="#a0a0a0" stroked="f"/>
        </w:pict>
      </w:r>
    </w:p>
    <w:p w:rsidR="00000000" w:rsidRDefault="0039054C">
      <w:pPr>
        <w:ind w:firstLine="450"/>
        <w:divId w:val="34434090"/>
        <w:rPr>
          <w:rFonts w:eastAsia="Times New Roman"/>
        </w:rPr>
      </w:pPr>
    </w:p>
    <w:p w:rsidR="00000000" w:rsidRDefault="0039054C">
      <w:pPr>
        <w:ind w:firstLine="450"/>
        <w:divId w:val="826825505"/>
        <w:rPr>
          <w:rFonts w:eastAsia="Times New Roman"/>
        </w:rPr>
      </w:pPr>
    </w:p>
    <w:p w:rsidR="00000000" w:rsidRDefault="0039054C">
      <w:pPr>
        <w:ind w:firstLine="450"/>
        <w:jc w:val="center"/>
        <w:rPr>
          <w:rFonts w:eastAsia="Times New Roman"/>
        </w:rPr>
      </w:pPr>
      <w:r>
        <w:rPr>
          <w:rFonts w:eastAsia="Times New Roman"/>
          <w:b/>
          <w:bCs/>
          <w:color w:val="000000"/>
          <w:sz w:val="20"/>
          <w:szCs w:val="20"/>
        </w:rPr>
        <w:t>L3HARRIS TECHNOLOGIES, INC. AND SUBSIDIARIES</w:t>
      </w:r>
    </w:p>
    <w:p w:rsidR="00000000" w:rsidRDefault="0039054C">
      <w:pPr>
        <w:ind w:firstLine="450"/>
        <w:jc w:val="center"/>
        <w:rPr>
          <w:rFonts w:eastAsia="Times New Roman"/>
        </w:rPr>
      </w:pPr>
      <w:r>
        <w:rPr>
          <w:rFonts w:eastAsia="Times New Roman"/>
          <w:b/>
          <w:bCs/>
          <w:color w:val="000000"/>
          <w:sz w:val="20"/>
          <w:szCs w:val="20"/>
        </w:rPr>
        <w:t xml:space="preserve">CONDENSED CONSOLIDATED BALANCE SHEET </w:t>
      </w:r>
    </w:p>
    <w:p w:rsidR="00000000" w:rsidRDefault="0039054C">
      <w:pPr>
        <w:ind w:firstLine="450"/>
        <w:jc w:val="center"/>
        <w:rPr>
          <w:rFonts w:eastAsia="Times New Roman"/>
        </w:rPr>
      </w:pPr>
      <w:r>
        <w:rPr>
          <w:rFonts w:eastAsia="Times New Roman"/>
          <w:b/>
          <w:bCs/>
          <w:color w:val="000000"/>
          <w:sz w:val="20"/>
          <w:szCs w:val="20"/>
        </w:rPr>
        <w:t>(Unaudited)</w:t>
      </w:r>
    </w:p>
    <w:tbl>
      <w:tblPr>
        <w:tblW w:w="4992" w:type="pct"/>
        <w:tblCellMar>
          <w:top w:w="15" w:type="dxa"/>
          <w:left w:w="15" w:type="dxa"/>
          <w:bottom w:w="15" w:type="dxa"/>
          <w:right w:w="15" w:type="dxa"/>
        </w:tblCellMar>
        <w:tblLook w:val="04A0" w:firstRow="1" w:lastRow="0" w:firstColumn="1" w:lastColumn="0" w:noHBand="0" w:noVBand="1"/>
      </w:tblPr>
      <w:tblGrid>
        <w:gridCol w:w="41"/>
        <w:gridCol w:w="6035"/>
        <w:gridCol w:w="36"/>
        <w:gridCol w:w="120"/>
        <w:gridCol w:w="898"/>
        <w:gridCol w:w="36"/>
        <w:gridCol w:w="36"/>
        <w:gridCol w:w="36"/>
        <w:gridCol w:w="36"/>
        <w:gridCol w:w="120"/>
        <w:gridCol w:w="863"/>
        <w:gridCol w:w="36"/>
      </w:tblGrid>
      <w:tr w:rsidR="00000000">
        <w:trPr>
          <w:divId w:val="1836021874"/>
        </w:trPr>
        <w:tc>
          <w:tcPr>
            <w:tcW w:w="50" w:type="pct"/>
            <w:vAlign w:val="center"/>
            <w:hideMark/>
          </w:tcPr>
          <w:p w:rsidR="00000000" w:rsidRDefault="0039054C">
            <w:pPr>
              <w:ind w:firstLine="450"/>
              <w:jc w:val="center"/>
              <w:rPr>
                <w:rFonts w:eastAsia="Times New Roman"/>
              </w:rPr>
            </w:pPr>
          </w:p>
        </w:tc>
        <w:tc>
          <w:tcPr>
            <w:tcW w:w="366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6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6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836021874"/>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 except shares)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1836021874"/>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976 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Receivables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1,344 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2,577 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904 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973 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 receivable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372 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 xml:space="preserve">Assets of disposal groups held for sale </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1,414 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7,538 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Property, plant and equipment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2,136 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2,102 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lastRenderedPageBreak/>
              <w:t>Operating lease right-of-use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782 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766 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18,252 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18,876 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7,265 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7,908 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499 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29,052 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30,293 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36,590 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36,960 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Short-term debt</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1,373 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1,406 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1,189 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496 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accrued items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1,066 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Current portion of long-term debt, net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 xml:space="preserve">Liabilities of disposal groups held for sale </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4,231 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Defined benefit plans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1,811 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1,906 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Operating lease liabilities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737 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734 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Long-term debt, net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7,066 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6,943 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1,218 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1,237 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1,045 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1,059 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11,877 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11,879 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36021874"/>
        </w:trPr>
        <w:tc>
          <w:tcPr>
            <w:tcW w:w="0" w:type="auto"/>
            <w:gridSpan w:val="3"/>
            <w:shd w:val="clear" w:color="auto" w:fill="FFFFFF"/>
            <w:tcMar>
              <w:top w:w="30" w:type="dxa"/>
              <w:left w:w="20" w:type="dxa"/>
              <w:bottom w:w="30" w:type="dxa"/>
              <w:right w:w="20" w:type="dxa"/>
            </w:tcMar>
            <w:vAlign w:val="bottom"/>
            <w:hideMark/>
          </w:tcPr>
          <w:p w:rsidR="00000000" w:rsidRDefault="0039054C">
            <w:pPr>
              <w:divId w:val="134177632"/>
              <w:rPr>
                <w:rFonts w:eastAsia="Times New Roman"/>
              </w:rPr>
            </w:pPr>
            <w:r>
              <w:rPr>
                <w:rFonts w:eastAsia="Times New Roman"/>
                <w:color w:val="000000"/>
                <w:sz w:val="20"/>
                <w:szCs w:val="20"/>
              </w:rPr>
              <w:t xml:space="preserve">Preferred stock, without par value; 1,000,000 shares authorized; none issued </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20" w:type="dxa"/>
              <w:bottom w:w="30" w:type="dxa"/>
              <w:right w:w="20" w:type="dxa"/>
            </w:tcMar>
            <w:vAlign w:val="bottom"/>
            <w:hideMark/>
          </w:tcPr>
          <w:p w:rsidR="00000000" w:rsidRDefault="0039054C">
            <w:pPr>
              <w:ind w:hanging="270"/>
              <w:divId w:val="2099671757"/>
              <w:rPr>
                <w:rFonts w:eastAsia="Times New Roman"/>
              </w:rPr>
            </w:pPr>
            <w:r>
              <w:rPr>
                <w:rFonts w:eastAsia="Times New Roman"/>
                <w:color w:val="000000"/>
                <w:sz w:val="20"/>
                <w:szCs w:val="20"/>
              </w:rPr>
              <w:t xml:space="preserve">Common stock, $1.00 par value; 500,000,000 </w:t>
            </w:r>
            <w:r>
              <w:rPr>
                <w:rFonts w:eastAsia="Times New Roman"/>
                <w:color w:val="000000"/>
                <w:sz w:val="20"/>
                <w:szCs w:val="20"/>
              </w:rPr>
              <w:t>shares authorized; issued and outstanding 204,864,804 and 208,230,353 shares at April 2, 2021 and January 1, 2021, respectively</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capital</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18,487 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19,008 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2,529 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2,347 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(854)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(839)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20,367 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20,724 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36021874"/>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36,590 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jc w:val="center"/>
        <w:divId w:val="1256093286"/>
        <w:rPr>
          <w:rFonts w:eastAsia="Times New Roman"/>
        </w:rPr>
      </w:pPr>
      <w:r>
        <w:rPr>
          <w:rFonts w:eastAsia="Times New Roman"/>
          <w:color w:val="000000"/>
          <w:sz w:val="18"/>
          <w:szCs w:val="18"/>
        </w:rPr>
        <w:t>See accompanying Notes to Condensed Consolidated Financial Statements (Unaudited).</w:t>
      </w:r>
    </w:p>
    <w:p w:rsidR="00000000" w:rsidRDefault="0039054C">
      <w:pPr>
        <w:ind w:firstLine="450"/>
        <w:jc w:val="center"/>
        <w:divId w:val="1273199629"/>
        <w:rPr>
          <w:rFonts w:eastAsia="Times New Roman"/>
        </w:rPr>
      </w:pPr>
      <w:r>
        <w:rPr>
          <w:rFonts w:eastAsia="Times New Roman"/>
          <w:color w:val="000000"/>
          <w:sz w:val="20"/>
          <w:szCs w:val="20"/>
        </w:rPr>
        <w:t>3</w:t>
      </w:r>
    </w:p>
    <w:p w:rsidR="00000000" w:rsidRDefault="0039054C">
      <w:pPr>
        <w:rPr>
          <w:rFonts w:eastAsia="Times New Roman"/>
        </w:rPr>
      </w:pPr>
      <w:r>
        <w:rPr>
          <w:rFonts w:eastAsia="Times New Roman"/>
        </w:rPr>
        <w:pict>
          <v:rect id="_x0000_i1030" style="width:0;height:1.5pt" o:hralign="center" o:hrstd="t" o:hr="t" fillcolor="#a0a0a0" stroked="f"/>
        </w:pict>
      </w:r>
    </w:p>
    <w:p w:rsidR="00000000" w:rsidRDefault="0039054C">
      <w:pPr>
        <w:ind w:firstLine="450"/>
        <w:divId w:val="1772050447"/>
        <w:rPr>
          <w:rFonts w:eastAsia="Times New Roman"/>
        </w:rPr>
      </w:pPr>
    </w:p>
    <w:p w:rsidR="00000000" w:rsidRDefault="0039054C">
      <w:pPr>
        <w:ind w:firstLine="450"/>
        <w:divId w:val="1438678852"/>
        <w:rPr>
          <w:rFonts w:eastAsia="Times New Roman"/>
        </w:rPr>
      </w:pPr>
    </w:p>
    <w:p w:rsidR="00000000" w:rsidRDefault="0039054C">
      <w:pPr>
        <w:ind w:firstLine="450"/>
        <w:jc w:val="center"/>
        <w:rPr>
          <w:rFonts w:eastAsia="Times New Roman"/>
        </w:rPr>
      </w:pPr>
      <w:r>
        <w:rPr>
          <w:rFonts w:eastAsia="Times New Roman"/>
          <w:b/>
          <w:bCs/>
          <w:color w:val="000000"/>
          <w:sz w:val="20"/>
          <w:szCs w:val="20"/>
        </w:rPr>
        <w:t>L3HARRIS TECHNOLOGIES, INC. AND SUBSIDIARIES</w:t>
      </w:r>
    </w:p>
    <w:p w:rsidR="00000000" w:rsidRDefault="0039054C">
      <w:pPr>
        <w:ind w:firstLine="450"/>
        <w:jc w:val="center"/>
        <w:rPr>
          <w:rFonts w:eastAsia="Times New Roman"/>
        </w:rPr>
      </w:pPr>
      <w:r>
        <w:rPr>
          <w:rFonts w:eastAsia="Times New Roman"/>
          <w:b/>
          <w:bCs/>
          <w:color w:val="000000"/>
          <w:sz w:val="20"/>
          <w:szCs w:val="20"/>
        </w:rPr>
        <w:t>CONDENSED CONSOLIDATED STATEMENT OF CASH FLOWS</w:t>
      </w:r>
    </w:p>
    <w:p w:rsidR="00000000" w:rsidRDefault="0039054C">
      <w:pPr>
        <w:ind w:firstLine="450"/>
        <w:jc w:val="center"/>
        <w:rPr>
          <w:rFonts w:eastAsia="Times New Roman"/>
        </w:rPr>
      </w:pPr>
      <w:r>
        <w:rPr>
          <w:rFonts w:eastAsia="Times New Roman"/>
          <w:b/>
          <w:bCs/>
          <w:color w:val="000000"/>
          <w:sz w:val="20"/>
          <w:szCs w:val="20"/>
        </w:rPr>
        <w:lastRenderedPageBreak/>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681"/>
        <w:gridCol w:w="40"/>
        <w:gridCol w:w="121"/>
        <w:gridCol w:w="1078"/>
        <w:gridCol w:w="36"/>
        <w:gridCol w:w="36"/>
        <w:gridCol w:w="36"/>
        <w:gridCol w:w="36"/>
        <w:gridCol w:w="120"/>
        <w:gridCol w:w="1044"/>
        <w:gridCol w:w="36"/>
      </w:tblGrid>
      <w:tr w:rsidR="00000000">
        <w:trPr>
          <w:divId w:val="1482039569"/>
        </w:trPr>
        <w:tc>
          <w:tcPr>
            <w:tcW w:w="50" w:type="pct"/>
            <w:vAlign w:val="center"/>
            <w:hideMark/>
          </w:tcPr>
          <w:p w:rsidR="00000000" w:rsidRDefault="0039054C">
            <w:pPr>
              <w:ind w:firstLine="450"/>
              <w:jc w:val="center"/>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482039569"/>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1482039569"/>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r>
      <w:tr w:rsidR="00000000">
        <w:trPr>
          <w:divId w:val="1482039569"/>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Operating Activities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Amortization of acquisition-related intangibles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Depreciation and other amortization</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Share-based compensation</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Share-based matching contributions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Qualified pension plan contributions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Pension and other postretirement benefit plan income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xml:space="preserve">Business divestiture-related losses </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82039569"/>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(Increase) decrease in:</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FFFF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(272)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Inventories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Prepaid expenses and other current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Increase (decrease) in:</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CCEE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Compensation and benefits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60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additions of 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(64)</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(48)</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82039569"/>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82039569"/>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proceeds from borrowings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Repayments of borrowings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Proceeds from exercises of employee stock options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Repurchases of common stock</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(700)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(700)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Cash dividends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(209)</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(183)</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82039569"/>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82039569"/>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financing activities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(612)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Effect of exchange rate changes on cash and cash equivalents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Net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48203956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Cash and cash equivalents, end of quarter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jc w:val="center"/>
        <w:divId w:val="305553197"/>
        <w:rPr>
          <w:rFonts w:eastAsia="Times New Roman"/>
        </w:rPr>
      </w:pPr>
      <w:r>
        <w:rPr>
          <w:rFonts w:eastAsia="Times New Roman"/>
          <w:color w:val="000000"/>
          <w:sz w:val="20"/>
          <w:szCs w:val="20"/>
        </w:rPr>
        <w:t>See accompanying Notes to Condensed Consolidated Financial Statements (Unaudited).</w:t>
      </w:r>
    </w:p>
    <w:p w:rsidR="00000000" w:rsidRDefault="0039054C">
      <w:pPr>
        <w:ind w:firstLine="450"/>
        <w:jc w:val="center"/>
        <w:divId w:val="1936740718"/>
        <w:rPr>
          <w:rFonts w:eastAsia="Times New Roman"/>
        </w:rPr>
      </w:pPr>
      <w:r>
        <w:rPr>
          <w:rFonts w:eastAsia="Times New Roman"/>
          <w:color w:val="000000"/>
          <w:sz w:val="20"/>
          <w:szCs w:val="20"/>
        </w:rPr>
        <w:t>4</w:t>
      </w:r>
    </w:p>
    <w:p w:rsidR="00000000" w:rsidRDefault="0039054C">
      <w:pPr>
        <w:rPr>
          <w:rFonts w:eastAsia="Times New Roman"/>
        </w:rPr>
      </w:pPr>
      <w:r>
        <w:rPr>
          <w:rFonts w:eastAsia="Times New Roman"/>
        </w:rPr>
        <w:pict>
          <v:rect id="_x0000_i1031" style="width:0;height:1.5pt" o:hralign="center" o:hrstd="t" o:hr="t" fillcolor="#a0a0a0" stroked="f"/>
        </w:pict>
      </w:r>
    </w:p>
    <w:p w:rsidR="00000000" w:rsidRDefault="0039054C">
      <w:pPr>
        <w:ind w:firstLine="450"/>
        <w:divId w:val="437599835"/>
        <w:rPr>
          <w:rFonts w:eastAsia="Times New Roman"/>
        </w:rPr>
      </w:pPr>
    </w:p>
    <w:p w:rsidR="00000000" w:rsidRDefault="0039054C">
      <w:pPr>
        <w:ind w:firstLine="450"/>
        <w:divId w:val="1214780436"/>
        <w:rPr>
          <w:rFonts w:eastAsia="Times New Roman"/>
        </w:rPr>
      </w:pPr>
    </w:p>
    <w:p w:rsidR="00000000" w:rsidRDefault="0039054C">
      <w:pPr>
        <w:ind w:firstLine="450"/>
        <w:jc w:val="center"/>
        <w:rPr>
          <w:rFonts w:eastAsia="Times New Roman"/>
        </w:rPr>
      </w:pPr>
      <w:r>
        <w:rPr>
          <w:rFonts w:eastAsia="Times New Roman"/>
          <w:b/>
          <w:bCs/>
          <w:color w:val="000000"/>
          <w:sz w:val="20"/>
          <w:szCs w:val="20"/>
        </w:rPr>
        <w:t>L3HARRIS TECHNOLOGIES, INC. AND SUBSIDIARIES</w:t>
      </w:r>
    </w:p>
    <w:p w:rsidR="00000000" w:rsidRDefault="0039054C">
      <w:pPr>
        <w:ind w:firstLine="450"/>
        <w:jc w:val="center"/>
        <w:rPr>
          <w:rFonts w:eastAsia="Times New Roman"/>
        </w:rPr>
      </w:pPr>
      <w:r>
        <w:rPr>
          <w:rFonts w:eastAsia="Times New Roman"/>
          <w:b/>
          <w:bCs/>
          <w:color w:val="000000"/>
          <w:sz w:val="20"/>
          <w:szCs w:val="20"/>
        </w:rPr>
        <w:t>CONDENSED CONSOLIDATED STATEMENT OF EQUITY</w:t>
      </w:r>
    </w:p>
    <w:p w:rsidR="00000000" w:rsidRDefault="0039054C">
      <w:pPr>
        <w:ind w:firstLine="450"/>
        <w:jc w:val="center"/>
        <w:rPr>
          <w:rFonts w:eastAsia="Times New Roman"/>
        </w:rPr>
      </w:pPr>
      <w:r>
        <w:rPr>
          <w:rFonts w:eastAsia="Times New Roman"/>
          <w:b/>
          <w:bCs/>
          <w:color w:val="000000"/>
          <w:sz w:val="20"/>
          <w:szCs w:val="20"/>
        </w:rPr>
        <w:t xml:space="preserve">(Unaudited)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846"/>
        <w:gridCol w:w="38"/>
        <w:gridCol w:w="111"/>
        <w:gridCol w:w="589"/>
        <w:gridCol w:w="36"/>
        <w:gridCol w:w="36"/>
        <w:gridCol w:w="36"/>
        <w:gridCol w:w="36"/>
        <w:gridCol w:w="110"/>
        <w:gridCol w:w="540"/>
        <w:gridCol w:w="36"/>
        <w:gridCol w:w="36"/>
        <w:gridCol w:w="36"/>
        <w:gridCol w:w="36"/>
        <w:gridCol w:w="111"/>
        <w:gridCol w:w="581"/>
        <w:gridCol w:w="36"/>
        <w:gridCol w:w="36"/>
        <w:gridCol w:w="36"/>
        <w:gridCol w:w="36"/>
        <w:gridCol w:w="111"/>
        <w:gridCol w:w="1022"/>
        <w:gridCol w:w="36"/>
        <w:gridCol w:w="36"/>
        <w:gridCol w:w="36"/>
        <w:gridCol w:w="36"/>
        <w:gridCol w:w="111"/>
        <w:gridCol w:w="690"/>
        <w:gridCol w:w="36"/>
        <w:gridCol w:w="36"/>
        <w:gridCol w:w="36"/>
        <w:gridCol w:w="36"/>
        <w:gridCol w:w="110"/>
        <w:gridCol w:w="540"/>
        <w:gridCol w:w="36"/>
      </w:tblGrid>
      <w:tr w:rsidR="00000000">
        <w:trPr>
          <w:divId w:val="1079057899"/>
          <w:jc w:val="center"/>
        </w:trPr>
        <w:tc>
          <w:tcPr>
            <w:tcW w:w="50" w:type="pct"/>
            <w:vAlign w:val="center"/>
            <w:hideMark/>
          </w:tcPr>
          <w:p w:rsidR="00000000" w:rsidRDefault="0039054C">
            <w:pPr>
              <w:ind w:firstLine="450"/>
              <w:jc w:val="center"/>
              <w:rPr>
                <w:rFonts w:eastAsia="Times New Roman"/>
              </w:rPr>
            </w:pPr>
          </w:p>
        </w:tc>
        <w:tc>
          <w:tcPr>
            <w:tcW w:w="18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9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9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9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5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9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9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079057899"/>
          <w:jc w:val="center"/>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 except per share amounts)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Common</w:t>
            </w:r>
            <w:r>
              <w:rPr>
                <w:rFonts w:eastAsia="Times New Roman"/>
                <w:b/>
                <w:bCs/>
                <w:color w:val="000000"/>
                <w:sz w:val="16"/>
                <w:szCs w:val="16"/>
              </w:rPr>
              <w:br/>
              <w:t>Stock</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Other</w:t>
            </w:r>
            <w:r>
              <w:rPr>
                <w:rFonts w:eastAsia="Times New Roman"/>
                <w:b/>
                <w:bCs/>
                <w:color w:val="000000"/>
                <w:sz w:val="16"/>
                <w:szCs w:val="16"/>
              </w:rPr>
              <w:br/>
            </w:r>
            <w:r>
              <w:rPr>
                <w:rFonts w:eastAsia="Times New Roman"/>
                <w:b/>
                <w:bCs/>
                <w:color w:val="000000"/>
                <w:sz w:val="16"/>
                <w:szCs w:val="16"/>
              </w:rPr>
              <w:t>Capital</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Accumulated Other</w:t>
            </w:r>
            <w:r>
              <w:rPr>
                <w:rFonts w:eastAsia="Times New Roman"/>
                <w:b/>
                <w:bCs/>
                <w:color w:val="000000"/>
                <w:sz w:val="16"/>
                <w:szCs w:val="16"/>
              </w:rPr>
              <w:br/>
              <w:t>Comprehensive Loss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Non-controlling</w:t>
            </w:r>
            <w:r>
              <w:rPr>
                <w:rFonts w:eastAsia="Times New Roman"/>
                <w:b/>
                <w:bCs/>
                <w:color w:val="000000"/>
                <w:sz w:val="16"/>
                <w:szCs w:val="16"/>
              </w:rPr>
              <w:br/>
              <w:t>Interests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Total</w:t>
            </w:r>
            <w:r>
              <w:rPr>
                <w:rFonts w:eastAsia="Times New Roman"/>
                <w:b/>
                <w:bCs/>
                <w:color w:val="000000"/>
                <w:sz w:val="16"/>
                <w:szCs w:val="16"/>
              </w:rPr>
              <w:br/>
              <w:t>Equity</w:t>
            </w:r>
          </w:p>
        </w:tc>
      </w:tr>
      <w:tr w:rsidR="00000000">
        <w:trPr>
          <w:divId w:val="1079057899"/>
          <w:trHeight w:val="60"/>
          <w:jc w:val="center"/>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CCEEFF"/>
            <w:tcMar>
              <w:top w:w="30" w:type="dxa"/>
              <w:left w:w="20" w:type="dxa"/>
              <w:bottom w:w="30" w:type="dxa"/>
              <w:right w:w="20" w:type="dxa"/>
            </w:tcMar>
            <w:vAlign w:val="center"/>
            <w:hideMark/>
          </w:tcPr>
          <w:p w:rsidR="00000000" w:rsidRDefault="0039054C">
            <w:pPr>
              <w:rPr>
                <w:rFonts w:eastAsia="Times New Roman"/>
              </w:rPr>
            </w:pPr>
            <w:r>
              <w:rPr>
                <w:rFonts w:eastAsia="Times New Roman"/>
                <w:b/>
                <w:bCs/>
                <w:color w:val="000000"/>
                <w:sz w:val="18"/>
                <w:szCs w:val="18"/>
              </w:rPr>
              <w:t>Balance at January 1, 2021</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19,008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2,347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(839)</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117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20,841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FFFF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468 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466 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CCEE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FFFF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Shares issued under stock incentive plans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CCEE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Shares issued under defined contribution plans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57 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FFFF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Share-based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33 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CCEE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Repurchases and 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(3)</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(620)</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(77)</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(700)</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FFFFFF"/>
            <w:tcMar>
              <w:top w:w="30" w:type="dxa"/>
              <w:left w:w="20" w:type="dxa"/>
              <w:bottom w:w="30" w:type="dxa"/>
              <w:right w:w="20" w:type="dxa"/>
            </w:tcMar>
            <w:vAlign w:val="center"/>
            <w:hideMark/>
          </w:tcPr>
          <w:p w:rsidR="00000000" w:rsidRDefault="0039054C">
            <w:pPr>
              <w:divId w:val="1954632214"/>
              <w:rPr>
                <w:rFonts w:eastAsia="Times New Roman"/>
              </w:rPr>
            </w:pPr>
            <w:r>
              <w:rPr>
                <w:rFonts w:eastAsia="Times New Roman"/>
                <w:color w:val="000000"/>
                <w:sz w:val="18"/>
                <w:szCs w:val="18"/>
              </w:rPr>
              <w:t xml:space="preserve">Cash dividends ($1.02 </w:t>
            </w:r>
            <w:r>
              <w:rPr>
                <w:rFonts w:eastAsia="Times New Roman"/>
                <w:color w:val="000000"/>
                <w:sz w:val="18"/>
                <w:szCs w:val="18"/>
              </w:rPr>
              <w:t>per share)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(209)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(209)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CCEEFF"/>
            <w:tcMar>
              <w:top w:w="30" w:type="dxa"/>
              <w:left w:w="425" w:type="dxa"/>
              <w:bottom w:w="30" w:type="dxa"/>
              <w:right w:w="20" w:type="dxa"/>
            </w:tcMar>
            <w:vAlign w:val="center"/>
            <w:hideMark/>
          </w:tcPr>
          <w:p w:rsidR="00000000" w:rsidRDefault="0039054C">
            <w:pPr>
              <w:ind w:hanging="27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FFFFFF"/>
            <w:tcMar>
              <w:top w:w="30" w:type="dxa"/>
              <w:left w:w="20" w:type="dxa"/>
              <w:bottom w:w="30" w:type="dxa"/>
              <w:right w:w="20" w:type="dxa"/>
            </w:tcMar>
            <w:vAlign w:val="center"/>
            <w:hideMark/>
          </w:tcPr>
          <w:p w:rsidR="00000000" w:rsidRDefault="0039054C">
            <w:pPr>
              <w:rPr>
                <w:rFonts w:eastAsia="Times New Roman"/>
              </w:rPr>
            </w:pPr>
            <w:r>
              <w:rPr>
                <w:rFonts w:eastAsia="Times New Roman"/>
                <w:b/>
                <w:bCs/>
                <w:color w:val="000000"/>
                <w:sz w:val="18"/>
                <w:szCs w:val="18"/>
              </w:rPr>
              <w:t>Balance at April 2,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205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18,487</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2,529</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(854)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115</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20,482</w:t>
            </w:r>
            <w:r>
              <w:rPr>
                <w:rFonts w:eastAsia="Times New Roman"/>
                <w:color w:val="000000"/>
                <w:sz w:val="18"/>
                <w:szCs w:val="18"/>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FFFFFF"/>
            <w:tcMar>
              <w:top w:w="30" w:type="dxa"/>
              <w:left w:w="20" w:type="dxa"/>
              <w:bottom w:w="30" w:type="dxa"/>
              <w:right w:w="20" w:type="dxa"/>
            </w:tcMar>
            <w:vAlign w:val="center"/>
            <w:hideMark/>
          </w:tcPr>
          <w:p w:rsidR="00000000" w:rsidRDefault="0039054C">
            <w:pPr>
              <w:rPr>
                <w:rFonts w:eastAsia="Times New Roman"/>
              </w:rPr>
            </w:pPr>
            <w:r>
              <w:rPr>
                <w:rFonts w:eastAsia="Times New Roman"/>
                <w:b/>
                <w:bCs/>
                <w:color w:val="000000"/>
                <w:sz w:val="18"/>
                <w:szCs w:val="18"/>
              </w:rPr>
              <w:t>Balance at January 3, 2020</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218</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20,694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2,183</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(508)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157</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22,744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CCEE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217 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(23)</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194 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FFFF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(143)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(143)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CCEE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Shares issued under stock incentive plans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32 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FFFF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Shares issued under defined contribution plans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71 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CCEE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Share-based compensation expense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FFFFFF"/>
            <w:tcMar>
              <w:top w:w="30" w:type="dxa"/>
              <w:left w:w="170" w:type="dxa"/>
              <w:bottom w:w="30" w:type="dxa"/>
              <w:right w:w="20" w:type="dxa"/>
            </w:tcMar>
            <w:vAlign w:val="center"/>
            <w:hideMark/>
          </w:tcPr>
          <w:p w:rsidR="00000000" w:rsidRDefault="0039054C">
            <w:pPr>
              <w:rPr>
                <w:rFonts w:eastAsia="Times New Roman"/>
              </w:rPr>
            </w:pPr>
            <w:r>
              <w:rPr>
                <w:rFonts w:eastAsia="Times New Roman"/>
                <w:color w:val="000000"/>
                <w:sz w:val="18"/>
                <w:szCs w:val="18"/>
              </w:rPr>
              <w:t>Repurchases and retirement of common stock</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(631)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(66)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(700)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CCEEFF"/>
            <w:tcMar>
              <w:top w:w="30" w:type="dxa"/>
              <w:left w:w="20" w:type="dxa"/>
              <w:bottom w:w="30" w:type="dxa"/>
              <w:right w:w="20" w:type="dxa"/>
            </w:tcMar>
            <w:vAlign w:val="center"/>
            <w:hideMark/>
          </w:tcPr>
          <w:p w:rsidR="00000000" w:rsidRDefault="0039054C">
            <w:pPr>
              <w:divId w:val="1018040333"/>
              <w:rPr>
                <w:rFonts w:eastAsia="Times New Roman"/>
              </w:rPr>
            </w:pPr>
            <w:r>
              <w:rPr>
                <w:rFonts w:eastAsia="Times New Roman"/>
                <w:color w:val="000000"/>
                <w:sz w:val="18"/>
                <w:szCs w:val="18"/>
              </w:rPr>
              <w:t>Cash dividends ($0.85 per share)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(183)</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(183)</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79057899"/>
          <w:jc w:val="center"/>
        </w:trPr>
        <w:tc>
          <w:tcPr>
            <w:tcW w:w="0" w:type="auto"/>
            <w:gridSpan w:val="3"/>
            <w:shd w:val="clear" w:color="auto" w:fill="FFFFFF"/>
            <w:tcMar>
              <w:top w:w="30" w:type="dxa"/>
              <w:left w:w="425" w:type="dxa"/>
              <w:bottom w:w="30" w:type="dxa"/>
              <w:right w:w="20" w:type="dxa"/>
            </w:tcMar>
            <w:vAlign w:val="center"/>
            <w:hideMark/>
          </w:tcPr>
          <w:p w:rsidR="00000000" w:rsidRDefault="0039054C">
            <w:pPr>
              <w:ind w:hanging="270"/>
              <w:rPr>
                <w:rFonts w:eastAsia="Times New Roman"/>
              </w:rPr>
            </w:pPr>
            <w:r>
              <w:rPr>
                <w:rFonts w:eastAsia="Times New Roman"/>
                <w:color w:val="000000"/>
                <w:sz w:val="18"/>
                <w:szCs w:val="18"/>
              </w:rPr>
              <w:t>Other, including distributions to noncontrolling interests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18"/>
                <w:szCs w:val="18"/>
              </w:rPr>
              <w:t>(5)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79057899"/>
          <w:jc w:val="center"/>
        </w:trPr>
        <w:tc>
          <w:tcPr>
            <w:tcW w:w="0" w:type="auto"/>
            <w:gridSpan w:val="3"/>
            <w:shd w:val="clear" w:color="auto" w:fill="CCEEFF"/>
            <w:tcMar>
              <w:top w:w="30" w:type="dxa"/>
              <w:left w:w="20" w:type="dxa"/>
              <w:bottom w:w="30" w:type="dxa"/>
              <w:right w:w="20" w:type="dxa"/>
            </w:tcMar>
            <w:vAlign w:val="center"/>
            <w:hideMark/>
          </w:tcPr>
          <w:p w:rsidR="00000000" w:rsidRDefault="0039054C">
            <w:pPr>
              <w:rPr>
                <w:rFonts w:eastAsia="Times New Roman"/>
              </w:rPr>
            </w:pPr>
            <w:r>
              <w:rPr>
                <w:rFonts w:eastAsia="Times New Roman"/>
                <w:b/>
                <w:bCs/>
                <w:color w:val="000000"/>
                <w:sz w:val="18"/>
                <w:szCs w:val="18"/>
              </w:rPr>
              <w:t>Balance at April 3,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216</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20,182</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2,151</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(651)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129</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b/>
                <w:bCs/>
                <w:color w:val="000000"/>
                <w:sz w:val="18"/>
                <w:szCs w:val="18"/>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b/>
                <w:bCs/>
                <w:color w:val="000000"/>
                <w:sz w:val="18"/>
                <w:szCs w:val="18"/>
              </w:rPr>
              <w:t>22,027</w:t>
            </w:r>
            <w:r>
              <w:rPr>
                <w:rFonts w:eastAsia="Times New Roman"/>
                <w:color w:val="000000"/>
                <w:sz w:val="18"/>
                <w:szCs w:val="18"/>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jc w:val="center"/>
        <w:divId w:val="1275942303"/>
        <w:rPr>
          <w:rFonts w:eastAsia="Times New Roman"/>
        </w:rPr>
      </w:pPr>
      <w:r>
        <w:rPr>
          <w:rFonts w:eastAsia="Times New Roman"/>
          <w:color w:val="000000"/>
          <w:sz w:val="20"/>
          <w:szCs w:val="20"/>
        </w:rPr>
        <w:t>See accompanying Notes to Condensed Consolidated Fi</w:t>
      </w:r>
      <w:r>
        <w:rPr>
          <w:rFonts w:eastAsia="Times New Roman"/>
          <w:color w:val="000000"/>
          <w:sz w:val="20"/>
          <w:szCs w:val="20"/>
        </w:rPr>
        <w:t>nancial Statements (Unaudited).</w:t>
      </w:r>
    </w:p>
    <w:p w:rsidR="00000000" w:rsidRDefault="0039054C">
      <w:pPr>
        <w:ind w:firstLine="450"/>
        <w:jc w:val="center"/>
        <w:divId w:val="1294991686"/>
        <w:rPr>
          <w:rFonts w:eastAsia="Times New Roman"/>
        </w:rPr>
      </w:pPr>
      <w:r>
        <w:rPr>
          <w:rFonts w:eastAsia="Times New Roman"/>
          <w:color w:val="000000"/>
          <w:sz w:val="20"/>
          <w:szCs w:val="20"/>
        </w:rPr>
        <w:t>5</w:t>
      </w:r>
    </w:p>
    <w:p w:rsidR="00000000" w:rsidRDefault="0039054C">
      <w:pPr>
        <w:rPr>
          <w:rFonts w:eastAsia="Times New Roman"/>
        </w:rPr>
      </w:pPr>
      <w:r>
        <w:rPr>
          <w:rFonts w:eastAsia="Times New Roman"/>
        </w:rPr>
        <w:pict>
          <v:rect id="_x0000_i1032" style="width:0;height:1.5pt" o:hralign="center" o:hrstd="t" o:hr="t" fillcolor="#a0a0a0" stroked="f"/>
        </w:pict>
      </w:r>
    </w:p>
    <w:p w:rsidR="00000000" w:rsidRDefault="0039054C">
      <w:pPr>
        <w:ind w:firstLine="450"/>
        <w:divId w:val="341862857"/>
        <w:rPr>
          <w:rFonts w:eastAsia="Times New Roman"/>
        </w:rPr>
      </w:pPr>
    </w:p>
    <w:p w:rsidR="00000000" w:rsidRDefault="0039054C">
      <w:pPr>
        <w:ind w:firstLine="450"/>
        <w:divId w:val="1978799555"/>
        <w:rPr>
          <w:rFonts w:eastAsia="Times New Roman"/>
        </w:rPr>
      </w:pPr>
    </w:p>
    <w:p w:rsidR="00000000" w:rsidRDefault="0039054C">
      <w:pPr>
        <w:ind w:firstLine="720"/>
        <w:divId w:val="1162739878"/>
        <w:rPr>
          <w:rFonts w:eastAsia="Times New Roman"/>
        </w:rPr>
      </w:pPr>
      <w:r>
        <w:rPr>
          <w:rFonts w:eastAsia="Times New Roman"/>
          <w:b/>
          <w:bCs/>
          <w:color w:val="000000"/>
          <w:sz w:val="20"/>
          <w:szCs w:val="20"/>
        </w:rPr>
        <w:t>NOTES TO CONDENSED CONSOLIDATED FINANCIAL STATEMENTS (UNAUDITED)</w:t>
      </w:r>
    </w:p>
    <w:p w:rsidR="00000000" w:rsidRDefault="0039054C">
      <w:pPr>
        <w:divId w:val="1536116761"/>
        <w:rPr>
          <w:rFonts w:eastAsia="Times New Roman"/>
        </w:rPr>
      </w:pPr>
      <w:r>
        <w:rPr>
          <w:rFonts w:eastAsia="Times New Roman"/>
          <w:b/>
          <w:bCs/>
          <w:color w:val="000000"/>
          <w:sz w:val="20"/>
          <w:szCs w:val="20"/>
        </w:rPr>
        <w:t xml:space="preserve">Note A — Significant Accounting Policies and Recent Accounting Standards </w:t>
      </w:r>
    </w:p>
    <w:p w:rsidR="00000000" w:rsidRDefault="0039054C">
      <w:pPr>
        <w:divId w:val="2055034457"/>
        <w:rPr>
          <w:rFonts w:eastAsia="Times New Roman"/>
        </w:rPr>
      </w:pPr>
      <w:r>
        <w:rPr>
          <w:rFonts w:eastAsia="Times New Roman"/>
          <w:b/>
          <w:bCs/>
          <w:color w:val="000000"/>
          <w:sz w:val="20"/>
          <w:szCs w:val="20"/>
        </w:rPr>
        <w:t>Basis of Presentation</w:t>
      </w:r>
    </w:p>
    <w:p w:rsidR="00000000" w:rsidRDefault="0039054C">
      <w:pPr>
        <w:ind w:firstLine="450"/>
        <w:divId w:val="599483953"/>
        <w:rPr>
          <w:rFonts w:eastAsia="Times New Roman"/>
        </w:rPr>
      </w:pPr>
      <w:r>
        <w:rPr>
          <w:rFonts w:eastAsia="Times New Roman"/>
          <w:color w:val="000000"/>
          <w:sz w:val="20"/>
          <w:szCs w:val="20"/>
        </w:rPr>
        <w:t>The accompanying Condensed Consolidated Financial State</w:t>
      </w:r>
      <w:r>
        <w:rPr>
          <w:rFonts w:eastAsia="Times New Roman"/>
          <w:color w:val="000000"/>
          <w:sz w:val="20"/>
          <w:szCs w:val="20"/>
        </w:rPr>
        <w:t>ments (Unaudited) include the accounts of L3Harris Technologies, Inc. and its consolidated subsidiaries. As used in these Notes to Condensed Consolidated Financial Statements (Unaudited) (these “Notes”), the terms “L3Harris,” “Company,” “we,” “our” and “us</w:t>
      </w:r>
      <w:r>
        <w:rPr>
          <w:rFonts w:eastAsia="Times New Roman"/>
          <w:color w:val="000000"/>
          <w:sz w:val="20"/>
          <w:szCs w:val="20"/>
        </w:rPr>
        <w:t>” refer to L3Harris Technologies, Inc. and its consolidated subsidiaries. Intracompany transactions and accounts have been eliminated in consolidation. The accompanying Condensed Consolidated Financial Statements (Unaudited) have been prepared by L3Harris,</w:t>
      </w:r>
      <w:r>
        <w:rPr>
          <w:rFonts w:eastAsia="Times New Roman"/>
          <w:color w:val="000000"/>
          <w:sz w:val="20"/>
          <w:szCs w:val="20"/>
        </w:rPr>
        <w:t xml:space="preserve"> without an audit, in accordance with U.S. generally accepted accounting principles (“GAAP”) for interim financial information and with the rules and regulations of the Securities and Exchange Commission (“SEC”). Accordingly, such interim financial stateme</w:t>
      </w:r>
      <w:r>
        <w:rPr>
          <w:rFonts w:eastAsia="Times New Roman"/>
          <w:color w:val="000000"/>
          <w:sz w:val="20"/>
          <w:szCs w:val="20"/>
        </w:rPr>
        <w:t xml:space="preserve">nts do not include all information and footnotes necessary for a complete presentation of financial condition, results of operations, cash flows and equity in conformity with GAAP for annual financial statements. In the opinion of management, such interim </w:t>
      </w:r>
      <w:r>
        <w:rPr>
          <w:rFonts w:eastAsia="Times New Roman"/>
          <w:color w:val="000000"/>
          <w:sz w:val="20"/>
          <w:szCs w:val="20"/>
        </w:rPr>
        <w:t>financial statements reflect all adjustments (consisting of normal recurring adjustments) considered necessary for a fair presentation of our financial condition, results of operations, cash flows and equity for the periods presented therein. The results f</w:t>
      </w:r>
      <w:r>
        <w:rPr>
          <w:rFonts w:eastAsia="Times New Roman"/>
          <w:color w:val="000000"/>
          <w:sz w:val="20"/>
          <w:szCs w:val="20"/>
        </w:rPr>
        <w:t>or the quarter ended April 2, 2021 are not necessarily indicative of the results that may be expected for the full fiscal year or any subsequent period. The balance sheet at January 1, 2021 has been derived from our audited financial statements, but does n</w:t>
      </w:r>
      <w:r>
        <w:rPr>
          <w:rFonts w:eastAsia="Times New Roman"/>
          <w:color w:val="000000"/>
          <w:sz w:val="20"/>
          <w:szCs w:val="20"/>
        </w:rPr>
        <w:t>ot include all of the information and footnotes required by GAAP for annual financial statements. We provide complete, audited financial statements in our Annual Report on Form 10-K, which includes information and footnotes required by the rules and regula</w:t>
      </w:r>
      <w:r>
        <w:rPr>
          <w:rFonts w:eastAsia="Times New Roman"/>
          <w:color w:val="000000"/>
          <w:sz w:val="20"/>
          <w:szCs w:val="20"/>
        </w:rPr>
        <w:t>tions of the SEC. The information included in this Quarterly Report on Form 10-Q (this “Report”) should be read in conjunction with the Management’s Discussion and Analysis of Financial Condition and Results of Operations and the Consolidated Financial Sta</w:t>
      </w:r>
      <w:r>
        <w:rPr>
          <w:rFonts w:eastAsia="Times New Roman"/>
          <w:color w:val="000000"/>
          <w:sz w:val="20"/>
          <w:szCs w:val="20"/>
        </w:rPr>
        <w:t xml:space="preserve">tements and accompanying Notes to Consolidated Financial Statements included in our Annual Report on Form 10-K for the fiscal year ended January 1, 2021 (our “Fiscal 2020 Form 10-K”). </w:t>
      </w:r>
    </w:p>
    <w:p w:rsidR="00000000" w:rsidRDefault="0039054C">
      <w:pPr>
        <w:ind w:firstLine="450"/>
        <w:divId w:val="411779951"/>
        <w:rPr>
          <w:rFonts w:eastAsia="Times New Roman"/>
        </w:rPr>
      </w:pPr>
      <w:r>
        <w:rPr>
          <w:rFonts w:eastAsia="Times New Roman"/>
          <w:color w:val="000000"/>
          <w:sz w:val="20"/>
          <w:szCs w:val="20"/>
        </w:rPr>
        <w:t>Amounts contained in this Report may not always add to totals due to ro</w:t>
      </w:r>
      <w:r>
        <w:rPr>
          <w:rFonts w:eastAsia="Times New Roman"/>
          <w:color w:val="000000"/>
          <w:sz w:val="20"/>
          <w:szCs w:val="20"/>
        </w:rPr>
        <w:t>unding.</w:t>
      </w:r>
    </w:p>
    <w:p w:rsidR="00000000" w:rsidRDefault="0039054C">
      <w:pPr>
        <w:divId w:val="307512119"/>
        <w:rPr>
          <w:rFonts w:eastAsia="Times New Roman"/>
        </w:rPr>
      </w:pPr>
      <w:r>
        <w:rPr>
          <w:rFonts w:eastAsia="Times New Roman"/>
          <w:b/>
          <w:bCs/>
          <w:color w:val="000000"/>
          <w:sz w:val="20"/>
          <w:szCs w:val="20"/>
        </w:rPr>
        <w:t>L3Harris Merger</w:t>
      </w:r>
    </w:p>
    <w:p w:rsidR="00000000" w:rsidRDefault="0039054C">
      <w:pPr>
        <w:ind w:firstLine="450"/>
        <w:divId w:val="928272256"/>
        <w:rPr>
          <w:rFonts w:eastAsia="Times New Roman"/>
        </w:rPr>
      </w:pPr>
      <w:r>
        <w:rPr>
          <w:rFonts w:eastAsia="Times New Roman"/>
          <w:color w:val="000000"/>
          <w:sz w:val="20"/>
          <w:szCs w:val="20"/>
        </w:rPr>
        <w:t>As discussed in more detail in our Fiscal 2020 Form 10-K, Harris Corporation (“Harris”) and L3 Technologies, Inc. (“L3”) combined their respective businesses on June 29, 2019, in an all-stock merger ("L3Harris Merger") that resulted</w:t>
      </w:r>
      <w:r>
        <w:rPr>
          <w:rFonts w:eastAsia="Times New Roman"/>
          <w:color w:val="000000"/>
          <w:sz w:val="20"/>
          <w:szCs w:val="20"/>
        </w:rPr>
        <w:t xml:space="preserve"> in our combined Company, L3Harris Technologies, Inc.</w:t>
      </w:r>
    </w:p>
    <w:p w:rsidR="00000000" w:rsidRDefault="0039054C">
      <w:pPr>
        <w:ind w:firstLine="450"/>
        <w:divId w:val="27030263"/>
        <w:rPr>
          <w:rFonts w:eastAsia="Times New Roman"/>
        </w:rPr>
      </w:pPr>
      <w:r>
        <w:rPr>
          <w:rFonts w:eastAsia="Times New Roman"/>
          <w:color w:val="000000"/>
          <w:sz w:val="20"/>
          <w:szCs w:val="20"/>
        </w:rPr>
        <w:t>L3Harris Merger-related expenses for the quarters ended April 2, 2021 and April 3, 2020 were as follows:</w:t>
      </w:r>
    </w:p>
    <w:tbl>
      <w:tblPr>
        <w:tblW w:w="4883" w:type="pct"/>
        <w:tblCellMar>
          <w:top w:w="15" w:type="dxa"/>
          <w:left w:w="15" w:type="dxa"/>
          <w:bottom w:w="15" w:type="dxa"/>
          <w:right w:w="15" w:type="dxa"/>
        </w:tblCellMar>
        <w:tblLook w:val="04A0" w:firstRow="1" w:lastRow="0" w:firstColumn="1" w:lastColumn="0" w:noHBand="0" w:noVBand="1"/>
      </w:tblPr>
      <w:tblGrid>
        <w:gridCol w:w="38"/>
        <w:gridCol w:w="5288"/>
        <w:gridCol w:w="36"/>
        <w:gridCol w:w="120"/>
        <w:gridCol w:w="1040"/>
        <w:gridCol w:w="36"/>
        <w:gridCol w:w="36"/>
        <w:gridCol w:w="36"/>
        <w:gridCol w:w="36"/>
        <w:gridCol w:w="120"/>
        <w:gridCol w:w="1002"/>
        <w:gridCol w:w="36"/>
        <w:gridCol w:w="36"/>
        <w:gridCol w:w="36"/>
        <w:gridCol w:w="36"/>
        <w:gridCol w:w="36"/>
        <w:gridCol w:w="36"/>
        <w:gridCol w:w="36"/>
        <w:gridCol w:w="36"/>
        <w:gridCol w:w="36"/>
      </w:tblGrid>
      <w:tr w:rsidR="00000000">
        <w:trPr>
          <w:divId w:val="1096749350"/>
        </w:trPr>
        <w:tc>
          <w:tcPr>
            <w:tcW w:w="50" w:type="pct"/>
            <w:vAlign w:val="center"/>
            <w:hideMark/>
          </w:tcPr>
          <w:p w:rsidR="00000000" w:rsidRDefault="0039054C">
            <w:pPr>
              <w:ind w:firstLine="450"/>
              <w:rPr>
                <w:rFonts w:eastAsia="Times New Roman"/>
              </w:rPr>
            </w:pPr>
          </w:p>
        </w:tc>
        <w:tc>
          <w:tcPr>
            <w:tcW w:w="341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9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9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Pr>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096749350"/>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Additional cost of sales related to the fair value step-up in inventory sold</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Integration costs, recognized as incurred</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96749350"/>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L3Harris Merger-related expenses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ind w:firstLine="450"/>
        <w:divId w:val="2111462965"/>
        <w:rPr>
          <w:rFonts w:eastAsia="Times New Roman"/>
        </w:rPr>
      </w:pPr>
      <w:r>
        <w:rPr>
          <w:rFonts w:eastAsia="Times New Roman"/>
          <w:color w:val="000000"/>
          <w:sz w:val="20"/>
          <w:szCs w:val="20"/>
        </w:rPr>
        <w:t>Because the L3Harris Merger benefited the entire Company as opposed to any individual business segment, the above costs were not allocated to any business segment. All of the above costs were recorded in the “Engineering, selling and administrative expense</w:t>
      </w:r>
      <w:r>
        <w:rPr>
          <w:rFonts w:eastAsia="Times New Roman"/>
          <w:color w:val="000000"/>
          <w:sz w:val="20"/>
          <w:szCs w:val="20"/>
        </w:rPr>
        <w:t>s” line item in our Condensed Consolidated Statement of Income (Unaudited), except for the additional cost of sales related to the fair value step-up in inventory sold, which is included in the “Cost of product sales and services” line item in our Condense</w:t>
      </w:r>
      <w:r>
        <w:rPr>
          <w:rFonts w:eastAsia="Times New Roman"/>
          <w:color w:val="000000"/>
          <w:sz w:val="20"/>
          <w:szCs w:val="20"/>
        </w:rPr>
        <w:t>d Consolidated Statement of Income (Unaudited).</w:t>
      </w:r>
    </w:p>
    <w:p w:rsidR="00000000" w:rsidRDefault="0039054C">
      <w:pPr>
        <w:ind w:firstLine="450"/>
        <w:divId w:val="1202283539"/>
        <w:rPr>
          <w:rFonts w:eastAsia="Times New Roman"/>
        </w:rPr>
      </w:pPr>
      <w:r>
        <w:rPr>
          <w:rFonts w:eastAsia="Times New Roman"/>
          <w:color w:val="000000"/>
          <w:sz w:val="20"/>
          <w:szCs w:val="20"/>
        </w:rPr>
        <w:t xml:space="preserve">For additional information, see </w:t>
      </w:r>
      <w:r>
        <w:rPr>
          <w:rFonts w:eastAsia="Times New Roman"/>
          <w:i/>
          <w:iCs/>
          <w:color w:val="000000"/>
          <w:sz w:val="20"/>
          <w:szCs w:val="20"/>
        </w:rPr>
        <w:t>Note 5: “Business Combination”</w:t>
      </w:r>
      <w:r>
        <w:rPr>
          <w:rFonts w:eastAsia="Times New Roman"/>
          <w:color w:val="000000"/>
          <w:sz w:val="20"/>
          <w:szCs w:val="20"/>
        </w:rPr>
        <w:t xml:space="preserve"> </w:t>
      </w:r>
      <w:r>
        <w:rPr>
          <w:rFonts w:eastAsia="Times New Roman"/>
          <w:color w:val="000000"/>
          <w:sz w:val="20"/>
          <w:szCs w:val="20"/>
        </w:rPr>
        <w:t>in the Notes to Consolidated Financial Statements in our Fiscal 2020 Form 10-K.</w:t>
      </w:r>
    </w:p>
    <w:p w:rsidR="00000000" w:rsidRDefault="0039054C">
      <w:pPr>
        <w:divId w:val="1322074671"/>
        <w:rPr>
          <w:rFonts w:eastAsia="Times New Roman"/>
        </w:rPr>
      </w:pPr>
      <w:r>
        <w:rPr>
          <w:rFonts w:eastAsia="Times New Roman"/>
          <w:b/>
          <w:bCs/>
          <w:color w:val="000000"/>
          <w:sz w:val="20"/>
          <w:szCs w:val="20"/>
        </w:rPr>
        <w:t>Divestitures</w:t>
      </w:r>
    </w:p>
    <w:p w:rsidR="00000000" w:rsidRDefault="0039054C">
      <w:pPr>
        <w:ind w:firstLine="450"/>
        <w:divId w:val="592712734"/>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in these Notes for information regarding the divestitures of the following businesses announced by us in fiscal 2020 and 2021: </w:t>
      </w:r>
    </w:p>
    <w:p w:rsidR="00000000" w:rsidRDefault="0039054C">
      <w:pPr>
        <w:ind w:hanging="180"/>
        <w:divId w:val="1149713003"/>
        <w:rPr>
          <w:rFonts w:eastAsia="Times New Roman"/>
        </w:rPr>
      </w:pPr>
      <w:r>
        <w:rPr>
          <w:rFonts w:eastAsia="Times New Roman"/>
          <w:color w:val="000000"/>
          <w:sz w:val="20"/>
          <w:szCs w:val="20"/>
        </w:rPr>
        <w:t>•Airport security and automation business, completed on May 4, 2020;</w:t>
      </w:r>
    </w:p>
    <w:p w:rsidR="00000000" w:rsidRDefault="0039054C">
      <w:pPr>
        <w:ind w:hanging="180"/>
        <w:divId w:val="882906690"/>
        <w:rPr>
          <w:rFonts w:eastAsia="Times New Roman"/>
        </w:rPr>
      </w:pPr>
      <w:r>
        <w:rPr>
          <w:rFonts w:eastAsia="Times New Roman"/>
          <w:color w:val="000000"/>
          <w:sz w:val="20"/>
          <w:szCs w:val="20"/>
        </w:rPr>
        <w:t>•Applied Kilovolts and Analytical Instrumentation business, completed on May 15, 2020;</w:t>
      </w:r>
    </w:p>
    <w:p w:rsidR="00000000" w:rsidRDefault="0039054C">
      <w:pPr>
        <w:ind w:hanging="180"/>
        <w:divId w:val="1991320894"/>
        <w:rPr>
          <w:rFonts w:eastAsia="Times New Roman"/>
        </w:rPr>
      </w:pPr>
      <w:r>
        <w:rPr>
          <w:rFonts w:eastAsia="Times New Roman"/>
          <w:color w:val="000000"/>
          <w:sz w:val="20"/>
          <w:szCs w:val="20"/>
        </w:rPr>
        <w:t>•EOTech business, completed on July 31, 2020;</w:t>
      </w:r>
    </w:p>
    <w:p w:rsidR="00000000" w:rsidRDefault="0039054C">
      <w:pPr>
        <w:ind w:hanging="180"/>
        <w:divId w:val="1273897899"/>
        <w:rPr>
          <w:rFonts w:eastAsia="Times New Roman"/>
        </w:rPr>
      </w:pPr>
      <w:r>
        <w:rPr>
          <w:rFonts w:eastAsia="Times New Roman"/>
          <w:color w:val="000000"/>
          <w:sz w:val="20"/>
          <w:szCs w:val="20"/>
        </w:rPr>
        <w:t xml:space="preserve">•VSE disposal group (as defined in </w:t>
      </w:r>
      <w:r>
        <w:rPr>
          <w:rFonts w:eastAsia="Times New Roman"/>
          <w:i/>
          <w:iCs/>
          <w:color w:val="000000"/>
          <w:sz w:val="20"/>
          <w:szCs w:val="20"/>
        </w:rPr>
        <w:t>Note B — Business D</w:t>
      </w:r>
      <w:r>
        <w:rPr>
          <w:rFonts w:eastAsia="Times New Roman"/>
          <w:i/>
          <w:iCs/>
          <w:color w:val="000000"/>
          <w:sz w:val="20"/>
          <w:szCs w:val="20"/>
        </w:rPr>
        <w:t xml:space="preserve">ivestitures </w:t>
      </w:r>
      <w:r>
        <w:rPr>
          <w:rFonts w:eastAsia="Times New Roman"/>
          <w:color w:val="000000"/>
          <w:sz w:val="20"/>
          <w:szCs w:val="20"/>
        </w:rPr>
        <w:t>in these Notes), definitive agreement entered into on February 23, 2021;</w:t>
      </w:r>
    </w:p>
    <w:p w:rsidR="00000000" w:rsidRDefault="0039054C">
      <w:pPr>
        <w:ind w:hanging="180"/>
        <w:divId w:val="1624773183"/>
        <w:rPr>
          <w:rFonts w:eastAsia="Times New Roman"/>
        </w:rPr>
      </w:pPr>
      <w:r>
        <w:rPr>
          <w:rFonts w:eastAsia="Times New Roman"/>
          <w:color w:val="000000"/>
          <w:sz w:val="20"/>
          <w:szCs w:val="20"/>
        </w:rPr>
        <w:t>•Military training business, definitive agreement entered into on February 27, 2021; and</w:t>
      </w:r>
    </w:p>
    <w:p w:rsidR="00000000" w:rsidRDefault="0039054C">
      <w:pPr>
        <w:ind w:firstLine="450"/>
        <w:jc w:val="center"/>
        <w:divId w:val="2081707561"/>
        <w:rPr>
          <w:rFonts w:eastAsia="Times New Roman"/>
        </w:rPr>
      </w:pPr>
      <w:r>
        <w:rPr>
          <w:rFonts w:eastAsia="Times New Roman"/>
          <w:color w:val="000000"/>
          <w:sz w:val="20"/>
          <w:szCs w:val="20"/>
        </w:rPr>
        <w:t>6</w:t>
      </w:r>
    </w:p>
    <w:p w:rsidR="00000000" w:rsidRDefault="0039054C">
      <w:pPr>
        <w:rPr>
          <w:rFonts w:eastAsia="Times New Roman"/>
        </w:rPr>
      </w:pPr>
      <w:r>
        <w:rPr>
          <w:rFonts w:eastAsia="Times New Roman"/>
        </w:rPr>
        <w:pict>
          <v:rect id="_x0000_i1033" style="width:0;height:1.5pt" o:hralign="center" o:hrstd="t" o:hr="t" fillcolor="#a0a0a0" stroked="f"/>
        </w:pict>
      </w:r>
    </w:p>
    <w:p w:rsidR="00000000" w:rsidRDefault="0039054C">
      <w:pPr>
        <w:ind w:firstLine="450"/>
        <w:divId w:val="918561299"/>
        <w:rPr>
          <w:rFonts w:eastAsia="Times New Roman"/>
        </w:rPr>
      </w:pPr>
    </w:p>
    <w:p w:rsidR="00000000" w:rsidRDefault="0039054C">
      <w:pPr>
        <w:ind w:firstLine="450"/>
        <w:divId w:val="1218860356"/>
        <w:rPr>
          <w:rFonts w:eastAsia="Times New Roman"/>
        </w:rPr>
      </w:pPr>
    </w:p>
    <w:p w:rsidR="00000000" w:rsidRDefault="0039054C">
      <w:pPr>
        <w:ind w:hanging="180"/>
        <w:divId w:val="1797410245"/>
        <w:rPr>
          <w:rFonts w:eastAsia="Times New Roman"/>
        </w:rPr>
      </w:pPr>
      <w:r>
        <w:rPr>
          <w:rFonts w:eastAsia="Times New Roman"/>
          <w:i/>
          <w:iCs/>
          <w:color w:val="000000"/>
          <w:sz w:val="20"/>
          <w:szCs w:val="20"/>
        </w:rPr>
        <w:t>•</w:t>
      </w:r>
      <w:r>
        <w:rPr>
          <w:rFonts w:eastAsia="Times New Roman"/>
          <w:color w:val="000000"/>
          <w:sz w:val="20"/>
          <w:szCs w:val="20"/>
        </w:rPr>
        <w:t xml:space="preserve">CPS business (as defined in </w:t>
      </w:r>
      <w:r>
        <w:rPr>
          <w:rFonts w:eastAsia="Times New Roman"/>
          <w:i/>
          <w:iCs/>
          <w:color w:val="000000"/>
          <w:sz w:val="20"/>
          <w:szCs w:val="20"/>
        </w:rPr>
        <w:t>Note B — Bu</w:t>
      </w:r>
      <w:r>
        <w:rPr>
          <w:rFonts w:eastAsia="Times New Roman"/>
          <w:i/>
          <w:iCs/>
          <w:color w:val="000000"/>
          <w:sz w:val="20"/>
          <w:szCs w:val="20"/>
        </w:rPr>
        <w:t xml:space="preserve">siness Divestitures </w:t>
      </w:r>
      <w:r>
        <w:rPr>
          <w:rFonts w:eastAsia="Times New Roman"/>
          <w:color w:val="000000"/>
          <w:sz w:val="20"/>
          <w:szCs w:val="20"/>
        </w:rPr>
        <w:t>in these Notes), definitive agreement entered into on March 1, 2021.</w:t>
      </w:r>
    </w:p>
    <w:p w:rsidR="00000000" w:rsidRDefault="0039054C">
      <w:pPr>
        <w:divId w:val="554199979"/>
        <w:rPr>
          <w:rFonts w:eastAsia="Times New Roman"/>
        </w:rPr>
      </w:pPr>
      <w:r>
        <w:rPr>
          <w:rFonts w:eastAsia="Times New Roman"/>
          <w:b/>
          <w:bCs/>
          <w:color w:val="000000"/>
          <w:sz w:val="20"/>
          <w:szCs w:val="20"/>
        </w:rPr>
        <w:t>Supplemental Cash Flow Information</w:t>
      </w:r>
    </w:p>
    <w:p w:rsidR="00000000" w:rsidRDefault="0039054C">
      <w:pPr>
        <w:ind w:firstLine="450"/>
        <w:divId w:val="408233575"/>
        <w:rPr>
          <w:rFonts w:eastAsia="Times New Roman"/>
        </w:rPr>
      </w:pPr>
      <w:r>
        <w:rPr>
          <w:rFonts w:eastAsia="Times New Roman"/>
          <w:color w:val="000000"/>
          <w:sz w:val="20"/>
          <w:szCs w:val="20"/>
        </w:rPr>
        <w:t>Non-cash investing and financing activities during the quarter ended April 2, 2021 included a $120 million right-of-use asset we obt</w:t>
      </w:r>
      <w:r>
        <w:rPr>
          <w:rFonts w:eastAsia="Times New Roman"/>
          <w:color w:val="000000"/>
          <w:sz w:val="20"/>
          <w:szCs w:val="20"/>
        </w:rPr>
        <w:t>ained in exchange for a corresponding finance lease liability. These non-cash investing and financing activities are excluded from the “Net additions of property, plant and equipment” and “Net proceeds from borrowings” line items in our Condensed Consolida</w:t>
      </w:r>
      <w:r>
        <w:rPr>
          <w:rFonts w:eastAsia="Times New Roman"/>
          <w:color w:val="000000"/>
          <w:sz w:val="20"/>
          <w:szCs w:val="20"/>
        </w:rPr>
        <w:t>ted Statement of Cash Flows (Unaudited). There were no material non-cash investing or financing activities during the quarter ended April 3, 2020. Finance lease liabilities are included in the “Current portion of long-term debt, net” and “Long-term debt, n</w:t>
      </w:r>
      <w:r>
        <w:rPr>
          <w:rFonts w:eastAsia="Times New Roman"/>
          <w:color w:val="000000"/>
          <w:sz w:val="20"/>
          <w:szCs w:val="20"/>
        </w:rPr>
        <w:t>et” line items in our Condensed Consolidated Balance Sheet (Unaudited).</w:t>
      </w:r>
    </w:p>
    <w:p w:rsidR="00000000" w:rsidRDefault="0039054C">
      <w:pPr>
        <w:divId w:val="1513758715"/>
        <w:rPr>
          <w:rFonts w:eastAsia="Times New Roman"/>
        </w:rPr>
      </w:pPr>
      <w:r>
        <w:rPr>
          <w:rFonts w:eastAsia="Times New Roman"/>
          <w:b/>
          <w:bCs/>
          <w:color w:val="000000"/>
          <w:sz w:val="20"/>
          <w:szCs w:val="20"/>
        </w:rPr>
        <w:t>Reclassifications</w:t>
      </w:r>
      <w:r>
        <w:rPr>
          <w:rFonts w:eastAsia="Times New Roman"/>
          <w:color w:val="000000"/>
          <w:sz w:val="20"/>
          <w:szCs w:val="20"/>
        </w:rPr>
        <w:t xml:space="preserve"> </w:t>
      </w:r>
    </w:p>
    <w:p w:rsidR="00000000" w:rsidRDefault="0039054C">
      <w:pPr>
        <w:ind w:firstLine="450"/>
        <w:divId w:val="2078164139"/>
        <w:rPr>
          <w:rFonts w:eastAsia="Times New Roman"/>
        </w:rPr>
      </w:pPr>
      <w:r>
        <w:rPr>
          <w:rFonts w:eastAsia="Times New Roman"/>
          <w:color w:val="000000"/>
          <w:sz w:val="20"/>
          <w:szCs w:val="20"/>
        </w:rPr>
        <w:t>The classification of certain prior-year amounts have been adjusted in our Condensed Consolidated Financial Statements (Unaudited) to conform to current-year classif</w:t>
      </w:r>
      <w:r>
        <w:rPr>
          <w:rFonts w:eastAsia="Times New Roman"/>
          <w:color w:val="000000"/>
          <w:sz w:val="20"/>
          <w:szCs w:val="20"/>
        </w:rPr>
        <w:t>ications. Reclassifications include finance lease liabilities that were previously included in the “Other accrued items” and “Other long-term liabilities” line items and are now reflected in the “Current portion of long-term debt, net” and “Long-term debt,</w:t>
      </w:r>
      <w:r>
        <w:rPr>
          <w:rFonts w:eastAsia="Times New Roman"/>
          <w:color w:val="000000"/>
          <w:sz w:val="20"/>
          <w:szCs w:val="20"/>
        </w:rPr>
        <w:t xml:space="preserve"> net” line items in our Condensed Consolidated Balance Sheet (Unaudited) and in these Notes.</w:t>
      </w:r>
    </w:p>
    <w:p w:rsidR="00000000" w:rsidRDefault="0039054C">
      <w:pPr>
        <w:divId w:val="1831949017"/>
        <w:rPr>
          <w:rFonts w:eastAsia="Times New Roman"/>
        </w:rPr>
      </w:pPr>
      <w:r>
        <w:rPr>
          <w:rFonts w:eastAsia="Times New Roman"/>
          <w:b/>
          <w:bCs/>
          <w:color w:val="000000"/>
          <w:sz w:val="20"/>
          <w:szCs w:val="20"/>
        </w:rPr>
        <w:t>Use of Estimates</w:t>
      </w:r>
    </w:p>
    <w:p w:rsidR="00000000" w:rsidRDefault="0039054C">
      <w:pPr>
        <w:ind w:firstLine="450"/>
        <w:divId w:val="2097048974"/>
        <w:rPr>
          <w:rFonts w:eastAsia="Times New Roman"/>
        </w:rPr>
      </w:pPr>
      <w:r>
        <w:rPr>
          <w:rFonts w:eastAsia="Times New Roman"/>
          <w:color w:val="000000"/>
          <w:sz w:val="20"/>
          <w:szCs w:val="20"/>
        </w:rPr>
        <w:t xml:space="preserve">The preparation of financial statements in accordance with GAAP requires us to make estimates and assumptions that affect the amounts reported in </w:t>
      </w:r>
      <w:r>
        <w:rPr>
          <w:rFonts w:eastAsia="Times New Roman"/>
          <w:color w:val="000000"/>
          <w:sz w:val="20"/>
          <w:szCs w:val="20"/>
        </w:rPr>
        <w:t>the accompanying Condensed Consolidated Financial Statements (Unaudited) and these Notes and related disclosures. These estimates and assumptions are based on experience and other information available prior to issuance of the accompanying Condensed Consol</w:t>
      </w:r>
      <w:r>
        <w:rPr>
          <w:rFonts w:eastAsia="Times New Roman"/>
          <w:color w:val="000000"/>
          <w:sz w:val="20"/>
          <w:szCs w:val="20"/>
        </w:rPr>
        <w:t xml:space="preserve">idated Financial Statements (Unaudited) and these Notes. Materially different results can occur as circumstances change and additional information becomes known. </w:t>
      </w:r>
    </w:p>
    <w:p w:rsidR="00000000" w:rsidRDefault="0039054C">
      <w:pPr>
        <w:divId w:val="2141071240"/>
        <w:rPr>
          <w:rFonts w:eastAsia="Times New Roman"/>
        </w:rPr>
      </w:pPr>
      <w:r>
        <w:rPr>
          <w:rFonts w:eastAsia="Times New Roman"/>
          <w:b/>
          <w:bCs/>
          <w:color w:val="000000"/>
          <w:sz w:val="20"/>
          <w:szCs w:val="20"/>
        </w:rPr>
        <w:t>Significant Accounting Policies Update</w:t>
      </w:r>
    </w:p>
    <w:p w:rsidR="00000000" w:rsidRDefault="0039054C">
      <w:pPr>
        <w:ind w:firstLine="450"/>
        <w:divId w:val="739710881"/>
        <w:rPr>
          <w:rFonts w:eastAsia="Times New Roman"/>
        </w:rPr>
      </w:pPr>
      <w:r>
        <w:rPr>
          <w:rFonts w:eastAsia="Times New Roman"/>
          <w:color w:val="000000"/>
          <w:sz w:val="20"/>
          <w:szCs w:val="20"/>
        </w:rPr>
        <w:t>There have been no material changes to our significant</w:t>
      </w:r>
      <w:r>
        <w:rPr>
          <w:rFonts w:eastAsia="Times New Roman"/>
          <w:color w:val="000000"/>
          <w:sz w:val="20"/>
          <w:szCs w:val="20"/>
        </w:rPr>
        <w:t xml:space="preserve"> accounting policies described in our Fiscal 2020 Form 10-K.</w:t>
      </w:r>
      <w:r>
        <w:rPr>
          <w:rFonts w:eastAsia="Times New Roman"/>
          <w:b/>
          <w:bCs/>
          <w:color w:val="000000"/>
          <w:sz w:val="20"/>
          <w:szCs w:val="20"/>
        </w:rPr>
        <w:t xml:space="preserve"> </w:t>
      </w:r>
    </w:p>
    <w:p w:rsidR="00000000" w:rsidRDefault="0039054C">
      <w:pPr>
        <w:divId w:val="341131734"/>
        <w:rPr>
          <w:rFonts w:eastAsia="Times New Roman"/>
        </w:rPr>
      </w:pPr>
      <w:r>
        <w:rPr>
          <w:rFonts w:eastAsia="Times New Roman"/>
          <w:b/>
          <w:bCs/>
          <w:color w:val="000000"/>
          <w:sz w:val="20"/>
          <w:szCs w:val="20"/>
        </w:rPr>
        <w:t xml:space="preserve">Note B — Business Divestitures </w:t>
      </w:r>
    </w:p>
    <w:p w:rsidR="00000000" w:rsidRDefault="0039054C">
      <w:pPr>
        <w:ind w:firstLine="450"/>
        <w:divId w:val="1138110904"/>
        <w:rPr>
          <w:rFonts w:eastAsia="Times New Roman"/>
        </w:rPr>
      </w:pPr>
      <w:r>
        <w:rPr>
          <w:rFonts w:eastAsia="Times New Roman"/>
          <w:i/>
          <w:iCs/>
          <w:color w:val="000000"/>
          <w:sz w:val="20"/>
          <w:szCs w:val="20"/>
        </w:rPr>
        <w:t>CPS business.</w:t>
      </w:r>
      <w:r>
        <w:rPr>
          <w:rFonts w:eastAsia="Times New Roman"/>
          <w:color w:val="000000"/>
          <w:sz w:val="20"/>
          <w:szCs w:val="20"/>
        </w:rPr>
        <w:t xml:space="preserve"> On March 1, 2021, we entered into a definitive agreement to sell our Combat Propulsion Systems and related businesses (“CPS business”) to RENK AG fo</w:t>
      </w:r>
      <w:r>
        <w:rPr>
          <w:rFonts w:eastAsia="Times New Roman"/>
          <w:color w:val="000000"/>
          <w:sz w:val="20"/>
          <w:szCs w:val="20"/>
        </w:rPr>
        <w:t>r $398 million, subject to customary purchase price adjustments and closing conditions as set forth in the definitive agreement. The CPS business, which is reported as part of our Aviation Systems segment, engineers, designs and manufactures engines, trans</w:t>
      </w:r>
      <w:r>
        <w:rPr>
          <w:rFonts w:eastAsia="Times New Roman"/>
          <w:color w:val="000000"/>
          <w:sz w:val="20"/>
          <w:szCs w:val="20"/>
        </w:rPr>
        <w:t>missions, suspensions and turret drive systems for tracked and wheeled combat vehicle systems. Income before income taxes of our CPS business was $26 million and $16 million for the quarters ended April 2, 2021 and April 3, 2020, respectively. We expect to</w:t>
      </w:r>
      <w:r>
        <w:rPr>
          <w:rFonts w:eastAsia="Times New Roman"/>
          <w:color w:val="000000"/>
          <w:sz w:val="20"/>
          <w:szCs w:val="20"/>
        </w:rPr>
        <w:t xml:space="preserve"> complete the sale of the CPS business in the second half of fiscal 2021. </w:t>
      </w:r>
    </w:p>
    <w:p w:rsidR="00000000" w:rsidRDefault="0039054C">
      <w:pPr>
        <w:ind w:firstLine="450"/>
        <w:divId w:val="36248539"/>
        <w:rPr>
          <w:rFonts w:eastAsia="Times New Roman"/>
        </w:rPr>
      </w:pPr>
      <w:r>
        <w:rPr>
          <w:rFonts w:eastAsia="Times New Roman"/>
          <w:color w:val="000000"/>
          <w:sz w:val="20"/>
          <w:szCs w:val="20"/>
        </w:rPr>
        <w:t>Because the pending divestiture of the CPS business would represent the disposal of a portion of a reporting unit within our Aviation Systems segment, we assigned $174 million of go</w:t>
      </w:r>
      <w:r>
        <w:rPr>
          <w:rFonts w:eastAsia="Times New Roman"/>
          <w:color w:val="000000"/>
          <w:sz w:val="20"/>
          <w:szCs w:val="20"/>
        </w:rPr>
        <w:t>odwill to the CPS business on a relative fair value basis during the quarter ended April 2, 2021 when the held for sale criteria were met. In connection with the preparation of our financial statements for the quarter ended April 2, 2021, we recognized a $</w:t>
      </w:r>
      <w:r>
        <w:rPr>
          <w:rFonts w:eastAsia="Times New Roman"/>
          <w:color w:val="000000"/>
          <w:sz w:val="20"/>
          <w:szCs w:val="20"/>
        </w:rPr>
        <w:t>69 million pre-tax loss to reduce the net assets of the CPS business disposal group to fair value, which included a non-cash goodwill impairment charge of $62 million (based on the excess of the carrying value of the business over estimated net cash procee</w:t>
      </w:r>
      <w:r>
        <w:rPr>
          <w:rFonts w:eastAsia="Times New Roman"/>
          <w:color w:val="000000"/>
          <w:sz w:val="20"/>
          <w:szCs w:val="20"/>
        </w:rPr>
        <w:t>ds, after estimated purchase price adjustments) and a $7 million non-cash remeasurement loss. These charges are included in the “Impairment of goodwill and other assets” and “Business divestiture-related losses” line items in our Condensed Consolidated Sta</w:t>
      </w:r>
      <w:r>
        <w:rPr>
          <w:rFonts w:eastAsia="Times New Roman"/>
          <w:color w:val="000000"/>
          <w:sz w:val="20"/>
          <w:szCs w:val="20"/>
        </w:rPr>
        <w:t xml:space="preserve">tement of Income (Unaudited) for the quarter ended April 2, 2021. </w:t>
      </w:r>
    </w:p>
    <w:p w:rsidR="00000000" w:rsidRDefault="0039054C">
      <w:pPr>
        <w:ind w:firstLine="450"/>
        <w:jc w:val="center"/>
        <w:divId w:val="990986809"/>
        <w:rPr>
          <w:rFonts w:eastAsia="Times New Roman"/>
        </w:rPr>
      </w:pPr>
      <w:r>
        <w:rPr>
          <w:rFonts w:eastAsia="Times New Roman"/>
          <w:color w:val="000000"/>
          <w:sz w:val="20"/>
          <w:szCs w:val="20"/>
        </w:rPr>
        <w:t>7</w:t>
      </w:r>
    </w:p>
    <w:p w:rsidR="00000000" w:rsidRDefault="0039054C">
      <w:pPr>
        <w:rPr>
          <w:rFonts w:eastAsia="Times New Roman"/>
        </w:rPr>
      </w:pPr>
      <w:r>
        <w:rPr>
          <w:rFonts w:eastAsia="Times New Roman"/>
        </w:rPr>
        <w:pict>
          <v:rect id="_x0000_i1034" style="width:0;height:1.5pt" o:hralign="center" o:hrstd="t" o:hr="t" fillcolor="#a0a0a0" stroked="f"/>
        </w:pict>
      </w:r>
    </w:p>
    <w:p w:rsidR="00000000" w:rsidRDefault="0039054C">
      <w:pPr>
        <w:ind w:firstLine="450"/>
        <w:divId w:val="178737596"/>
        <w:rPr>
          <w:rFonts w:eastAsia="Times New Roman"/>
        </w:rPr>
      </w:pPr>
    </w:p>
    <w:p w:rsidR="00000000" w:rsidRDefault="0039054C">
      <w:pPr>
        <w:ind w:firstLine="450"/>
        <w:divId w:val="1257327000"/>
        <w:rPr>
          <w:rFonts w:eastAsia="Times New Roman"/>
        </w:rPr>
      </w:pPr>
    </w:p>
    <w:p w:rsidR="00000000" w:rsidRDefault="0039054C">
      <w:pPr>
        <w:ind w:firstLine="450"/>
        <w:divId w:val="716389869"/>
        <w:rPr>
          <w:rFonts w:eastAsia="Times New Roman"/>
        </w:rPr>
      </w:pPr>
      <w:r>
        <w:rPr>
          <w:rFonts w:eastAsia="Times New Roman"/>
          <w:color w:val="000000"/>
          <w:sz w:val="20"/>
          <w:szCs w:val="20"/>
        </w:rPr>
        <w:t>The carrying amounts of the major classes of assets and liabilities of the CPS business classified as held for sale at April 2, 2021 were as follows:</w:t>
      </w:r>
    </w:p>
    <w:tbl>
      <w:tblPr>
        <w:tblW w:w="4766" w:type="pct"/>
        <w:tblCellMar>
          <w:top w:w="15" w:type="dxa"/>
          <w:left w:w="15" w:type="dxa"/>
          <w:bottom w:w="15" w:type="dxa"/>
          <w:right w:w="15" w:type="dxa"/>
        </w:tblCellMar>
        <w:tblLook w:val="04A0" w:firstRow="1" w:lastRow="0" w:firstColumn="1" w:lastColumn="0" w:noHBand="0" w:noVBand="1"/>
      </w:tblPr>
      <w:tblGrid>
        <w:gridCol w:w="46"/>
        <w:gridCol w:w="6585"/>
        <w:gridCol w:w="36"/>
        <w:gridCol w:w="120"/>
        <w:gridCol w:w="1094"/>
        <w:gridCol w:w="36"/>
      </w:tblGrid>
      <w:tr w:rsidR="00000000">
        <w:trPr>
          <w:divId w:val="1199396842"/>
        </w:trPr>
        <w:tc>
          <w:tcPr>
            <w:tcW w:w="50" w:type="pct"/>
            <w:vAlign w:val="center"/>
            <w:hideMark/>
          </w:tcPr>
          <w:p w:rsidR="00000000" w:rsidRDefault="0039054C">
            <w:pPr>
              <w:ind w:firstLine="450"/>
              <w:rPr>
                <w:rFonts w:eastAsia="Times New Roman"/>
              </w:rPr>
            </w:pPr>
          </w:p>
        </w:tc>
        <w:tc>
          <w:tcPr>
            <w:tcW w:w="41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71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19939684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r>
      <w:tr w:rsidR="00000000">
        <w:trPr>
          <w:divId w:val="1199396842"/>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Receivables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Assets of disposal group held for sale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 </w:t>
            </w: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Deferred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19939684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Liabilities of disposal group held for sale</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divId w:val="1478063974"/>
        <w:rPr>
          <w:rFonts w:eastAsia="Times New Roman"/>
        </w:rPr>
      </w:pPr>
      <w:r>
        <w:rPr>
          <w:rFonts w:eastAsia="Times New Roman"/>
          <w:i/>
          <w:iCs/>
          <w:color w:val="000000"/>
          <w:sz w:val="20"/>
          <w:szCs w:val="20"/>
        </w:rPr>
        <w:t>Military training business.</w:t>
      </w:r>
      <w:r>
        <w:rPr>
          <w:rFonts w:eastAsia="Times New Roman"/>
          <w:color w:val="000000"/>
          <w:sz w:val="20"/>
          <w:szCs w:val="20"/>
        </w:rPr>
        <w:t xml:space="preserve"> </w:t>
      </w:r>
      <w:r>
        <w:rPr>
          <w:rFonts w:eastAsia="Times New Roman"/>
          <w:color w:val="000000"/>
          <w:sz w:val="20"/>
          <w:szCs w:val="20"/>
        </w:rPr>
        <w:t>On February 27, 2021, we entered into a definitive agreement to sell our military training business to CAE USA Inc., a subsidiary of CAE Inc., for $1,050 million, subject to customary purchase price adjustments and closing conditions as set forth in the de</w:t>
      </w:r>
      <w:r>
        <w:rPr>
          <w:rFonts w:eastAsia="Times New Roman"/>
          <w:color w:val="000000"/>
          <w:sz w:val="20"/>
          <w:szCs w:val="20"/>
        </w:rPr>
        <w:t>finitive agreement. The military training business, which is reported as part of our Aviation Systems segment, provides flight simulation solutions and training services to the U.S. Department of Defense (“DoD”) and foreign military agencies. Income before</w:t>
      </w:r>
      <w:r>
        <w:rPr>
          <w:rFonts w:eastAsia="Times New Roman"/>
          <w:color w:val="000000"/>
          <w:sz w:val="20"/>
          <w:szCs w:val="20"/>
        </w:rPr>
        <w:t xml:space="preserve"> income taxes of our military training business was $16 million and $24 million for the quarters ended April 2, 2021 and April 3, 2020, respectively. We expect to complete the sale of the military training business in the second half of fiscal 2021.</w:t>
      </w:r>
    </w:p>
    <w:p w:rsidR="00000000" w:rsidRDefault="0039054C">
      <w:pPr>
        <w:ind w:firstLine="450"/>
        <w:divId w:val="695421761"/>
        <w:rPr>
          <w:rFonts w:eastAsia="Times New Roman"/>
        </w:rPr>
      </w:pPr>
      <w:r>
        <w:rPr>
          <w:rFonts w:eastAsia="Times New Roman"/>
          <w:color w:val="000000"/>
          <w:sz w:val="20"/>
          <w:szCs w:val="20"/>
        </w:rPr>
        <w:t>In con</w:t>
      </w:r>
      <w:r>
        <w:rPr>
          <w:rFonts w:eastAsia="Times New Roman"/>
          <w:color w:val="000000"/>
          <w:sz w:val="20"/>
          <w:szCs w:val="20"/>
        </w:rPr>
        <w:t>nection with the preparation of our financial statements for the quarter ended April 2, 2021, we tested goodwill assigned to the military training business disposal group for impairment and concluded that no goodwill impairment existed at the time the held</w:t>
      </w:r>
      <w:r>
        <w:rPr>
          <w:rFonts w:eastAsia="Times New Roman"/>
          <w:color w:val="000000"/>
          <w:sz w:val="20"/>
          <w:szCs w:val="20"/>
        </w:rPr>
        <w:t xml:space="preserve"> for sale criteria were met. </w:t>
      </w:r>
    </w:p>
    <w:p w:rsidR="00000000" w:rsidRDefault="0039054C">
      <w:pPr>
        <w:ind w:firstLine="450"/>
        <w:jc w:val="center"/>
        <w:divId w:val="627516245"/>
        <w:rPr>
          <w:rFonts w:eastAsia="Times New Roman"/>
        </w:rPr>
      </w:pPr>
      <w:r>
        <w:rPr>
          <w:rFonts w:eastAsia="Times New Roman"/>
          <w:color w:val="000000"/>
          <w:sz w:val="20"/>
          <w:szCs w:val="20"/>
        </w:rPr>
        <w:t>8</w:t>
      </w:r>
    </w:p>
    <w:p w:rsidR="00000000" w:rsidRDefault="0039054C">
      <w:pPr>
        <w:rPr>
          <w:rFonts w:eastAsia="Times New Roman"/>
        </w:rPr>
      </w:pPr>
      <w:r>
        <w:rPr>
          <w:rFonts w:eastAsia="Times New Roman"/>
        </w:rPr>
        <w:pict>
          <v:rect id="_x0000_i1035" style="width:0;height:1.5pt" o:hralign="center" o:hrstd="t" o:hr="t" fillcolor="#a0a0a0" stroked="f"/>
        </w:pict>
      </w:r>
    </w:p>
    <w:p w:rsidR="00000000" w:rsidRDefault="0039054C">
      <w:pPr>
        <w:ind w:firstLine="450"/>
        <w:divId w:val="326712394"/>
        <w:rPr>
          <w:rFonts w:eastAsia="Times New Roman"/>
        </w:rPr>
      </w:pPr>
    </w:p>
    <w:p w:rsidR="00000000" w:rsidRDefault="0039054C">
      <w:pPr>
        <w:ind w:firstLine="450"/>
        <w:divId w:val="1869875421"/>
        <w:rPr>
          <w:rFonts w:eastAsia="Times New Roman"/>
        </w:rPr>
      </w:pPr>
    </w:p>
    <w:p w:rsidR="00000000" w:rsidRDefault="0039054C">
      <w:pPr>
        <w:ind w:firstLine="450"/>
        <w:divId w:val="2047442402"/>
        <w:rPr>
          <w:rFonts w:eastAsia="Times New Roman"/>
        </w:rPr>
      </w:pPr>
      <w:r>
        <w:rPr>
          <w:rFonts w:eastAsia="Times New Roman"/>
          <w:color w:val="000000"/>
          <w:sz w:val="20"/>
          <w:szCs w:val="20"/>
        </w:rPr>
        <w:t>The carrying amounts of the major classes of assets and liabilities of the military training business classified as held for sale at April 2, 2021 were as follows:</w:t>
      </w:r>
    </w:p>
    <w:tbl>
      <w:tblPr>
        <w:tblW w:w="4766" w:type="pct"/>
        <w:tblCellMar>
          <w:top w:w="15" w:type="dxa"/>
          <w:left w:w="15" w:type="dxa"/>
          <w:bottom w:w="15" w:type="dxa"/>
          <w:right w:w="15" w:type="dxa"/>
        </w:tblCellMar>
        <w:tblLook w:val="04A0" w:firstRow="1" w:lastRow="0" w:firstColumn="1" w:lastColumn="0" w:noHBand="0" w:noVBand="1"/>
      </w:tblPr>
      <w:tblGrid>
        <w:gridCol w:w="46"/>
        <w:gridCol w:w="6585"/>
        <w:gridCol w:w="36"/>
        <w:gridCol w:w="120"/>
        <w:gridCol w:w="1094"/>
        <w:gridCol w:w="36"/>
      </w:tblGrid>
      <w:tr w:rsidR="00000000">
        <w:trPr>
          <w:divId w:val="1707102372"/>
        </w:trPr>
        <w:tc>
          <w:tcPr>
            <w:tcW w:w="50" w:type="pct"/>
            <w:vAlign w:val="center"/>
            <w:hideMark/>
          </w:tcPr>
          <w:p w:rsidR="00000000" w:rsidRDefault="0039054C">
            <w:pPr>
              <w:ind w:firstLine="450"/>
              <w:rPr>
                <w:rFonts w:eastAsia="Times New Roman"/>
              </w:rPr>
            </w:pPr>
          </w:p>
        </w:tc>
        <w:tc>
          <w:tcPr>
            <w:tcW w:w="41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71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70710237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r>
      <w:tr w:rsidR="00000000">
        <w:trPr>
          <w:divId w:val="1707102372"/>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0" w:type="dxa"/>
              <w:bottom w:w="0" w:type="dxa"/>
              <w:right w:w="20" w:type="dxa"/>
            </w:tcMar>
            <w:vAlign w:val="center"/>
            <w:hideMark/>
          </w:tcPr>
          <w:p w:rsidR="00000000" w:rsidRDefault="0039054C">
            <w:pPr>
              <w:rPr>
                <w:rFonts w:eastAsia="Times New Roman"/>
                <w:sz w:val="20"/>
                <w:szCs w:val="20"/>
              </w:rPr>
            </w:pPr>
          </w:p>
        </w:tc>
      </w:tr>
      <w:tr w:rsidR="00000000">
        <w:trPr>
          <w:divId w:val="170710237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Receivables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current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Property, plant and equipment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426 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intangible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non-current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Assets of disposal group held for sale</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tcBorders>
              <w:top w:val="double" w:sz="6" w:space="0" w:color="000000"/>
            </w:tcBorders>
            <w:shd w:val="clear" w:color="auto" w:fill="FFFFFF"/>
            <w:tcMar>
              <w:top w:w="30" w:type="dxa"/>
              <w:left w:w="20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r>
      <w:tr w:rsidR="00000000">
        <w:trPr>
          <w:divId w:val="170710237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liabilities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non-current liabilities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07102372"/>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70710237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Liabilities of disposal group held for sale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divId w:val="902059301"/>
        <w:rPr>
          <w:rFonts w:eastAsia="Times New Roman"/>
        </w:rPr>
      </w:pPr>
      <w:r>
        <w:rPr>
          <w:rFonts w:eastAsia="Times New Roman"/>
          <w:i/>
          <w:iCs/>
          <w:color w:val="000000"/>
          <w:sz w:val="20"/>
          <w:szCs w:val="20"/>
        </w:rPr>
        <w:t xml:space="preserve">VSE disposal group. </w:t>
      </w:r>
      <w:r>
        <w:rPr>
          <w:rFonts w:eastAsia="Times New Roman"/>
          <w:color w:val="000000"/>
          <w:sz w:val="20"/>
          <w:szCs w:val="20"/>
        </w:rPr>
        <w:t>On February 23, 2021, we entered into a definitive agreement to sell certain portions of our Voice Switch Enterprise business (“VSE disposal group”) for $20 million, subject to customary purchase price adjustments and closing conditions as set forth in the</w:t>
      </w:r>
      <w:r>
        <w:rPr>
          <w:rFonts w:eastAsia="Times New Roman"/>
          <w:color w:val="000000"/>
          <w:sz w:val="20"/>
          <w:szCs w:val="20"/>
        </w:rPr>
        <w:t xml:space="preserve"> definitive agreement. The VSE disposal group, which is reported as part of our Aviation Systems segment, provides voice over internet protocol systems for air traffic management communications. Income before income taxes of the VSE disposal group was not </w:t>
      </w:r>
      <w:r>
        <w:rPr>
          <w:rFonts w:eastAsia="Times New Roman"/>
          <w:color w:val="000000"/>
          <w:sz w:val="20"/>
          <w:szCs w:val="20"/>
        </w:rPr>
        <w:t>material for the quarters ended April 2, 2021 or April 3, 2020. We expect to complete the sale of the VSE disposal group in the second half of fiscal 2021.</w:t>
      </w:r>
    </w:p>
    <w:p w:rsidR="00000000" w:rsidRDefault="0039054C">
      <w:pPr>
        <w:ind w:firstLine="450"/>
        <w:divId w:val="194126513"/>
        <w:rPr>
          <w:rFonts w:eastAsia="Times New Roman"/>
        </w:rPr>
      </w:pPr>
      <w:r>
        <w:rPr>
          <w:rFonts w:eastAsia="Times New Roman"/>
          <w:color w:val="000000"/>
          <w:sz w:val="20"/>
          <w:szCs w:val="20"/>
        </w:rPr>
        <w:t>Because the potential divestiture of the VSE disposal group would represent the disposal of a portio</w:t>
      </w:r>
      <w:r>
        <w:rPr>
          <w:rFonts w:eastAsia="Times New Roman"/>
          <w:color w:val="000000"/>
          <w:sz w:val="20"/>
          <w:szCs w:val="20"/>
        </w:rPr>
        <w:t>n of a reporting unit within our Aviation Systems segment, we assigned $14 million of goodwill to the VSE disposal group on a relative fair value basis during the quarter ended July 3, 2020 when the held for sale criteria were met. In connection with the p</w:t>
      </w:r>
      <w:r>
        <w:rPr>
          <w:rFonts w:eastAsia="Times New Roman"/>
          <w:color w:val="000000"/>
          <w:sz w:val="20"/>
          <w:szCs w:val="20"/>
        </w:rPr>
        <w:t>reparation of our financial statements for fiscal 2020, we recognized a $32 million pre-tax loss to reduce the net assets of the VSE disposal group to fair value, which included a non-cash goodwill impairment charge of $14 million (based on the excess of t</w:t>
      </w:r>
      <w:r>
        <w:rPr>
          <w:rFonts w:eastAsia="Times New Roman"/>
          <w:color w:val="000000"/>
          <w:sz w:val="20"/>
          <w:szCs w:val="20"/>
        </w:rPr>
        <w:t>he carrying value of the business over estimated net cash proceeds, after estimated purchase price adjustments) and an $18 million non-cash remeasurement loss. During the quarter ended April 2, 2021, we recognized an additional $8 million loss to reduce th</w:t>
      </w:r>
      <w:r>
        <w:rPr>
          <w:rFonts w:eastAsia="Times New Roman"/>
          <w:color w:val="000000"/>
          <w:sz w:val="20"/>
          <w:szCs w:val="20"/>
        </w:rPr>
        <w:t>e net assets of the VSE disposal group to fair value, which is included in the “Business divestiture-related losses” line items in our Condensed Consolidated Statement of Income (Unaudited) for the quarter ended April 2, 2021. The carrying amounts of asset</w:t>
      </w:r>
      <w:r>
        <w:rPr>
          <w:rFonts w:eastAsia="Times New Roman"/>
          <w:color w:val="000000"/>
          <w:sz w:val="20"/>
          <w:szCs w:val="20"/>
        </w:rPr>
        <w:t>s and liabilities of the VSE disposal group classified as held for sale in our Condensed Consolidated Balance Sheet (Unaudited) were $30 million and $11 million, respectively, at April 2, 2021 and $35 million and $13 million, respectively, at January 1, 20</w:t>
      </w:r>
      <w:r>
        <w:rPr>
          <w:rFonts w:eastAsia="Times New Roman"/>
          <w:color w:val="000000"/>
          <w:sz w:val="20"/>
          <w:szCs w:val="20"/>
        </w:rPr>
        <w:t xml:space="preserve">21. </w:t>
      </w:r>
    </w:p>
    <w:p w:rsidR="00000000" w:rsidRDefault="0039054C">
      <w:pPr>
        <w:ind w:firstLine="450"/>
        <w:divId w:val="2080401407"/>
        <w:rPr>
          <w:rFonts w:eastAsia="Times New Roman"/>
        </w:rPr>
      </w:pPr>
      <w:r>
        <w:rPr>
          <w:rFonts w:eastAsia="Times New Roman"/>
          <w:i/>
          <w:iCs/>
          <w:color w:val="000000"/>
          <w:sz w:val="20"/>
          <w:szCs w:val="20"/>
        </w:rPr>
        <w:t xml:space="preserve">EOTech business. </w:t>
      </w:r>
      <w:r>
        <w:rPr>
          <w:rFonts w:eastAsia="Times New Roman"/>
          <w:color w:val="000000"/>
          <w:sz w:val="20"/>
          <w:szCs w:val="20"/>
        </w:rPr>
        <w:t>On July 31, 2020, we completed the divestiture of our EOTech business for $42 million (net cash proceeds of $40 million after selling costs and estimated purchase price adjustments), subject to final customary purchase price adjustmen</w:t>
      </w:r>
      <w:r>
        <w:rPr>
          <w:rFonts w:eastAsia="Times New Roman"/>
          <w:color w:val="000000"/>
          <w:sz w:val="20"/>
          <w:szCs w:val="20"/>
        </w:rPr>
        <w:t>ts as set forth in the definitive sale agreement. The EOTech business manufactures holographic sighting systems, magnified field optics and accessories for military, law enforcement and commercial markets around the world. The operating results of the EOTe</w:t>
      </w:r>
      <w:r>
        <w:rPr>
          <w:rFonts w:eastAsia="Times New Roman"/>
          <w:color w:val="000000"/>
          <w:sz w:val="20"/>
          <w:szCs w:val="20"/>
        </w:rPr>
        <w:t>ch business during the quarter ended April 3, 2020 were reported as part of our Communication Systems segment. Income before income taxes of the EOTech business was not material for the quarter ended April 3, 2020.</w:t>
      </w:r>
    </w:p>
    <w:p w:rsidR="00000000" w:rsidRDefault="0039054C">
      <w:pPr>
        <w:ind w:firstLine="450"/>
        <w:divId w:val="1050766539"/>
        <w:rPr>
          <w:rFonts w:eastAsia="Times New Roman"/>
        </w:rPr>
      </w:pPr>
      <w:r>
        <w:rPr>
          <w:rFonts w:eastAsia="Times New Roman"/>
          <w:i/>
          <w:iCs/>
          <w:color w:val="000000"/>
          <w:sz w:val="20"/>
          <w:szCs w:val="20"/>
        </w:rPr>
        <w:t>Applied Kilovolts and Analytical Instrume</w:t>
      </w:r>
      <w:r>
        <w:rPr>
          <w:rFonts w:eastAsia="Times New Roman"/>
          <w:i/>
          <w:iCs/>
          <w:color w:val="000000"/>
          <w:sz w:val="20"/>
          <w:szCs w:val="20"/>
        </w:rPr>
        <w:t>ntation business.</w:t>
      </w:r>
      <w:r>
        <w:rPr>
          <w:rFonts w:eastAsia="Times New Roman"/>
          <w:color w:val="000000"/>
          <w:sz w:val="20"/>
          <w:szCs w:val="20"/>
        </w:rPr>
        <w:t xml:space="preserve"> On May 15, 2020, we completed the divestiture of our Applied Kilovolts and Analytical Instrumentation business for net cash proceeds of $12 million, after selling costs and purchase price adjustments as set forth in the definitive sale ag</w:t>
      </w:r>
      <w:r>
        <w:rPr>
          <w:rFonts w:eastAsia="Times New Roman"/>
          <w:color w:val="000000"/>
          <w:sz w:val="20"/>
          <w:szCs w:val="20"/>
        </w:rPr>
        <w:t xml:space="preserve">reement. The operating results of the Applied Kilovolts and Analytical Instrumentation business during the quarter ended April 3, 2020 were reported as part of our Space and Airborne Systems segment. Income before income taxes of the Applied Kilovolts and </w:t>
      </w:r>
      <w:r>
        <w:rPr>
          <w:rFonts w:eastAsia="Times New Roman"/>
          <w:color w:val="000000"/>
          <w:sz w:val="20"/>
          <w:szCs w:val="20"/>
        </w:rPr>
        <w:t>Analytical Instrumentation business was not material for the quarter ended April 3, 2020. In connection with the preparation of our financial statements for the quarter ended April 3, 2020, we tested goodwill assigned to the Applied Kilovolts and Analytica</w:t>
      </w:r>
      <w:r>
        <w:rPr>
          <w:rFonts w:eastAsia="Times New Roman"/>
          <w:color w:val="000000"/>
          <w:sz w:val="20"/>
          <w:szCs w:val="20"/>
        </w:rPr>
        <w:t xml:space="preserve">l Instrumentation business disposal group and goodwill assigned to the retained businesses of the reporting unit for impairment and concluded that goodwill related to the disposal </w:t>
      </w:r>
    </w:p>
    <w:p w:rsidR="00000000" w:rsidRDefault="0039054C">
      <w:pPr>
        <w:ind w:firstLine="450"/>
        <w:jc w:val="center"/>
        <w:divId w:val="1344015098"/>
        <w:rPr>
          <w:rFonts w:eastAsia="Times New Roman"/>
        </w:rPr>
      </w:pPr>
      <w:r>
        <w:rPr>
          <w:rFonts w:eastAsia="Times New Roman"/>
          <w:color w:val="000000"/>
          <w:sz w:val="20"/>
          <w:szCs w:val="20"/>
        </w:rPr>
        <w:t>9</w:t>
      </w:r>
    </w:p>
    <w:p w:rsidR="00000000" w:rsidRDefault="0039054C">
      <w:pPr>
        <w:rPr>
          <w:rFonts w:eastAsia="Times New Roman"/>
        </w:rPr>
      </w:pPr>
      <w:r>
        <w:rPr>
          <w:rFonts w:eastAsia="Times New Roman"/>
        </w:rPr>
        <w:pict>
          <v:rect id="_x0000_i1036" style="width:0;height:1.5pt" o:hralign="center" o:hrstd="t" o:hr="t" fillcolor="#a0a0a0" stroked="f"/>
        </w:pict>
      </w:r>
    </w:p>
    <w:p w:rsidR="00000000" w:rsidRDefault="0039054C">
      <w:pPr>
        <w:ind w:firstLine="450"/>
        <w:divId w:val="1397431492"/>
        <w:rPr>
          <w:rFonts w:eastAsia="Times New Roman"/>
        </w:rPr>
      </w:pPr>
    </w:p>
    <w:p w:rsidR="00000000" w:rsidRDefault="0039054C">
      <w:pPr>
        <w:ind w:firstLine="450"/>
        <w:divId w:val="750614920"/>
        <w:rPr>
          <w:rFonts w:eastAsia="Times New Roman"/>
        </w:rPr>
      </w:pPr>
    </w:p>
    <w:p w:rsidR="00000000" w:rsidRDefault="0039054C">
      <w:pPr>
        <w:divId w:val="1774007252"/>
        <w:rPr>
          <w:rFonts w:eastAsia="Times New Roman"/>
        </w:rPr>
      </w:pPr>
      <w:r>
        <w:rPr>
          <w:rFonts w:eastAsia="Times New Roman"/>
          <w:color w:val="000000"/>
          <w:sz w:val="20"/>
          <w:szCs w:val="20"/>
        </w:rPr>
        <w:t xml:space="preserve">group was impaired. As a result, we recorded a non-cash impairment charge of $5 million, which is included in the “Impairment of goodwill and other assets” line item in our Condensed Consolidated Statement of Income </w:t>
      </w:r>
      <w:r>
        <w:rPr>
          <w:rFonts w:eastAsia="Times New Roman"/>
          <w:color w:val="000000"/>
          <w:sz w:val="20"/>
          <w:szCs w:val="20"/>
        </w:rPr>
        <w:t>(Unaudited) for the quarter ended April 3, 2020.</w:t>
      </w:r>
    </w:p>
    <w:p w:rsidR="00000000" w:rsidRDefault="0039054C">
      <w:pPr>
        <w:ind w:firstLine="450"/>
        <w:divId w:val="1547519864"/>
        <w:rPr>
          <w:rFonts w:eastAsia="Times New Roman"/>
        </w:rPr>
      </w:pPr>
      <w:r>
        <w:rPr>
          <w:rFonts w:eastAsia="Times New Roman"/>
          <w:i/>
          <w:iCs/>
          <w:color w:val="000000"/>
          <w:sz w:val="20"/>
          <w:szCs w:val="20"/>
        </w:rPr>
        <w:t>Airport security and automation business.</w:t>
      </w:r>
      <w:r>
        <w:rPr>
          <w:rFonts w:eastAsia="Times New Roman"/>
          <w:color w:val="000000"/>
          <w:sz w:val="20"/>
          <w:szCs w:val="20"/>
        </w:rPr>
        <w:t xml:space="preserve"> On May 4, 2020, we completed the divestiture of the airport security and automation business to Leidos, Inc. for $1 billion (net cash proceeds of $987 million after </w:t>
      </w:r>
      <w:r>
        <w:rPr>
          <w:rFonts w:eastAsia="Times New Roman"/>
          <w:color w:val="000000"/>
          <w:sz w:val="20"/>
          <w:szCs w:val="20"/>
        </w:rPr>
        <w:t xml:space="preserve">selling costs and purchase price adjustments as set forth in the definitive sale agreement). The airport security and automation business provides solutions used by the aviation and transportation industries, regulatory and customs authorities, government </w:t>
      </w:r>
      <w:r>
        <w:rPr>
          <w:rFonts w:eastAsia="Times New Roman"/>
          <w:color w:val="000000"/>
          <w:sz w:val="20"/>
          <w:szCs w:val="20"/>
        </w:rPr>
        <w:t>and law enforcement agencies and commercial and other high-security facilities. The operating results of the airport security and automation business during the quarter ended April 3, 2020 were reported as part of our Aviation Systems segment. Income befor</w:t>
      </w:r>
      <w:r>
        <w:rPr>
          <w:rFonts w:eastAsia="Times New Roman"/>
          <w:color w:val="000000"/>
          <w:sz w:val="20"/>
          <w:szCs w:val="20"/>
        </w:rPr>
        <w:t xml:space="preserve">e income taxes of the airport security and automation business was $12 million for the quarter ended April 3, 2020. </w:t>
      </w:r>
    </w:p>
    <w:p w:rsidR="00000000" w:rsidRDefault="0039054C">
      <w:pPr>
        <w:ind w:firstLine="450"/>
        <w:divId w:val="1992440087"/>
        <w:rPr>
          <w:rFonts w:eastAsia="Times New Roman"/>
        </w:rPr>
      </w:pPr>
      <w:r>
        <w:rPr>
          <w:rFonts w:eastAsia="Times New Roman"/>
          <w:color w:val="000000"/>
          <w:sz w:val="20"/>
          <w:szCs w:val="20"/>
        </w:rPr>
        <w:t>For purposes of allocating goodwill to the disposal groups above, we determined the fair value of each disposal group based on the respecti</w:t>
      </w:r>
      <w:r>
        <w:rPr>
          <w:rFonts w:eastAsia="Times New Roman"/>
          <w:color w:val="000000"/>
          <w:sz w:val="20"/>
          <w:szCs w:val="20"/>
        </w:rPr>
        <w:t xml:space="preserve">ve negotiated selling price (or estimated net cash proceeds, in the case of no negotiated selling price), and the fair value of the retained businesses of the respective reporting unit based on a combination of market-based valuation techniques, utilizing </w:t>
      </w:r>
      <w:r>
        <w:rPr>
          <w:rFonts w:eastAsia="Times New Roman"/>
          <w:color w:val="000000"/>
          <w:sz w:val="20"/>
          <w:szCs w:val="20"/>
        </w:rPr>
        <w:t>quoted market prices and comparable publicly reported transactions, and projected discounted cash flows. These fair value determinations are categorized as Level 3 in the fair value hierarchy due to their use of internal projections and unobservable measur</w:t>
      </w:r>
      <w:r>
        <w:rPr>
          <w:rFonts w:eastAsia="Times New Roman"/>
          <w:color w:val="000000"/>
          <w:sz w:val="20"/>
          <w:szCs w:val="20"/>
        </w:rPr>
        <w:t xml:space="preserve">ement inputs. See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2020 Form 10-K for additional information regarding the fair value hierarchy. </w:t>
      </w:r>
    </w:p>
    <w:p w:rsidR="00000000" w:rsidRDefault="0039054C">
      <w:pPr>
        <w:divId w:val="1151630013"/>
        <w:rPr>
          <w:rFonts w:eastAsia="Times New Roman"/>
        </w:rPr>
      </w:pPr>
      <w:r>
        <w:rPr>
          <w:rFonts w:eastAsia="Times New Roman"/>
          <w:b/>
          <w:bCs/>
          <w:color w:val="000000"/>
          <w:sz w:val="20"/>
          <w:szCs w:val="20"/>
        </w:rPr>
        <w:t xml:space="preserve">Note C — </w:t>
      </w:r>
      <w:r>
        <w:rPr>
          <w:rFonts w:eastAsia="Times New Roman"/>
          <w:b/>
          <w:bCs/>
          <w:color w:val="000000"/>
          <w:sz w:val="20"/>
          <w:szCs w:val="20"/>
        </w:rPr>
        <w:t xml:space="preserve">Stock Options and Other Share-Based Compensation </w:t>
      </w:r>
    </w:p>
    <w:p w:rsidR="00000000" w:rsidRDefault="0039054C">
      <w:pPr>
        <w:ind w:firstLine="450"/>
        <w:divId w:val="1235431843"/>
        <w:rPr>
          <w:rFonts w:eastAsia="Times New Roman"/>
        </w:rPr>
      </w:pPr>
      <w:r>
        <w:rPr>
          <w:rFonts w:eastAsia="Times New Roman"/>
          <w:color w:val="000000"/>
          <w:sz w:val="20"/>
          <w:szCs w:val="20"/>
        </w:rPr>
        <w:t xml:space="preserve">As of April 2, 2021, we had options or other share-based compensation outstanding under two Harris shareholder-approved stock incentive plans (“SIPs”), the Harris Corporation 2005 Equity Incentive Plan (As </w:t>
      </w:r>
      <w:r>
        <w:rPr>
          <w:rFonts w:eastAsia="Times New Roman"/>
          <w:color w:val="000000"/>
          <w:sz w:val="20"/>
          <w:szCs w:val="20"/>
        </w:rPr>
        <w:t>Amended and Restated Effective August 27, 2010) and the L3Harris Technologies, Inc. 2015 Equity Incentive Plan (As Amended and Restated Effective as of August 28, 2020) (the “2015 EIP”), as well as under employee stock incentive plans of L3 assumed by L3Ha</w:t>
      </w:r>
      <w:r>
        <w:rPr>
          <w:rFonts w:eastAsia="Times New Roman"/>
          <w:color w:val="000000"/>
          <w:sz w:val="20"/>
          <w:szCs w:val="20"/>
        </w:rPr>
        <w:t xml:space="preserve">rris (collectively, “L3Harris SIPs”). We believe that share-based awards more closely align the interests of participants with those of shareholders. </w:t>
      </w:r>
    </w:p>
    <w:p w:rsidR="00000000" w:rsidRDefault="0039054C">
      <w:pPr>
        <w:ind w:firstLine="450"/>
        <w:divId w:val="1412893139"/>
        <w:rPr>
          <w:rFonts w:eastAsia="Times New Roman"/>
        </w:rPr>
      </w:pPr>
      <w:r>
        <w:rPr>
          <w:rFonts w:eastAsia="Times New Roman"/>
          <w:color w:val="000000"/>
          <w:sz w:val="20"/>
          <w:szCs w:val="20"/>
        </w:rPr>
        <w:t>The compensation cost related to our share-based awards that was charged against income was $33 million a</w:t>
      </w:r>
      <w:r>
        <w:rPr>
          <w:rFonts w:eastAsia="Times New Roman"/>
          <w:color w:val="000000"/>
          <w:sz w:val="20"/>
          <w:szCs w:val="20"/>
        </w:rPr>
        <w:t>nd $17 million for the quarters ended April 2, 2021 and April 3, 2020, respectively. The aggregate number of shares of our common stock that we issued under the terms of L3Harris SIPs, net of shares withheld for tax purposes, was 0.1 million and 0.5 millio</w:t>
      </w:r>
      <w:r>
        <w:rPr>
          <w:rFonts w:eastAsia="Times New Roman"/>
          <w:color w:val="000000"/>
          <w:sz w:val="20"/>
          <w:szCs w:val="20"/>
        </w:rPr>
        <w:t xml:space="preserve">n for the quarters ended April 2, 2021 and April 3, 2020, respectively. </w:t>
      </w:r>
    </w:p>
    <w:p w:rsidR="00000000" w:rsidRDefault="0039054C">
      <w:pPr>
        <w:ind w:firstLine="450"/>
        <w:divId w:val="1974670995"/>
        <w:rPr>
          <w:rFonts w:eastAsia="Times New Roman"/>
        </w:rPr>
      </w:pPr>
      <w:r>
        <w:rPr>
          <w:rFonts w:eastAsia="Times New Roman"/>
          <w:color w:val="000000"/>
          <w:sz w:val="20"/>
          <w:szCs w:val="20"/>
        </w:rPr>
        <w:t>Awards granted to participants under L3Harris SIPs during the quarter ended April 2, 2021 consisted of 0.5 million stock options, 0.2 million performance stock units and 0.1 million r</w:t>
      </w:r>
      <w:r>
        <w:rPr>
          <w:rFonts w:eastAsia="Times New Roman"/>
          <w:color w:val="000000"/>
          <w:sz w:val="20"/>
          <w:szCs w:val="20"/>
        </w:rPr>
        <w:t>estricted stock units. The fair value as of the grant date of each stock option award was determined using the Black-Scholes-Merton option-pricing model and the following assumptions: expected dividend yield of 1.99 percent; expected volatility of 31.71 pe</w:t>
      </w:r>
      <w:r>
        <w:rPr>
          <w:rFonts w:eastAsia="Times New Roman"/>
          <w:color w:val="000000"/>
          <w:sz w:val="20"/>
          <w:szCs w:val="20"/>
        </w:rPr>
        <w:t xml:space="preserve">rcent; risk-free interest rates averaging 0.75 percent; and expected term of 5.05 years. The fair value as of the grant date of each restricted stock unit award was based on the closing price of our common stock on the grant date. The fair value as of the </w:t>
      </w:r>
      <w:r>
        <w:rPr>
          <w:rFonts w:eastAsia="Times New Roman"/>
          <w:color w:val="000000"/>
          <w:sz w:val="20"/>
          <w:szCs w:val="20"/>
        </w:rPr>
        <w:t>grant date of each performance stock unit award was determined based on the fair value from a multifactor Monte Carlo valuation model that simulates our stock price and total shareholder return (“TSR”) relative to companies in our TSR peer group.</w:t>
      </w:r>
    </w:p>
    <w:p w:rsidR="00000000" w:rsidRDefault="0039054C">
      <w:pPr>
        <w:divId w:val="467287248"/>
        <w:rPr>
          <w:rFonts w:eastAsia="Times New Roman"/>
        </w:rPr>
      </w:pPr>
      <w:r>
        <w:rPr>
          <w:rFonts w:eastAsia="Times New Roman"/>
          <w:b/>
          <w:bCs/>
          <w:color w:val="000000"/>
          <w:sz w:val="20"/>
          <w:szCs w:val="20"/>
        </w:rPr>
        <w:t xml:space="preserve">Note D — </w:t>
      </w:r>
      <w:r>
        <w:rPr>
          <w:rFonts w:eastAsia="Times New Roman"/>
          <w:b/>
          <w:bCs/>
          <w:color w:val="000000"/>
          <w:sz w:val="20"/>
          <w:szCs w:val="20"/>
        </w:rPr>
        <w:t xml:space="preserve">Restructuring and Other Exit Costs </w:t>
      </w:r>
    </w:p>
    <w:p w:rsidR="00000000" w:rsidRDefault="0039054C">
      <w:pPr>
        <w:ind w:firstLine="450"/>
        <w:divId w:val="508713073"/>
        <w:rPr>
          <w:rFonts w:eastAsia="Times New Roman"/>
        </w:rPr>
      </w:pPr>
      <w:r>
        <w:rPr>
          <w:rFonts w:eastAsia="Times New Roman"/>
          <w:color w:val="000000"/>
          <w:sz w:val="20"/>
          <w:szCs w:val="20"/>
        </w:rPr>
        <w:t>We record charges for restructuring and other exit activities related to sales or terminations of product lines, closures or relocations of business activities, changes in management structure and fundamental reorganizat</w:t>
      </w:r>
      <w:r>
        <w:rPr>
          <w:rFonts w:eastAsia="Times New Roman"/>
          <w:color w:val="000000"/>
          <w:sz w:val="20"/>
          <w:szCs w:val="20"/>
        </w:rPr>
        <w:t xml:space="preserve">ions that affect the nature and focus of operations. Such charges include termination benefits, contract termination costs and costs to consolidate facilities or relocate employees. We record these charges at their fair value when incurred. In cases where </w:t>
      </w:r>
      <w:r>
        <w:rPr>
          <w:rFonts w:eastAsia="Times New Roman"/>
          <w:color w:val="000000"/>
          <w:sz w:val="20"/>
          <w:szCs w:val="20"/>
        </w:rPr>
        <w:t>employees are required to render service until they are terminated in order to receive the termination benefits and will be retained beyond the minimum retention period, we record the expense ratably over the future service period. These charges are includ</w:t>
      </w:r>
      <w:r>
        <w:rPr>
          <w:rFonts w:eastAsia="Times New Roman"/>
          <w:color w:val="000000"/>
          <w:sz w:val="20"/>
          <w:szCs w:val="20"/>
        </w:rPr>
        <w:t>ed as a component of the “Engineering, selling and administrative expenses” line item in our Condensed Consolidated Statement of Income (Unaudited).</w:t>
      </w:r>
    </w:p>
    <w:p w:rsidR="00000000" w:rsidRDefault="0039054C">
      <w:pPr>
        <w:ind w:firstLine="450"/>
        <w:divId w:val="159396992"/>
        <w:rPr>
          <w:rFonts w:eastAsia="Times New Roman"/>
        </w:rPr>
      </w:pPr>
      <w:r>
        <w:rPr>
          <w:rFonts w:eastAsia="Times New Roman"/>
          <w:i/>
          <w:iCs/>
          <w:color w:val="000000"/>
          <w:sz w:val="20"/>
          <w:szCs w:val="20"/>
        </w:rPr>
        <w:t xml:space="preserve">L3Harris Merger-Related Restructuring Costs. </w:t>
      </w:r>
      <w:r>
        <w:rPr>
          <w:rFonts w:eastAsia="Times New Roman"/>
          <w:color w:val="000000"/>
          <w:sz w:val="20"/>
          <w:szCs w:val="20"/>
        </w:rPr>
        <w:t>We recorded restructuring charges in connection with the L3Har</w:t>
      </w:r>
      <w:r>
        <w:rPr>
          <w:rFonts w:eastAsia="Times New Roman"/>
          <w:color w:val="000000"/>
          <w:sz w:val="20"/>
          <w:szCs w:val="20"/>
        </w:rPr>
        <w:t>ris Merger of $10 million during fiscal 2020 and $117 million during the two quarters ended January 3, 2020.</w:t>
      </w:r>
      <w:r>
        <w:rPr>
          <w:rFonts w:eastAsia="Times New Roman"/>
          <w:i/>
          <w:iCs/>
          <w:color w:val="000000"/>
          <w:sz w:val="20"/>
          <w:szCs w:val="20"/>
        </w:rPr>
        <w:t xml:space="preserve"> </w:t>
      </w:r>
      <w:r>
        <w:rPr>
          <w:rFonts w:eastAsia="Times New Roman"/>
          <w:color w:val="000000"/>
          <w:sz w:val="20"/>
          <w:szCs w:val="20"/>
        </w:rPr>
        <w:t>At April 2, 2021, we had liabilities of $17 million associated with these restructuring actions. We expect that the majority of the remaining liabi</w:t>
      </w:r>
      <w:r>
        <w:rPr>
          <w:rFonts w:eastAsia="Times New Roman"/>
          <w:color w:val="000000"/>
          <w:sz w:val="20"/>
          <w:szCs w:val="20"/>
        </w:rPr>
        <w:t>lities as of April 2, 2021 will be paid in the next twelve months.</w:t>
      </w:r>
    </w:p>
    <w:p w:rsidR="00000000" w:rsidRDefault="0039054C">
      <w:pPr>
        <w:ind w:firstLine="450"/>
        <w:divId w:val="519897580"/>
        <w:rPr>
          <w:rFonts w:eastAsia="Times New Roman"/>
        </w:rPr>
      </w:pPr>
      <w:r>
        <w:rPr>
          <w:rFonts w:eastAsia="Times New Roman"/>
          <w:i/>
          <w:iCs/>
          <w:color w:val="000000"/>
          <w:sz w:val="20"/>
          <w:szCs w:val="20"/>
        </w:rPr>
        <w:t xml:space="preserve">COVID-Related Restructuring Costs. </w:t>
      </w:r>
      <w:r>
        <w:rPr>
          <w:rFonts w:eastAsia="Times New Roman"/>
          <w:color w:val="000000"/>
          <w:sz w:val="20"/>
          <w:szCs w:val="20"/>
        </w:rPr>
        <w:t xml:space="preserve">During fiscal 2020, we recorded $15 million of restructuring charges for workforce reductions, including severance and other employee-related exit costs, </w:t>
      </w:r>
      <w:r>
        <w:rPr>
          <w:rFonts w:eastAsia="Times New Roman"/>
          <w:color w:val="000000"/>
          <w:sz w:val="20"/>
          <w:szCs w:val="20"/>
        </w:rPr>
        <w:t>within our Aviation Systems segment associated with the COVID-related downturn in our Commercial Aviation Solutions sector and its impact on global air traffic and customer operations, including $3 million recorded in the quarter ended April 3, 2020. At Ap</w:t>
      </w:r>
      <w:r>
        <w:rPr>
          <w:rFonts w:eastAsia="Times New Roman"/>
          <w:color w:val="000000"/>
          <w:sz w:val="20"/>
          <w:szCs w:val="20"/>
        </w:rPr>
        <w:t xml:space="preserve">ril 2, 2021, we had liabilities of $7 million </w:t>
      </w:r>
    </w:p>
    <w:p w:rsidR="00000000" w:rsidRDefault="0039054C">
      <w:pPr>
        <w:ind w:firstLine="450"/>
        <w:jc w:val="center"/>
        <w:divId w:val="1175610278"/>
        <w:rPr>
          <w:rFonts w:eastAsia="Times New Roman"/>
        </w:rPr>
      </w:pPr>
      <w:r>
        <w:rPr>
          <w:rFonts w:eastAsia="Times New Roman"/>
          <w:color w:val="000000"/>
          <w:sz w:val="20"/>
          <w:szCs w:val="20"/>
        </w:rPr>
        <w:t>10</w:t>
      </w:r>
    </w:p>
    <w:p w:rsidR="00000000" w:rsidRDefault="0039054C">
      <w:pPr>
        <w:rPr>
          <w:rFonts w:eastAsia="Times New Roman"/>
        </w:rPr>
      </w:pPr>
      <w:r>
        <w:rPr>
          <w:rFonts w:eastAsia="Times New Roman"/>
        </w:rPr>
        <w:pict>
          <v:rect id="_x0000_i1037" style="width:0;height:1.5pt" o:hralign="center" o:hrstd="t" o:hr="t" fillcolor="#a0a0a0" stroked="f"/>
        </w:pict>
      </w:r>
    </w:p>
    <w:p w:rsidR="00000000" w:rsidRDefault="0039054C">
      <w:pPr>
        <w:ind w:firstLine="450"/>
        <w:divId w:val="2110345688"/>
        <w:rPr>
          <w:rFonts w:eastAsia="Times New Roman"/>
        </w:rPr>
      </w:pPr>
    </w:p>
    <w:p w:rsidR="00000000" w:rsidRDefault="0039054C">
      <w:pPr>
        <w:ind w:firstLine="450"/>
        <w:divId w:val="2072577432"/>
        <w:rPr>
          <w:rFonts w:eastAsia="Times New Roman"/>
        </w:rPr>
      </w:pPr>
    </w:p>
    <w:p w:rsidR="00000000" w:rsidRDefault="0039054C">
      <w:pPr>
        <w:divId w:val="1314214803"/>
        <w:rPr>
          <w:rFonts w:eastAsia="Times New Roman"/>
        </w:rPr>
      </w:pPr>
      <w:r>
        <w:rPr>
          <w:rFonts w:eastAsia="Times New Roman"/>
          <w:color w:val="000000"/>
          <w:sz w:val="20"/>
          <w:szCs w:val="20"/>
        </w:rPr>
        <w:t>associated with these restructuring actions. We expect that the majority of the remaining liabilities as of April 2, 2021 will be paid in the next twelve months.</w:t>
      </w:r>
    </w:p>
    <w:p w:rsidR="00000000" w:rsidRDefault="0039054C">
      <w:pPr>
        <w:ind w:firstLine="450"/>
        <w:divId w:val="1479105235"/>
        <w:rPr>
          <w:rFonts w:eastAsia="Times New Roman"/>
        </w:rPr>
      </w:pPr>
      <w:r>
        <w:rPr>
          <w:rFonts w:eastAsia="Times New Roman"/>
          <w:color w:val="000000"/>
          <w:sz w:val="20"/>
          <w:szCs w:val="20"/>
        </w:rPr>
        <w:t xml:space="preserve">Our </w:t>
      </w:r>
      <w:r>
        <w:rPr>
          <w:rFonts w:eastAsia="Times New Roman"/>
          <w:color w:val="000000"/>
          <w:sz w:val="20"/>
          <w:szCs w:val="20"/>
        </w:rPr>
        <w:t>liabilities for restructuring and other exit costs are included in the “Compensation and benefits,” “Other accrued items” and “Other long-term liabilities” line items in our Condensed Consolidated Balance Sheet (Unaudited). Changes to our liabilities for r</w:t>
      </w:r>
      <w:r>
        <w:rPr>
          <w:rFonts w:eastAsia="Times New Roman"/>
          <w:color w:val="000000"/>
          <w:sz w:val="20"/>
          <w:szCs w:val="20"/>
        </w:rPr>
        <w:t xml:space="preserve">estructuring and other exit costs during the quarter ended April 2, 2021 were as follows: </w:t>
      </w:r>
    </w:p>
    <w:tbl>
      <w:tblPr>
        <w:tblW w:w="5000" w:type="pct"/>
        <w:tblCellMar>
          <w:top w:w="15" w:type="dxa"/>
          <w:left w:w="15" w:type="dxa"/>
          <w:bottom w:w="15" w:type="dxa"/>
          <w:right w:w="15" w:type="dxa"/>
        </w:tblCellMar>
        <w:tblLook w:val="04A0" w:firstRow="1" w:lastRow="0" w:firstColumn="1" w:lastColumn="0" w:noHBand="0" w:noVBand="1"/>
      </w:tblPr>
      <w:tblGrid>
        <w:gridCol w:w="49"/>
        <w:gridCol w:w="6500"/>
        <w:gridCol w:w="37"/>
        <w:gridCol w:w="121"/>
        <w:gridCol w:w="1419"/>
        <w:gridCol w:w="36"/>
        <w:gridCol w:w="36"/>
        <w:gridCol w:w="36"/>
        <w:gridCol w:w="36"/>
        <w:gridCol w:w="36"/>
      </w:tblGrid>
      <w:tr w:rsidR="00000000">
        <w:trPr>
          <w:divId w:val="970480176"/>
        </w:trPr>
        <w:tc>
          <w:tcPr>
            <w:tcW w:w="50" w:type="pct"/>
            <w:vAlign w:val="center"/>
            <w:hideMark/>
          </w:tcPr>
          <w:p w:rsidR="00000000" w:rsidRDefault="0039054C">
            <w:pPr>
              <w:ind w:firstLine="450"/>
              <w:rPr>
                <w:rFonts w:eastAsia="Times New Roman"/>
              </w:rPr>
            </w:pPr>
          </w:p>
        </w:tc>
        <w:tc>
          <w:tcPr>
            <w:tcW w:w="400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8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Payments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048017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Balance at April 2,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bl>
    <w:p w:rsidR="00000000" w:rsidRDefault="0039054C">
      <w:pPr>
        <w:divId w:val="2027362758"/>
        <w:rPr>
          <w:rFonts w:eastAsia="Times New Roman"/>
        </w:rPr>
      </w:pPr>
      <w:r>
        <w:rPr>
          <w:rFonts w:eastAsia="Times New Roman"/>
          <w:b/>
          <w:bCs/>
          <w:color w:val="000000"/>
          <w:sz w:val="20"/>
          <w:szCs w:val="20"/>
        </w:rPr>
        <w:t xml:space="preserve">Note E — Accumulated Other Comprehensive Income (Loss) ("AOCI") </w:t>
      </w:r>
    </w:p>
    <w:p w:rsidR="00000000" w:rsidRDefault="0039054C">
      <w:pPr>
        <w:ind w:firstLine="450"/>
        <w:divId w:val="1658802424"/>
        <w:rPr>
          <w:rFonts w:eastAsia="Times New Roman"/>
        </w:rPr>
      </w:pPr>
      <w:r>
        <w:rPr>
          <w:rFonts w:eastAsia="Times New Roman"/>
          <w:color w:val="000000"/>
          <w:sz w:val="20"/>
          <w:szCs w:val="20"/>
        </w:rPr>
        <w:t>The components of AOCI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4254"/>
        <w:gridCol w:w="39"/>
        <w:gridCol w:w="121"/>
        <w:gridCol w:w="728"/>
        <w:gridCol w:w="36"/>
        <w:gridCol w:w="36"/>
        <w:gridCol w:w="36"/>
        <w:gridCol w:w="36"/>
        <w:gridCol w:w="121"/>
        <w:gridCol w:w="731"/>
        <w:gridCol w:w="36"/>
        <w:gridCol w:w="36"/>
        <w:gridCol w:w="36"/>
        <w:gridCol w:w="36"/>
        <w:gridCol w:w="121"/>
        <w:gridCol w:w="953"/>
        <w:gridCol w:w="36"/>
        <w:gridCol w:w="36"/>
        <w:gridCol w:w="36"/>
        <w:gridCol w:w="36"/>
        <w:gridCol w:w="120"/>
        <w:gridCol w:w="610"/>
        <w:gridCol w:w="36"/>
      </w:tblGrid>
      <w:tr w:rsidR="00000000">
        <w:trPr>
          <w:divId w:val="1900557236"/>
        </w:trPr>
        <w:tc>
          <w:tcPr>
            <w:tcW w:w="50" w:type="pct"/>
            <w:vAlign w:val="center"/>
            <w:hideMark/>
          </w:tcPr>
          <w:p w:rsidR="00000000" w:rsidRDefault="0039054C">
            <w:pPr>
              <w:ind w:firstLine="450"/>
              <w:rPr>
                <w:rFonts w:eastAsia="Times New Roman"/>
              </w:rPr>
            </w:pPr>
          </w:p>
        </w:tc>
        <w:tc>
          <w:tcPr>
            <w:tcW w:w="261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1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2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900557236"/>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Foreign currency translation</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Net unrealized losses on hedging derivatives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Unrecognized postretirement obligations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Total AOCI</w:t>
            </w:r>
          </w:p>
        </w:tc>
      </w:tr>
      <w:tr w:rsidR="00000000">
        <w:trPr>
          <w:divId w:val="1900557236"/>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90055723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(701)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(839)</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comprehensive (loss) income, before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Other comprehensive (loss) income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20" w:type="dxa"/>
              <w:bottom w:w="30" w:type="dxa"/>
              <w:right w:w="20" w:type="dxa"/>
            </w:tcMar>
            <w:vAlign w:val="bottom"/>
            <w:hideMark/>
          </w:tcPr>
          <w:p w:rsidR="00000000" w:rsidRDefault="0039054C">
            <w:pPr>
              <w:ind w:hanging="270"/>
              <w:divId w:val="1593733451"/>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comprehensive (loss) income,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Balance at April 2,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(854)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Height w:val="300"/>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90055723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(372)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(508)</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comprehensive loss, before 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Other comprehensive loss before reclassifications to earnings,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20" w:type="dxa"/>
              <w:bottom w:w="30" w:type="dxa"/>
              <w:right w:w="20" w:type="dxa"/>
            </w:tcMar>
            <w:vAlign w:val="bottom"/>
            <w:hideMark/>
          </w:tcPr>
          <w:p w:rsidR="00000000" w:rsidRDefault="0039054C">
            <w:pPr>
              <w:ind w:hanging="270"/>
              <w:divId w:val="1821924396"/>
              <w:rPr>
                <w:rFonts w:eastAsia="Times New Roman"/>
              </w:rPr>
            </w:pPr>
            <w:r>
              <w:rPr>
                <w:rFonts w:eastAsia="Times New Roman"/>
                <w:color w:val="000000"/>
                <w:sz w:val="20"/>
                <w:szCs w:val="20"/>
              </w:rPr>
              <w:t>Losses (gains) reclassified to earning</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Losses (gains) reclassified to earnings, net of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 comprehensive loss, net of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0055723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Balance at April 3,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717242614"/>
        <w:rPr>
          <w:rFonts w:eastAsia="Times New Roman"/>
        </w:rPr>
      </w:pPr>
      <w:r>
        <w:rPr>
          <w:rFonts w:eastAsia="Times New Roman"/>
          <w:color w:val="000000"/>
          <w:sz w:val="16"/>
          <w:szCs w:val="16"/>
        </w:rPr>
        <w:t>_______________</w:t>
      </w:r>
    </w:p>
    <w:p w:rsidR="00000000" w:rsidRDefault="0039054C">
      <w:pPr>
        <w:ind w:hanging="360"/>
        <w:divId w:val="676425432"/>
        <w:rPr>
          <w:rFonts w:eastAsia="Times New Roman"/>
        </w:rPr>
      </w:pPr>
      <w:r>
        <w:rPr>
          <w:rFonts w:eastAsia="Times New Roman"/>
          <w:color w:val="000000"/>
          <w:sz w:val="16"/>
          <w:szCs w:val="16"/>
        </w:rPr>
        <w:t xml:space="preserve">(1)Losses (gains) reclassified to earnings are included in the “Revenue </w:t>
      </w:r>
      <w:r>
        <w:rPr>
          <w:rFonts w:eastAsia="Times New Roman"/>
          <w:color w:val="000000"/>
          <w:sz w:val="16"/>
          <w:szCs w:val="16"/>
        </w:rPr>
        <w:t>from product sales and services,” “Business divestiture-related losses,” “Interest expense” and “Non-operating income” line items in our Condensed Consolidated Statement of Income (Unaudited).</w:t>
      </w:r>
    </w:p>
    <w:p w:rsidR="00000000" w:rsidRDefault="0039054C">
      <w:pPr>
        <w:divId w:val="109210451"/>
        <w:rPr>
          <w:rFonts w:eastAsia="Times New Roman"/>
        </w:rPr>
      </w:pPr>
      <w:r>
        <w:rPr>
          <w:rFonts w:eastAsia="Times New Roman"/>
          <w:b/>
          <w:bCs/>
          <w:color w:val="000000"/>
          <w:sz w:val="20"/>
          <w:szCs w:val="20"/>
        </w:rPr>
        <w:t xml:space="preserve">Note F — Receivables </w:t>
      </w:r>
    </w:p>
    <w:p w:rsidR="00000000" w:rsidRDefault="0039054C">
      <w:pPr>
        <w:ind w:firstLine="450"/>
        <w:jc w:val="both"/>
        <w:divId w:val="2022391285"/>
        <w:rPr>
          <w:rFonts w:eastAsia="Times New Roman"/>
        </w:rPr>
      </w:pPr>
      <w:r>
        <w:rPr>
          <w:rFonts w:eastAsia="Times New Roman"/>
          <w:color w:val="000000"/>
          <w:sz w:val="20"/>
          <w:szCs w:val="20"/>
        </w:rPr>
        <w:t>Receivables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7"/>
        <w:gridCol w:w="120"/>
        <w:gridCol w:w="1079"/>
        <w:gridCol w:w="36"/>
        <w:gridCol w:w="36"/>
        <w:gridCol w:w="36"/>
        <w:gridCol w:w="36"/>
        <w:gridCol w:w="120"/>
        <w:gridCol w:w="1046"/>
        <w:gridCol w:w="36"/>
      </w:tblGrid>
      <w:tr w:rsidR="00000000">
        <w:trPr>
          <w:divId w:val="1377971427"/>
        </w:trPr>
        <w:tc>
          <w:tcPr>
            <w:tcW w:w="50" w:type="pct"/>
            <w:vAlign w:val="center"/>
            <w:hideMark/>
          </w:tcPr>
          <w:p w:rsidR="00000000" w:rsidRDefault="0039054C">
            <w:pPr>
              <w:ind w:firstLine="450"/>
              <w:jc w:val="both"/>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37797142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1377971427"/>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377971427"/>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Accounts receivable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1,125 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1,369 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77971427"/>
        </w:trPr>
        <w:tc>
          <w:tcPr>
            <w:tcW w:w="0" w:type="auto"/>
            <w:gridSpan w:val="3"/>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Less allowance for credit losses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w:t>
            </w:r>
          </w:p>
        </w:tc>
        <w:tc>
          <w:tcPr>
            <w:tcW w:w="0" w:type="auto"/>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77971427"/>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Receivables, net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divId w:val="569729586"/>
        <w:rPr>
          <w:rFonts w:eastAsia="Times New Roman"/>
        </w:rPr>
      </w:pPr>
      <w:r>
        <w:rPr>
          <w:rFonts w:eastAsia="Times New Roman"/>
          <w:color w:val="000000"/>
          <w:sz w:val="20"/>
          <w:szCs w:val="20"/>
        </w:rPr>
        <w:t xml:space="preserve">We have two </w:t>
      </w:r>
      <w:r>
        <w:rPr>
          <w:rFonts w:eastAsia="Times New Roman"/>
          <w:color w:val="000000"/>
          <w:sz w:val="20"/>
          <w:szCs w:val="20"/>
        </w:rPr>
        <w:t xml:space="preserve">receivables sale agreements (“RSAs”) with third-party financial institutions that permit us to sell, on a non-recourse basis, up to $100 million each of outstanding receivables at any given time. From time to time, we have sold certain </w:t>
      </w:r>
    </w:p>
    <w:p w:rsidR="00000000" w:rsidRDefault="0039054C">
      <w:pPr>
        <w:ind w:firstLine="450"/>
        <w:jc w:val="center"/>
        <w:divId w:val="914170627"/>
        <w:rPr>
          <w:rFonts w:eastAsia="Times New Roman"/>
        </w:rPr>
      </w:pPr>
      <w:r>
        <w:rPr>
          <w:rFonts w:eastAsia="Times New Roman"/>
          <w:color w:val="000000"/>
          <w:sz w:val="20"/>
          <w:szCs w:val="20"/>
        </w:rPr>
        <w:t>11</w:t>
      </w:r>
    </w:p>
    <w:p w:rsidR="00000000" w:rsidRDefault="0039054C">
      <w:pPr>
        <w:rPr>
          <w:rFonts w:eastAsia="Times New Roman"/>
        </w:rPr>
      </w:pPr>
      <w:r>
        <w:rPr>
          <w:rFonts w:eastAsia="Times New Roman"/>
        </w:rPr>
        <w:pict>
          <v:rect id="_x0000_i1038" style="width:0;height:1.5pt" o:hralign="center" o:hrstd="t" o:hr="t" fillcolor="#a0a0a0" stroked="f"/>
        </w:pict>
      </w:r>
    </w:p>
    <w:p w:rsidR="00000000" w:rsidRDefault="0039054C">
      <w:pPr>
        <w:ind w:firstLine="450"/>
        <w:divId w:val="880940853"/>
        <w:rPr>
          <w:rFonts w:eastAsia="Times New Roman"/>
        </w:rPr>
      </w:pPr>
    </w:p>
    <w:p w:rsidR="00000000" w:rsidRDefault="0039054C">
      <w:pPr>
        <w:ind w:firstLine="450"/>
        <w:divId w:val="1394694014"/>
        <w:rPr>
          <w:rFonts w:eastAsia="Times New Roman"/>
        </w:rPr>
      </w:pPr>
    </w:p>
    <w:p w:rsidR="00000000" w:rsidRDefault="0039054C">
      <w:pPr>
        <w:divId w:val="650135867"/>
        <w:rPr>
          <w:rFonts w:eastAsia="Times New Roman"/>
        </w:rPr>
      </w:pPr>
      <w:r>
        <w:rPr>
          <w:rFonts w:eastAsia="Times New Roman"/>
          <w:color w:val="000000"/>
          <w:sz w:val="20"/>
          <w:szCs w:val="20"/>
        </w:rPr>
        <w:t>customer receivables under the RSAs, which we continue to service and collect on behalf of the third-party financial institutions and which we account for as sales of receivables with sale proceeds included in net ca</w:t>
      </w:r>
      <w:r>
        <w:rPr>
          <w:rFonts w:eastAsia="Times New Roman"/>
          <w:color w:val="000000"/>
          <w:sz w:val="20"/>
          <w:szCs w:val="20"/>
        </w:rPr>
        <w:t>sh from operating activities. Outstanding accounts receivable sold pursuant to the RSAs were not material at April 2, 2021 or January 1, 2021.</w:t>
      </w:r>
    </w:p>
    <w:p w:rsidR="00000000" w:rsidRDefault="0039054C">
      <w:pPr>
        <w:divId w:val="2125420343"/>
        <w:rPr>
          <w:rFonts w:eastAsia="Times New Roman"/>
        </w:rPr>
      </w:pPr>
      <w:r>
        <w:rPr>
          <w:rFonts w:eastAsia="Times New Roman"/>
          <w:b/>
          <w:bCs/>
          <w:color w:val="000000"/>
          <w:sz w:val="20"/>
          <w:szCs w:val="20"/>
        </w:rPr>
        <w:t xml:space="preserve">Note G — Contract Assets and Contract Liabilities </w:t>
      </w:r>
    </w:p>
    <w:p w:rsidR="00000000" w:rsidRDefault="0039054C">
      <w:pPr>
        <w:ind w:firstLine="450"/>
        <w:divId w:val="42171725"/>
        <w:rPr>
          <w:rFonts w:eastAsia="Times New Roman"/>
        </w:rPr>
      </w:pPr>
      <w:r>
        <w:rPr>
          <w:rFonts w:eastAsia="Times New Roman"/>
          <w:color w:val="000000"/>
          <w:sz w:val="20"/>
          <w:szCs w:val="20"/>
        </w:rPr>
        <w:t>Contract assets include unbilled amounts typically resulting f</w:t>
      </w:r>
      <w:r>
        <w:rPr>
          <w:rFonts w:eastAsia="Times New Roman"/>
          <w:color w:val="000000"/>
          <w:sz w:val="20"/>
          <w:szCs w:val="20"/>
        </w:rPr>
        <w:t>rom revenue recognized exceeding amounts billed to customers for contracts utilizing the percentage of completion (“POC”) cost-to-cost revenue recognition method. We bill customers as work progresses in accordance with agreed-upon contractual terms, either</w:t>
      </w:r>
      <w:r>
        <w:rPr>
          <w:rFonts w:eastAsia="Times New Roman"/>
          <w:color w:val="000000"/>
          <w:sz w:val="20"/>
          <w:szCs w:val="20"/>
        </w:rPr>
        <w:t xml:space="preserve"> at periodic intervals, upon achievement of contractual milestones or upon deliveries and, in certain arrangements, the customer may withhold payment of a small portion of the contract price until contract completion. Contract liabilities include advance p</w:t>
      </w:r>
      <w:r>
        <w:rPr>
          <w:rFonts w:eastAsia="Times New Roman"/>
          <w:color w:val="000000"/>
          <w:sz w:val="20"/>
          <w:szCs w:val="20"/>
        </w:rPr>
        <w:t xml:space="preserve">ayments and billings in excess of revenue recognized, including deferred revenue associated with extended product warranties. Contract assets and liabilities are reported on a contract-by-contract basis at the end of each reporting period. </w:t>
      </w:r>
    </w:p>
    <w:p w:rsidR="00000000" w:rsidRDefault="0039054C">
      <w:pPr>
        <w:ind w:firstLine="450"/>
        <w:divId w:val="266542913"/>
        <w:rPr>
          <w:rFonts w:eastAsia="Times New Roman"/>
        </w:rPr>
      </w:pPr>
      <w:r>
        <w:rPr>
          <w:rFonts w:eastAsia="Times New Roman"/>
          <w:color w:val="000000"/>
          <w:sz w:val="20"/>
          <w:szCs w:val="20"/>
        </w:rPr>
        <w:t>Contract assets</w:t>
      </w:r>
      <w:r>
        <w:rPr>
          <w:rFonts w:eastAsia="Times New Roman"/>
          <w:color w:val="000000"/>
          <w:sz w:val="20"/>
          <w:szCs w:val="20"/>
        </w:rPr>
        <w:t xml:space="preserve"> and liabilities in the quarter ended April 2, 2021 were impacted primarily by reclassifications to assets and liabilities of disposal groups held for sale, accelerated progress payments due to the U.S. Government's increase in the progress payment rate fr</w:t>
      </w:r>
      <w:r>
        <w:rPr>
          <w:rFonts w:eastAsia="Times New Roman"/>
          <w:color w:val="000000"/>
          <w:sz w:val="20"/>
          <w:szCs w:val="20"/>
        </w:rPr>
        <w:t xml:space="preserve">om 80 percent to 90 percent and the timing of contractual billing milestones. See </w:t>
      </w:r>
      <w:r>
        <w:rPr>
          <w:rFonts w:eastAsia="Times New Roman"/>
          <w:i/>
          <w:iCs/>
          <w:color w:val="000000"/>
          <w:sz w:val="20"/>
          <w:szCs w:val="20"/>
        </w:rPr>
        <w:t>Note B — Business Divestitures</w:t>
      </w:r>
      <w:r>
        <w:rPr>
          <w:rFonts w:eastAsia="Times New Roman"/>
          <w:color w:val="000000"/>
          <w:sz w:val="20"/>
          <w:szCs w:val="20"/>
        </w:rPr>
        <w:t xml:space="preserve"> in these Notes for additional information regarding assets and liabilities held for sale. </w:t>
      </w:r>
    </w:p>
    <w:p w:rsidR="00000000" w:rsidRDefault="0039054C">
      <w:pPr>
        <w:ind w:firstLine="450"/>
        <w:jc w:val="both"/>
        <w:divId w:val="193738285"/>
        <w:rPr>
          <w:rFonts w:eastAsia="Times New Roman"/>
        </w:rPr>
      </w:pPr>
      <w:r>
        <w:rPr>
          <w:rFonts w:eastAsia="Times New Roman"/>
          <w:color w:val="000000"/>
          <w:sz w:val="20"/>
          <w:szCs w:val="20"/>
        </w:rPr>
        <w:t>Contract assets and contract liabilities are summari</w:t>
      </w:r>
      <w:r>
        <w:rPr>
          <w:rFonts w:eastAsia="Times New Roman"/>
          <w:color w:val="000000"/>
          <w:sz w:val="20"/>
          <w:szCs w:val="20"/>
        </w:rPr>
        <w:t>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1"/>
        <w:gridCol w:w="36"/>
        <w:gridCol w:w="36"/>
        <w:gridCol w:w="36"/>
        <w:gridCol w:w="36"/>
        <w:gridCol w:w="120"/>
        <w:gridCol w:w="1046"/>
        <w:gridCol w:w="36"/>
      </w:tblGrid>
      <w:tr w:rsidR="00000000">
        <w:trPr>
          <w:divId w:val="338386080"/>
        </w:trPr>
        <w:tc>
          <w:tcPr>
            <w:tcW w:w="50" w:type="pct"/>
            <w:vAlign w:val="center"/>
            <w:hideMark/>
          </w:tcPr>
          <w:p w:rsidR="00000000" w:rsidRDefault="0039054C">
            <w:pPr>
              <w:ind w:firstLine="450"/>
              <w:jc w:val="both"/>
              <w:rPr>
                <w:rFonts w:eastAsia="Times New Roman"/>
              </w:rPr>
            </w:pPr>
          </w:p>
        </w:tc>
        <w:tc>
          <w:tcPr>
            <w:tcW w:w="341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338386080"/>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338386080"/>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338386080"/>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Contract assets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2,577 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2,437 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338386080"/>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Contract liabilities, current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(1,189)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338386080"/>
        </w:trPr>
        <w:tc>
          <w:tcPr>
            <w:tcW w:w="0" w:type="auto"/>
            <w:gridSpan w:val="3"/>
            <w:shd w:val="clear" w:color="auto" w:fill="CCEEFF"/>
            <w:tcMar>
              <w:top w:w="30" w:type="dxa"/>
              <w:left w:w="20" w:type="dxa"/>
              <w:bottom w:w="30" w:type="dxa"/>
              <w:right w:w="20" w:type="dxa"/>
            </w:tcMar>
            <w:hideMark/>
          </w:tcPr>
          <w:p w:rsidR="00000000" w:rsidRDefault="0039054C">
            <w:pPr>
              <w:divId w:val="2130467850"/>
              <w:rPr>
                <w:rFonts w:eastAsia="Times New Roman"/>
              </w:rPr>
            </w:pPr>
            <w:r>
              <w:rPr>
                <w:rFonts w:eastAsia="Times New Roman"/>
                <w:color w:val="000000"/>
                <w:sz w:val="20"/>
                <w:szCs w:val="20"/>
              </w:rPr>
              <w:t>Contract liabilities, non-curren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338386080"/>
        </w:trPr>
        <w:tc>
          <w:tcPr>
            <w:tcW w:w="0" w:type="auto"/>
            <w:gridSpan w:val="3"/>
            <w:shd w:val="clear" w:color="auto" w:fill="FFFF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Net contract assets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278999496"/>
        <w:rPr>
          <w:rFonts w:eastAsia="Times New Roman"/>
        </w:rPr>
      </w:pPr>
      <w:r>
        <w:rPr>
          <w:rFonts w:eastAsia="Times New Roman"/>
          <w:color w:val="000000"/>
          <w:sz w:val="16"/>
          <w:szCs w:val="16"/>
        </w:rPr>
        <w:t>_______________</w:t>
      </w:r>
    </w:p>
    <w:p w:rsidR="00000000" w:rsidRDefault="0039054C">
      <w:pPr>
        <w:ind w:hanging="360"/>
        <w:divId w:val="1368141827"/>
        <w:rPr>
          <w:rFonts w:eastAsia="Times New Roman"/>
        </w:rPr>
      </w:pPr>
      <w:r>
        <w:rPr>
          <w:rFonts w:eastAsia="Times New Roman"/>
          <w:color w:val="000000"/>
          <w:sz w:val="16"/>
          <w:szCs w:val="16"/>
        </w:rPr>
        <w:t xml:space="preserve">(1)The non-current portion of contract liabilities is included as a component of the “Other long-term liabilities” </w:t>
      </w:r>
      <w:r>
        <w:rPr>
          <w:rFonts w:eastAsia="Times New Roman"/>
          <w:color w:val="000000"/>
          <w:sz w:val="16"/>
          <w:szCs w:val="16"/>
        </w:rPr>
        <w:t>line item in our Condensed Consolidated Balance Sheet (Unaudited).</w:t>
      </w:r>
    </w:p>
    <w:p w:rsidR="00000000" w:rsidRDefault="0039054C">
      <w:pPr>
        <w:ind w:firstLine="450"/>
        <w:jc w:val="both"/>
        <w:divId w:val="1904900894"/>
        <w:rPr>
          <w:rFonts w:eastAsia="Times New Roman"/>
        </w:rPr>
      </w:pPr>
      <w:r>
        <w:rPr>
          <w:rFonts w:eastAsia="Times New Roman"/>
          <w:color w:val="000000"/>
          <w:sz w:val="20"/>
          <w:szCs w:val="20"/>
        </w:rPr>
        <w:t>The components of contract assets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8"/>
        <w:gridCol w:w="36"/>
        <w:gridCol w:w="120"/>
        <w:gridCol w:w="1081"/>
        <w:gridCol w:w="36"/>
        <w:gridCol w:w="36"/>
        <w:gridCol w:w="36"/>
        <w:gridCol w:w="36"/>
        <w:gridCol w:w="120"/>
        <w:gridCol w:w="1046"/>
        <w:gridCol w:w="36"/>
      </w:tblGrid>
      <w:tr w:rsidR="00000000">
        <w:trPr>
          <w:divId w:val="1712220332"/>
        </w:trPr>
        <w:tc>
          <w:tcPr>
            <w:tcW w:w="50" w:type="pct"/>
            <w:vAlign w:val="center"/>
            <w:hideMark/>
          </w:tcPr>
          <w:p w:rsidR="00000000" w:rsidRDefault="0039054C">
            <w:pPr>
              <w:ind w:firstLine="450"/>
              <w:jc w:val="both"/>
              <w:rPr>
                <w:rFonts w:eastAsia="Times New Roman"/>
              </w:rPr>
            </w:pPr>
          </w:p>
        </w:tc>
        <w:tc>
          <w:tcPr>
            <w:tcW w:w="341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71222033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1712220332"/>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712220332"/>
        </w:trPr>
        <w:tc>
          <w:tcPr>
            <w:tcW w:w="0" w:type="auto"/>
            <w:gridSpan w:val="3"/>
            <w:shd w:val="clear" w:color="auto" w:fill="CCEEFF"/>
            <w:tcMar>
              <w:top w:w="30" w:type="dxa"/>
              <w:left w:w="155" w:type="dxa"/>
              <w:bottom w:w="30" w:type="dxa"/>
              <w:right w:w="20" w:type="dxa"/>
            </w:tcMar>
            <w:hideMark/>
          </w:tcPr>
          <w:p w:rsidR="00000000" w:rsidRDefault="0039054C">
            <w:pPr>
              <w:rPr>
                <w:rFonts w:eastAsia="Times New Roman"/>
              </w:rPr>
            </w:pPr>
            <w:r>
              <w:rPr>
                <w:rFonts w:eastAsia="Times New Roman"/>
                <w:color w:val="000000"/>
                <w:sz w:val="20"/>
                <w:szCs w:val="20"/>
              </w:rPr>
              <w:t>Unbilled contract receivables, gross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4,441 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4,268 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12220332"/>
        </w:trPr>
        <w:tc>
          <w:tcPr>
            <w:tcW w:w="0" w:type="auto"/>
            <w:gridSpan w:val="3"/>
            <w:shd w:val="clear" w:color="auto" w:fill="FFFFFF"/>
            <w:tcMar>
              <w:top w:w="30" w:type="dxa"/>
              <w:left w:w="155" w:type="dxa"/>
              <w:bottom w:w="30" w:type="dxa"/>
              <w:right w:w="20" w:type="dxa"/>
            </w:tcMar>
            <w:hideMark/>
          </w:tcPr>
          <w:p w:rsidR="00000000" w:rsidRDefault="0039054C">
            <w:pPr>
              <w:rPr>
                <w:rFonts w:eastAsia="Times New Roman"/>
              </w:rPr>
            </w:pPr>
            <w:r>
              <w:rPr>
                <w:rFonts w:eastAsia="Times New Roman"/>
                <w:color w:val="000000"/>
                <w:sz w:val="20"/>
                <w:szCs w:val="20"/>
              </w:rPr>
              <w:t>Progress payments and advances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(1,864)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(1,831)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712220332"/>
        </w:trPr>
        <w:tc>
          <w:tcPr>
            <w:tcW w:w="0" w:type="auto"/>
            <w:gridSpan w:val="3"/>
            <w:shd w:val="clear" w:color="auto" w:fill="CCEEFF"/>
            <w:tcMar>
              <w:top w:w="30" w:type="dxa"/>
              <w:left w:w="35" w:type="dxa"/>
              <w:bottom w:w="30" w:type="dxa"/>
              <w:right w:w="20" w:type="dxa"/>
            </w:tcMar>
            <w:hideMark/>
          </w:tcPr>
          <w:p w:rsidR="00000000" w:rsidRDefault="0039054C">
            <w:pPr>
              <w:rPr>
                <w:rFonts w:eastAsia="Times New Roman"/>
              </w:rPr>
            </w:pPr>
            <w:r>
              <w:rPr>
                <w:rFonts w:eastAsia="Times New Roman"/>
                <w:color w:val="000000"/>
                <w:sz w:val="20"/>
                <w:szCs w:val="20"/>
              </w:rPr>
              <w:t>Contract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2,577 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divId w:val="736560518"/>
        <w:rPr>
          <w:rFonts w:eastAsia="Times New Roman"/>
        </w:rPr>
      </w:pPr>
      <w:r>
        <w:rPr>
          <w:rFonts w:eastAsia="Times New Roman"/>
          <w:color w:val="000000"/>
          <w:sz w:val="20"/>
          <w:szCs w:val="20"/>
        </w:rPr>
        <w:t>Impairment losses related to our contract assets were not material for the quarters ended April 2, 2021 or April 3, 2020. Contract liabilities recognized as revenue that were outstanding at the end of the prior fiscal year were $508 million and $484 millio</w:t>
      </w:r>
      <w:r>
        <w:rPr>
          <w:rFonts w:eastAsia="Times New Roman"/>
          <w:color w:val="000000"/>
          <w:sz w:val="20"/>
          <w:szCs w:val="20"/>
        </w:rPr>
        <w:t>n for the quarters ended April 2, 2021 and April 3, 2020, respectively.</w:t>
      </w:r>
    </w:p>
    <w:p w:rsidR="00000000" w:rsidRDefault="0039054C">
      <w:pPr>
        <w:divId w:val="1747921152"/>
        <w:rPr>
          <w:rFonts w:eastAsia="Times New Roman"/>
        </w:rPr>
      </w:pPr>
      <w:r>
        <w:rPr>
          <w:rFonts w:eastAsia="Times New Roman"/>
          <w:b/>
          <w:bCs/>
          <w:color w:val="000000"/>
          <w:sz w:val="20"/>
          <w:szCs w:val="20"/>
        </w:rPr>
        <w:t xml:space="preserve">Note H — Inventories </w:t>
      </w:r>
    </w:p>
    <w:p w:rsidR="00000000" w:rsidRDefault="0039054C">
      <w:pPr>
        <w:ind w:firstLine="450"/>
        <w:divId w:val="1902862016"/>
        <w:rPr>
          <w:rFonts w:eastAsia="Times New Roman"/>
        </w:rPr>
      </w:pPr>
      <w:r>
        <w:rPr>
          <w:rFonts w:eastAsia="Times New Roman"/>
          <w:color w:val="000000"/>
          <w:sz w:val="20"/>
          <w:szCs w:val="20"/>
        </w:rPr>
        <w:t>Inventories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6"/>
        <w:gridCol w:w="38"/>
        <w:gridCol w:w="120"/>
        <w:gridCol w:w="1080"/>
        <w:gridCol w:w="36"/>
        <w:gridCol w:w="36"/>
        <w:gridCol w:w="36"/>
        <w:gridCol w:w="36"/>
        <w:gridCol w:w="121"/>
        <w:gridCol w:w="1046"/>
        <w:gridCol w:w="36"/>
      </w:tblGrid>
      <w:tr w:rsidR="00000000">
        <w:trPr>
          <w:divId w:val="1002660760"/>
        </w:trPr>
        <w:tc>
          <w:tcPr>
            <w:tcW w:w="50" w:type="pct"/>
            <w:vAlign w:val="center"/>
            <w:hideMark/>
          </w:tcPr>
          <w:p w:rsidR="00000000" w:rsidRDefault="0039054C">
            <w:pPr>
              <w:ind w:firstLine="450"/>
              <w:rPr>
                <w:rFonts w:eastAsia="Times New Roman"/>
              </w:rPr>
            </w:pPr>
          </w:p>
        </w:tc>
        <w:tc>
          <w:tcPr>
            <w:tcW w:w="341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002660760"/>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1002660760"/>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02660760"/>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Finished products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02660760"/>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Work in process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311 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02660760"/>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Raw materials and supplies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454 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470 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02660760"/>
        </w:trPr>
        <w:tc>
          <w:tcPr>
            <w:tcW w:w="0" w:type="auto"/>
            <w:gridSpan w:val="3"/>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Total inventories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973 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jc w:val="center"/>
        <w:divId w:val="1754857773"/>
        <w:rPr>
          <w:rFonts w:eastAsia="Times New Roman"/>
        </w:rPr>
      </w:pPr>
      <w:r>
        <w:rPr>
          <w:rFonts w:eastAsia="Times New Roman"/>
          <w:color w:val="000000"/>
          <w:sz w:val="20"/>
          <w:szCs w:val="20"/>
        </w:rPr>
        <w:t>12</w:t>
      </w:r>
    </w:p>
    <w:p w:rsidR="00000000" w:rsidRDefault="0039054C">
      <w:pPr>
        <w:rPr>
          <w:rFonts w:eastAsia="Times New Roman"/>
        </w:rPr>
      </w:pPr>
      <w:r>
        <w:rPr>
          <w:rFonts w:eastAsia="Times New Roman"/>
        </w:rPr>
        <w:pict>
          <v:rect id="_x0000_i1039" style="width:0;height:1.5pt" o:hralign="center" o:hrstd="t" o:hr="t" fillcolor="#a0a0a0" stroked="f"/>
        </w:pict>
      </w:r>
    </w:p>
    <w:p w:rsidR="00000000" w:rsidRDefault="0039054C">
      <w:pPr>
        <w:ind w:firstLine="450"/>
        <w:divId w:val="786237447"/>
        <w:rPr>
          <w:rFonts w:eastAsia="Times New Roman"/>
        </w:rPr>
      </w:pPr>
    </w:p>
    <w:p w:rsidR="00000000" w:rsidRDefault="0039054C">
      <w:pPr>
        <w:ind w:firstLine="450"/>
        <w:divId w:val="1980769945"/>
        <w:rPr>
          <w:rFonts w:eastAsia="Times New Roman"/>
        </w:rPr>
      </w:pPr>
    </w:p>
    <w:p w:rsidR="00000000" w:rsidRDefault="0039054C">
      <w:pPr>
        <w:divId w:val="1851679149"/>
        <w:rPr>
          <w:rFonts w:eastAsia="Times New Roman"/>
        </w:rPr>
      </w:pPr>
      <w:r>
        <w:rPr>
          <w:rFonts w:eastAsia="Times New Roman"/>
          <w:b/>
          <w:bCs/>
          <w:color w:val="000000"/>
          <w:sz w:val="20"/>
          <w:szCs w:val="20"/>
        </w:rPr>
        <w:t xml:space="preserve">Note I — Property, Plant and Equipment </w:t>
      </w:r>
    </w:p>
    <w:p w:rsidR="00000000" w:rsidRDefault="0039054C">
      <w:pPr>
        <w:ind w:firstLine="450"/>
        <w:jc w:val="both"/>
        <w:divId w:val="1337539348"/>
        <w:rPr>
          <w:rFonts w:eastAsia="Times New Roman"/>
        </w:rPr>
      </w:pPr>
      <w:r>
        <w:rPr>
          <w:rFonts w:eastAsia="Times New Roman"/>
          <w:color w:val="000000"/>
          <w:sz w:val="20"/>
          <w:szCs w:val="20"/>
        </w:rPr>
        <w:t>Property, plant and equipment are summarized below:</w:t>
      </w:r>
    </w:p>
    <w:tbl>
      <w:tblPr>
        <w:tblW w:w="4912" w:type="pct"/>
        <w:tblCellMar>
          <w:top w:w="15" w:type="dxa"/>
          <w:left w:w="15" w:type="dxa"/>
          <w:bottom w:w="15" w:type="dxa"/>
          <w:right w:w="15" w:type="dxa"/>
        </w:tblCellMar>
        <w:tblLook w:val="04A0" w:firstRow="1" w:lastRow="0" w:firstColumn="1" w:lastColumn="0" w:noHBand="0" w:noVBand="1"/>
      </w:tblPr>
      <w:tblGrid>
        <w:gridCol w:w="39"/>
        <w:gridCol w:w="5537"/>
        <w:gridCol w:w="37"/>
        <w:gridCol w:w="120"/>
        <w:gridCol w:w="1081"/>
        <w:gridCol w:w="36"/>
        <w:gridCol w:w="36"/>
        <w:gridCol w:w="36"/>
        <w:gridCol w:w="36"/>
        <w:gridCol w:w="120"/>
        <w:gridCol w:w="1046"/>
        <w:gridCol w:w="36"/>
      </w:tblGrid>
      <w:tr w:rsidR="00000000">
        <w:trPr>
          <w:divId w:val="855266688"/>
        </w:trPr>
        <w:tc>
          <w:tcPr>
            <w:tcW w:w="50" w:type="pct"/>
            <w:vAlign w:val="center"/>
            <w:hideMark/>
          </w:tcPr>
          <w:p w:rsidR="00000000" w:rsidRDefault="0039054C">
            <w:pPr>
              <w:ind w:firstLine="450"/>
              <w:jc w:val="both"/>
              <w:rPr>
                <w:rFonts w:eastAsia="Times New Roman"/>
              </w:rPr>
            </w:pPr>
          </w:p>
        </w:tc>
        <w:tc>
          <w:tcPr>
            <w:tcW w:w="341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855266688"/>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855266688"/>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855266688"/>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Land</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55266688"/>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Software capitalized for internal use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417 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55266688"/>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Buildings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1,202 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55266688"/>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Machinery and equipment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2,221 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2,265 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55266688"/>
        </w:trPr>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3,967 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3,869 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55266688"/>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Less accumulated 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(1,831)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(1,767)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55266688"/>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Total property, plant and equipment</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2,102 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divId w:val="789006548"/>
        <w:rPr>
          <w:rFonts w:eastAsia="Times New Roman"/>
        </w:rPr>
      </w:pPr>
      <w:r>
        <w:rPr>
          <w:rFonts w:eastAsia="Times New Roman"/>
          <w:color w:val="000000"/>
          <w:sz w:val="20"/>
          <w:szCs w:val="20"/>
        </w:rPr>
        <w:t>Depreciation and amortization expense related to property, plant and equipment was $84 million and $76 million for the quarters ended April 2, 2021 and April 3, 2020, respectively.</w:t>
      </w:r>
    </w:p>
    <w:p w:rsidR="00000000" w:rsidRDefault="0039054C">
      <w:pPr>
        <w:divId w:val="43215162"/>
        <w:rPr>
          <w:rFonts w:eastAsia="Times New Roman"/>
        </w:rPr>
      </w:pPr>
      <w:r>
        <w:rPr>
          <w:rFonts w:eastAsia="Times New Roman"/>
          <w:b/>
          <w:bCs/>
          <w:color w:val="000000"/>
          <w:sz w:val="20"/>
          <w:szCs w:val="20"/>
        </w:rPr>
        <w:t xml:space="preserve">Note J — Goodwill and Other Intangible Assets </w:t>
      </w:r>
    </w:p>
    <w:p w:rsidR="00000000" w:rsidRDefault="0039054C">
      <w:pPr>
        <w:divId w:val="15890369"/>
        <w:rPr>
          <w:rFonts w:eastAsia="Times New Roman"/>
        </w:rPr>
      </w:pPr>
      <w:r>
        <w:rPr>
          <w:rFonts w:eastAsia="Times New Roman"/>
          <w:b/>
          <w:bCs/>
          <w:color w:val="000000"/>
          <w:sz w:val="20"/>
          <w:szCs w:val="20"/>
        </w:rPr>
        <w:t>Goodwill</w:t>
      </w:r>
    </w:p>
    <w:p w:rsidR="00000000" w:rsidRDefault="0039054C">
      <w:pPr>
        <w:ind w:firstLine="450"/>
        <w:divId w:val="1081366034"/>
        <w:rPr>
          <w:rFonts w:eastAsia="Times New Roman"/>
        </w:rPr>
      </w:pPr>
      <w:r>
        <w:rPr>
          <w:rFonts w:eastAsia="Times New Roman"/>
          <w:color w:val="000000"/>
          <w:sz w:val="20"/>
          <w:szCs w:val="20"/>
        </w:rPr>
        <w:t>The assignment of goodwill by business segment, and changes in the carrying amount of goodwill by business segment, were as follows:</w:t>
      </w:r>
    </w:p>
    <w:tbl>
      <w:tblPr>
        <w:tblW w:w="4912" w:type="pct"/>
        <w:tblCellMar>
          <w:top w:w="15" w:type="dxa"/>
          <w:left w:w="15" w:type="dxa"/>
          <w:bottom w:w="15" w:type="dxa"/>
          <w:right w:w="15" w:type="dxa"/>
        </w:tblCellMar>
        <w:tblLook w:val="04A0" w:firstRow="1" w:lastRow="0" w:firstColumn="1" w:lastColumn="0" w:noHBand="0" w:noVBand="1"/>
      </w:tblPr>
      <w:tblGrid>
        <w:gridCol w:w="39"/>
        <w:gridCol w:w="3225"/>
        <w:gridCol w:w="38"/>
        <w:gridCol w:w="121"/>
        <w:gridCol w:w="712"/>
        <w:gridCol w:w="36"/>
        <w:gridCol w:w="36"/>
        <w:gridCol w:w="36"/>
        <w:gridCol w:w="36"/>
        <w:gridCol w:w="121"/>
        <w:gridCol w:w="650"/>
        <w:gridCol w:w="36"/>
        <w:gridCol w:w="36"/>
        <w:gridCol w:w="36"/>
        <w:gridCol w:w="36"/>
        <w:gridCol w:w="121"/>
        <w:gridCol w:w="1041"/>
        <w:gridCol w:w="36"/>
        <w:gridCol w:w="36"/>
        <w:gridCol w:w="36"/>
        <w:gridCol w:w="36"/>
        <w:gridCol w:w="120"/>
        <w:gridCol w:w="589"/>
        <w:gridCol w:w="36"/>
        <w:gridCol w:w="36"/>
        <w:gridCol w:w="36"/>
        <w:gridCol w:w="36"/>
        <w:gridCol w:w="120"/>
        <w:gridCol w:w="651"/>
        <w:gridCol w:w="36"/>
      </w:tblGrid>
      <w:tr w:rsidR="00000000">
        <w:trPr>
          <w:divId w:val="2012292537"/>
        </w:trPr>
        <w:tc>
          <w:tcPr>
            <w:tcW w:w="50" w:type="pct"/>
            <w:vAlign w:val="center"/>
            <w:hideMark/>
          </w:tcPr>
          <w:p w:rsidR="00000000" w:rsidRDefault="0039054C">
            <w:pPr>
              <w:ind w:firstLine="450"/>
              <w:rPr>
                <w:rFonts w:eastAsia="Times New Roman"/>
              </w:rPr>
            </w:pPr>
          </w:p>
        </w:tc>
        <w:tc>
          <w:tcPr>
            <w:tcW w:w="203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8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8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56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8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8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201229253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Integrated Mission Systems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Space and Airborne Systems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Communication Systems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Aviation Systems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Total</w:t>
            </w:r>
          </w:p>
        </w:tc>
      </w:tr>
      <w:tr w:rsidR="00000000">
        <w:trPr>
          <w:divId w:val="2012292537"/>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20122925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6,499 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5,232 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4,153 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2,992 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18,876 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shd w:val="clear" w:color="auto" w:fill="FFFFFF"/>
            <w:tcMar>
              <w:top w:w="30" w:type="dxa"/>
              <w:left w:w="20" w:type="dxa"/>
              <w:bottom w:w="30" w:type="dxa"/>
              <w:right w:w="20" w:type="dxa"/>
            </w:tcMar>
            <w:vAlign w:val="bottom"/>
            <w:hideMark/>
          </w:tcPr>
          <w:p w:rsidR="00000000" w:rsidRDefault="0039054C">
            <w:pPr>
              <w:divId w:val="49577506"/>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(538)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(538)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12292537"/>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Impairment of goodwill</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w:t>
            </w: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122925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Balance at April 2,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4,153 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2,387 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18,252 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Height w:val="240"/>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2012292537"/>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Balance at January 3, 2020</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5,768 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5,131 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4,859 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20,001 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shd w:val="clear" w:color="auto" w:fill="FFFFFF"/>
            <w:tcMar>
              <w:top w:w="30" w:type="dxa"/>
              <w:left w:w="20" w:type="dxa"/>
              <w:bottom w:w="30" w:type="dxa"/>
              <w:right w:w="20" w:type="dxa"/>
            </w:tcMar>
            <w:hideMark/>
          </w:tcPr>
          <w:p w:rsidR="00000000" w:rsidRDefault="0039054C">
            <w:pPr>
              <w:ind w:firstLine="120"/>
              <w:divId w:val="413016882"/>
              <w:rPr>
                <w:rFonts w:eastAsia="Times New Roman"/>
              </w:rPr>
            </w:pPr>
            <w:r>
              <w:rPr>
                <w:rFonts w:eastAsia="Times New Roman"/>
                <w:color w:val="000000"/>
                <w:sz w:val="20"/>
                <w:szCs w:val="20"/>
              </w:rPr>
              <w:t>Goodwill decrease from divestiture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(588)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(599)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Impairment of goodwill</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(296)</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(301)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shd w:val="clear" w:color="auto" w:fill="CCEEFF"/>
            <w:tcMar>
              <w:top w:w="30" w:type="dxa"/>
              <w:left w:w="320" w:type="dxa"/>
              <w:bottom w:w="30" w:type="dxa"/>
              <w:right w:w="20" w:type="dxa"/>
            </w:tcMar>
            <w:hideMark/>
          </w:tcPr>
          <w:p w:rsidR="00000000" w:rsidRDefault="0039054C">
            <w:pPr>
              <w:ind w:hanging="180"/>
              <w:rPr>
                <w:rFonts w:eastAsia="Times New Roman"/>
              </w:rPr>
            </w:pPr>
            <w:r>
              <w:rPr>
                <w:rFonts w:eastAsia="Times New Roman"/>
                <w:color w:val="000000"/>
                <w:sz w:val="20"/>
                <w:szCs w:val="20"/>
              </w:rPr>
              <w:t>Other (including adjustments to previously estimated fair value of assets acquired and liabilities assumed)</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2012292537"/>
        </w:trPr>
        <w:tc>
          <w:tcPr>
            <w:tcW w:w="0" w:type="auto"/>
            <w:gridSpan w:val="3"/>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Balance at April 3,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5,788 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5,170 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4,038 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19,265 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861169048"/>
        <w:rPr>
          <w:rFonts w:eastAsia="Times New Roman"/>
        </w:rPr>
      </w:pPr>
      <w:r>
        <w:rPr>
          <w:rFonts w:eastAsia="Times New Roman"/>
          <w:color w:val="000000"/>
          <w:sz w:val="16"/>
          <w:szCs w:val="16"/>
        </w:rPr>
        <w:t>_______________</w:t>
      </w:r>
    </w:p>
    <w:p w:rsidR="00000000" w:rsidRDefault="0039054C">
      <w:pPr>
        <w:ind w:hanging="270"/>
        <w:divId w:val="584263296"/>
        <w:rPr>
          <w:rFonts w:eastAsia="Times New Roman"/>
        </w:rPr>
      </w:pPr>
      <w:r>
        <w:rPr>
          <w:rFonts w:eastAsia="Times New Roman"/>
          <w:color w:val="000000"/>
          <w:sz w:val="16"/>
          <w:szCs w:val="16"/>
        </w:rPr>
        <w:t>(1)During the quarters ended April 2, 2021 and April </w:t>
      </w:r>
      <w:r>
        <w:rPr>
          <w:rFonts w:eastAsia="Times New Roman"/>
          <w:color w:val="000000"/>
          <w:sz w:val="16"/>
          <w:szCs w:val="16"/>
        </w:rPr>
        <w:t>3, 2020, we assigned $538 million and $599 million, respectively, of goodwill associated with pending divestitures to “Assets of disposal groups held for sale” in our Condensed Consolidated Balance Sheet (Unaudited). See</w:t>
      </w:r>
      <w:r>
        <w:rPr>
          <w:rFonts w:eastAsia="Times New Roman"/>
          <w:i/>
          <w:iCs/>
          <w:color w:val="000000"/>
          <w:sz w:val="16"/>
          <w:szCs w:val="16"/>
        </w:rPr>
        <w:t xml:space="preserve"> Note B — Business Divestitures</w:t>
      </w:r>
      <w:r>
        <w:rPr>
          <w:rFonts w:eastAsia="Times New Roman"/>
          <w:color w:val="000000"/>
          <w:sz w:val="16"/>
          <w:szCs w:val="16"/>
        </w:rPr>
        <w:t xml:space="preserve"> </w:t>
      </w:r>
      <w:r>
        <w:rPr>
          <w:rFonts w:eastAsia="Times New Roman"/>
          <w:color w:val="000000"/>
          <w:sz w:val="16"/>
          <w:szCs w:val="16"/>
        </w:rPr>
        <w:t>in these Notes for additional information.</w:t>
      </w:r>
    </w:p>
    <w:p w:rsidR="00000000" w:rsidRDefault="0039054C">
      <w:pPr>
        <w:ind w:firstLine="450"/>
        <w:divId w:val="461925090"/>
        <w:rPr>
          <w:rFonts w:eastAsia="Times New Roman"/>
        </w:rPr>
      </w:pPr>
      <w:r>
        <w:rPr>
          <w:rFonts w:eastAsia="Times New Roman"/>
          <w:i/>
          <w:iCs/>
          <w:color w:val="000000"/>
          <w:sz w:val="20"/>
          <w:szCs w:val="20"/>
        </w:rPr>
        <w:t>CPS Business Impairment.</w:t>
      </w:r>
      <w:r>
        <w:rPr>
          <w:rFonts w:eastAsia="Times New Roman"/>
          <w:color w:val="000000"/>
          <w:sz w:val="20"/>
          <w:szCs w:val="20"/>
        </w:rPr>
        <w:t xml:space="preserve"> During the quarter ended April 2, 2021, we determined the criteria to be classified as held for sale were met with respect to the CPS business within our Aviation Systems segment and assig</w:t>
      </w:r>
      <w:r>
        <w:rPr>
          <w:rFonts w:eastAsia="Times New Roman"/>
          <w:color w:val="000000"/>
          <w:sz w:val="20"/>
          <w:szCs w:val="20"/>
        </w:rPr>
        <w:t>ned $174 million of goodwill to the disposal group on a relative fair value basis. In connection with the preparation of our financial statements for the quarter ended April 2, 2021, we concluded that goodwill related to the CPS business was impaired and w</w:t>
      </w:r>
      <w:r>
        <w:rPr>
          <w:rFonts w:eastAsia="Times New Roman"/>
          <w:color w:val="000000"/>
          <w:sz w:val="20"/>
          <w:szCs w:val="20"/>
        </w:rPr>
        <w:t xml:space="preserve">e recorded a non-cash impairment charge of $62 million, which is included in the “Impairment of goodwill and other assets” line item in our Condensed Consolidated Statement of Income (Unaudited). See </w:t>
      </w:r>
      <w:r>
        <w:rPr>
          <w:rFonts w:eastAsia="Times New Roman"/>
          <w:i/>
          <w:iCs/>
          <w:color w:val="000000"/>
          <w:sz w:val="20"/>
          <w:szCs w:val="20"/>
        </w:rPr>
        <w:t>Note B — Business Divestitures</w:t>
      </w:r>
      <w:r>
        <w:rPr>
          <w:rFonts w:eastAsia="Times New Roman"/>
          <w:color w:val="000000"/>
          <w:sz w:val="20"/>
          <w:szCs w:val="20"/>
        </w:rPr>
        <w:t xml:space="preserve"> in these Notes for additi</w:t>
      </w:r>
      <w:r>
        <w:rPr>
          <w:rFonts w:eastAsia="Times New Roman"/>
          <w:color w:val="000000"/>
          <w:sz w:val="20"/>
          <w:szCs w:val="20"/>
        </w:rPr>
        <w:t>onal information.</w:t>
      </w:r>
    </w:p>
    <w:p w:rsidR="00000000" w:rsidRDefault="0039054C">
      <w:pPr>
        <w:ind w:firstLine="450"/>
        <w:divId w:val="182330410"/>
        <w:rPr>
          <w:rFonts w:eastAsia="Times New Roman"/>
        </w:rPr>
      </w:pPr>
      <w:r>
        <w:rPr>
          <w:rFonts w:eastAsia="Times New Roman"/>
          <w:i/>
          <w:iCs/>
          <w:color w:val="000000"/>
          <w:sz w:val="20"/>
          <w:szCs w:val="20"/>
        </w:rPr>
        <w:t>Commercial Aviation Solutions Impairment.</w:t>
      </w:r>
      <w:r>
        <w:rPr>
          <w:rFonts w:eastAsia="Times New Roman"/>
          <w:color w:val="000000"/>
          <w:sz w:val="20"/>
          <w:szCs w:val="20"/>
        </w:rPr>
        <w:t xml:space="preserve"> Indications of potential impairment of goodwill related to our Commercial Aviation Solutions reporting unit (which is part of our Aviation Systems segment) were present at April 3, 2020 due to the</w:t>
      </w:r>
      <w:r>
        <w:rPr>
          <w:rFonts w:eastAsia="Times New Roman"/>
          <w:color w:val="000000"/>
          <w:sz w:val="20"/>
          <w:szCs w:val="20"/>
        </w:rPr>
        <w:t xml:space="preserve"> COVID pandemic and its impact on global air traffic and customer operations, which resulted in a decrease in the fiscal 2020 outlook for the reporting unit, which we considered to be a triggering event requiring an interim impairment test. Consequently, </w:t>
      </w:r>
    </w:p>
    <w:p w:rsidR="00000000" w:rsidRDefault="0039054C">
      <w:pPr>
        <w:ind w:firstLine="450"/>
        <w:jc w:val="center"/>
        <w:divId w:val="2137791078"/>
        <w:rPr>
          <w:rFonts w:eastAsia="Times New Roman"/>
        </w:rPr>
      </w:pPr>
      <w:r>
        <w:rPr>
          <w:rFonts w:eastAsia="Times New Roman"/>
          <w:color w:val="000000"/>
          <w:sz w:val="20"/>
          <w:szCs w:val="20"/>
        </w:rPr>
        <w:t>13</w:t>
      </w:r>
    </w:p>
    <w:p w:rsidR="00000000" w:rsidRDefault="0039054C">
      <w:pPr>
        <w:rPr>
          <w:rFonts w:eastAsia="Times New Roman"/>
        </w:rPr>
      </w:pPr>
      <w:r>
        <w:rPr>
          <w:rFonts w:eastAsia="Times New Roman"/>
        </w:rPr>
        <w:pict>
          <v:rect id="_x0000_i1040" style="width:0;height:1.5pt" o:hralign="center" o:hrstd="t" o:hr="t" fillcolor="#a0a0a0" stroked="f"/>
        </w:pict>
      </w:r>
    </w:p>
    <w:p w:rsidR="00000000" w:rsidRDefault="0039054C">
      <w:pPr>
        <w:ind w:firstLine="450"/>
        <w:divId w:val="430202366"/>
        <w:rPr>
          <w:rFonts w:eastAsia="Times New Roman"/>
        </w:rPr>
      </w:pPr>
    </w:p>
    <w:p w:rsidR="00000000" w:rsidRDefault="0039054C">
      <w:pPr>
        <w:ind w:firstLine="450"/>
        <w:divId w:val="1905143239"/>
        <w:rPr>
          <w:rFonts w:eastAsia="Times New Roman"/>
        </w:rPr>
      </w:pPr>
    </w:p>
    <w:p w:rsidR="00000000" w:rsidRDefault="0039054C">
      <w:pPr>
        <w:divId w:val="1468626796"/>
        <w:rPr>
          <w:rFonts w:eastAsia="Times New Roman"/>
        </w:rPr>
      </w:pPr>
      <w:r>
        <w:rPr>
          <w:rFonts w:eastAsia="Times New Roman"/>
          <w:color w:val="000000"/>
          <w:sz w:val="20"/>
          <w:szCs w:val="20"/>
        </w:rPr>
        <w:t>in connection with the preparation of our financial statements for the quarter ended April 3, 2020, we performed a quantitative impairment test. To test for potential impairment of goodwill related to our Commerc</w:t>
      </w:r>
      <w:r>
        <w:rPr>
          <w:rFonts w:eastAsia="Times New Roman"/>
          <w:color w:val="000000"/>
          <w:sz w:val="20"/>
          <w:szCs w:val="20"/>
        </w:rPr>
        <w:t xml:space="preserve">ial Aviation Solutions reporting unit, we prepared an estimate of the fair value of the reporting unit based on a combination of market-based valuation techniques, utilizing quoted market prices and comparable publicly reported transactions, and projected </w:t>
      </w:r>
      <w:r>
        <w:rPr>
          <w:rFonts w:eastAsia="Times New Roman"/>
          <w:color w:val="000000"/>
          <w:sz w:val="20"/>
          <w:szCs w:val="20"/>
        </w:rPr>
        <w:t>discounted cash flows. As a result of this impairment test, we concluded that goodwill related to our Commercial Aviation Solutions reporting unit was impaired as of April 3, 2020 and recorded a non-cash impairment charge of $296 million (including $28 mil</w:t>
      </w:r>
      <w:r>
        <w:rPr>
          <w:rFonts w:eastAsia="Times New Roman"/>
          <w:color w:val="000000"/>
          <w:sz w:val="20"/>
          <w:szCs w:val="20"/>
        </w:rPr>
        <w:t>lion attributable to noncontrolling interests) in the “Impairment of goodwill and other assets” line item in our Condensed Consolidated Statement of Income (Unaudited) for the quarter ended April 3, 2020. The goodwill impairment charge was primarily not de</w:t>
      </w:r>
      <w:r>
        <w:rPr>
          <w:rFonts w:eastAsia="Times New Roman"/>
          <w:color w:val="000000"/>
          <w:sz w:val="20"/>
          <w:szCs w:val="20"/>
        </w:rPr>
        <w:t>ductible for tax purposes.</w:t>
      </w:r>
    </w:p>
    <w:p w:rsidR="00000000" w:rsidRDefault="0039054C">
      <w:pPr>
        <w:divId w:val="593512300"/>
        <w:rPr>
          <w:rFonts w:eastAsia="Times New Roman"/>
        </w:rPr>
      </w:pPr>
      <w:r>
        <w:rPr>
          <w:rFonts w:eastAsia="Times New Roman"/>
          <w:b/>
          <w:bCs/>
          <w:color w:val="000000"/>
          <w:sz w:val="20"/>
          <w:szCs w:val="20"/>
        </w:rPr>
        <w:t>Identifiable Intangible Assets </w:t>
      </w:r>
    </w:p>
    <w:p w:rsidR="00000000" w:rsidRDefault="0039054C">
      <w:pPr>
        <w:ind w:firstLine="450"/>
        <w:divId w:val="237254297"/>
        <w:rPr>
          <w:rFonts w:eastAsia="Times New Roman"/>
        </w:rPr>
      </w:pPr>
      <w:r>
        <w:rPr>
          <w:rFonts w:eastAsia="Times New Roman"/>
          <w:color w:val="000000"/>
          <w:sz w:val="20"/>
          <w:szCs w:val="20"/>
        </w:rPr>
        <w:t xml:space="preserve">The most significant identifiable intangible asset that is separately recognized for our business combinations is customer relationships. Our customer relationships are established through written </w:t>
      </w:r>
      <w:r>
        <w:rPr>
          <w:rFonts w:eastAsia="Times New Roman"/>
          <w:color w:val="000000"/>
          <w:sz w:val="20"/>
          <w:szCs w:val="20"/>
        </w:rPr>
        <w:t>customer contracts (revenue arrangements). The fair value for customer relationships is determined, as of the date of acquisition, based on estimates and judgments regarding expectations for the estimated future after-tax earnings and cash flows arising fr</w:t>
      </w:r>
      <w:r>
        <w:rPr>
          <w:rFonts w:eastAsia="Times New Roman"/>
          <w:color w:val="000000"/>
          <w:sz w:val="20"/>
          <w:szCs w:val="20"/>
        </w:rPr>
        <w:t>om the follow-on sales expected from the customer relationships over the estimated lives, including the probability of expected future contract renewals and sales, less a contributory asset charge, all of which is discounted to present value. We assess the</w:t>
      </w:r>
      <w:r>
        <w:rPr>
          <w:rFonts w:eastAsia="Times New Roman"/>
          <w:color w:val="000000"/>
          <w:sz w:val="20"/>
          <w:szCs w:val="20"/>
        </w:rPr>
        <w:t xml:space="preserve"> recoverability of the carrying value of our finite-lived identifiable intangible assets whenever events or changes in circumstances indicate the carrying amount of the assets may not be recoverable. We assess the recoverability of the carrying value of in</w:t>
      </w:r>
      <w:r>
        <w:rPr>
          <w:rFonts w:eastAsia="Times New Roman"/>
          <w:color w:val="000000"/>
          <w:sz w:val="20"/>
          <w:szCs w:val="20"/>
        </w:rPr>
        <w:t>definite-lived identifiable intangible assets annually, or under certain circumstances more frequently, such as when events and circumstances indicate there may be an impairment.</w:t>
      </w:r>
    </w:p>
    <w:p w:rsidR="00000000" w:rsidRDefault="0039054C">
      <w:pPr>
        <w:ind w:firstLine="450"/>
        <w:divId w:val="726957509"/>
        <w:rPr>
          <w:rFonts w:eastAsia="Times New Roman"/>
        </w:rPr>
      </w:pPr>
      <w:r>
        <w:rPr>
          <w:rFonts w:eastAsia="Times New Roman"/>
          <w:color w:val="000000"/>
          <w:sz w:val="20"/>
          <w:szCs w:val="20"/>
        </w:rPr>
        <w:t>Identifiable intangible assets are summarized below:</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2513"/>
        <w:gridCol w:w="37"/>
        <w:gridCol w:w="121"/>
        <w:gridCol w:w="665"/>
        <w:gridCol w:w="36"/>
        <w:gridCol w:w="36"/>
        <w:gridCol w:w="36"/>
        <w:gridCol w:w="36"/>
        <w:gridCol w:w="121"/>
        <w:gridCol w:w="854"/>
        <w:gridCol w:w="36"/>
        <w:gridCol w:w="36"/>
        <w:gridCol w:w="36"/>
        <w:gridCol w:w="36"/>
        <w:gridCol w:w="121"/>
        <w:gridCol w:w="642"/>
        <w:gridCol w:w="36"/>
        <w:gridCol w:w="36"/>
        <w:gridCol w:w="36"/>
        <w:gridCol w:w="36"/>
        <w:gridCol w:w="121"/>
        <w:gridCol w:w="602"/>
        <w:gridCol w:w="36"/>
        <w:gridCol w:w="36"/>
        <w:gridCol w:w="36"/>
        <w:gridCol w:w="36"/>
        <w:gridCol w:w="121"/>
        <w:gridCol w:w="856"/>
        <w:gridCol w:w="36"/>
        <w:gridCol w:w="36"/>
        <w:gridCol w:w="36"/>
        <w:gridCol w:w="36"/>
        <w:gridCol w:w="121"/>
        <w:gridCol w:w="602"/>
        <w:gridCol w:w="36"/>
      </w:tblGrid>
      <w:tr w:rsidR="00000000">
        <w:trPr>
          <w:divId w:val="1966623203"/>
          <w:jc w:val="center"/>
        </w:trPr>
        <w:tc>
          <w:tcPr>
            <w:tcW w:w="50" w:type="pct"/>
            <w:vAlign w:val="center"/>
            <w:hideMark/>
          </w:tcPr>
          <w:p w:rsidR="00000000" w:rsidRDefault="0039054C">
            <w:pPr>
              <w:ind w:firstLine="450"/>
              <w:rPr>
                <w:rFonts w:eastAsia="Times New Roman"/>
              </w:rPr>
            </w:pPr>
          </w:p>
        </w:tc>
        <w:tc>
          <w:tcPr>
            <w:tcW w:w="160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64"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966623203"/>
          <w:jc w:val="center"/>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1966623203"/>
          <w:jc w:val="center"/>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Net Carrying Amoun</w:t>
            </w:r>
            <w:r>
              <w:rPr>
                <w:rFonts w:eastAsia="Times New Roman"/>
                <w:b/>
                <w:bCs/>
                <w:color w:val="000000"/>
                <w:sz w:val="16"/>
                <w:szCs w:val="16"/>
              </w:rPr>
              <w:t>t</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Accumulated Amortization</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Net Carrying Amount</w:t>
            </w:r>
          </w:p>
        </w:tc>
      </w:tr>
      <w:tr w:rsidR="00000000">
        <w:trPr>
          <w:divId w:val="1966623203"/>
          <w:trHeight w:val="60"/>
          <w:jc w:val="center"/>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966623203"/>
          <w:jc w:val="center"/>
        </w:trPr>
        <w:tc>
          <w:tcPr>
            <w:tcW w:w="0" w:type="auto"/>
            <w:gridSpan w:val="3"/>
            <w:shd w:val="clear" w:color="auto" w:fill="CCEEFF"/>
            <w:tcMar>
              <w:top w:w="30" w:type="dxa"/>
              <w:left w:w="17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Customer relationships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6,320 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1,323 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4,997 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6,863 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5,606 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FFFFFF"/>
            <w:tcMar>
              <w:top w:w="30" w:type="dxa"/>
              <w:left w:w="17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Developed technologies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634 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273 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653 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CCEEFF"/>
            <w:tcMar>
              <w:top w:w="30" w:type="dxa"/>
              <w:left w:w="17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Contract backlog</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FFFFFF"/>
            <w:tcMar>
              <w:top w:w="30" w:type="dxa"/>
              <w:left w:w="17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Trade names — divisions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CCEEFF"/>
            <w:tcMar>
              <w:top w:w="30" w:type="dxa"/>
              <w:left w:w="17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FFFFFF"/>
            <w:tcMar>
              <w:top w:w="30" w:type="dxa"/>
              <w:left w:w="290"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Total identifiable intangible assets subject to amortization</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7,103 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5,441 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7,667 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6,084 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In-process research and development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Trade names — corporate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1,803 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966623203"/>
          <w:jc w:val="center"/>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identifiable intangible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8,927 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1,662 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7,265 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9,491 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7,908 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549264725"/>
        <w:rPr>
          <w:rFonts w:eastAsia="Times New Roman"/>
        </w:rPr>
      </w:pPr>
      <w:r>
        <w:rPr>
          <w:rFonts w:eastAsia="Times New Roman"/>
          <w:color w:val="000000"/>
          <w:sz w:val="16"/>
          <w:szCs w:val="16"/>
        </w:rPr>
        <w:t>_______________</w:t>
      </w:r>
    </w:p>
    <w:p w:rsidR="00000000" w:rsidRDefault="0039054C">
      <w:pPr>
        <w:ind w:hanging="270"/>
        <w:divId w:val="1592425274"/>
        <w:rPr>
          <w:rFonts w:eastAsia="Times New Roman"/>
        </w:rPr>
      </w:pPr>
      <w:r>
        <w:rPr>
          <w:rFonts w:eastAsia="Times New Roman"/>
          <w:color w:val="000000"/>
          <w:sz w:val="16"/>
          <w:szCs w:val="16"/>
        </w:rPr>
        <w:t>(1)During the quarter ended April </w:t>
      </w:r>
      <w:r>
        <w:rPr>
          <w:rFonts w:eastAsia="Times New Roman"/>
          <w:color w:val="000000"/>
          <w:sz w:val="16"/>
          <w:szCs w:val="16"/>
        </w:rPr>
        <w:t xml:space="preserve">2, 2021, we reclassified $486 million of intangible assets associated with pending divestitures to “Assets of disposal groups held for sale” in our Consolidated Condensed Balance Sheet (Unaudited). See </w:t>
      </w:r>
      <w:r>
        <w:rPr>
          <w:rFonts w:eastAsia="Times New Roman"/>
          <w:i/>
          <w:iCs/>
          <w:color w:val="000000"/>
          <w:sz w:val="16"/>
          <w:szCs w:val="16"/>
        </w:rPr>
        <w:t>Note B — Business Divestitures</w:t>
      </w:r>
      <w:r>
        <w:rPr>
          <w:rFonts w:eastAsia="Times New Roman"/>
          <w:color w:val="000000"/>
          <w:sz w:val="16"/>
          <w:szCs w:val="16"/>
        </w:rPr>
        <w:t xml:space="preserve"> in these Notes for addi</w:t>
      </w:r>
      <w:r>
        <w:rPr>
          <w:rFonts w:eastAsia="Times New Roman"/>
          <w:color w:val="000000"/>
          <w:sz w:val="16"/>
          <w:szCs w:val="16"/>
        </w:rPr>
        <w:t>tional information regarding divestitures.</w:t>
      </w:r>
    </w:p>
    <w:p w:rsidR="00000000" w:rsidRDefault="0039054C">
      <w:pPr>
        <w:ind w:firstLine="450"/>
        <w:divId w:val="2145539592"/>
        <w:rPr>
          <w:rFonts w:eastAsia="Times New Roman"/>
        </w:rPr>
      </w:pPr>
      <w:r>
        <w:rPr>
          <w:rFonts w:eastAsia="Times New Roman"/>
          <w:color w:val="000000"/>
          <w:sz w:val="20"/>
          <w:szCs w:val="20"/>
        </w:rPr>
        <w:t>Amortization expense related to identifiable intangible assets, which primarily relates to the L3Harris Merger, was $164 million and $158 million for the quarters ended April 2, 2021 and April 3, 2020, respectivel</w:t>
      </w:r>
      <w:r>
        <w:rPr>
          <w:rFonts w:eastAsia="Times New Roman"/>
          <w:color w:val="000000"/>
          <w:sz w:val="20"/>
          <w:szCs w:val="20"/>
        </w:rPr>
        <w:t xml:space="preserve">y. </w:t>
      </w:r>
    </w:p>
    <w:p w:rsidR="00000000" w:rsidRDefault="0039054C">
      <w:pPr>
        <w:ind w:firstLine="450"/>
        <w:divId w:val="535775102"/>
        <w:rPr>
          <w:rFonts w:eastAsia="Times New Roman"/>
        </w:rPr>
      </w:pPr>
      <w:r>
        <w:rPr>
          <w:rFonts w:eastAsia="Times New Roman"/>
          <w:color w:val="000000"/>
          <w:sz w:val="20"/>
          <w:szCs w:val="20"/>
        </w:rPr>
        <w:t>Future estimated amortization expense for identifiable intangible assets subject to amortization is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969"/>
        <w:gridCol w:w="36"/>
        <w:gridCol w:w="120"/>
        <w:gridCol w:w="1093"/>
        <w:gridCol w:w="36"/>
      </w:tblGrid>
      <w:tr w:rsidR="00000000">
        <w:trPr>
          <w:divId w:val="1029450352"/>
          <w:jc w:val="center"/>
        </w:trPr>
        <w:tc>
          <w:tcPr>
            <w:tcW w:w="50" w:type="pct"/>
            <w:vAlign w:val="center"/>
            <w:hideMark/>
          </w:tcPr>
          <w:p w:rsidR="00000000" w:rsidRDefault="0039054C">
            <w:pPr>
              <w:ind w:firstLine="450"/>
              <w:rPr>
                <w:rFonts w:eastAsia="Times New Roman"/>
              </w:rPr>
            </w:pPr>
          </w:p>
        </w:tc>
        <w:tc>
          <w:tcPr>
            <w:tcW w:w="4214"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029450352"/>
          <w:jc w:val="center"/>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(In millions)</w:t>
            </w:r>
          </w:p>
        </w:tc>
      </w:tr>
      <w:tr w:rsidR="00000000">
        <w:trPr>
          <w:divId w:val="1029450352"/>
          <w:trHeight w:val="60"/>
          <w:jc w:val="center"/>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29450352"/>
          <w:jc w:val="center"/>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Year 1</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29450352"/>
          <w:jc w:val="center"/>
        </w:trPr>
        <w:tc>
          <w:tcPr>
            <w:tcW w:w="0" w:type="auto"/>
            <w:gridSpan w:val="3"/>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Year 2</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29450352"/>
          <w:jc w:val="center"/>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Year 3</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29450352"/>
          <w:jc w:val="center"/>
        </w:trPr>
        <w:tc>
          <w:tcPr>
            <w:tcW w:w="0" w:type="auto"/>
            <w:gridSpan w:val="3"/>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Year 4</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570 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29450352"/>
          <w:jc w:val="center"/>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Year 5</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29450352"/>
          <w:jc w:val="center"/>
        </w:trPr>
        <w:tc>
          <w:tcPr>
            <w:tcW w:w="0" w:type="auto"/>
            <w:gridSpan w:val="3"/>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2,485 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029450352"/>
          <w:jc w:val="center"/>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5,441 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jc w:val="center"/>
        <w:divId w:val="223763441"/>
        <w:rPr>
          <w:rFonts w:eastAsia="Times New Roman"/>
        </w:rPr>
      </w:pPr>
      <w:r>
        <w:rPr>
          <w:rFonts w:eastAsia="Times New Roman"/>
          <w:color w:val="000000"/>
          <w:sz w:val="20"/>
          <w:szCs w:val="20"/>
        </w:rPr>
        <w:t>14</w:t>
      </w:r>
    </w:p>
    <w:p w:rsidR="00000000" w:rsidRDefault="0039054C">
      <w:pPr>
        <w:rPr>
          <w:rFonts w:eastAsia="Times New Roman"/>
        </w:rPr>
      </w:pPr>
      <w:r>
        <w:rPr>
          <w:rFonts w:eastAsia="Times New Roman"/>
        </w:rPr>
        <w:pict>
          <v:rect id="_x0000_i1041" style="width:0;height:1.5pt" o:hralign="center" o:hrstd="t" o:hr="t" fillcolor="#a0a0a0" stroked="f"/>
        </w:pict>
      </w:r>
    </w:p>
    <w:p w:rsidR="00000000" w:rsidRDefault="0039054C">
      <w:pPr>
        <w:ind w:firstLine="450"/>
        <w:divId w:val="446242681"/>
        <w:rPr>
          <w:rFonts w:eastAsia="Times New Roman"/>
        </w:rPr>
      </w:pPr>
    </w:p>
    <w:p w:rsidR="00000000" w:rsidRDefault="0039054C">
      <w:pPr>
        <w:ind w:firstLine="450"/>
        <w:divId w:val="1830634805"/>
        <w:rPr>
          <w:rFonts w:eastAsia="Times New Roman"/>
        </w:rPr>
      </w:pPr>
    </w:p>
    <w:p w:rsidR="00000000" w:rsidRDefault="0039054C">
      <w:pPr>
        <w:divId w:val="1550844549"/>
        <w:rPr>
          <w:rFonts w:eastAsia="Times New Roman"/>
        </w:rPr>
      </w:pPr>
      <w:r>
        <w:rPr>
          <w:rFonts w:eastAsia="Times New Roman"/>
          <w:b/>
          <w:bCs/>
          <w:color w:val="000000"/>
          <w:sz w:val="20"/>
          <w:szCs w:val="20"/>
        </w:rPr>
        <w:t xml:space="preserve">Note K — Accrued Warranties </w:t>
      </w:r>
    </w:p>
    <w:p w:rsidR="00000000" w:rsidRDefault="0039054C">
      <w:pPr>
        <w:ind w:firstLine="450"/>
        <w:divId w:val="947854900"/>
        <w:rPr>
          <w:rFonts w:eastAsia="Times New Roman"/>
        </w:rPr>
      </w:pPr>
      <w:r>
        <w:rPr>
          <w:rFonts w:eastAsia="Times New Roman"/>
          <w:color w:val="000000"/>
          <w:sz w:val="20"/>
          <w:szCs w:val="20"/>
        </w:rPr>
        <w:t>Our liability for standard product warranties is included as a component of the “Other accrued items” and “Other long-term liabilities” line items in our Condensed Consolidated Balance Sh</w:t>
      </w:r>
      <w:r>
        <w:rPr>
          <w:rFonts w:eastAsia="Times New Roman"/>
          <w:color w:val="000000"/>
          <w:sz w:val="20"/>
          <w:szCs w:val="20"/>
        </w:rPr>
        <w:t>eet (Unaudited). Changes in our liability for standard product warranties during the quarter ended April 2, 2021 were as follows:</w:t>
      </w:r>
    </w:p>
    <w:tbl>
      <w:tblPr>
        <w:tblW w:w="5000" w:type="pct"/>
        <w:tblCellMar>
          <w:top w:w="15" w:type="dxa"/>
          <w:left w:w="15" w:type="dxa"/>
          <w:bottom w:w="15" w:type="dxa"/>
          <w:right w:w="15" w:type="dxa"/>
        </w:tblCellMar>
        <w:tblLook w:val="04A0" w:firstRow="1" w:lastRow="0" w:firstColumn="1" w:lastColumn="0" w:noHBand="0" w:noVBand="1"/>
      </w:tblPr>
      <w:tblGrid>
        <w:gridCol w:w="51"/>
        <w:gridCol w:w="6968"/>
        <w:gridCol w:w="38"/>
        <w:gridCol w:w="121"/>
        <w:gridCol w:w="1092"/>
        <w:gridCol w:w="36"/>
      </w:tblGrid>
      <w:tr w:rsidR="00000000">
        <w:trPr>
          <w:divId w:val="71586383"/>
        </w:trPr>
        <w:tc>
          <w:tcPr>
            <w:tcW w:w="50" w:type="pct"/>
            <w:vAlign w:val="center"/>
            <w:hideMark/>
          </w:tcPr>
          <w:p w:rsidR="00000000" w:rsidRDefault="0039054C">
            <w:pPr>
              <w:ind w:firstLine="450"/>
              <w:rPr>
                <w:rFonts w:eastAsia="Times New Roman"/>
              </w:rPr>
            </w:pPr>
          </w:p>
        </w:tc>
        <w:tc>
          <w:tcPr>
            <w:tcW w:w="4214"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71586383"/>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39054C">
            <w:pPr>
              <w:jc w:val="center"/>
              <w:rPr>
                <w:rFonts w:eastAsia="Times New Roman"/>
              </w:rPr>
            </w:pPr>
            <w:r>
              <w:rPr>
                <w:rFonts w:eastAsia="Times New Roman"/>
                <w:b/>
                <w:bCs/>
                <w:color w:val="000000"/>
                <w:sz w:val="16"/>
                <w:szCs w:val="16"/>
              </w:rPr>
              <w:t>(In millions)</w:t>
            </w:r>
          </w:p>
        </w:tc>
      </w:tr>
      <w:tr w:rsidR="00000000">
        <w:trPr>
          <w:divId w:val="71586383"/>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71586383"/>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Balance at January 1, 2021</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1586383"/>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71586383"/>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71586383"/>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Accruals for product warranties issued during the period</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1586383"/>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Settlements made during the period</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1586383"/>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Other, including foreign currency translation adjustments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1586383"/>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Balance at April 2, 2021</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1047989953"/>
        <w:rPr>
          <w:rFonts w:eastAsia="Times New Roman"/>
        </w:rPr>
      </w:pPr>
      <w:r>
        <w:rPr>
          <w:rFonts w:eastAsia="Times New Roman"/>
          <w:b/>
          <w:bCs/>
          <w:color w:val="000000"/>
          <w:sz w:val="20"/>
          <w:szCs w:val="20"/>
        </w:rPr>
        <w:t xml:space="preserve">Note L — </w:t>
      </w:r>
      <w:r>
        <w:rPr>
          <w:rFonts w:eastAsia="Times New Roman"/>
          <w:b/>
          <w:bCs/>
          <w:color w:val="000000"/>
          <w:sz w:val="20"/>
          <w:szCs w:val="20"/>
        </w:rPr>
        <w:t xml:space="preserve">Postretirement Benefit Plans </w:t>
      </w:r>
    </w:p>
    <w:p w:rsidR="00000000" w:rsidRDefault="0039054C">
      <w:pPr>
        <w:ind w:firstLine="450"/>
        <w:divId w:val="293095815"/>
        <w:rPr>
          <w:rFonts w:eastAsia="Times New Roman"/>
        </w:rPr>
      </w:pPr>
      <w:r>
        <w:rPr>
          <w:rFonts w:eastAsia="Times New Roman"/>
          <w:color w:val="000000"/>
          <w:sz w:val="20"/>
          <w:szCs w:val="20"/>
        </w:rPr>
        <w:t xml:space="preserve">The following tables provide the components of our net periodic benefit income for our defined benefit plans, including defined benefit pension plans and other postretirement defined benefit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3117"/>
        <w:gridCol w:w="39"/>
        <w:gridCol w:w="121"/>
        <w:gridCol w:w="1071"/>
        <w:gridCol w:w="37"/>
        <w:gridCol w:w="36"/>
        <w:gridCol w:w="36"/>
        <w:gridCol w:w="36"/>
        <w:gridCol w:w="121"/>
        <w:gridCol w:w="1026"/>
        <w:gridCol w:w="37"/>
        <w:gridCol w:w="36"/>
        <w:gridCol w:w="36"/>
        <w:gridCol w:w="36"/>
        <w:gridCol w:w="121"/>
        <w:gridCol w:w="1027"/>
        <w:gridCol w:w="37"/>
        <w:gridCol w:w="36"/>
        <w:gridCol w:w="36"/>
        <w:gridCol w:w="36"/>
        <w:gridCol w:w="121"/>
        <w:gridCol w:w="1030"/>
        <w:gridCol w:w="37"/>
      </w:tblGrid>
      <w:tr w:rsidR="00000000">
        <w:trPr>
          <w:divId w:val="422149213"/>
        </w:trPr>
        <w:tc>
          <w:tcPr>
            <w:tcW w:w="50" w:type="pct"/>
            <w:vAlign w:val="center"/>
            <w:hideMark/>
          </w:tcPr>
          <w:p w:rsidR="00000000" w:rsidRDefault="0039054C">
            <w:pPr>
              <w:ind w:firstLine="450"/>
              <w:rPr>
                <w:rFonts w:eastAsia="Times New Roman"/>
              </w:rPr>
            </w:pPr>
          </w:p>
        </w:tc>
        <w:tc>
          <w:tcPr>
            <w:tcW w:w="191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422149213"/>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 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 April 3, 2020</w:t>
            </w:r>
          </w:p>
        </w:tc>
      </w:tr>
      <w:tr w:rsidR="00000000">
        <w:trPr>
          <w:divId w:val="422149213"/>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Other Benefits</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Pension</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Other Benefits</w:t>
            </w:r>
          </w:p>
        </w:tc>
      </w:tr>
      <w:tr w:rsidR="00000000">
        <w:trPr>
          <w:divId w:val="422149213"/>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422149213"/>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b/>
                <w:bCs/>
                <w:color w:val="000000"/>
                <w:sz w:val="20"/>
                <w:szCs w:val="20"/>
              </w:rPr>
              <w:t>Net periodic benefit income</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422149213"/>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Service cost</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422149213"/>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422149213"/>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Expected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422149213"/>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Amortization of net actuarial loss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422149213"/>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Amortization of prior service credit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422149213"/>
        </w:trPr>
        <w:tc>
          <w:tcPr>
            <w:tcW w:w="0" w:type="auto"/>
            <w:gridSpan w:val="3"/>
            <w:shd w:val="clear" w:color="auto" w:fill="CCEEFF"/>
            <w:tcMar>
              <w:top w:w="30" w:type="dxa"/>
              <w:left w:w="20" w:type="dxa"/>
              <w:bottom w:w="30" w:type="dxa"/>
              <w:right w:w="20" w:type="dxa"/>
            </w:tcMar>
            <w:hideMark/>
          </w:tcPr>
          <w:p w:rsidR="00000000" w:rsidRDefault="0039054C">
            <w:pPr>
              <w:divId w:val="1835953152"/>
              <w:rPr>
                <w:rFonts w:eastAsia="Times New Roman"/>
              </w:rPr>
            </w:pPr>
            <w:r>
              <w:rPr>
                <w:rFonts w:eastAsia="Times New Roman"/>
                <w:color w:val="000000"/>
                <w:sz w:val="20"/>
                <w:szCs w:val="20"/>
              </w:rPr>
              <w:t>Contractual termination benefit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422149213"/>
        </w:trPr>
        <w:tc>
          <w:tcPr>
            <w:tcW w:w="0" w:type="auto"/>
            <w:gridSpan w:val="3"/>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 xml:space="preserve">Total net periodic benefit income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422149213"/>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422149213"/>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divId w:val="662583768"/>
        <w:rPr>
          <w:rFonts w:eastAsia="Times New Roman"/>
        </w:rPr>
      </w:pPr>
      <w:r>
        <w:rPr>
          <w:rFonts w:eastAsia="Times New Roman"/>
          <w:color w:val="000000"/>
          <w:sz w:val="16"/>
          <w:szCs w:val="16"/>
        </w:rPr>
        <w:t>_______________</w:t>
      </w:r>
    </w:p>
    <w:p w:rsidR="00000000" w:rsidRDefault="0039054C">
      <w:pPr>
        <w:ind w:hanging="270"/>
        <w:divId w:val="721487604"/>
        <w:rPr>
          <w:rFonts w:eastAsia="Times New Roman"/>
        </w:rPr>
      </w:pPr>
      <w:r>
        <w:rPr>
          <w:rFonts w:eastAsia="Times New Roman"/>
          <w:color w:val="000000"/>
          <w:sz w:val="16"/>
          <w:szCs w:val="16"/>
        </w:rPr>
        <w:t>(1)Contractual termination benefits related to facility rationalization as part of re</w:t>
      </w:r>
      <w:r>
        <w:rPr>
          <w:rFonts w:eastAsia="Times New Roman"/>
          <w:color w:val="000000"/>
          <w:sz w:val="16"/>
          <w:szCs w:val="16"/>
        </w:rPr>
        <w:t xml:space="preserve">structuring activities in connection with the L3Harris Merger integration. See </w:t>
      </w:r>
      <w:r>
        <w:rPr>
          <w:rFonts w:eastAsia="Times New Roman"/>
          <w:i/>
          <w:iCs/>
          <w:color w:val="000000"/>
          <w:sz w:val="16"/>
          <w:szCs w:val="16"/>
        </w:rPr>
        <w:t>Note D — Restructuring and Other Exit Costs</w:t>
      </w:r>
      <w:r>
        <w:rPr>
          <w:rFonts w:eastAsia="Times New Roman"/>
          <w:color w:val="000000"/>
          <w:sz w:val="16"/>
          <w:szCs w:val="16"/>
        </w:rPr>
        <w:t xml:space="preserve"> </w:t>
      </w:r>
      <w:r>
        <w:rPr>
          <w:rFonts w:eastAsia="Times New Roman"/>
          <w:color w:val="000000"/>
          <w:sz w:val="16"/>
          <w:szCs w:val="16"/>
        </w:rPr>
        <w:t>in these Notes for additional information regarding restructuring activities.</w:t>
      </w:r>
    </w:p>
    <w:p w:rsidR="00000000" w:rsidRDefault="0039054C">
      <w:pPr>
        <w:ind w:firstLine="450"/>
        <w:divId w:val="957570831"/>
        <w:rPr>
          <w:rFonts w:eastAsia="Times New Roman"/>
        </w:rPr>
      </w:pPr>
      <w:r>
        <w:rPr>
          <w:rFonts w:eastAsia="Times New Roman"/>
          <w:color w:val="000000"/>
          <w:sz w:val="20"/>
          <w:szCs w:val="20"/>
        </w:rPr>
        <w:t>The service cost component of net periodic benefit income is included in the “Cost of product sales and services” and “Engineering, selling and administrative expenses” line item</w:t>
      </w:r>
      <w:r>
        <w:rPr>
          <w:rFonts w:eastAsia="Times New Roman"/>
          <w:color w:val="000000"/>
          <w:sz w:val="20"/>
          <w:szCs w:val="20"/>
        </w:rPr>
        <w:t>s in our Condensed Consolidated Statement of Income (Unaudited). The non-service cost components of net periodic benefit income are included in the “Non-operating income” line item in our Condensed Consolidated Statement of Income (Unaudited), except for c</w:t>
      </w:r>
      <w:r>
        <w:rPr>
          <w:rFonts w:eastAsia="Times New Roman"/>
          <w:color w:val="000000"/>
          <w:sz w:val="20"/>
          <w:szCs w:val="20"/>
        </w:rPr>
        <w:t xml:space="preserve">ontractual termination benefits which are included in restructuring in the “Engineering, selling and administrative expenses” line item in our Condensed Consolidated Statement of Income (Unaudited). </w:t>
      </w:r>
    </w:p>
    <w:p w:rsidR="00000000" w:rsidRDefault="0039054C">
      <w:pPr>
        <w:ind w:firstLine="450"/>
        <w:divId w:val="1481456916"/>
        <w:rPr>
          <w:rFonts w:eastAsia="Times New Roman"/>
        </w:rPr>
      </w:pPr>
      <w:r>
        <w:rPr>
          <w:rFonts w:eastAsia="Times New Roman"/>
          <w:color w:val="000000"/>
          <w:sz w:val="20"/>
          <w:szCs w:val="20"/>
        </w:rPr>
        <w:t>We made a $302 million voluntary contribution to our U.S</w:t>
      </w:r>
      <w:r>
        <w:rPr>
          <w:rFonts w:eastAsia="Times New Roman"/>
          <w:color w:val="000000"/>
          <w:sz w:val="20"/>
          <w:szCs w:val="20"/>
        </w:rPr>
        <w:t>. qualified defined benefit pension plans during the quarter ended September 27, 2019. As a result of this voluntary contribution, as well as $700 million of voluntary contributions made in fiscal 2018 and 2017, we made no material contributions to our U.S</w:t>
      </w:r>
      <w:r>
        <w:rPr>
          <w:rFonts w:eastAsia="Times New Roman"/>
          <w:color w:val="000000"/>
          <w:sz w:val="20"/>
          <w:szCs w:val="20"/>
        </w:rPr>
        <w:t xml:space="preserve">. qualified defined benefit pension plans during the quarters ended April 2, 2021 and April 3, 2020 and are not required to make any contributions to these plans during the remainder of fiscal 2021. </w:t>
      </w:r>
    </w:p>
    <w:p w:rsidR="00000000" w:rsidRDefault="0039054C">
      <w:pPr>
        <w:ind w:firstLine="450"/>
        <w:jc w:val="center"/>
        <w:divId w:val="1029913365"/>
        <w:rPr>
          <w:rFonts w:eastAsia="Times New Roman"/>
        </w:rPr>
      </w:pPr>
      <w:r>
        <w:rPr>
          <w:rFonts w:eastAsia="Times New Roman"/>
          <w:color w:val="000000"/>
          <w:sz w:val="20"/>
          <w:szCs w:val="20"/>
        </w:rPr>
        <w:t>15</w:t>
      </w:r>
    </w:p>
    <w:p w:rsidR="00000000" w:rsidRDefault="0039054C">
      <w:pPr>
        <w:rPr>
          <w:rFonts w:eastAsia="Times New Roman"/>
        </w:rPr>
      </w:pPr>
      <w:r>
        <w:rPr>
          <w:rFonts w:eastAsia="Times New Roman"/>
        </w:rPr>
        <w:pict>
          <v:rect id="_x0000_i1042" style="width:0;height:1.5pt" o:hralign="center" o:hrstd="t" o:hr="t" fillcolor="#a0a0a0" stroked="f"/>
        </w:pict>
      </w:r>
    </w:p>
    <w:p w:rsidR="00000000" w:rsidRDefault="0039054C">
      <w:pPr>
        <w:ind w:firstLine="450"/>
        <w:divId w:val="1127550571"/>
        <w:rPr>
          <w:rFonts w:eastAsia="Times New Roman"/>
        </w:rPr>
      </w:pPr>
    </w:p>
    <w:p w:rsidR="00000000" w:rsidRDefault="0039054C">
      <w:pPr>
        <w:ind w:firstLine="450"/>
        <w:divId w:val="1009715255"/>
        <w:rPr>
          <w:rFonts w:eastAsia="Times New Roman"/>
        </w:rPr>
      </w:pPr>
    </w:p>
    <w:p w:rsidR="00000000" w:rsidRDefault="0039054C">
      <w:pPr>
        <w:divId w:val="335116875"/>
        <w:rPr>
          <w:rFonts w:eastAsia="Times New Roman"/>
        </w:rPr>
      </w:pPr>
      <w:r>
        <w:rPr>
          <w:rFonts w:eastAsia="Times New Roman"/>
          <w:b/>
          <w:bCs/>
          <w:color w:val="000000"/>
          <w:sz w:val="20"/>
          <w:szCs w:val="20"/>
        </w:rPr>
        <w:t xml:space="preserve">Note M — </w:t>
      </w:r>
      <w:r>
        <w:rPr>
          <w:rFonts w:eastAsia="Times New Roman"/>
          <w:b/>
          <w:bCs/>
          <w:color w:val="000000"/>
          <w:sz w:val="20"/>
          <w:szCs w:val="20"/>
        </w:rPr>
        <w:t xml:space="preserve">Income From Continuing Operations Per Share </w:t>
      </w:r>
    </w:p>
    <w:p w:rsidR="00000000" w:rsidRDefault="0039054C">
      <w:pPr>
        <w:ind w:firstLine="450"/>
        <w:divId w:val="1246109046"/>
        <w:rPr>
          <w:rFonts w:eastAsia="Times New Roman"/>
        </w:rPr>
      </w:pPr>
      <w:r>
        <w:rPr>
          <w:rFonts w:eastAsia="Times New Roman"/>
          <w:color w:val="000000"/>
          <w:sz w:val="20"/>
          <w:szCs w:val="20"/>
        </w:rPr>
        <w:t>The computations of income from continuing operations per common share attributable to L3Harris common shareholders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579"/>
        <w:gridCol w:w="39"/>
        <w:gridCol w:w="36"/>
        <w:gridCol w:w="36"/>
        <w:gridCol w:w="36"/>
        <w:gridCol w:w="36"/>
        <w:gridCol w:w="120"/>
        <w:gridCol w:w="1059"/>
        <w:gridCol w:w="36"/>
        <w:gridCol w:w="36"/>
        <w:gridCol w:w="36"/>
        <w:gridCol w:w="36"/>
        <w:gridCol w:w="120"/>
        <w:gridCol w:w="1025"/>
        <w:gridCol w:w="36"/>
      </w:tblGrid>
      <w:tr w:rsidR="00000000">
        <w:trPr>
          <w:divId w:val="53889837"/>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5388983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5388983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 except per share amounts)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r>
      <w:tr w:rsidR="00000000">
        <w:trPr>
          <w:divId w:val="53889837"/>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538898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from continuing operations (A)</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53889837"/>
        </w:trPr>
        <w:tc>
          <w:tcPr>
            <w:tcW w:w="0" w:type="auto"/>
            <w:gridSpan w:val="3"/>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889837"/>
        </w:trPr>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889837"/>
          <w:trHeight w:val="300"/>
        </w:trPr>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538898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Basic weighted average common shares outstanding (B)</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206.7</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217.3</w:t>
            </w:r>
          </w:p>
        </w:tc>
      </w:tr>
      <w:tr w:rsidR="00000000">
        <w:trPr>
          <w:divId w:val="53889837"/>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Impact of dilutive share-based awards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2.0</w:t>
            </w:r>
          </w:p>
        </w:tc>
      </w:tr>
      <w:tr w:rsidR="00000000">
        <w:trPr>
          <w:divId w:val="538898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Diluted weighted average common shares outstanding (C)</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208.5</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219.3</w:t>
            </w:r>
          </w:p>
        </w:tc>
      </w:tr>
      <w:tr w:rsidR="00000000">
        <w:trPr>
          <w:divId w:val="53889837"/>
        </w:trPr>
        <w:tc>
          <w:tcPr>
            <w:tcW w:w="0" w:type="auto"/>
            <w:gridSpan w:val="3"/>
            <w:shd w:val="clear" w:color="auto" w:fill="FFFFFF"/>
            <w:tcMar>
              <w:top w:w="30" w:type="dxa"/>
              <w:left w:w="30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Income from continuing operations per basic common share (A)/(B)</w:t>
            </w:r>
          </w:p>
        </w:tc>
        <w:tc>
          <w:tcPr>
            <w:tcW w:w="0" w:type="auto"/>
            <w:vAlign w:val="center"/>
            <w:hideMark/>
          </w:tcPr>
          <w:p w:rsidR="00000000" w:rsidRDefault="0039054C">
            <w:pPr>
              <w:ind w:hanging="270"/>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53889837"/>
        </w:trPr>
        <w:tc>
          <w:tcPr>
            <w:tcW w:w="0" w:type="auto"/>
            <w:gridSpan w:val="3"/>
            <w:shd w:val="clear" w:color="auto" w:fill="CCEEFF"/>
            <w:tcMar>
              <w:top w:w="30" w:type="dxa"/>
              <w:left w:w="30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Income from continuing operations per diluted common share (A)/(C)</w:t>
            </w:r>
          </w:p>
        </w:tc>
        <w:tc>
          <w:tcPr>
            <w:tcW w:w="0" w:type="auto"/>
            <w:vAlign w:val="center"/>
            <w:hideMark/>
          </w:tcPr>
          <w:p w:rsidR="00000000" w:rsidRDefault="0039054C">
            <w:pPr>
              <w:ind w:hanging="270"/>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0.99 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divId w:val="749153428"/>
        <w:rPr>
          <w:rFonts w:eastAsia="Times New Roman"/>
        </w:rPr>
      </w:pPr>
      <w:r>
        <w:rPr>
          <w:rFonts w:eastAsia="Times New Roman"/>
          <w:color w:val="000000"/>
          <w:sz w:val="20"/>
          <w:szCs w:val="20"/>
        </w:rPr>
        <w:t>Potential dilutive common shares primarily consist of employee stock options, restricted stock units and performance stock units. Income from continuing operations per diluted common share excludes the anti-dilutive impact of 1.6 million and 1.0 million we</w:t>
      </w:r>
      <w:r>
        <w:rPr>
          <w:rFonts w:eastAsia="Times New Roman"/>
          <w:color w:val="000000"/>
          <w:sz w:val="20"/>
          <w:szCs w:val="20"/>
        </w:rPr>
        <w:t>ighted average share-based awards outstanding for the quarters ended April 2, 2021 and April 3, 2020, respectively.</w:t>
      </w:r>
    </w:p>
    <w:p w:rsidR="00000000" w:rsidRDefault="0039054C">
      <w:pPr>
        <w:divId w:val="1078207482"/>
        <w:rPr>
          <w:rFonts w:eastAsia="Times New Roman"/>
        </w:rPr>
      </w:pPr>
      <w:r>
        <w:rPr>
          <w:rFonts w:eastAsia="Times New Roman"/>
          <w:b/>
          <w:bCs/>
          <w:color w:val="000000"/>
          <w:sz w:val="20"/>
          <w:szCs w:val="20"/>
        </w:rPr>
        <w:t xml:space="preserve">Note N — Non-Operating Income </w:t>
      </w:r>
    </w:p>
    <w:p w:rsidR="00000000" w:rsidRDefault="0039054C">
      <w:pPr>
        <w:ind w:firstLine="450"/>
        <w:divId w:val="857428509"/>
        <w:rPr>
          <w:rFonts w:eastAsia="Times New Roman"/>
        </w:rPr>
      </w:pPr>
      <w:r>
        <w:rPr>
          <w:rFonts w:eastAsia="Times New Roman"/>
          <w:color w:val="000000"/>
          <w:sz w:val="20"/>
          <w:szCs w:val="20"/>
        </w:rPr>
        <w:t>The components of non-operating income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5482"/>
        <w:gridCol w:w="36"/>
        <w:gridCol w:w="120"/>
        <w:gridCol w:w="1039"/>
        <w:gridCol w:w="36"/>
        <w:gridCol w:w="36"/>
        <w:gridCol w:w="36"/>
        <w:gridCol w:w="36"/>
        <w:gridCol w:w="120"/>
        <w:gridCol w:w="1003"/>
        <w:gridCol w:w="36"/>
        <w:gridCol w:w="36"/>
        <w:gridCol w:w="36"/>
        <w:gridCol w:w="36"/>
        <w:gridCol w:w="36"/>
        <w:gridCol w:w="36"/>
        <w:gridCol w:w="36"/>
        <w:gridCol w:w="36"/>
        <w:gridCol w:w="36"/>
      </w:tblGrid>
      <w:tr w:rsidR="00000000">
        <w:trPr>
          <w:divId w:val="53167077"/>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5316707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Pr>
        <w:tc>
          <w:tcPr>
            <w:tcW w:w="0" w:type="auto"/>
            <w:gridSpan w:val="3"/>
            <w:shd w:val="clear" w:color="auto" w:fill="CCEEFF"/>
            <w:tcMar>
              <w:top w:w="30" w:type="dxa"/>
              <w:left w:w="20" w:type="dxa"/>
              <w:bottom w:w="30" w:type="dxa"/>
              <w:right w:w="20" w:type="dxa"/>
            </w:tcMar>
            <w:vAlign w:val="bottom"/>
            <w:hideMark/>
          </w:tcPr>
          <w:p w:rsidR="00000000" w:rsidRDefault="0039054C">
            <w:pPr>
              <w:divId w:val="1099259617"/>
              <w:rPr>
                <w:rFonts w:eastAsia="Times New Roman"/>
              </w:rPr>
            </w:pPr>
            <w:r>
              <w:rPr>
                <w:rFonts w:eastAsia="Times New Roman"/>
                <w:color w:val="000000"/>
                <w:sz w:val="20"/>
                <w:szCs w:val="20"/>
              </w:rPr>
              <w:t>Pension adjustmen</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3167077"/>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Total non-operating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divId w:val="1371613780"/>
        <w:rPr>
          <w:rFonts w:eastAsia="Times New Roman"/>
        </w:rPr>
      </w:pPr>
      <w:r>
        <w:rPr>
          <w:rFonts w:eastAsia="Times New Roman"/>
          <w:color w:val="000000"/>
          <w:sz w:val="16"/>
          <w:szCs w:val="16"/>
        </w:rPr>
        <w:t>_______________</w:t>
      </w:r>
    </w:p>
    <w:p w:rsidR="00000000" w:rsidRDefault="0039054C">
      <w:pPr>
        <w:ind w:hanging="270"/>
        <w:divId w:val="2103330343"/>
        <w:rPr>
          <w:rFonts w:eastAsia="Times New Roman"/>
        </w:rPr>
      </w:pPr>
      <w:r>
        <w:rPr>
          <w:rFonts w:eastAsia="Times New Roman"/>
          <w:color w:val="000000"/>
          <w:sz w:val="16"/>
          <w:szCs w:val="16"/>
        </w:rPr>
        <w:t>(1)</w:t>
      </w:r>
      <w:r>
        <w:rPr>
          <w:rFonts w:eastAsia="Times New Roman"/>
          <w:color w:val="000000"/>
          <w:sz w:val="16"/>
          <w:szCs w:val="16"/>
        </w:rPr>
        <w:t>Pension adjustment recorded in the “Non-operating income” line item in our Condensed Consolidated Statement of Income (Unaudited) represents the non-service component of net periodic pension and postretirement benefit costs, which includes interest cost, e</w:t>
      </w:r>
      <w:r>
        <w:rPr>
          <w:rFonts w:eastAsia="Times New Roman"/>
          <w:color w:val="000000"/>
          <w:sz w:val="16"/>
          <w:szCs w:val="16"/>
        </w:rPr>
        <w:t xml:space="preserve">xpected return on plan assets, amortization of net actuarial gain and effect of curtailments or settlements. </w:t>
      </w:r>
    </w:p>
    <w:p w:rsidR="00000000" w:rsidRDefault="0039054C">
      <w:pPr>
        <w:divId w:val="1542938778"/>
        <w:rPr>
          <w:rFonts w:eastAsia="Times New Roman"/>
        </w:rPr>
      </w:pPr>
      <w:r>
        <w:rPr>
          <w:rFonts w:eastAsia="Times New Roman"/>
          <w:b/>
          <w:bCs/>
          <w:color w:val="000000"/>
          <w:sz w:val="20"/>
          <w:szCs w:val="20"/>
        </w:rPr>
        <w:t>Note O — Income Taxes</w:t>
      </w:r>
    </w:p>
    <w:p w:rsidR="00000000" w:rsidRDefault="0039054C">
      <w:pPr>
        <w:ind w:firstLine="450"/>
        <w:divId w:val="438262307"/>
        <w:rPr>
          <w:rFonts w:eastAsia="Times New Roman"/>
        </w:rPr>
      </w:pPr>
      <w:r>
        <w:rPr>
          <w:rFonts w:eastAsia="Times New Roman"/>
          <w:color w:val="000000"/>
          <w:sz w:val="20"/>
          <w:szCs w:val="20"/>
        </w:rPr>
        <w:t>Our effective tax rate (income taxes as a percentage of income from continuing operations before income taxes) was 11.4 perc</w:t>
      </w:r>
      <w:r>
        <w:rPr>
          <w:rFonts w:eastAsia="Times New Roman"/>
          <w:color w:val="000000"/>
          <w:sz w:val="20"/>
          <w:szCs w:val="20"/>
        </w:rPr>
        <w:t>ent for the quarter ended April 2, 2021 compared with 11.8 percent for the quarter ended April 3, 2020. For the quarter ended April 2, 2021, our effective tax rate benefited from the favorable impact of research and development (“R&amp;D”) credits, the resolut</w:t>
      </w:r>
      <w:r>
        <w:rPr>
          <w:rFonts w:eastAsia="Times New Roman"/>
          <w:color w:val="000000"/>
          <w:sz w:val="20"/>
          <w:szCs w:val="20"/>
        </w:rPr>
        <w:t>ion of specific audit uncertainties and the recognition of deferred tax assets on the outside basis of entities held-for-sale. For the quarter ended April 3, 2020, our effective tax rate benefited from the favorable impact of excess tax benefits related to</w:t>
      </w:r>
      <w:r>
        <w:rPr>
          <w:rFonts w:eastAsia="Times New Roman"/>
          <w:color w:val="000000"/>
          <w:sz w:val="20"/>
          <w:szCs w:val="20"/>
        </w:rPr>
        <w:t xml:space="preserve"> equity-based compensation, R&amp;D credits and the favorable impact of audit settlements, partially offset by a valuation allowance increase on international credits and the unfavorable impact of non-deductible goodwill impairment charges. </w:t>
      </w:r>
    </w:p>
    <w:p w:rsidR="00000000" w:rsidRDefault="0039054C">
      <w:pPr>
        <w:divId w:val="478235245"/>
        <w:rPr>
          <w:rFonts w:eastAsia="Times New Roman"/>
        </w:rPr>
      </w:pPr>
      <w:r>
        <w:rPr>
          <w:rFonts w:eastAsia="Times New Roman"/>
          <w:b/>
          <w:bCs/>
          <w:color w:val="000000"/>
          <w:sz w:val="20"/>
          <w:szCs w:val="20"/>
        </w:rPr>
        <w:t>Note P — Fair Valu</w:t>
      </w:r>
      <w:r>
        <w:rPr>
          <w:rFonts w:eastAsia="Times New Roman"/>
          <w:b/>
          <w:bCs/>
          <w:color w:val="000000"/>
          <w:sz w:val="20"/>
          <w:szCs w:val="20"/>
        </w:rPr>
        <w:t xml:space="preserve">e Measurements </w:t>
      </w:r>
    </w:p>
    <w:p w:rsidR="00000000" w:rsidRDefault="0039054C">
      <w:pPr>
        <w:ind w:firstLine="495"/>
        <w:divId w:val="1148672996"/>
        <w:rPr>
          <w:rFonts w:eastAsia="Times New Roman"/>
        </w:rPr>
      </w:pPr>
      <w:r>
        <w:rPr>
          <w:rFonts w:eastAsia="Times New Roman"/>
          <w:color w:val="000000"/>
          <w:sz w:val="20"/>
          <w:szCs w:val="20"/>
        </w:rPr>
        <w:t xml:space="preserve">Fair value is defined as the price that would be received for an asset or the price that would be paid to transfer a liability in the principal market or most advantageous market in an orderly transaction between market participants at the </w:t>
      </w:r>
      <w:r>
        <w:rPr>
          <w:rFonts w:eastAsia="Times New Roman"/>
          <w:color w:val="000000"/>
          <w:sz w:val="20"/>
          <w:szCs w:val="20"/>
        </w:rPr>
        <w:t xml:space="preserve">measurement date. Entities are required to maximize the use of observable inputs and minimize the use of unobservable inputs in measuring fair value, and to utilize a three-level fair value hierarchy that prioritizes the inputs used to measure fair value. </w:t>
      </w:r>
      <w:r>
        <w:rPr>
          <w:rFonts w:eastAsia="Times New Roman"/>
          <w:color w:val="000000"/>
          <w:sz w:val="20"/>
          <w:szCs w:val="20"/>
        </w:rPr>
        <w:t>The three levels of inputs used to measure fair value are as follows:</w:t>
      </w:r>
    </w:p>
    <w:p w:rsidR="00000000" w:rsidRDefault="0039054C">
      <w:pPr>
        <w:ind w:hanging="180"/>
        <w:divId w:val="1391803119"/>
        <w:rPr>
          <w:rFonts w:eastAsia="Times New Roman"/>
        </w:rPr>
      </w:pPr>
      <w:r>
        <w:rPr>
          <w:rFonts w:eastAsia="Times New Roman"/>
          <w:color w:val="000000"/>
          <w:sz w:val="20"/>
          <w:szCs w:val="20"/>
        </w:rPr>
        <w:t>•Level 1 — Quoted prices in active markets for identical assets or liabilities.</w:t>
      </w:r>
    </w:p>
    <w:p w:rsidR="00000000" w:rsidRDefault="0039054C">
      <w:pPr>
        <w:ind w:hanging="180"/>
        <w:divId w:val="2055932474"/>
        <w:rPr>
          <w:rFonts w:eastAsia="Times New Roman"/>
        </w:rPr>
      </w:pPr>
      <w:r>
        <w:rPr>
          <w:rFonts w:eastAsia="Times New Roman"/>
          <w:color w:val="000000"/>
          <w:sz w:val="20"/>
          <w:szCs w:val="20"/>
        </w:rPr>
        <w:t>•Level 2 — Observable inputs other than quoted prices included within Level 1, including quoted prices for</w:t>
      </w:r>
      <w:r>
        <w:rPr>
          <w:rFonts w:eastAsia="Times New Roman"/>
          <w:color w:val="000000"/>
          <w:sz w:val="20"/>
          <w:szCs w:val="20"/>
        </w:rPr>
        <w:t xml:space="preserve"> similar assets or liabilities in active markets; quoted prices for identical or similar assets or liabilities in markets that are not active; and inputs other than quoted prices that are observable or are derived principally from, or corroborated by, obse</w:t>
      </w:r>
      <w:r>
        <w:rPr>
          <w:rFonts w:eastAsia="Times New Roman"/>
          <w:color w:val="000000"/>
          <w:sz w:val="20"/>
          <w:szCs w:val="20"/>
        </w:rPr>
        <w:t>rvable market data by correlation or other means.</w:t>
      </w:r>
    </w:p>
    <w:p w:rsidR="00000000" w:rsidRDefault="0039054C">
      <w:pPr>
        <w:ind w:hanging="180"/>
        <w:divId w:val="1761901071"/>
        <w:rPr>
          <w:rFonts w:eastAsia="Times New Roman"/>
        </w:rPr>
      </w:pPr>
      <w:r>
        <w:rPr>
          <w:rFonts w:eastAsia="Times New Roman"/>
          <w:color w:val="000000"/>
          <w:sz w:val="20"/>
          <w:szCs w:val="20"/>
        </w:rPr>
        <w:t>•Level 3 — Unobservable inputs that are supported by little or no market activity, are significant to the fair value of the assets or liabilities, and reflect our own assumptions about the assumptions marke</w:t>
      </w:r>
      <w:r>
        <w:rPr>
          <w:rFonts w:eastAsia="Times New Roman"/>
          <w:color w:val="000000"/>
          <w:sz w:val="20"/>
          <w:szCs w:val="20"/>
        </w:rPr>
        <w:t>t participants would use in pricing the asset or liability developed using the best information available in the circumstances.</w:t>
      </w:r>
    </w:p>
    <w:p w:rsidR="00000000" w:rsidRDefault="0039054C">
      <w:pPr>
        <w:ind w:firstLine="450"/>
        <w:jc w:val="center"/>
        <w:divId w:val="762069020"/>
        <w:rPr>
          <w:rFonts w:eastAsia="Times New Roman"/>
        </w:rPr>
      </w:pPr>
      <w:r>
        <w:rPr>
          <w:rFonts w:eastAsia="Times New Roman"/>
          <w:color w:val="000000"/>
          <w:sz w:val="20"/>
          <w:szCs w:val="20"/>
        </w:rPr>
        <w:t>16</w:t>
      </w:r>
    </w:p>
    <w:p w:rsidR="00000000" w:rsidRDefault="0039054C">
      <w:pPr>
        <w:rPr>
          <w:rFonts w:eastAsia="Times New Roman"/>
        </w:rPr>
      </w:pPr>
      <w:r>
        <w:rPr>
          <w:rFonts w:eastAsia="Times New Roman"/>
        </w:rPr>
        <w:pict>
          <v:rect id="_x0000_i1043" style="width:0;height:1.5pt" o:hralign="center" o:hrstd="t" o:hr="t" fillcolor="#a0a0a0" stroked="f"/>
        </w:pict>
      </w:r>
    </w:p>
    <w:p w:rsidR="00000000" w:rsidRDefault="0039054C">
      <w:pPr>
        <w:ind w:firstLine="450"/>
        <w:divId w:val="2129545156"/>
        <w:rPr>
          <w:rFonts w:eastAsia="Times New Roman"/>
        </w:rPr>
      </w:pPr>
    </w:p>
    <w:p w:rsidR="00000000" w:rsidRDefault="0039054C">
      <w:pPr>
        <w:ind w:firstLine="450"/>
        <w:divId w:val="1352755268"/>
        <w:rPr>
          <w:rFonts w:eastAsia="Times New Roman"/>
        </w:rPr>
      </w:pPr>
    </w:p>
    <w:p w:rsidR="00000000" w:rsidRDefault="0039054C">
      <w:pPr>
        <w:ind w:firstLine="450"/>
        <w:divId w:val="334497460"/>
        <w:rPr>
          <w:rFonts w:eastAsia="Times New Roman"/>
        </w:rPr>
      </w:pPr>
      <w:r>
        <w:rPr>
          <w:rFonts w:eastAsia="Times New Roman"/>
          <w:color w:val="000000"/>
          <w:sz w:val="20"/>
          <w:szCs w:val="20"/>
        </w:rPr>
        <w:t>In certain instances, fair value is estimated using quoted market prices obtained fr</w:t>
      </w:r>
      <w:r>
        <w:rPr>
          <w:rFonts w:eastAsia="Times New Roman"/>
          <w:color w:val="000000"/>
          <w:sz w:val="20"/>
          <w:szCs w:val="20"/>
        </w:rPr>
        <w:t>om external pricing services. In obtaining such data from the external pricing services, we have evaluated the methodologies used to develop the estimate of fair value in order to assess whether such valuations are representative of fair value, including n</w:t>
      </w:r>
      <w:r>
        <w:rPr>
          <w:rFonts w:eastAsia="Times New Roman"/>
          <w:color w:val="000000"/>
          <w:sz w:val="20"/>
          <w:szCs w:val="20"/>
        </w:rPr>
        <w:t>et asset value (“NAV”). Additionally, in certain circumstances, the NAV reported by an asset manager may be adjusted when sufficient evidence indicates NAV is not representative of fair value.</w:t>
      </w:r>
    </w:p>
    <w:p w:rsidR="00000000" w:rsidRDefault="0039054C">
      <w:pPr>
        <w:ind w:firstLine="450"/>
        <w:divId w:val="963267337"/>
        <w:rPr>
          <w:rFonts w:eastAsia="Times New Roman"/>
        </w:rPr>
      </w:pPr>
      <w:r>
        <w:rPr>
          <w:rFonts w:eastAsia="Times New Roman"/>
          <w:color w:val="000000"/>
          <w:sz w:val="20"/>
          <w:szCs w:val="20"/>
        </w:rPr>
        <w:t>The following table presents assets and liabilities measured at</w:t>
      </w:r>
      <w:r>
        <w:rPr>
          <w:rFonts w:eastAsia="Times New Roman"/>
          <w:color w:val="000000"/>
          <w:sz w:val="20"/>
          <w:szCs w:val="20"/>
        </w:rPr>
        <w:t xml:space="preserve"> fair value on a recurring basis (at least annually) at April 2, 2021 and January 1, 2021:</w:t>
      </w:r>
    </w:p>
    <w:tbl>
      <w:tblPr>
        <w:tblW w:w="5000" w:type="pct"/>
        <w:tblCellMar>
          <w:top w:w="15" w:type="dxa"/>
          <w:left w:w="15" w:type="dxa"/>
          <w:bottom w:w="15" w:type="dxa"/>
          <w:right w:w="15" w:type="dxa"/>
        </w:tblCellMar>
        <w:tblLook w:val="04A0" w:firstRow="1" w:lastRow="0" w:firstColumn="1" w:lastColumn="0" w:noHBand="0" w:noVBand="1"/>
      </w:tblPr>
      <w:tblGrid>
        <w:gridCol w:w="40"/>
        <w:gridCol w:w="3556"/>
        <w:gridCol w:w="37"/>
        <w:gridCol w:w="120"/>
        <w:gridCol w:w="523"/>
        <w:gridCol w:w="36"/>
        <w:gridCol w:w="36"/>
        <w:gridCol w:w="36"/>
        <w:gridCol w:w="36"/>
        <w:gridCol w:w="121"/>
        <w:gridCol w:w="474"/>
        <w:gridCol w:w="36"/>
        <w:gridCol w:w="36"/>
        <w:gridCol w:w="36"/>
        <w:gridCol w:w="36"/>
        <w:gridCol w:w="121"/>
        <w:gridCol w:w="474"/>
        <w:gridCol w:w="36"/>
        <w:gridCol w:w="46"/>
        <w:gridCol w:w="36"/>
        <w:gridCol w:w="36"/>
        <w:gridCol w:w="36"/>
        <w:gridCol w:w="36"/>
        <w:gridCol w:w="120"/>
        <w:gridCol w:w="474"/>
        <w:gridCol w:w="36"/>
        <w:gridCol w:w="36"/>
        <w:gridCol w:w="36"/>
        <w:gridCol w:w="36"/>
        <w:gridCol w:w="121"/>
        <w:gridCol w:w="474"/>
        <w:gridCol w:w="36"/>
        <w:gridCol w:w="36"/>
        <w:gridCol w:w="36"/>
        <w:gridCol w:w="36"/>
        <w:gridCol w:w="121"/>
        <w:gridCol w:w="476"/>
        <w:gridCol w:w="36"/>
        <w:gridCol w:w="36"/>
        <w:gridCol w:w="36"/>
        <w:gridCol w:w="36"/>
        <w:gridCol w:w="36"/>
        <w:gridCol w:w="36"/>
        <w:gridCol w:w="36"/>
      </w:tblGrid>
      <w:tr w:rsidR="00000000">
        <w:trPr>
          <w:divId w:val="2072145137"/>
        </w:trPr>
        <w:tc>
          <w:tcPr>
            <w:tcW w:w="50" w:type="pct"/>
            <w:vAlign w:val="center"/>
            <w:hideMark/>
          </w:tcPr>
          <w:p w:rsidR="00000000" w:rsidRDefault="0039054C">
            <w:pPr>
              <w:ind w:firstLine="450"/>
              <w:rPr>
                <w:rFonts w:eastAsia="Times New Roman"/>
              </w:rPr>
            </w:pPr>
          </w:p>
        </w:tc>
        <w:tc>
          <w:tcPr>
            <w:tcW w:w="226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6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6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6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6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6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36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1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207214513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Level 2</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Level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Level 2</w:t>
            </w:r>
          </w:p>
        </w:tc>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r>
      <w:tr w:rsidR="00000000">
        <w:trPr>
          <w:divId w:val="2072145137"/>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FFFFFF"/>
            <w:tcMar>
              <w:top w:w="30" w:type="dxa"/>
              <w:left w:w="20" w:type="dxa"/>
              <w:bottom w:w="30" w:type="dxa"/>
              <w:right w:w="20" w:type="dxa"/>
            </w:tcMar>
            <w:vAlign w:val="bottom"/>
            <w:hideMark/>
          </w:tcPr>
          <w:p w:rsidR="00000000" w:rsidRDefault="0039054C">
            <w:pPr>
              <w:divId w:val="1206412009"/>
              <w:rPr>
                <w:rFonts w:eastAsia="Times New Roman"/>
              </w:rPr>
            </w:pPr>
            <w:r>
              <w:rPr>
                <w:rFonts w:eastAsia="Times New Roman"/>
                <w:color w:val="000000"/>
                <w:sz w:val="20"/>
                <w:szCs w:val="20"/>
              </w:rPr>
              <w:t>Deferred compensation plan assets</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125" w:type="dxa"/>
              <w:bottom w:w="30" w:type="dxa"/>
              <w:right w:w="20" w:type="dxa"/>
            </w:tcMar>
            <w:vAlign w:val="bottom"/>
            <w:hideMark/>
          </w:tcPr>
          <w:p w:rsidR="00000000" w:rsidRDefault="0039054C">
            <w:pPr>
              <w:rPr>
                <w:rFonts w:eastAsia="Times New Roman"/>
              </w:rPr>
            </w:pPr>
            <w:r>
              <w:rPr>
                <w:rFonts w:eastAsia="Times New Roman"/>
                <w:color w:val="000000"/>
                <w:sz w:val="20"/>
                <w:szCs w:val="20"/>
              </w:rPr>
              <w:t>Equity and fixed-income securities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FFFFFF"/>
            <w:tcMar>
              <w:top w:w="30" w:type="dxa"/>
              <w:left w:w="125"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26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Corporate-owned life insurance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fair value of deferred compensation plan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Height w:val="300"/>
        </w:trPr>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FFFFFF"/>
            <w:tcMar>
              <w:top w:w="30" w:type="dxa"/>
              <w:left w:w="20" w:type="dxa"/>
              <w:bottom w:w="30" w:type="dxa"/>
              <w:right w:w="20" w:type="dxa"/>
            </w:tcMar>
            <w:vAlign w:val="bottom"/>
            <w:hideMark/>
          </w:tcPr>
          <w:p w:rsidR="00000000" w:rsidRDefault="0039054C">
            <w:pPr>
              <w:divId w:val="578100261"/>
              <w:rPr>
                <w:rFonts w:eastAsia="Times New Roman"/>
              </w:rPr>
            </w:pPr>
            <w:r>
              <w:rPr>
                <w:rFonts w:eastAsia="Times New Roman"/>
                <w:color w:val="000000"/>
                <w:sz w:val="20"/>
                <w:szCs w:val="20"/>
              </w:rPr>
              <w:t>Deferred compensation plan liabilities</w:t>
            </w:r>
            <w:r>
              <w:rPr>
                <w:rFonts w:eastAsia="Times New Roman"/>
                <w:color w:val="000000"/>
                <w:sz w:val="20"/>
                <w:szCs w:val="20"/>
              </w:rPr>
              <w: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125" w:type="dxa"/>
              <w:bottom w:w="30" w:type="dxa"/>
              <w:right w:w="20" w:type="dxa"/>
            </w:tcMar>
            <w:vAlign w:val="bottom"/>
            <w:hideMark/>
          </w:tcPr>
          <w:p w:rsidR="00000000" w:rsidRDefault="0039054C">
            <w:pPr>
              <w:rPr>
                <w:rFonts w:eastAsia="Times New Roman"/>
              </w:rPr>
            </w:pPr>
            <w:r>
              <w:rPr>
                <w:rFonts w:eastAsia="Times New Roman"/>
                <w:color w:val="000000"/>
                <w:sz w:val="20"/>
                <w:szCs w:val="20"/>
              </w:rPr>
              <w:t>Equity securities and mutual funds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FFFFFF"/>
            <w:tcMar>
              <w:top w:w="30" w:type="dxa"/>
              <w:left w:w="125"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Investments measured at NAV:</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425" w:type="dxa"/>
              <w:bottom w:w="30" w:type="dxa"/>
              <w:right w:w="20" w:type="dxa"/>
            </w:tcMar>
            <w:vAlign w:val="bottom"/>
            <w:hideMark/>
          </w:tcPr>
          <w:p w:rsidR="00000000" w:rsidRDefault="0039054C">
            <w:pPr>
              <w:ind w:hanging="180"/>
              <w:rPr>
                <w:rFonts w:eastAsia="Times New Roman"/>
              </w:rPr>
            </w:pPr>
            <w:r>
              <w:rPr>
                <w:rFonts w:eastAsia="Times New Roman"/>
                <w:color w:val="000000"/>
                <w:sz w:val="20"/>
                <w:szCs w:val="20"/>
              </w:rPr>
              <w:t>Common/collective trusts and guaranteed investment contracts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fair value of deferred compensation plan liabilities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Derivatives (foreign currency forward contracts)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2072145137"/>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divId w:val="2045052760"/>
        <w:rPr>
          <w:rFonts w:eastAsia="Times New Roman"/>
        </w:rPr>
      </w:pPr>
      <w:r>
        <w:rPr>
          <w:rFonts w:eastAsia="Times New Roman"/>
          <w:color w:val="000000"/>
          <w:sz w:val="16"/>
          <w:szCs w:val="16"/>
        </w:rPr>
        <w:t>_______________</w:t>
      </w:r>
    </w:p>
    <w:p w:rsidR="00000000" w:rsidRDefault="0039054C">
      <w:pPr>
        <w:ind w:hanging="270"/>
        <w:divId w:val="1234195363"/>
        <w:rPr>
          <w:rFonts w:eastAsia="Times New Roman"/>
        </w:rPr>
      </w:pPr>
      <w:r>
        <w:rPr>
          <w:rFonts w:eastAsia="Times New Roman"/>
          <w:color w:val="000000"/>
          <w:sz w:val="16"/>
          <w:szCs w:val="16"/>
        </w:rPr>
        <w:t>(1)</w:t>
      </w:r>
      <w:r>
        <w:rPr>
          <w:rFonts w:eastAsia="Times New Roman"/>
          <w:color w:val="000000"/>
          <w:sz w:val="16"/>
          <w:szCs w:val="16"/>
        </w:rPr>
        <w:t>Represents diversified assets held in a “rabbi trust” associated with our non-qualified deferred compensation plans, which we include in the “Other current assets” and “Other non-current assets” line items in our Condensed Consolidated Balance Sheet (Unaud</w:t>
      </w:r>
      <w:r>
        <w:rPr>
          <w:rFonts w:eastAsia="Times New Roman"/>
          <w:color w:val="000000"/>
          <w:sz w:val="16"/>
          <w:szCs w:val="16"/>
        </w:rPr>
        <w:t xml:space="preserve">ited) and which are measured at fair value. </w:t>
      </w:r>
    </w:p>
    <w:p w:rsidR="00000000" w:rsidRDefault="0039054C">
      <w:pPr>
        <w:ind w:hanging="270"/>
        <w:divId w:val="731807188"/>
        <w:rPr>
          <w:rFonts w:eastAsia="Times New Roman"/>
        </w:rPr>
      </w:pPr>
      <w:r>
        <w:rPr>
          <w:rFonts w:eastAsia="Times New Roman"/>
          <w:color w:val="000000"/>
          <w:sz w:val="16"/>
          <w:szCs w:val="16"/>
        </w:rPr>
        <w:t>(2)Primarily represents obligations to pay benefits under certain non-qualified deferred compensation plans, which we include in the “Compensation and benefits” and “Other long-term liabilities” line items in ou</w:t>
      </w:r>
      <w:r>
        <w:rPr>
          <w:rFonts w:eastAsia="Times New Roman"/>
          <w:color w:val="000000"/>
          <w:sz w:val="16"/>
          <w:szCs w:val="16"/>
        </w:rPr>
        <w:t>r Condensed Consolidated Balance Sheet (Unaudited). Under these plans, participants designate investment options (including stock and fixed-income funds), which serve as the basis for measurement of the notional value of their accounts.</w:t>
      </w:r>
    </w:p>
    <w:p w:rsidR="00000000" w:rsidRDefault="0039054C">
      <w:pPr>
        <w:ind w:firstLine="450"/>
        <w:divId w:val="1827864698"/>
        <w:rPr>
          <w:rFonts w:eastAsia="Times New Roman"/>
        </w:rPr>
      </w:pPr>
      <w:r>
        <w:rPr>
          <w:rFonts w:eastAsia="Times New Roman"/>
          <w:color w:val="000000"/>
          <w:sz w:val="20"/>
          <w:szCs w:val="20"/>
        </w:rPr>
        <w:t>The following table</w:t>
      </w:r>
      <w:r>
        <w:rPr>
          <w:rFonts w:eastAsia="Times New Roman"/>
          <w:color w:val="000000"/>
          <w:sz w:val="20"/>
          <w:szCs w:val="20"/>
        </w:rPr>
        <w:t xml:space="preserve"> presents the carrying amounts and estimated fair values of our significant financial instruments that were not measured at fair value (carrying amounts of other financial instruments not listed in the table below approximate fair value due to the short-te</w:t>
      </w:r>
      <w:r>
        <w:rPr>
          <w:rFonts w:eastAsia="Times New Roman"/>
          <w:color w:val="000000"/>
          <w:sz w:val="20"/>
          <w:szCs w:val="20"/>
        </w:rPr>
        <w:t>rm nature of those items):</w:t>
      </w:r>
    </w:p>
    <w:tbl>
      <w:tblPr>
        <w:tblW w:w="5000" w:type="pct"/>
        <w:tblCellMar>
          <w:top w:w="15" w:type="dxa"/>
          <w:left w:w="15" w:type="dxa"/>
          <w:bottom w:w="15" w:type="dxa"/>
          <w:right w:w="15" w:type="dxa"/>
        </w:tblCellMar>
        <w:tblLook w:val="04A0" w:firstRow="1" w:lastRow="0" w:firstColumn="1" w:lastColumn="0" w:noHBand="0" w:noVBand="1"/>
      </w:tblPr>
      <w:tblGrid>
        <w:gridCol w:w="38"/>
        <w:gridCol w:w="4434"/>
        <w:gridCol w:w="37"/>
        <w:gridCol w:w="121"/>
        <w:gridCol w:w="744"/>
        <w:gridCol w:w="36"/>
        <w:gridCol w:w="36"/>
        <w:gridCol w:w="36"/>
        <w:gridCol w:w="36"/>
        <w:gridCol w:w="120"/>
        <w:gridCol w:w="701"/>
        <w:gridCol w:w="36"/>
        <w:gridCol w:w="36"/>
        <w:gridCol w:w="36"/>
        <w:gridCol w:w="36"/>
        <w:gridCol w:w="121"/>
        <w:gridCol w:w="701"/>
        <w:gridCol w:w="36"/>
        <w:gridCol w:w="36"/>
        <w:gridCol w:w="36"/>
        <w:gridCol w:w="36"/>
        <w:gridCol w:w="120"/>
        <w:gridCol w:w="701"/>
        <w:gridCol w:w="36"/>
      </w:tblGrid>
      <w:tr w:rsidR="00000000">
        <w:trPr>
          <w:divId w:val="336008832"/>
        </w:trPr>
        <w:tc>
          <w:tcPr>
            <w:tcW w:w="50" w:type="pct"/>
            <w:vAlign w:val="center"/>
            <w:hideMark/>
          </w:tcPr>
          <w:p w:rsidR="00000000" w:rsidRDefault="0039054C">
            <w:pPr>
              <w:ind w:firstLine="450"/>
              <w:rPr>
                <w:rFonts w:eastAsia="Times New Roman"/>
              </w:rPr>
            </w:pPr>
          </w:p>
        </w:tc>
        <w:tc>
          <w:tcPr>
            <w:tcW w:w="270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33600883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33600883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Fair</w:t>
            </w:r>
            <w:r>
              <w:rPr>
                <w:rFonts w:eastAsia="Times New Roman"/>
                <w:b/>
                <w:bCs/>
                <w:color w:val="000000"/>
                <w:sz w:val="16"/>
                <w:szCs w:val="16"/>
              </w:rPr>
              <w:br/>
              <w:t>Value</w:t>
            </w:r>
          </w:p>
        </w:tc>
      </w:tr>
      <w:tr w:rsidR="00000000">
        <w:trPr>
          <w:divId w:val="336008832"/>
          <w:trHeight w:val="10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336008832"/>
        </w:trPr>
        <w:tc>
          <w:tcPr>
            <w:tcW w:w="0" w:type="auto"/>
            <w:gridSpan w:val="3"/>
            <w:shd w:val="clear" w:color="auto" w:fill="CCEEFF"/>
            <w:tcMar>
              <w:top w:w="30" w:type="dxa"/>
              <w:left w:w="20" w:type="dxa"/>
              <w:bottom w:w="30" w:type="dxa"/>
              <w:right w:w="20" w:type="dxa"/>
            </w:tcMar>
            <w:vAlign w:val="bottom"/>
            <w:hideMark/>
          </w:tcPr>
          <w:p w:rsidR="00000000" w:rsidRDefault="0039054C">
            <w:pPr>
              <w:divId w:val="1524975278"/>
              <w:rPr>
                <w:rFonts w:eastAsia="Times New Roman"/>
              </w:rPr>
            </w:pPr>
            <w:r>
              <w:rPr>
                <w:rFonts w:eastAsia="Times New Roman"/>
                <w:color w:val="000000"/>
                <w:sz w:val="20"/>
                <w:szCs w:val="20"/>
              </w:rPr>
              <w:t>Long-term debt (including current portion</w:t>
            </w:r>
            <w:r>
              <w:rPr>
                <w:rFonts w:eastAsia="Times New Roman"/>
                <w:color w:val="000000"/>
                <w:sz w:val="20"/>
                <w:szCs w:val="20"/>
              </w:rPr>
              <w:t>)</w:t>
            </w:r>
            <w:r>
              <w:rPr>
                <w:rFonts w:eastAsia="Times New Roman"/>
                <w:color w:val="000000"/>
                <w:sz w:val="13"/>
                <w:szCs w:val="13"/>
              </w:rPr>
              <w:t>(1</w:t>
            </w:r>
            <w:r>
              <w:rPr>
                <w:rFonts w:eastAsia="Times New Roman"/>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7,078 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7,736 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6,953 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7,986 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1206068387"/>
        <w:rPr>
          <w:rFonts w:eastAsia="Times New Roman"/>
        </w:rPr>
      </w:pPr>
      <w:r>
        <w:rPr>
          <w:rFonts w:eastAsia="Times New Roman"/>
          <w:color w:val="000000"/>
          <w:sz w:val="16"/>
          <w:szCs w:val="16"/>
        </w:rPr>
        <w:t>_______________</w:t>
      </w:r>
    </w:p>
    <w:p w:rsidR="00000000" w:rsidRDefault="0039054C">
      <w:pPr>
        <w:ind w:hanging="270"/>
        <w:divId w:val="112137674"/>
        <w:rPr>
          <w:rFonts w:eastAsia="Times New Roman"/>
        </w:rPr>
      </w:pPr>
      <w:r>
        <w:rPr>
          <w:rFonts w:eastAsia="Times New Roman"/>
          <w:color w:val="000000"/>
          <w:sz w:val="16"/>
          <w:szCs w:val="16"/>
        </w:rPr>
        <w:t>(1)Fair value was estimated using a market approach based on quoted market prices for our debt traded in the secondary market. I</w:t>
      </w:r>
      <w:r>
        <w:rPr>
          <w:rFonts w:eastAsia="Times New Roman"/>
          <w:color w:val="000000"/>
          <w:sz w:val="16"/>
          <w:szCs w:val="16"/>
        </w:rPr>
        <w:t>f our long-term debt in our balance sheet were measured at fair value, it would be categorized in Level 2 of the fair value hierarchy.</w:t>
      </w:r>
    </w:p>
    <w:p w:rsidR="00000000" w:rsidRDefault="0039054C">
      <w:pPr>
        <w:ind w:firstLine="450"/>
        <w:divId w:val="1849562331"/>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and </w:t>
      </w:r>
      <w:r>
        <w:rPr>
          <w:rFonts w:eastAsia="Times New Roman"/>
          <w:i/>
          <w:iCs/>
          <w:color w:val="000000"/>
          <w:sz w:val="20"/>
          <w:szCs w:val="20"/>
        </w:rPr>
        <w:t xml:space="preserve">Note J — Goodwill and Other Intangible Assets </w:t>
      </w:r>
      <w:r>
        <w:rPr>
          <w:rFonts w:eastAsia="Times New Roman"/>
          <w:color w:val="000000"/>
          <w:sz w:val="20"/>
          <w:szCs w:val="20"/>
        </w:rPr>
        <w:t>in these Notes for information regar</w:t>
      </w:r>
      <w:r>
        <w:rPr>
          <w:rFonts w:eastAsia="Times New Roman"/>
          <w:color w:val="000000"/>
          <w:sz w:val="20"/>
          <w:szCs w:val="20"/>
        </w:rPr>
        <w:t xml:space="preserve">ding fair value measurements associated with goodwill. </w:t>
      </w:r>
    </w:p>
    <w:p w:rsidR="00000000" w:rsidRDefault="0039054C">
      <w:pPr>
        <w:divId w:val="317268253"/>
        <w:rPr>
          <w:rFonts w:eastAsia="Times New Roman"/>
        </w:rPr>
      </w:pPr>
      <w:r>
        <w:rPr>
          <w:rFonts w:eastAsia="Times New Roman"/>
          <w:b/>
          <w:bCs/>
          <w:color w:val="000000"/>
          <w:sz w:val="20"/>
          <w:szCs w:val="20"/>
        </w:rPr>
        <w:t xml:space="preserve">Note Q — Derivative Instruments and Hedging Activities </w:t>
      </w:r>
    </w:p>
    <w:p w:rsidR="00000000" w:rsidRDefault="0039054C">
      <w:pPr>
        <w:ind w:firstLine="450"/>
        <w:divId w:val="1613197447"/>
        <w:rPr>
          <w:rFonts w:eastAsia="Times New Roman"/>
        </w:rPr>
      </w:pPr>
      <w:r>
        <w:rPr>
          <w:rFonts w:eastAsia="Times New Roman"/>
          <w:color w:val="000000"/>
          <w:sz w:val="20"/>
          <w:szCs w:val="20"/>
        </w:rPr>
        <w:t xml:space="preserve">In the normal course of business, we are exposed to global market risks, including the effect of changes in foreign currency exchange rates. We </w:t>
      </w:r>
      <w:r>
        <w:rPr>
          <w:rFonts w:eastAsia="Times New Roman"/>
          <w:color w:val="000000"/>
          <w:sz w:val="20"/>
          <w:szCs w:val="20"/>
        </w:rPr>
        <w:t>use derivative instruments to manage our exposure to such risks and formally document all relationships between hedging instruments and hedged items, as well as the risk-management objective and strategy for undertaking hedge transactions. We also may ente</w:t>
      </w:r>
      <w:r>
        <w:rPr>
          <w:rFonts w:eastAsia="Times New Roman"/>
          <w:color w:val="000000"/>
          <w:sz w:val="20"/>
          <w:szCs w:val="20"/>
        </w:rPr>
        <w:t>r into derivative instruments that are not designated as hedges and do not qualify for hedge accounting. We recognize all derivatives in our Condensed Consolidated Balance Sheet (Unaudited) at fair value. We do not hold or issue derivatives for speculative</w:t>
      </w:r>
      <w:r>
        <w:rPr>
          <w:rFonts w:eastAsia="Times New Roman"/>
          <w:color w:val="000000"/>
          <w:sz w:val="20"/>
          <w:szCs w:val="20"/>
        </w:rPr>
        <w:t xml:space="preserve"> trading purposes.</w:t>
      </w:r>
    </w:p>
    <w:p w:rsidR="00000000" w:rsidRDefault="0039054C">
      <w:pPr>
        <w:ind w:firstLine="450"/>
        <w:jc w:val="center"/>
        <w:divId w:val="299532126"/>
        <w:rPr>
          <w:rFonts w:eastAsia="Times New Roman"/>
        </w:rPr>
      </w:pPr>
      <w:r>
        <w:rPr>
          <w:rFonts w:eastAsia="Times New Roman"/>
          <w:color w:val="000000"/>
          <w:sz w:val="20"/>
          <w:szCs w:val="20"/>
        </w:rPr>
        <w:t>17</w:t>
      </w:r>
    </w:p>
    <w:p w:rsidR="00000000" w:rsidRDefault="0039054C">
      <w:pPr>
        <w:rPr>
          <w:rFonts w:eastAsia="Times New Roman"/>
        </w:rPr>
      </w:pPr>
      <w:r>
        <w:rPr>
          <w:rFonts w:eastAsia="Times New Roman"/>
        </w:rPr>
        <w:pict>
          <v:rect id="_x0000_i1044" style="width:0;height:1.5pt" o:hralign="center" o:hrstd="t" o:hr="t" fillcolor="#a0a0a0" stroked="f"/>
        </w:pict>
      </w:r>
    </w:p>
    <w:p w:rsidR="00000000" w:rsidRDefault="0039054C">
      <w:pPr>
        <w:ind w:firstLine="450"/>
        <w:divId w:val="1704675183"/>
        <w:rPr>
          <w:rFonts w:eastAsia="Times New Roman"/>
        </w:rPr>
      </w:pPr>
    </w:p>
    <w:p w:rsidR="00000000" w:rsidRDefault="0039054C">
      <w:pPr>
        <w:ind w:firstLine="450"/>
        <w:divId w:val="2104110715"/>
        <w:rPr>
          <w:rFonts w:eastAsia="Times New Roman"/>
        </w:rPr>
      </w:pPr>
    </w:p>
    <w:p w:rsidR="00000000" w:rsidRDefault="0039054C">
      <w:pPr>
        <w:ind w:firstLine="450"/>
        <w:divId w:val="967508803"/>
        <w:rPr>
          <w:rFonts w:eastAsia="Times New Roman"/>
        </w:rPr>
      </w:pPr>
      <w:r>
        <w:rPr>
          <w:rFonts w:eastAsia="Times New Roman"/>
          <w:i/>
          <w:iCs/>
          <w:color w:val="000000"/>
          <w:sz w:val="20"/>
          <w:szCs w:val="20"/>
        </w:rPr>
        <w:t xml:space="preserve">Exchange-Rate Risk — Cash Flow Hedges. </w:t>
      </w:r>
      <w:r>
        <w:rPr>
          <w:rFonts w:eastAsia="Times New Roman"/>
          <w:color w:val="000000"/>
          <w:sz w:val="20"/>
          <w:szCs w:val="20"/>
        </w:rPr>
        <w:t>To manage our exposure to currency risk and market fluctuation risk associated with anticipated cash flows that are probable of occurring in the future, we</w:t>
      </w:r>
      <w:r>
        <w:rPr>
          <w:rFonts w:eastAsia="Times New Roman"/>
          <w:color w:val="000000"/>
          <w:sz w:val="20"/>
          <w:szCs w:val="20"/>
        </w:rPr>
        <w:t xml:space="preserve"> implement cash flow hedges. More specifically, we use foreign currency forward contracts and options to hedge off-balance sheet future foreign currency commitments, including purchase commitments to suppliers, future committed sales to customers and inter</w:t>
      </w:r>
      <w:r>
        <w:rPr>
          <w:rFonts w:eastAsia="Times New Roman"/>
          <w:color w:val="000000"/>
          <w:sz w:val="20"/>
          <w:szCs w:val="20"/>
        </w:rPr>
        <w:t>-segment transactions. These derivatives are used to hedge currency exposures from cash flows anticipated across our business segments. We also hedge U.S. Dollar payments to suppliers to maintain our anticipated profit margins in our international operatio</w:t>
      </w:r>
      <w:r>
        <w:rPr>
          <w:rFonts w:eastAsia="Times New Roman"/>
          <w:color w:val="000000"/>
          <w:sz w:val="20"/>
          <w:szCs w:val="20"/>
        </w:rPr>
        <w:t>ns. These derivatives have only nominal intrinsic value at the time of purchase and have a high degree of correlation to the anticipated cash flows they are designated to hedge. Hedge effectiveness is determined by the correlation of the anticipated cash f</w:t>
      </w:r>
      <w:r>
        <w:rPr>
          <w:rFonts w:eastAsia="Times New Roman"/>
          <w:color w:val="000000"/>
          <w:sz w:val="20"/>
          <w:szCs w:val="20"/>
        </w:rPr>
        <w:t>lows from the hedging instruments and the anticipated cash flows from the future foreign currency commitments through the maturity dates of the derivatives used to hedge these cash flows. These financial instruments are marked-to-market using forward price</w:t>
      </w:r>
      <w:r>
        <w:rPr>
          <w:rFonts w:eastAsia="Times New Roman"/>
          <w:color w:val="000000"/>
          <w:sz w:val="20"/>
          <w:szCs w:val="20"/>
        </w:rPr>
        <w:t>s and fair value quotes with the offset to other comprehensive income (loss). Gains and losses in AOCI are reclassified to earnings when the related hedged item is recognized in earnings. The cash flow impact of our derivatives is included in the same cate</w:t>
      </w:r>
      <w:r>
        <w:rPr>
          <w:rFonts w:eastAsia="Times New Roman"/>
          <w:color w:val="000000"/>
          <w:sz w:val="20"/>
          <w:szCs w:val="20"/>
        </w:rPr>
        <w:t>gory in our Condensed Consolidated Statement of Cash Flows (Unaudited) as the cash flows of the related hedged items. Notional amounts are used to measure the volume of foreign currency forward contracts and do not represent exposure to foreign currency lo</w:t>
      </w:r>
      <w:r>
        <w:rPr>
          <w:rFonts w:eastAsia="Times New Roman"/>
          <w:color w:val="000000"/>
          <w:sz w:val="20"/>
          <w:szCs w:val="20"/>
        </w:rPr>
        <w:t xml:space="preserve">sses. At April 2, 2021, we had open foreign currency forward contracts with an aggregate notional amount of $406 million, hedging certain forecasted transactions denominated in U.S. Dollars, Canadian Dollars, British Pounds, Euros, New Zealand Dollars and </w:t>
      </w:r>
      <w:r>
        <w:rPr>
          <w:rFonts w:eastAsia="Times New Roman"/>
          <w:color w:val="000000"/>
          <w:sz w:val="20"/>
          <w:szCs w:val="20"/>
        </w:rPr>
        <w:t>Australian Dollars. At January 1, 2021, we had open foreign currency forward contracts with an aggregate notional amount of $488 million, hedging certain forecasted transactions denominated in U.S. Dollars, Canadian Dollars, British Pounds, Euros, Australi</w:t>
      </w:r>
      <w:r>
        <w:rPr>
          <w:rFonts w:eastAsia="Times New Roman"/>
          <w:color w:val="000000"/>
          <w:sz w:val="20"/>
          <w:szCs w:val="20"/>
        </w:rPr>
        <w:t xml:space="preserve">an Dollars and New Zealand Dollars. </w:t>
      </w:r>
    </w:p>
    <w:p w:rsidR="00000000" w:rsidRDefault="0039054C">
      <w:pPr>
        <w:ind w:firstLine="450"/>
        <w:divId w:val="889852057"/>
        <w:rPr>
          <w:rFonts w:eastAsia="Times New Roman"/>
        </w:rPr>
      </w:pPr>
      <w:r>
        <w:rPr>
          <w:rFonts w:eastAsia="Times New Roman"/>
          <w:color w:val="000000"/>
          <w:sz w:val="20"/>
          <w:szCs w:val="20"/>
        </w:rPr>
        <w:t>At April 2, 2021, our foreign currency forward contracts had maturities through 2025.</w:t>
      </w:r>
    </w:p>
    <w:p w:rsidR="00000000" w:rsidRDefault="0039054C">
      <w:pPr>
        <w:ind w:firstLine="450"/>
        <w:divId w:val="1522626266"/>
        <w:rPr>
          <w:rFonts w:eastAsia="Times New Roman"/>
        </w:rPr>
      </w:pPr>
      <w:r>
        <w:rPr>
          <w:rFonts w:eastAsia="Times New Roman"/>
          <w:color w:val="000000"/>
          <w:sz w:val="20"/>
          <w:szCs w:val="20"/>
        </w:rPr>
        <w:t>The table below presents the fair values of our derivatives designated as foreign currency hedging instruments in our Condensed Conso</w:t>
      </w:r>
      <w:r>
        <w:rPr>
          <w:rFonts w:eastAsia="Times New Roman"/>
          <w:color w:val="000000"/>
          <w:sz w:val="20"/>
          <w:szCs w:val="20"/>
        </w:rPr>
        <w:t>lidated Balance Sheet (Unaudited) at April 2, 2021 and January 1,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5481"/>
        <w:gridCol w:w="36"/>
        <w:gridCol w:w="120"/>
        <w:gridCol w:w="1039"/>
        <w:gridCol w:w="36"/>
        <w:gridCol w:w="36"/>
        <w:gridCol w:w="36"/>
        <w:gridCol w:w="36"/>
        <w:gridCol w:w="121"/>
        <w:gridCol w:w="1003"/>
        <w:gridCol w:w="36"/>
        <w:gridCol w:w="36"/>
        <w:gridCol w:w="36"/>
        <w:gridCol w:w="36"/>
        <w:gridCol w:w="36"/>
        <w:gridCol w:w="36"/>
        <w:gridCol w:w="36"/>
        <w:gridCol w:w="36"/>
        <w:gridCol w:w="36"/>
      </w:tblGrid>
      <w:tr w:rsidR="00000000">
        <w:trPr>
          <w:divId w:val="373232541"/>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b/>
                <w:b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Pr>
        <w:tc>
          <w:tcPr>
            <w:tcW w:w="0" w:type="auto"/>
            <w:gridSpan w:val="3"/>
            <w:shd w:val="clear" w:color="auto" w:fill="FFFFFF"/>
            <w:tcMar>
              <w:top w:w="30" w:type="dxa"/>
              <w:left w:w="20" w:type="dxa"/>
              <w:bottom w:w="30" w:type="dxa"/>
              <w:right w:w="20" w:type="dxa"/>
            </w:tcMar>
            <w:hideMark/>
          </w:tcPr>
          <w:p w:rsidR="00000000" w:rsidRDefault="0039054C">
            <w:pPr>
              <w:divId w:val="1562207497"/>
              <w:rPr>
                <w:rFonts w:eastAsia="Times New Roman"/>
              </w:rPr>
            </w:pPr>
            <w:r>
              <w:rPr>
                <w:rFonts w:eastAsia="Times New Roman"/>
                <w:color w:val="000000"/>
                <w:sz w:val="20"/>
                <w:szCs w:val="20"/>
              </w:rPr>
              <w:t>Foreign currency forward contract</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Pr>
        <w:tc>
          <w:tcPr>
            <w:tcW w:w="0" w:type="auto"/>
            <w:gridSpan w:val="3"/>
            <w:shd w:val="clear" w:color="auto" w:fill="CCEEFF"/>
            <w:tcMar>
              <w:top w:w="30" w:type="dxa"/>
              <w:left w:w="125" w:type="dxa"/>
              <w:bottom w:w="30" w:type="dxa"/>
              <w:right w:w="20" w:type="dxa"/>
            </w:tcMar>
            <w:hideMark/>
          </w:tcPr>
          <w:p w:rsidR="00000000" w:rsidRDefault="0039054C">
            <w:pPr>
              <w:rPr>
                <w:rFonts w:eastAsia="Times New Roman"/>
              </w:rPr>
            </w:pPr>
            <w:r>
              <w:rPr>
                <w:rFonts w:eastAsia="Times New Roman"/>
                <w:color w:val="000000"/>
                <w:sz w:val="20"/>
                <w:szCs w:val="20"/>
              </w:rPr>
              <w:t>Other current assets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Pr>
        <w:tc>
          <w:tcPr>
            <w:tcW w:w="0" w:type="auto"/>
            <w:gridSpan w:val="3"/>
            <w:shd w:val="clear" w:color="auto" w:fill="FFFFFF"/>
            <w:tcMar>
              <w:top w:w="30" w:type="dxa"/>
              <w:left w:w="125" w:type="dxa"/>
              <w:bottom w:w="30" w:type="dxa"/>
              <w:right w:w="20" w:type="dxa"/>
            </w:tcMar>
            <w:hideMark/>
          </w:tcPr>
          <w:p w:rsidR="00000000" w:rsidRDefault="0039054C">
            <w:pPr>
              <w:rPr>
                <w:rFonts w:eastAsia="Times New Roman"/>
              </w:rPr>
            </w:pPr>
            <w:r>
              <w:rPr>
                <w:rFonts w:eastAsia="Times New Roman"/>
                <w:color w:val="000000"/>
                <w:sz w:val="20"/>
                <w:szCs w:val="20"/>
              </w:rPr>
              <w:t>Other non-current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Pr>
        <w:tc>
          <w:tcPr>
            <w:tcW w:w="0" w:type="auto"/>
            <w:gridSpan w:val="3"/>
            <w:shd w:val="clear" w:color="auto" w:fill="CCEEFF"/>
            <w:tcMar>
              <w:top w:w="30" w:type="dxa"/>
              <w:left w:w="125" w:type="dxa"/>
              <w:bottom w:w="30" w:type="dxa"/>
              <w:right w:w="20" w:type="dxa"/>
            </w:tcMar>
            <w:hideMark/>
          </w:tcPr>
          <w:p w:rsidR="00000000" w:rsidRDefault="0039054C">
            <w:pPr>
              <w:rPr>
                <w:rFonts w:eastAsia="Times New Roman"/>
              </w:rPr>
            </w:pPr>
            <w:r>
              <w:rPr>
                <w:rFonts w:eastAsia="Times New Roman"/>
                <w:color w:val="000000"/>
                <w:sz w:val="20"/>
                <w:szCs w:val="20"/>
              </w:rPr>
              <w:t>Other accrued items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37323254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bl>
    <w:p w:rsidR="00000000" w:rsidRDefault="0039054C">
      <w:pPr>
        <w:divId w:val="2101439153"/>
        <w:rPr>
          <w:rFonts w:eastAsia="Times New Roman"/>
        </w:rPr>
      </w:pPr>
      <w:r>
        <w:rPr>
          <w:rFonts w:eastAsia="Times New Roman"/>
          <w:color w:val="000000"/>
          <w:sz w:val="16"/>
          <w:szCs w:val="16"/>
        </w:rPr>
        <w:t>_______________</w:t>
      </w:r>
    </w:p>
    <w:p w:rsidR="00000000" w:rsidRDefault="0039054C">
      <w:pPr>
        <w:ind w:hanging="270"/>
        <w:divId w:val="1031808184"/>
        <w:rPr>
          <w:rFonts w:eastAsia="Times New Roman"/>
        </w:rPr>
      </w:pPr>
      <w:r>
        <w:rPr>
          <w:rFonts w:eastAsia="Times New Roman"/>
          <w:color w:val="000000"/>
          <w:sz w:val="16"/>
          <w:szCs w:val="16"/>
        </w:rPr>
        <w:t xml:space="preserve">(1)See </w:t>
      </w:r>
      <w:r>
        <w:rPr>
          <w:rFonts w:eastAsia="Times New Roman"/>
          <w:i/>
          <w:iCs/>
          <w:color w:val="000000"/>
          <w:sz w:val="16"/>
          <w:szCs w:val="16"/>
        </w:rPr>
        <w:t>Note P — Fair Value Measurements</w:t>
      </w:r>
      <w:r>
        <w:rPr>
          <w:rFonts w:eastAsia="Times New Roman"/>
          <w:color w:val="000000"/>
          <w:sz w:val="16"/>
          <w:szCs w:val="16"/>
        </w:rPr>
        <w:t xml:space="preserve"> </w:t>
      </w:r>
      <w:r>
        <w:rPr>
          <w:rFonts w:eastAsia="Times New Roman"/>
          <w:color w:val="000000"/>
          <w:sz w:val="16"/>
          <w:szCs w:val="16"/>
        </w:rPr>
        <w:t>in these Notes for a description of the fair value hierarchy related to our foreign currency forward contracts.</w:t>
      </w:r>
    </w:p>
    <w:p w:rsidR="00000000" w:rsidRDefault="0039054C">
      <w:pPr>
        <w:ind w:firstLine="450"/>
        <w:divId w:val="1133250555"/>
        <w:rPr>
          <w:rFonts w:eastAsia="Times New Roman"/>
        </w:rPr>
      </w:pPr>
      <w:r>
        <w:rPr>
          <w:rFonts w:eastAsia="Times New Roman"/>
          <w:color w:val="000000"/>
          <w:sz w:val="20"/>
          <w:szCs w:val="20"/>
        </w:rPr>
        <w:t xml:space="preserve">Net unrealized gains or losses recognized in other comprehensive loss were not material for the quarter ended April 2, 2021. During the quarter </w:t>
      </w:r>
      <w:r>
        <w:rPr>
          <w:rFonts w:eastAsia="Times New Roman"/>
          <w:color w:val="000000"/>
          <w:sz w:val="20"/>
          <w:szCs w:val="20"/>
        </w:rPr>
        <w:t>ended April 3, 2020, we recognized a net unrealized loss of $16 million before income taxes in other comprehensive loss from foreign currency derivatives designated as cash flow hedges. During the quarters ended April 2, 2021 and April 3, 2020, the net gai</w:t>
      </w:r>
      <w:r>
        <w:rPr>
          <w:rFonts w:eastAsia="Times New Roman"/>
          <w:color w:val="000000"/>
          <w:sz w:val="20"/>
          <w:szCs w:val="20"/>
        </w:rPr>
        <w:t>n or loss reclassified from AOCI into earnings from foreign currency derivatives designated as cash flow hedges was not material. At April 2, 2021, the estimated amount of existing net gains to be reclassified into earnings within the next twelve months wa</w:t>
      </w:r>
      <w:r>
        <w:rPr>
          <w:rFonts w:eastAsia="Times New Roman"/>
          <w:color w:val="000000"/>
          <w:sz w:val="20"/>
          <w:szCs w:val="20"/>
        </w:rPr>
        <w:t>s $18 million.</w:t>
      </w:r>
    </w:p>
    <w:p w:rsidR="00000000" w:rsidRDefault="0039054C">
      <w:pPr>
        <w:ind w:firstLine="450"/>
        <w:divId w:val="837696878"/>
        <w:rPr>
          <w:rFonts w:eastAsia="Times New Roman"/>
        </w:rPr>
      </w:pPr>
      <w:r>
        <w:rPr>
          <w:rFonts w:eastAsia="Times New Roman"/>
          <w:color w:val="000000"/>
          <w:sz w:val="20"/>
          <w:szCs w:val="20"/>
        </w:rPr>
        <w:t>Gains and losses from foreign currency derivatives designated as cash flow hedges are included in the line item in our Condensed Consolidated Statement of Income (Unaudited) associated with the hedged transaction, with the exception of any l</w:t>
      </w:r>
      <w:r>
        <w:rPr>
          <w:rFonts w:eastAsia="Times New Roman"/>
          <w:color w:val="000000"/>
          <w:sz w:val="20"/>
          <w:szCs w:val="20"/>
        </w:rPr>
        <w:t>osses resulting from discontinued cash flow hedges, which are included in the “Engineering, selling and administrative expenses” line item in our Condensed Consolidated Statement of Income (Unaudited).</w:t>
      </w:r>
    </w:p>
    <w:p w:rsidR="00000000" w:rsidRDefault="0039054C">
      <w:pPr>
        <w:divId w:val="971714006"/>
        <w:rPr>
          <w:rFonts w:eastAsia="Times New Roman"/>
        </w:rPr>
      </w:pPr>
      <w:r>
        <w:rPr>
          <w:rFonts w:eastAsia="Times New Roman"/>
          <w:b/>
          <w:bCs/>
          <w:color w:val="000000"/>
          <w:sz w:val="20"/>
          <w:szCs w:val="20"/>
        </w:rPr>
        <w:t xml:space="preserve">Note R — Changes in Estimates </w:t>
      </w:r>
    </w:p>
    <w:p w:rsidR="00000000" w:rsidRDefault="0039054C">
      <w:pPr>
        <w:ind w:firstLine="450"/>
        <w:divId w:val="217740945"/>
        <w:rPr>
          <w:rFonts w:eastAsia="Times New Roman"/>
        </w:rPr>
      </w:pPr>
      <w:r>
        <w:rPr>
          <w:rFonts w:eastAsia="Times New Roman"/>
          <w:i/>
          <w:iCs/>
          <w:color w:val="000000"/>
          <w:sz w:val="20"/>
          <w:szCs w:val="20"/>
        </w:rPr>
        <w:t xml:space="preserve">Contract Estimates. </w:t>
      </w:r>
      <w:r>
        <w:rPr>
          <w:rFonts w:eastAsia="Times New Roman"/>
          <w:color w:val="000000"/>
          <w:sz w:val="20"/>
          <w:szCs w:val="20"/>
        </w:rPr>
        <w:t>Und</w:t>
      </w:r>
      <w:r>
        <w:rPr>
          <w:rFonts w:eastAsia="Times New Roman"/>
          <w:color w:val="000000"/>
          <w:sz w:val="20"/>
          <w:szCs w:val="20"/>
        </w:rPr>
        <w:t xml:space="preserve">er the POC cost-to-cost method of revenue recognition, a single estimated profit margin is used to recognize profit for each performance obligation over its period of performance. Recognition of profit on a contract requires estimates of the total cost at </w:t>
      </w:r>
      <w:r>
        <w:rPr>
          <w:rFonts w:eastAsia="Times New Roman"/>
          <w:color w:val="000000"/>
          <w:sz w:val="20"/>
          <w:szCs w:val="20"/>
        </w:rPr>
        <w:t>completion and transaction price and the measurement of progress towards completion. Due to the long-term nature of many of our contracts, developing the estimated total cost at completion and total transaction price often requires judgment. Factors that m</w:t>
      </w:r>
      <w:r>
        <w:rPr>
          <w:rFonts w:eastAsia="Times New Roman"/>
          <w:color w:val="000000"/>
          <w:sz w:val="20"/>
          <w:szCs w:val="20"/>
        </w:rPr>
        <w:t xml:space="preserve">ust be considered in estimating the cost of the work to be completed include the nature and complexity of the work to be performed, subcontractor performance and the risk and impact of delayed performance. Factors that must be considered in estimating the </w:t>
      </w:r>
      <w:r>
        <w:rPr>
          <w:rFonts w:eastAsia="Times New Roman"/>
          <w:color w:val="000000"/>
          <w:sz w:val="20"/>
          <w:szCs w:val="20"/>
        </w:rPr>
        <w:t>total transaction price include contractual cost or performance incentives (such as incentive fees, award fees and penalties) and other forms of variable consideration as well as our historical experience and our expectation for performance on the contract</w:t>
      </w:r>
      <w:r>
        <w:rPr>
          <w:rFonts w:eastAsia="Times New Roman"/>
          <w:color w:val="000000"/>
          <w:sz w:val="20"/>
          <w:szCs w:val="20"/>
        </w:rPr>
        <w:t xml:space="preserve">. These variable amounts generally are awarded upon achievement of certain negotiated performance metrics, program milestones or cost targets and can be based upon customer discretion. We include </w:t>
      </w:r>
    </w:p>
    <w:p w:rsidR="00000000" w:rsidRDefault="0039054C">
      <w:pPr>
        <w:ind w:firstLine="450"/>
        <w:jc w:val="center"/>
        <w:divId w:val="1264410929"/>
        <w:rPr>
          <w:rFonts w:eastAsia="Times New Roman"/>
        </w:rPr>
      </w:pPr>
      <w:r>
        <w:rPr>
          <w:rFonts w:eastAsia="Times New Roman"/>
          <w:color w:val="000000"/>
          <w:sz w:val="20"/>
          <w:szCs w:val="20"/>
        </w:rPr>
        <w:t>18</w:t>
      </w:r>
    </w:p>
    <w:p w:rsidR="00000000" w:rsidRDefault="0039054C">
      <w:pPr>
        <w:rPr>
          <w:rFonts w:eastAsia="Times New Roman"/>
        </w:rPr>
      </w:pPr>
      <w:r>
        <w:rPr>
          <w:rFonts w:eastAsia="Times New Roman"/>
        </w:rPr>
        <w:pict>
          <v:rect id="_x0000_i1045" style="width:0;height:1.5pt" o:hralign="center" o:hrstd="t" o:hr="t" fillcolor="#a0a0a0" stroked="f"/>
        </w:pict>
      </w:r>
    </w:p>
    <w:p w:rsidR="00000000" w:rsidRDefault="0039054C">
      <w:pPr>
        <w:ind w:firstLine="450"/>
        <w:divId w:val="402918613"/>
        <w:rPr>
          <w:rFonts w:eastAsia="Times New Roman"/>
        </w:rPr>
      </w:pPr>
    </w:p>
    <w:p w:rsidR="00000000" w:rsidRDefault="0039054C">
      <w:pPr>
        <w:ind w:firstLine="450"/>
        <w:divId w:val="1263874404"/>
        <w:rPr>
          <w:rFonts w:eastAsia="Times New Roman"/>
        </w:rPr>
      </w:pPr>
    </w:p>
    <w:p w:rsidR="00000000" w:rsidRDefault="0039054C">
      <w:pPr>
        <w:divId w:val="1837840175"/>
        <w:rPr>
          <w:rFonts w:eastAsia="Times New Roman"/>
        </w:rPr>
      </w:pPr>
      <w:r>
        <w:rPr>
          <w:rFonts w:eastAsia="Times New Roman"/>
          <w:color w:val="000000"/>
          <w:sz w:val="20"/>
          <w:szCs w:val="20"/>
        </w:rPr>
        <w:t>such estimated a</w:t>
      </w:r>
      <w:r>
        <w:rPr>
          <w:rFonts w:eastAsia="Times New Roman"/>
          <w:color w:val="000000"/>
          <w:sz w:val="20"/>
          <w:szCs w:val="20"/>
        </w:rPr>
        <w:t>mounts in the transaction price to the extent it is probable that a significant reversal of cumulative revenue recognized will not occur when the uncertainty associated with the variable consideration is resolved.</w:t>
      </w:r>
    </w:p>
    <w:p w:rsidR="00000000" w:rsidRDefault="0039054C">
      <w:pPr>
        <w:ind w:firstLine="450"/>
        <w:divId w:val="522208100"/>
        <w:rPr>
          <w:rFonts w:eastAsia="Times New Roman"/>
        </w:rPr>
      </w:pPr>
      <w:r>
        <w:rPr>
          <w:rFonts w:eastAsia="Times New Roman"/>
          <w:color w:val="000000"/>
          <w:sz w:val="20"/>
          <w:szCs w:val="20"/>
        </w:rPr>
        <w:t>At the outset of each contract, we gauge i</w:t>
      </w:r>
      <w:r>
        <w:rPr>
          <w:rFonts w:eastAsia="Times New Roman"/>
          <w:color w:val="000000"/>
          <w:sz w:val="20"/>
          <w:szCs w:val="20"/>
        </w:rPr>
        <w:t>ts complexity and perceived risks and establish an estimated total cost at completion in line with these expectations. After establishing the estimated total cost at completion, we follow a standard Estimate at Completion (“EAC”) process in which we review</w:t>
      </w:r>
      <w:r>
        <w:rPr>
          <w:rFonts w:eastAsia="Times New Roman"/>
          <w:color w:val="000000"/>
          <w:sz w:val="20"/>
          <w:szCs w:val="20"/>
        </w:rPr>
        <w:t xml:space="preserve"> the progress and performance on our ongoing contracts at least quarterly and, in many cases, more frequently. If we successfully retire risks associated with the technical, schedule and cost aspects of a contract, we may lower our estimated total cost at </w:t>
      </w:r>
      <w:r>
        <w:rPr>
          <w:rFonts w:eastAsia="Times New Roman"/>
          <w:color w:val="000000"/>
          <w:sz w:val="20"/>
          <w:szCs w:val="20"/>
        </w:rPr>
        <w:t>completion commensurate with the retirement of these risks. Conversely, if we are not successful in retiring these risks, we may increase our estimated total cost at completion. Additionally, as the contract progresses, our estimates of total transaction p</w:t>
      </w:r>
      <w:r>
        <w:rPr>
          <w:rFonts w:eastAsia="Times New Roman"/>
          <w:color w:val="000000"/>
          <w:sz w:val="20"/>
          <w:szCs w:val="20"/>
        </w:rPr>
        <w:t>rice may increase or decrease if, for example, we receive award fees that are higher or lower than expected. When adjustments in estimated total costs at completion or in estimated total transaction price are determined, the related impact on operating inc</w:t>
      </w:r>
      <w:r>
        <w:rPr>
          <w:rFonts w:eastAsia="Times New Roman"/>
          <w:color w:val="000000"/>
          <w:sz w:val="20"/>
          <w:szCs w:val="20"/>
        </w:rPr>
        <w:t>ome is recognized using the cumulative catch-up method, which recognizes in the current period the cumulative effect of such adjustments for all prior periods. Any anticipated losses on these contracts are fully recognized in the period in which the losses</w:t>
      </w:r>
      <w:r>
        <w:rPr>
          <w:rFonts w:eastAsia="Times New Roman"/>
          <w:color w:val="000000"/>
          <w:sz w:val="20"/>
          <w:szCs w:val="20"/>
        </w:rPr>
        <w:t xml:space="preserve"> become evident.</w:t>
      </w:r>
    </w:p>
    <w:p w:rsidR="00000000" w:rsidRDefault="0039054C">
      <w:pPr>
        <w:ind w:firstLine="450"/>
        <w:divId w:val="1636596900"/>
        <w:rPr>
          <w:rFonts w:eastAsia="Times New Roman"/>
        </w:rPr>
      </w:pPr>
      <w:r>
        <w:rPr>
          <w:rFonts w:eastAsia="Times New Roman"/>
          <w:color w:val="000000"/>
          <w:sz w:val="20"/>
          <w:szCs w:val="20"/>
        </w:rPr>
        <w:t>Net EAC adjustments had the following impact to earnings for the periods presented:</w:t>
      </w:r>
    </w:p>
    <w:tbl>
      <w:tblPr>
        <w:tblW w:w="4992" w:type="pct"/>
        <w:tblCellMar>
          <w:top w:w="15" w:type="dxa"/>
          <w:left w:w="15" w:type="dxa"/>
          <w:bottom w:w="15" w:type="dxa"/>
          <w:right w:w="15" w:type="dxa"/>
        </w:tblCellMar>
        <w:tblLook w:val="04A0" w:firstRow="1" w:lastRow="0" w:firstColumn="1" w:lastColumn="0" w:noHBand="0" w:noVBand="1"/>
      </w:tblPr>
      <w:tblGrid>
        <w:gridCol w:w="39"/>
        <w:gridCol w:w="5452"/>
        <w:gridCol w:w="38"/>
        <w:gridCol w:w="120"/>
        <w:gridCol w:w="1028"/>
        <w:gridCol w:w="36"/>
        <w:gridCol w:w="36"/>
        <w:gridCol w:w="36"/>
        <w:gridCol w:w="36"/>
        <w:gridCol w:w="120"/>
        <w:gridCol w:w="1028"/>
        <w:gridCol w:w="36"/>
        <w:gridCol w:w="36"/>
        <w:gridCol w:w="36"/>
        <w:gridCol w:w="36"/>
        <w:gridCol w:w="36"/>
        <w:gridCol w:w="36"/>
        <w:gridCol w:w="36"/>
        <w:gridCol w:w="36"/>
        <w:gridCol w:w="36"/>
      </w:tblGrid>
      <w:tr w:rsidR="00000000">
        <w:trPr>
          <w:divId w:val="1634016919"/>
        </w:trPr>
        <w:tc>
          <w:tcPr>
            <w:tcW w:w="50" w:type="pct"/>
            <w:vAlign w:val="center"/>
            <w:hideMark/>
          </w:tcPr>
          <w:p w:rsidR="00000000" w:rsidRDefault="0039054C">
            <w:pPr>
              <w:ind w:firstLine="450"/>
              <w:rPr>
                <w:rFonts w:eastAsia="Times New Roman"/>
              </w:rPr>
            </w:pPr>
          </w:p>
        </w:tc>
        <w:tc>
          <w:tcPr>
            <w:tcW w:w="345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1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7"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634016919"/>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634016919"/>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634016919"/>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63401691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xml:space="preserve">Net EAC adjustments, before income taxes </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634016919"/>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EAC adjustments, net of income taxes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634016919"/>
        </w:trPr>
        <w:tc>
          <w:tcPr>
            <w:tcW w:w="0" w:type="auto"/>
            <w:gridSpan w:val="3"/>
            <w:shd w:val="clear" w:color="auto" w:fill="CCEEFF"/>
            <w:tcMar>
              <w:top w:w="30" w:type="dxa"/>
              <w:left w:w="30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Net EAC adjustments, net of income taxes, per diluted common share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0.30 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0.35 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ind w:firstLine="450"/>
        <w:divId w:val="206994388"/>
        <w:rPr>
          <w:rFonts w:eastAsia="Times New Roman"/>
        </w:rPr>
      </w:pPr>
      <w:r>
        <w:rPr>
          <w:rFonts w:eastAsia="Times New Roman"/>
          <w:color w:val="000000"/>
          <w:sz w:val="20"/>
          <w:szCs w:val="20"/>
        </w:rPr>
        <w:t>Revenue recognized from performance obligations satisfied in prior periods was $108 million and $136 million for the quarters ended April 2, 2021 and April 3, 2020, respectively.</w:t>
      </w:r>
    </w:p>
    <w:p w:rsidR="00000000" w:rsidRDefault="0039054C">
      <w:pPr>
        <w:divId w:val="526408738"/>
        <w:rPr>
          <w:rFonts w:eastAsia="Times New Roman"/>
        </w:rPr>
      </w:pPr>
      <w:r>
        <w:rPr>
          <w:rFonts w:eastAsia="Times New Roman"/>
          <w:b/>
          <w:bCs/>
          <w:color w:val="000000"/>
          <w:sz w:val="20"/>
          <w:szCs w:val="20"/>
        </w:rPr>
        <w:t xml:space="preserve">Note S — Backlog </w:t>
      </w:r>
    </w:p>
    <w:p w:rsidR="00000000" w:rsidRDefault="0039054C">
      <w:pPr>
        <w:ind w:firstLine="450"/>
        <w:divId w:val="838235196"/>
        <w:rPr>
          <w:rFonts w:eastAsia="Times New Roman"/>
        </w:rPr>
      </w:pPr>
      <w:r>
        <w:rPr>
          <w:rFonts w:eastAsia="Times New Roman"/>
          <w:color w:val="000000"/>
          <w:sz w:val="20"/>
          <w:szCs w:val="20"/>
        </w:rPr>
        <w:t>Backlog, which is the equivalent of our remaining performan</w:t>
      </w:r>
      <w:r>
        <w:rPr>
          <w:rFonts w:eastAsia="Times New Roman"/>
          <w:color w:val="000000"/>
          <w:sz w:val="20"/>
          <w:szCs w:val="20"/>
        </w:rPr>
        <w:t>ce obligations, represents the future revenue we expect to recognize as we perform on our current contracts. Backlog comprises both funded backlog (i.e., firm orders for which funding is authorized and appropriated) and unfunded backlog. Backlog excludes u</w:t>
      </w:r>
      <w:r>
        <w:rPr>
          <w:rFonts w:eastAsia="Times New Roman"/>
          <w:color w:val="000000"/>
          <w:sz w:val="20"/>
          <w:szCs w:val="20"/>
        </w:rPr>
        <w:t xml:space="preserve">nexercised contract options and potential orders under ordering-type contracts, such as indefinite delivery, indefinite quantity contracts. </w:t>
      </w:r>
    </w:p>
    <w:p w:rsidR="00000000" w:rsidRDefault="0039054C">
      <w:pPr>
        <w:ind w:firstLine="450"/>
        <w:divId w:val="974339315"/>
        <w:rPr>
          <w:rFonts w:eastAsia="Times New Roman"/>
        </w:rPr>
      </w:pPr>
      <w:r>
        <w:rPr>
          <w:rFonts w:eastAsia="Times New Roman"/>
          <w:color w:val="000000"/>
          <w:sz w:val="20"/>
          <w:szCs w:val="20"/>
        </w:rPr>
        <w:t xml:space="preserve">At April 2, 2021, our ending backlog was $21.4 </w:t>
      </w:r>
      <w:r>
        <w:rPr>
          <w:rFonts w:eastAsia="Times New Roman"/>
          <w:color w:val="000000"/>
          <w:sz w:val="20"/>
          <w:szCs w:val="20"/>
        </w:rPr>
        <w:t xml:space="preserve">billion. We expect to recognize approximately 75 percent of the revenue associated with this backlog by the end of 2022 and approximately 85 percent by the end of 2023, with the remainder to be recognized thereafter. At January 1, 2021, our ending backlog </w:t>
      </w:r>
      <w:r>
        <w:rPr>
          <w:rFonts w:eastAsia="Times New Roman"/>
          <w:color w:val="000000"/>
          <w:sz w:val="20"/>
          <w:szCs w:val="20"/>
        </w:rPr>
        <w:t>was $21.7 billion.</w:t>
      </w:r>
    </w:p>
    <w:p w:rsidR="00000000" w:rsidRDefault="0039054C">
      <w:pPr>
        <w:divId w:val="1345279933"/>
        <w:rPr>
          <w:rFonts w:eastAsia="Times New Roman"/>
        </w:rPr>
      </w:pPr>
      <w:r>
        <w:rPr>
          <w:rFonts w:eastAsia="Times New Roman"/>
          <w:b/>
          <w:bCs/>
          <w:color w:val="000000"/>
          <w:sz w:val="20"/>
          <w:szCs w:val="20"/>
        </w:rPr>
        <w:t xml:space="preserve">Note T — Business Segment Information </w:t>
      </w:r>
    </w:p>
    <w:p w:rsidR="00000000" w:rsidRDefault="0039054C">
      <w:pPr>
        <w:ind w:firstLine="450"/>
        <w:divId w:val="108939385"/>
        <w:rPr>
          <w:rFonts w:eastAsia="Times New Roman"/>
        </w:rPr>
      </w:pPr>
      <w:r>
        <w:rPr>
          <w:rFonts w:eastAsia="Times New Roman"/>
          <w:color w:val="000000"/>
          <w:sz w:val="20"/>
          <w:szCs w:val="20"/>
        </w:rPr>
        <w:t>We structure our operations primarily around the products, systems and services we sell and the markets we serve, and we report the financial results of our continuing operations in the following fo</w:t>
      </w:r>
      <w:r>
        <w:rPr>
          <w:rFonts w:eastAsia="Times New Roman"/>
          <w:color w:val="000000"/>
          <w:sz w:val="20"/>
          <w:szCs w:val="20"/>
        </w:rPr>
        <w:t xml:space="preserve">ur operating segments, which are also our reportable segments and are referred to as our business segments: </w:t>
      </w:r>
    </w:p>
    <w:p w:rsidR="00000000" w:rsidRDefault="0039054C">
      <w:pPr>
        <w:ind w:hanging="180"/>
        <w:divId w:val="2028750583"/>
        <w:rPr>
          <w:rFonts w:eastAsia="Times New Roman"/>
        </w:rPr>
      </w:pPr>
      <w:r>
        <w:rPr>
          <w:rFonts w:eastAsia="Times New Roman"/>
          <w:color w:val="000000"/>
          <w:sz w:val="20"/>
          <w:szCs w:val="20"/>
        </w:rPr>
        <w:t>•Integrated Mission Systems, including multi-mission intelligence, surveillance and reconnaissance (“ISR”) and communication systems; integrated el</w:t>
      </w:r>
      <w:r>
        <w:rPr>
          <w:rFonts w:eastAsia="Times New Roman"/>
          <w:color w:val="000000"/>
          <w:sz w:val="20"/>
          <w:szCs w:val="20"/>
        </w:rPr>
        <w:t>ectrical and electronic systems for maritime platforms; and advanced electro-optical and infrared solutions;</w:t>
      </w:r>
    </w:p>
    <w:p w:rsidR="00000000" w:rsidRDefault="0039054C">
      <w:pPr>
        <w:ind w:hanging="180"/>
        <w:divId w:val="6058636"/>
        <w:rPr>
          <w:rFonts w:eastAsia="Times New Roman"/>
        </w:rPr>
      </w:pPr>
      <w:r>
        <w:rPr>
          <w:rFonts w:eastAsia="Times New Roman"/>
          <w:color w:val="000000"/>
          <w:sz w:val="20"/>
          <w:szCs w:val="20"/>
        </w:rPr>
        <w:t>•Space and Airborne Systems, including space payloads, sensors and full-mission solutions; classified intelligence and cyber defense; avionics; and</w:t>
      </w:r>
      <w:r>
        <w:rPr>
          <w:rFonts w:eastAsia="Times New Roman"/>
          <w:color w:val="000000"/>
          <w:sz w:val="20"/>
          <w:szCs w:val="20"/>
        </w:rPr>
        <w:t xml:space="preserve"> electronic warfare;</w:t>
      </w:r>
    </w:p>
    <w:p w:rsidR="00000000" w:rsidRDefault="0039054C">
      <w:pPr>
        <w:ind w:hanging="180"/>
        <w:divId w:val="574247806"/>
        <w:rPr>
          <w:rFonts w:eastAsia="Times New Roman"/>
        </w:rPr>
      </w:pPr>
      <w:r>
        <w:rPr>
          <w:rFonts w:eastAsia="Times New Roman"/>
          <w:color w:val="000000"/>
          <w:sz w:val="20"/>
          <w:szCs w:val="20"/>
        </w:rPr>
        <w:t>•Communication Systems, including tactical communications; broadband communications; integrated vision solutions; public safety and global communications solutions; and</w:t>
      </w:r>
    </w:p>
    <w:p w:rsidR="00000000" w:rsidRDefault="0039054C">
      <w:pPr>
        <w:ind w:hanging="180"/>
        <w:divId w:val="446050679"/>
        <w:rPr>
          <w:rFonts w:eastAsia="Times New Roman"/>
        </w:rPr>
      </w:pPr>
      <w:r>
        <w:rPr>
          <w:rFonts w:eastAsia="Times New Roman"/>
          <w:color w:val="000000"/>
          <w:sz w:val="20"/>
          <w:szCs w:val="20"/>
        </w:rPr>
        <w:t>•Aviation Systems, including defense aviation; commercial aviation</w:t>
      </w:r>
      <w:r>
        <w:rPr>
          <w:rFonts w:eastAsia="Times New Roman"/>
          <w:color w:val="000000"/>
          <w:sz w:val="20"/>
          <w:szCs w:val="20"/>
        </w:rPr>
        <w:t xml:space="preserve"> products; commercial and military pilot training; and mission networks for air traffic management.</w:t>
      </w:r>
    </w:p>
    <w:p w:rsidR="00000000" w:rsidRDefault="0039054C">
      <w:pPr>
        <w:ind w:firstLine="450"/>
        <w:divId w:val="919172540"/>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B — Business Divestitures</w:t>
      </w:r>
      <w:r>
        <w:rPr>
          <w:rFonts w:eastAsia="Times New Roman"/>
          <w:color w:val="000000"/>
          <w:sz w:val="20"/>
          <w:szCs w:val="20"/>
        </w:rPr>
        <w:t xml:space="preserve"> and elsewhere in these Notes, during fiscal 2020 and 2021, we announced the divestitures of th</w:t>
      </w:r>
      <w:r>
        <w:rPr>
          <w:rFonts w:eastAsia="Times New Roman"/>
          <w:color w:val="000000"/>
          <w:sz w:val="20"/>
          <w:szCs w:val="20"/>
        </w:rPr>
        <w:t xml:space="preserve">e following businesses: </w:t>
      </w:r>
    </w:p>
    <w:p w:rsidR="00000000" w:rsidRDefault="0039054C">
      <w:pPr>
        <w:ind w:hanging="180"/>
        <w:divId w:val="1524829632"/>
        <w:rPr>
          <w:rFonts w:eastAsia="Times New Roman"/>
        </w:rPr>
      </w:pPr>
      <w:r>
        <w:rPr>
          <w:rFonts w:eastAsia="Times New Roman"/>
          <w:color w:val="000000"/>
          <w:sz w:val="20"/>
          <w:szCs w:val="20"/>
        </w:rPr>
        <w:t xml:space="preserve">•Airport security and automation business, completed on May 4, 2020, the results of which were reported as part of our Aviation Systems segment through the date of divestiture; </w:t>
      </w:r>
    </w:p>
    <w:p w:rsidR="00000000" w:rsidRDefault="0039054C">
      <w:pPr>
        <w:ind w:hanging="180"/>
        <w:divId w:val="403719688"/>
        <w:rPr>
          <w:rFonts w:eastAsia="Times New Roman"/>
        </w:rPr>
      </w:pPr>
      <w:r>
        <w:rPr>
          <w:rFonts w:eastAsia="Times New Roman"/>
          <w:color w:val="000000"/>
          <w:sz w:val="20"/>
          <w:szCs w:val="20"/>
        </w:rPr>
        <w:t>•</w:t>
      </w:r>
      <w:r>
        <w:rPr>
          <w:rFonts w:eastAsia="Times New Roman"/>
          <w:color w:val="000000"/>
          <w:sz w:val="20"/>
          <w:szCs w:val="20"/>
        </w:rPr>
        <w:t>Applied Kilovolts and Analytical Instrumentation business, completed on May 15, 2020, the results of which were reported as part of our Space and Airborne Systems segment through the date of divestiture;</w:t>
      </w:r>
    </w:p>
    <w:p w:rsidR="00000000" w:rsidRDefault="0039054C">
      <w:pPr>
        <w:ind w:hanging="180"/>
        <w:divId w:val="1143159408"/>
        <w:rPr>
          <w:rFonts w:eastAsia="Times New Roman"/>
        </w:rPr>
      </w:pPr>
      <w:r>
        <w:rPr>
          <w:rFonts w:eastAsia="Times New Roman"/>
          <w:color w:val="000000"/>
          <w:sz w:val="20"/>
          <w:szCs w:val="20"/>
        </w:rPr>
        <w:t>•EOTech business, completed on July 31, 2020, the re</w:t>
      </w:r>
      <w:r>
        <w:rPr>
          <w:rFonts w:eastAsia="Times New Roman"/>
          <w:color w:val="000000"/>
          <w:sz w:val="20"/>
          <w:szCs w:val="20"/>
        </w:rPr>
        <w:t>sults of which were reported as part of our Communication Systems segment through the date of divestiture;</w:t>
      </w:r>
    </w:p>
    <w:p w:rsidR="00000000" w:rsidRDefault="0039054C">
      <w:pPr>
        <w:ind w:hanging="180"/>
        <w:divId w:val="2132167585"/>
        <w:rPr>
          <w:rFonts w:eastAsia="Times New Roman"/>
        </w:rPr>
      </w:pPr>
      <w:r>
        <w:rPr>
          <w:rFonts w:eastAsia="Times New Roman"/>
          <w:color w:val="000000"/>
          <w:sz w:val="20"/>
          <w:szCs w:val="20"/>
        </w:rPr>
        <w:t xml:space="preserve">•VSE disposal group, definitive agreement entered into on February 23, 2021, expected to be completed in the second half of fiscal 2021, the results </w:t>
      </w:r>
      <w:r>
        <w:rPr>
          <w:rFonts w:eastAsia="Times New Roman"/>
          <w:color w:val="000000"/>
          <w:sz w:val="20"/>
          <w:szCs w:val="20"/>
        </w:rPr>
        <w:t xml:space="preserve">of which are reported as part of our Aviation Systems segment; </w:t>
      </w:r>
    </w:p>
    <w:p w:rsidR="00000000" w:rsidRDefault="0039054C">
      <w:pPr>
        <w:ind w:firstLine="450"/>
        <w:jc w:val="center"/>
        <w:divId w:val="2043096219"/>
        <w:rPr>
          <w:rFonts w:eastAsia="Times New Roman"/>
        </w:rPr>
      </w:pPr>
      <w:r>
        <w:rPr>
          <w:rFonts w:eastAsia="Times New Roman"/>
          <w:color w:val="000000"/>
          <w:sz w:val="20"/>
          <w:szCs w:val="20"/>
        </w:rPr>
        <w:t>19</w:t>
      </w:r>
    </w:p>
    <w:p w:rsidR="00000000" w:rsidRDefault="0039054C">
      <w:pPr>
        <w:rPr>
          <w:rFonts w:eastAsia="Times New Roman"/>
        </w:rPr>
      </w:pPr>
      <w:r>
        <w:rPr>
          <w:rFonts w:eastAsia="Times New Roman"/>
        </w:rPr>
        <w:pict>
          <v:rect id="_x0000_i1046" style="width:0;height:1.5pt" o:hralign="center" o:hrstd="t" o:hr="t" fillcolor="#a0a0a0" stroked="f"/>
        </w:pict>
      </w:r>
    </w:p>
    <w:p w:rsidR="00000000" w:rsidRDefault="0039054C">
      <w:pPr>
        <w:ind w:firstLine="450"/>
        <w:divId w:val="1160074975"/>
        <w:rPr>
          <w:rFonts w:eastAsia="Times New Roman"/>
        </w:rPr>
      </w:pPr>
    </w:p>
    <w:p w:rsidR="00000000" w:rsidRDefault="0039054C">
      <w:pPr>
        <w:ind w:firstLine="450"/>
        <w:divId w:val="1460414301"/>
        <w:rPr>
          <w:rFonts w:eastAsia="Times New Roman"/>
        </w:rPr>
      </w:pPr>
    </w:p>
    <w:p w:rsidR="00000000" w:rsidRDefault="0039054C">
      <w:pPr>
        <w:ind w:hanging="180"/>
        <w:divId w:val="1392195425"/>
        <w:rPr>
          <w:rFonts w:eastAsia="Times New Roman"/>
        </w:rPr>
      </w:pPr>
      <w:r>
        <w:rPr>
          <w:rFonts w:eastAsia="Times New Roman"/>
          <w:color w:val="000000"/>
          <w:sz w:val="20"/>
          <w:szCs w:val="20"/>
        </w:rPr>
        <w:t>•Military training business, definitive agreement entered into on February 27, 2021, expected to be completed in the second half of 2021, the result</w:t>
      </w:r>
      <w:r>
        <w:rPr>
          <w:rFonts w:eastAsia="Times New Roman"/>
          <w:color w:val="000000"/>
          <w:sz w:val="20"/>
          <w:szCs w:val="20"/>
        </w:rPr>
        <w:t>s of which are reported as part of our Aviation Systems segment; and</w:t>
      </w:r>
    </w:p>
    <w:p w:rsidR="00000000" w:rsidRDefault="0039054C">
      <w:pPr>
        <w:ind w:hanging="180"/>
        <w:divId w:val="389428820"/>
        <w:rPr>
          <w:rFonts w:eastAsia="Times New Roman"/>
        </w:rPr>
      </w:pPr>
      <w:r>
        <w:rPr>
          <w:rFonts w:eastAsia="Times New Roman"/>
          <w:color w:val="000000"/>
          <w:sz w:val="20"/>
          <w:szCs w:val="20"/>
        </w:rPr>
        <w:t>•CPS business, definitive agreement entered into on March 1, 2021, expected to be completed in the second half of 2021, the results of which are reported as part of our Aviation Systems s</w:t>
      </w:r>
      <w:r>
        <w:rPr>
          <w:rFonts w:eastAsia="Times New Roman"/>
          <w:color w:val="000000"/>
          <w:sz w:val="20"/>
          <w:szCs w:val="20"/>
        </w:rPr>
        <w:t>egment.</w:t>
      </w:r>
    </w:p>
    <w:p w:rsidR="00000000" w:rsidRDefault="0039054C">
      <w:pPr>
        <w:ind w:firstLine="450"/>
        <w:divId w:val="1345740151"/>
        <w:rPr>
          <w:rFonts w:eastAsia="Times New Roman"/>
        </w:rPr>
      </w:pPr>
      <w:r>
        <w:rPr>
          <w:rFonts w:eastAsia="Times New Roman"/>
          <w:color w:val="000000"/>
          <w:sz w:val="20"/>
          <w:szCs w:val="20"/>
        </w:rPr>
        <w:t xml:space="preserve">The accounting policies of our business segments are the same as those described in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2020 Form 10-K. We evaluate each business segment’s perfor</w:t>
      </w:r>
      <w:r>
        <w:rPr>
          <w:rFonts w:eastAsia="Times New Roman"/>
          <w:color w:val="000000"/>
          <w:sz w:val="20"/>
          <w:szCs w:val="20"/>
        </w:rPr>
        <w:t>mance based on its operating income or loss, which we define as profit or loss from operations before income taxes, including pension income and excluding interest income and expense, royalties and related intellectual property expenses, equity method inve</w:t>
      </w:r>
      <w:r>
        <w:rPr>
          <w:rFonts w:eastAsia="Times New Roman"/>
          <w:color w:val="000000"/>
          <w:sz w:val="20"/>
          <w:szCs w:val="20"/>
        </w:rPr>
        <w:t xml:space="preserve">stment income or loss and gains or losses from securities and other investments. Intersegment sales are generally transferred at cost to the buying segment, and the sourcing segment recognizes a profit that is eliminated. The “Corporate eliminations” line </w:t>
      </w:r>
      <w:r>
        <w:rPr>
          <w:rFonts w:eastAsia="Times New Roman"/>
          <w:color w:val="000000"/>
          <w:sz w:val="20"/>
          <w:szCs w:val="20"/>
        </w:rPr>
        <w:t>item in the table below represents the elimination of intersegment sales. Corporate expenses are primarily allocated to our business segments using an allocation methodology prescribed by U.S. Government regulations for government contractors. The “Unalloc</w:t>
      </w:r>
      <w:r>
        <w:rPr>
          <w:rFonts w:eastAsia="Times New Roman"/>
          <w:color w:val="000000"/>
          <w:sz w:val="20"/>
          <w:szCs w:val="20"/>
        </w:rPr>
        <w:t>ated corporate expenses” line item in the table below represents the portion of corporate expenses not allocated to our business segments and elimination of intersegment profits. The “Pension adjustment” line item in the table below represents the reconcil</w:t>
      </w:r>
      <w:r>
        <w:rPr>
          <w:rFonts w:eastAsia="Times New Roman"/>
          <w:color w:val="000000"/>
          <w:sz w:val="20"/>
          <w:szCs w:val="20"/>
        </w:rPr>
        <w:t>iation of the non-service components of net periodic pension and postretirement benefit costs, which are a component of segment operating income but are included in the “Non-operating income” line item in our Condensed Consolidated Statement of Income (Una</w:t>
      </w:r>
      <w:r>
        <w:rPr>
          <w:rFonts w:eastAsia="Times New Roman"/>
          <w:color w:val="000000"/>
          <w:sz w:val="20"/>
          <w:szCs w:val="20"/>
        </w:rPr>
        <w:t>udited). The non-service components of net periodic pension and postretirement benefit costs include interest cost, expected return on plan assets, amortization of net actuarial gain or loss, and effect of curtailments or settlements.</w:t>
      </w:r>
    </w:p>
    <w:p w:rsidR="00000000" w:rsidRDefault="0039054C">
      <w:pPr>
        <w:ind w:firstLine="450"/>
        <w:divId w:val="1117405341"/>
        <w:rPr>
          <w:rFonts w:eastAsia="Times New Roman"/>
        </w:rPr>
      </w:pPr>
      <w:r>
        <w:rPr>
          <w:rFonts w:eastAsia="Times New Roman"/>
          <w:color w:val="000000"/>
          <w:sz w:val="20"/>
          <w:szCs w:val="20"/>
        </w:rPr>
        <w:t>Segment revenue, segm</w:t>
      </w:r>
      <w:r>
        <w:rPr>
          <w:rFonts w:eastAsia="Times New Roman"/>
          <w:color w:val="000000"/>
          <w:sz w:val="20"/>
          <w:szCs w:val="20"/>
        </w:rPr>
        <w:t>ent operating income (loss) and a reconciliation of segment operating income to total income from continuing operations before income taxes are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5477"/>
        <w:gridCol w:w="39"/>
        <w:gridCol w:w="120"/>
        <w:gridCol w:w="1038"/>
        <w:gridCol w:w="36"/>
        <w:gridCol w:w="36"/>
        <w:gridCol w:w="36"/>
        <w:gridCol w:w="36"/>
        <w:gridCol w:w="120"/>
        <w:gridCol w:w="1003"/>
        <w:gridCol w:w="36"/>
        <w:gridCol w:w="36"/>
        <w:gridCol w:w="36"/>
        <w:gridCol w:w="36"/>
        <w:gridCol w:w="36"/>
        <w:gridCol w:w="36"/>
        <w:gridCol w:w="36"/>
        <w:gridCol w:w="36"/>
        <w:gridCol w:w="36"/>
      </w:tblGrid>
      <w:tr w:rsidR="00000000">
        <w:trPr>
          <w:divId w:val="1055197429"/>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055197429"/>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b/>
                <w:bCs/>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1,370 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1,236 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Total revenue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Height w:val="280"/>
        </w:trPr>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6"/>
            <w:shd w:val="clear" w:color="auto" w:fill="CCEEFF"/>
            <w:tcMar>
              <w:top w:w="30" w:type="dxa"/>
              <w:left w:w="5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Income From Continuing Operations Before Income Taxes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140" w:type="dxa"/>
              <w:bottom w:w="30" w:type="dxa"/>
              <w:right w:w="20" w:type="dxa"/>
            </w:tcMar>
            <w:hideMark/>
          </w:tcPr>
          <w:p w:rsidR="00000000" w:rsidRDefault="0039054C">
            <w:pPr>
              <w:rPr>
                <w:rFonts w:eastAsia="Times New Roman"/>
              </w:rPr>
            </w:pPr>
            <w:r>
              <w:rPr>
                <w:rFonts w:eastAsia="Times New Roman"/>
                <w:i/>
                <w:iCs/>
                <w:color w:val="000000"/>
                <w:sz w:val="20"/>
                <w:szCs w:val="20"/>
              </w:rPr>
              <w:t>Segment Operating Income (Loss):</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Integrated Mission Systems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Space and Airborne Systems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Communication Systems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38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Aviation Systems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20" w:type="dxa"/>
              <w:bottom w:w="30" w:type="dxa"/>
              <w:right w:w="20" w:type="dxa"/>
            </w:tcMar>
            <w:vAlign w:val="bottom"/>
            <w:hideMark/>
          </w:tcPr>
          <w:p w:rsidR="00000000" w:rsidRDefault="0039054C">
            <w:pPr>
              <w:divId w:val="1452822703"/>
              <w:rPr>
                <w:rFonts w:eastAsia="Times New Roman"/>
              </w:rPr>
            </w:pPr>
            <w:r>
              <w:rPr>
                <w:rFonts w:eastAsia="Times New Roman"/>
                <w:color w:val="000000"/>
                <w:sz w:val="20"/>
                <w:szCs w:val="20"/>
              </w:rPr>
              <w:t>Unallocated corporate expense</w:t>
            </w:r>
            <w:r>
              <w:rPr>
                <w:rFonts w:eastAsia="Times New Roman"/>
                <w:color w:val="000000"/>
                <w:sz w:val="20"/>
                <w:szCs w:val="20"/>
              </w:rPr>
              <w:t>s</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42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 xml:space="preserve">L3Harris Merger-related integration and restructuring expenses </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20" w:type="dxa"/>
              <w:bottom w:w="30" w:type="dxa"/>
              <w:right w:w="20" w:type="dxa"/>
            </w:tcMar>
            <w:vAlign w:val="bottom"/>
            <w:hideMark/>
          </w:tcPr>
          <w:p w:rsidR="00000000" w:rsidRDefault="0039054C">
            <w:pPr>
              <w:divId w:val="1969967087"/>
              <w:rPr>
                <w:rFonts w:eastAsia="Times New Roman"/>
              </w:rPr>
            </w:pPr>
            <w:r>
              <w:rPr>
                <w:rFonts w:eastAsia="Times New Roman"/>
                <w:color w:val="000000"/>
                <w:sz w:val="20"/>
                <w:szCs w:val="20"/>
              </w:rPr>
              <w:t>Amortization of acquisition-related intangible</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(164)</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Business divestiture-related losses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Pension adjustment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55197429"/>
        </w:trPr>
        <w:tc>
          <w:tcPr>
            <w:tcW w:w="0" w:type="auto"/>
            <w:gridSpan w:val="3"/>
            <w:shd w:val="clear" w:color="auto" w:fill="CCEEFF"/>
            <w:tcMar>
              <w:top w:w="30" w:type="dxa"/>
              <w:left w:w="305" w:type="dxa"/>
              <w:bottom w:w="30" w:type="dxa"/>
              <w:right w:w="20" w:type="dxa"/>
            </w:tcMar>
            <w:vAlign w:val="bottom"/>
            <w:hideMark/>
          </w:tcPr>
          <w:p w:rsidR="00000000" w:rsidRDefault="0039054C">
            <w:pPr>
              <w:ind w:hanging="270"/>
              <w:rPr>
                <w:rFonts w:eastAsia="Times New Roman"/>
              </w:rPr>
            </w:pPr>
            <w:r>
              <w:rPr>
                <w:rFonts w:eastAsia="Times New Roman"/>
                <w:color w:val="000000"/>
                <w:sz w:val="20"/>
                <w:szCs w:val="20"/>
              </w:rPr>
              <w:t>Total income from continuing operations before income taxes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divId w:val="724261740"/>
        <w:rPr>
          <w:rFonts w:eastAsia="Times New Roman"/>
        </w:rPr>
      </w:pPr>
      <w:r>
        <w:rPr>
          <w:rFonts w:eastAsia="Times New Roman"/>
          <w:color w:val="000000"/>
          <w:sz w:val="16"/>
          <w:szCs w:val="16"/>
        </w:rPr>
        <w:t>_______________</w:t>
      </w:r>
    </w:p>
    <w:p w:rsidR="00000000" w:rsidRDefault="0039054C">
      <w:pPr>
        <w:ind w:hanging="270"/>
        <w:divId w:val="1486780444"/>
        <w:rPr>
          <w:rFonts w:eastAsia="Times New Roman"/>
        </w:rPr>
      </w:pPr>
      <w:r>
        <w:rPr>
          <w:rFonts w:eastAsia="Times New Roman"/>
          <w:color w:val="000000"/>
          <w:sz w:val="16"/>
          <w:szCs w:val="16"/>
        </w:rPr>
        <w:t>(1)</w:t>
      </w:r>
      <w:r>
        <w:rPr>
          <w:rFonts w:eastAsia="Times New Roman"/>
          <w:color w:val="000000"/>
          <w:sz w:val="16"/>
          <w:szCs w:val="16"/>
        </w:rPr>
        <w:t>For the quarter ended April 2, 2021, includes $7 million of divestiture-related expenses and a $15 million accrual for a value added tax obligation. For the quarter ended April 3, 2020, includes $15 million of additional cost of sales related to the fair v</w:t>
      </w:r>
      <w:r>
        <w:rPr>
          <w:rFonts w:eastAsia="Times New Roman"/>
          <w:color w:val="000000"/>
          <w:sz w:val="16"/>
          <w:szCs w:val="16"/>
        </w:rPr>
        <w:t>alue step-up in inventory sold.</w:t>
      </w:r>
    </w:p>
    <w:p w:rsidR="00000000" w:rsidRDefault="0039054C">
      <w:pPr>
        <w:ind w:hanging="270"/>
        <w:divId w:val="35860418"/>
        <w:rPr>
          <w:rFonts w:eastAsia="Times New Roman"/>
        </w:rPr>
      </w:pPr>
      <w:r>
        <w:rPr>
          <w:rFonts w:eastAsia="Times New Roman"/>
          <w:color w:val="000000"/>
          <w:sz w:val="16"/>
          <w:szCs w:val="16"/>
        </w:rPr>
        <w:t>(2)For the quarters ended April 2, 2021 and April 3, 2020, respectively, includes $140 million and $120 million of amortization of identifiable intangible assets acquired as a result of the L3Harris Merger and $24 million an</w:t>
      </w:r>
      <w:r>
        <w:rPr>
          <w:rFonts w:eastAsia="Times New Roman"/>
          <w:color w:val="000000"/>
          <w:sz w:val="16"/>
          <w:szCs w:val="16"/>
        </w:rPr>
        <w:t xml:space="preserve">d $25 million of amortization of identifiable intangible assets acquired as a result of </w:t>
      </w:r>
    </w:p>
    <w:p w:rsidR="00000000" w:rsidRDefault="0039054C">
      <w:pPr>
        <w:ind w:firstLine="450"/>
        <w:jc w:val="center"/>
        <w:divId w:val="945119192"/>
        <w:rPr>
          <w:rFonts w:eastAsia="Times New Roman"/>
        </w:rPr>
      </w:pPr>
      <w:r>
        <w:rPr>
          <w:rFonts w:eastAsia="Times New Roman"/>
          <w:color w:val="000000"/>
          <w:sz w:val="20"/>
          <w:szCs w:val="20"/>
        </w:rPr>
        <w:t>20</w:t>
      </w:r>
    </w:p>
    <w:p w:rsidR="00000000" w:rsidRDefault="0039054C">
      <w:pPr>
        <w:rPr>
          <w:rFonts w:eastAsia="Times New Roman"/>
        </w:rPr>
      </w:pPr>
      <w:r>
        <w:rPr>
          <w:rFonts w:eastAsia="Times New Roman"/>
        </w:rPr>
        <w:pict>
          <v:rect id="_x0000_i1047" style="width:0;height:1.5pt" o:hralign="center" o:hrstd="t" o:hr="t" fillcolor="#a0a0a0" stroked="f"/>
        </w:pict>
      </w:r>
    </w:p>
    <w:p w:rsidR="00000000" w:rsidRDefault="0039054C">
      <w:pPr>
        <w:ind w:firstLine="450"/>
        <w:divId w:val="73279216"/>
        <w:rPr>
          <w:rFonts w:eastAsia="Times New Roman"/>
        </w:rPr>
      </w:pPr>
    </w:p>
    <w:p w:rsidR="00000000" w:rsidRDefault="0039054C">
      <w:pPr>
        <w:ind w:firstLine="450"/>
        <w:divId w:val="1482963818"/>
        <w:rPr>
          <w:rFonts w:eastAsia="Times New Roman"/>
        </w:rPr>
      </w:pPr>
    </w:p>
    <w:p w:rsidR="00000000" w:rsidRDefault="0039054C">
      <w:pPr>
        <w:divId w:val="342628417"/>
        <w:rPr>
          <w:rFonts w:eastAsia="Times New Roman"/>
        </w:rPr>
      </w:pPr>
      <w:r>
        <w:rPr>
          <w:rFonts w:eastAsia="Times New Roman"/>
          <w:color w:val="000000"/>
          <w:sz w:val="16"/>
          <w:szCs w:val="16"/>
        </w:rPr>
        <w:t>our acquisition of Exelis Inc. Because the L3Harris Merger and the acquisition of Exelis Inc. benefited the entire Company a</w:t>
      </w:r>
      <w:r>
        <w:rPr>
          <w:rFonts w:eastAsia="Times New Roman"/>
          <w:color w:val="000000"/>
          <w:sz w:val="16"/>
          <w:szCs w:val="16"/>
        </w:rPr>
        <w:t>s opposed to any individual segment, the amortization of identifiable intangible assets acquired was not allocated to any segment.</w:t>
      </w:r>
    </w:p>
    <w:p w:rsidR="00000000" w:rsidRDefault="0039054C">
      <w:pPr>
        <w:divId w:val="6715008"/>
        <w:rPr>
          <w:rFonts w:eastAsia="Times New Roman"/>
        </w:rPr>
      </w:pPr>
      <w:r>
        <w:rPr>
          <w:rFonts w:eastAsia="Times New Roman"/>
          <w:b/>
          <w:bCs/>
          <w:color w:val="000000"/>
          <w:sz w:val="20"/>
          <w:szCs w:val="20"/>
        </w:rPr>
        <w:t>Disaggregation of Revenue</w:t>
      </w:r>
    </w:p>
    <w:p w:rsidR="00000000" w:rsidRDefault="0039054C">
      <w:pPr>
        <w:ind w:firstLine="450"/>
        <w:jc w:val="both"/>
        <w:divId w:val="1197503204"/>
        <w:rPr>
          <w:rFonts w:eastAsia="Times New Roman"/>
        </w:rPr>
      </w:pPr>
      <w:r>
        <w:rPr>
          <w:rFonts w:eastAsia="Times New Roman"/>
          <w:color w:val="000000"/>
          <w:sz w:val="20"/>
          <w:szCs w:val="20"/>
        </w:rPr>
        <w:t xml:space="preserve">We disaggregate revenue for all four business segments by customer relationship, contract type and </w:t>
      </w:r>
      <w:r>
        <w:rPr>
          <w:rFonts w:eastAsia="Times New Roman"/>
          <w:color w:val="000000"/>
          <w:sz w:val="20"/>
          <w:szCs w:val="20"/>
        </w:rPr>
        <w:t>geographical region. We believe these categories best depict how the nature, amount, timing and uncertainty of revenue and cash flows are affected by economic factors.</w:t>
      </w:r>
    </w:p>
    <w:p w:rsidR="00000000" w:rsidRDefault="0039054C">
      <w:pPr>
        <w:ind w:firstLine="450"/>
        <w:divId w:val="1348600389"/>
        <w:rPr>
          <w:rFonts w:eastAsia="Times New Roman"/>
        </w:rPr>
      </w:pPr>
      <w:r>
        <w:rPr>
          <w:rFonts w:eastAsia="Times New Roman"/>
          <w:i/>
          <w:iCs/>
          <w:color w:val="000000"/>
          <w:sz w:val="20"/>
          <w:szCs w:val="20"/>
        </w:rPr>
        <w:t xml:space="preserve">Integrated Mission Systems: </w:t>
      </w:r>
      <w:r>
        <w:rPr>
          <w:rFonts w:eastAsia="Times New Roman"/>
          <w:color w:val="000000"/>
          <w:sz w:val="20"/>
          <w:szCs w:val="20"/>
        </w:rPr>
        <w:t>Integrated Mission Systems revenue is primarily derived from</w:t>
      </w:r>
      <w:r>
        <w:rPr>
          <w:rFonts w:eastAsia="Times New Roman"/>
          <w:color w:val="000000"/>
          <w:sz w:val="20"/>
          <w:szCs w:val="20"/>
        </w:rPr>
        <w:t xml:space="preserve"> U.S. Government development and production contracts and is generally recognized over time using the POC cost-to-cost revenue recognition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5580"/>
        <w:gridCol w:w="37"/>
        <w:gridCol w:w="36"/>
        <w:gridCol w:w="36"/>
        <w:gridCol w:w="36"/>
        <w:gridCol w:w="36"/>
        <w:gridCol w:w="120"/>
        <w:gridCol w:w="1060"/>
        <w:gridCol w:w="36"/>
        <w:gridCol w:w="36"/>
        <w:gridCol w:w="36"/>
        <w:gridCol w:w="36"/>
        <w:gridCol w:w="120"/>
        <w:gridCol w:w="1026"/>
        <w:gridCol w:w="36"/>
      </w:tblGrid>
      <w:tr w:rsidR="00000000">
        <w:trPr>
          <w:divId w:val="846018807"/>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84601880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846018807"/>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r>
      <w:tr w:rsidR="00000000">
        <w:trPr>
          <w:divId w:val="846018807"/>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84601880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Customer Relationship</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846018807"/>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Prime 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1,006 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949 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Subcontractor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445 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Contract Type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846018807"/>
        </w:trPr>
        <w:tc>
          <w:tcPr>
            <w:tcW w:w="0" w:type="auto"/>
            <w:gridSpan w:val="3"/>
            <w:shd w:val="clear" w:color="auto" w:fill="FFFFFF"/>
            <w:tcMar>
              <w:top w:w="30" w:type="dxa"/>
              <w:left w:w="20" w:type="dxa"/>
              <w:bottom w:w="30" w:type="dxa"/>
              <w:right w:w="20" w:type="dxa"/>
            </w:tcMar>
            <w:vAlign w:val="bottom"/>
            <w:hideMark/>
          </w:tcPr>
          <w:p w:rsidR="00000000" w:rsidRDefault="0039054C">
            <w:pPr>
              <w:divId w:val="546070446"/>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Cost-reimbursable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358 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Geographical Region</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846018807"/>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United States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1,033 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1,105 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International</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418 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6018807"/>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1837573859"/>
        <w:rPr>
          <w:rFonts w:eastAsia="Times New Roman"/>
        </w:rPr>
      </w:pPr>
      <w:r>
        <w:rPr>
          <w:rFonts w:eastAsia="Times New Roman"/>
          <w:color w:val="000000"/>
          <w:sz w:val="16"/>
          <w:szCs w:val="16"/>
        </w:rPr>
        <w:t>_______________</w:t>
      </w:r>
    </w:p>
    <w:p w:rsidR="00000000" w:rsidRDefault="0039054C">
      <w:pPr>
        <w:ind w:hanging="270"/>
        <w:divId w:val="1828083169"/>
        <w:rPr>
          <w:rFonts w:eastAsia="Times New Roman"/>
        </w:rPr>
      </w:pPr>
      <w:r>
        <w:rPr>
          <w:rFonts w:eastAsia="Times New Roman"/>
          <w:color w:val="000000"/>
          <w:sz w:val="16"/>
          <w:szCs w:val="16"/>
        </w:rPr>
        <w:t>(1)Includes revenue derived from time-and-materials contracts.</w:t>
      </w:r>
    </w:p>
    <w:p w:rsidR="00000000" w:rsidRDefault="0039054C">
      <w:pPr>
        <w:ind w:firstLine="450"/>
        <w:divId w:val="675032965"/>
        <w:rPr>
          <w:rFonts w:eastAsia="Times New Roman"/>
        </w:rPr>
      </w:pPr>
      <w:r>
        <w:rPr>
          <w:rFonts w:eastAsia="Times New Roman"/>
          <w:i/>
          <w:iCs/>
          <w:color w:val="000000"/>
          <w:sz w:val="20"/>
          <w:szCs w:val="20"/>
        </w:rPr>
        <w:t xml:space="preserve">Space and Airborne Systems: </w:t>
      </w:r>
      <w:r>
        <w:rPr>
          <w:rFonts w:eastAsia="Times New Roman"/>
          <w:color w:val="000000"/>
          <w:sz w:val="20"/>
          <w:szCs w:val="20"/>
        </w:rPr>
        <w:t>Space and Airborne Systems revenue is primarily derived from U.S. Government development and production contracts and is generally recognized over time using the POC cost-to-cost revenue recognition method.</w:t>
      </w:r>
    </w:p>
    <w:tbl>
      <w:tblPr>
        <w:tblW w:w="5000" w:type="pct"/>
        <w:tblCellMar>
          <w:top w:w="15" w:type="dxa"/>
          <w:left w:w="15" w:type="dxa"/>
          <w:bottom w:w="15" w:type="dxa"/>
          <w:right w:w="15" w:type="dxa"/>
        </w:tblCellMar>
        <w:tblLook w:val="04A0" w:firstRow="1" w:lastRow="0" w:firstColumn="1" w:lastColumn="0" w:noHBand="0" w:noVBand="1"/>
      </w:tblPr>
      <w:tblGrid>
        <w:gridCol w:w="39"/>
        <w:gridCol w:w="5580"/>
        <w:gridCol w:w="37"/>
        <w:gridCol w:w="36"/>
        <w:gridCol w:w="36"/>
        <w:gridCol w:w="36"/>
        <w:gridCol w:w="36"/>
        <w:gridCol w:w="120"/>
        <w:gridCol w:w="1060"/>
        <w:gridCol w:w="36"/>
        <w:gridCol w:w="36"/>
        <w:gridCol w:w="36"/>
        <w:gridCol w:w="36"/>
        <w:gridCol w:w="120"/>
        <w:gridCol w:w="1026"/>
        <w:gridCol w:w="36"/>
      </w:tblGrid>
      <w:tr w:rsidR="00000000">
        <w:trPr>
          <w:divId w:val="185751528"/>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85751528"/>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85751528"/>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r>
      <w:tr w:rsidR="00000000">
        <w:trPr>
          <w:divId w:val="185751528"/>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5751528"/>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Customer Relationship</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5751528"/>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Prime 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683 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658 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Subcontractor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553 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534 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Contract Type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5751528"/>
        </w:trPr>
        <w:tc>
          <w:tcPr>
            <w:tcW w:w="0" w:type="auto"/>
            <w:gridSpan w:val="3"/>
            <w:shd w:val="clear" w:color="auto" w:fill="FFFFFF"/>
            <w:tcMar>
              <w:top w:w="30" w:type="dxa"/>
              <w:left w:w="20" w:type="dxa"/>
              <w:bottom w:w="30" w:type="dxa"/>
              <w:right w:w="20" w:type="dxa"/>
            </w:tcMar>
            <w:vAlign w:val="bottom"/>
            <w:hideMark/>
          </w:tcPr>
          <w:p w:rsidR="00000000" w:rsidRDefault="0039054C">
            <w:pPr>
              <w:divId w:val="119999436"/>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716 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670 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Cost-reimbursable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Geographical Region</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85751528"/>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United States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1,062 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1,003 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International</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85751528"/>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291906551"/>
        <w:rPr>
          <w:rFonts w:eastAsia="Times New Roman"/>
        </w:rPr>
      </w:pPr>
      <w:r>
        <w:rPr>
          <w:rFonts w:eastAsia="Times New Roman"/>
          <w:color w:val="000000"/>
          <w:sz w:val="16"/>
          <w:szCs w:val="16"/>
        </w:rPr>
        <w:t>_______________</w:t>
      </w:r>
    </w:p>
    <w:p w:rsidR="00000000" w:rsidRDefault="0039054C">
      <w:pPr>
        <w:ind w:hanging="270"/>
        <w:divId w:val="1446850931"/>
        <w:rPr>
          <w:rFonts w:eastAsia="Times New Roman"/>
        </w:rPr>
      </w:pPr>
      <w:r>
        <w:rPr>
          <w:rFonts w:eastAsia="Times New Roman"/>
          <w:color w:val="000000"/>
          <w:sz w:val="16"/>
          <w:szCs w:val="16"/>
        </w:rPr>
        <w:t>(1)Includes revenue derived from time-and-materials contracts.</w:t>
      </w:r>
    </w:p>
    <w:p w:rsidR="00000000" w:rsidRDefault="0039054C">
      <w:pPr>
        <w:ind w:firstLine="450"/>
        <w:jc w:val="center"/>
        <w:divId w:val="807746271"/>
        <w:rPr>
          <w:rFonts w:eastAsia="Times New Roman"/>
        </w:rPr>
      </w:pPr>
      <w:r>
        <w:rPr>
          <w:rFonts w:eastAsia="Times New Roman"/>
          <w:color w:val="000000"/>
          <w:sz w:val="20"/>
          <w:szCs w:val="20"/>
        </w:rPr>
        <w:t>21</w:t>
      </w:r>
    </w:p>
    <w:p w:rsidR="00000000" w:rsidRDefault="0039054C">
      <w:pPr>
        <w:rPr>
          <w:rFonts w:eastAsia="Times New Roman"/>
        </w:rPr>
      </w:pPr>
      <w:r>
        <w:rPr>
          <w:rFonts w:eastAsia="Times New Roman"/>
        </w:rPr>
        <w:pict>
          <v:rect id="_x0000_i1048" style="width:0;height:1.5pt" o:hralign="center" o:hrstd="t" o:hr="t" fillcolor="#a0a0a0" stroked="f"/>
        </w:pict>
      </w:r>
    </w:p>
    <w:p w:rsidR="00000000" w:rsidRDefault="0039054C">
      <w:pPr>
        <w:ind w:firstLine="450"/>
        <w:divId w:val="2037075090"/>
        <w:rPr>
          <w:rFonts w:eastAsia="Times New Roman"/>
        </w:rPr>
      </w:pPr>
    </w:p>
    <w:p w:rsidR="00000000" w:rsidRDefault="0039054C">
      <w:pPr>
        <w:ind w:firstLine="450"/>
        <w:divId w:val="510531724"/>
        <w:rPr>
          <w:rFonts w:eastAsia="Times New Roman"/>
        </w:rPr>
      </w:pPr>
    </w:p>
    <w:p w:rsidR="00000000" w:rsidRDefault="0039054C">
      <w:pPr>
        <w:ind w:firstLine="450"/>
        <w:divId w:val="1620182639"/>
        <w:rPr>
          <w:rFonts w:eastAsia="Times New Roman"/>
        </w:rPr>
      </w:pPr>
      <w:r>
        <w:rPr>
          <w:rFonts w:eastAsia="Times New Roman"/>
          <w:i/>
          <w:iCs/>
          <w:color w:val="000000"/>
          <w:sz w:val="20"/>
          <w:szCs w:val="20"/>
        </w:rPr>
        <w:t xml:space="preserve">Communication Systems: </w:t>
      </w:r>
      <w:r>
        <w:rPr>
          <w:rFonts w:eastAsia="Times New Roman"/>
          <w:color w:val="000000"/>
          <w:sz w:val="20"/>
          <w:szCs w:val="20"/>
        </w:rPr>
        <w:t>Communication Systems revenue is primarily derived from fixed-price contracts and is generally recognized at the point in time when products are received and accepted by the customer for standa</w:t>
      </w:r>
      <w:r>
        <w:rPr>
          <w:rFonts w:eastAsia="Times New Roman"/>
          <w:color w:val="000000"/>
          <w:sz w:val="20"/>
          <w:szCs w:val="20"/>
        </w:rPr>
        <w:t>rd products offered to multiple customers and over time for customer-specific products, systems and services.</w:t>
      </w:r>
    </w:p>
    <w:tbl>
      <w:tblPr>
        <w:tblW w:w="5000" w:type="pct"/>
        <w:tblCellMar>
          <w:top w:w="15" w:type="dxa"/>
          <w:left w:w="15" w:type="dxa"/>
          <w:bottom w:w="15" w:type="dxa"/>
          <w:right w:w="15" w:type="dxa"/>
        </w:tblCellMar>
        <w:tblLook w:val="04A0" w:firstRow="1" w:lastRow="0" w:firstColumn="1" w:lastColumn="0" w:noHBand="0" w:noVBand="1"/>
      </w:tblPr>
      <w:tblGrid>
        <w:gridCol w:w="39"/>
        <w:gridCol w:w="5580"/>
        <w:gridCol w:w="37"/>
        <w:gridCol w:w="36"/>
        <w:gridCol w:w="36"/>
        <w:gridCol w:w="36"/>
        <w:gridCol w:w="36"/>
        <w:gridCol w:w="120"/>
        <w:gridCol w:w="1060"/>
        <w:gridCol w:w="36"/>
        <w:gridCol w:w="36"/>
        <w:gridCol w:w="36"/>
        <w:gridCol w:w="36"/>
        <w:gridCol w:w="120"/>
        <w:gridCol w:w="1026"/>
        <w:gridCol w:w="36"/>
      </w:tblGrid>
      <w:tr w:rsidR="00000000">
        <w:trPr>
          <w:divId w:val="1302539113"/>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302539113"/>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302539113"/>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r>
      <w:tr w:rsidR="00000000">
        <w:trPr>
          <w:divId w:val="1302539113"/>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302539113"/>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Customer Relationship</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302539113"/>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Prime 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729 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740 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Subcontractor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354 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Contract Type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302539113"/>
        </w:trPr>
        <w:tc>
          <w:tcPr>
            <w:tcW w:w="0" w:type="auto"/>
            <w:gridSpan w:val="3"/>
            <w:shd w:val="clear" w:color="auto" w:fill="FFFFFF"/>
            <w:tcMar>
              <w:top w:w="30" w:type="dxa"/>
              <w:left w:w="20" w:type="dxa"/>
              <w:bottom w:w="30" w:type="dxa"/>
              <w:right w:w="20" w:type="dxa"/>
            </w:tcMar>
            <w:vAlign w:val="bottom"/>
            <w:hideMark/>
          </w:tcPr>
          <w:p w:rsidR="00000000" w:rsidRDefault="0039054C">
            <w:pPr>
              <w:divId w:val="1621647095"/>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946 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918 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Cost-reimbursable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Geographical Region</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302539113"/>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United States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841 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834 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International</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271 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260 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302539113"/>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1946426985"/>
        <w:rPr>
          <w:rFonts w:eastAsia="Times New Roman"/>
        </w:rPr>
      </w:pPr>
      <w:r>
        <w:rPr>
          <w:rFonts w:eastAsia="Times New Roman"/>
          <w:color w:val="000000"/>
          <w:sz w:val="16"/>
          <w:szCs w:val="16"/>
        </w:rPr>
        <w:t>_______________</w:t>
      </w:r>
    </w:p>
    <w:p w:rsidR="00000000" w:rsidRDefault="0039054C">
      <w:pPr>
        <w:ind w:hanging="270"/>
        <w:divId w:val="751969520"/>
        <w:rPr>
          <w:rFonts w:eastAsia="Times New Roman"/>
        </w:rPr>
      </w:pPr>
      <w:r>
        <w:rPr>
          <w:rFonts w:eastAsia="Times New Roman"/>
          <w:color w:val="000000"/>
          <w:sz w:val="16"/>
          <w:szCs w:val="16"/>
        </w:rPr>
        <w:t>(1)Includes revenue derived from time-and-materials contracts.</w:t>
      </w:r>
    </w:p>
    <w:p w:rsidR="00000000" w:rsidRDefault="0039054C">
      <w:pPr>
        <w:ind w:firstLine="450"/>
        <w:divId w:val="328484067"/>
        <w:rPr>
          <w:rFonts w:eastAsia="Times New Roman"/>
        </w:rPr>
      </w:pPr>
      <w:r>
        <w:rPr>
          <w:rFonts w:eastAsia="Times New Roman"/>
          <w:i/>
          <w:iCs/>
          <w:color w:val="000000"/>
          <w:sz w:val="20"/>
          <w:szCs w:val="20"/>
        </w:rPr>
        <w:t xml:space="preserve">Aviation Systems: </w:t>
      </w:r>
      <w:r>
        <w:rPr>
          <w:rFonts w:eastAsia="Times New Roman"/>
          <w:color w:val="000000"/>
          <w:sz w:val="20"/>
          <w:szCs w:val="20"/>
        </w:rPr>
        <w:t>Aviation Systems revenue is primarily derived from fixed-price contracts and is generally recognized at the point in time when products are received and acc</w:t>
      </w:r>
      <w:r>
        <w:rPr>
          <w:rFonts w:eastAsia="Times New Roman"/>
          <w:color w:val="000000"/>
          <w:sz w:val="20"/>
          <w:szCs w:val="20"/>
        </w:rPr>
        <w:t>epted by the customer for standard products offered to multiple customers and over time for customer-specific products, systems and services.</w:t>
      </w:r>
    </w:p>
    <w:tbl>
      <w:tblPr>
        <w:tblW w:w="5000" w:type="pct"/>
        <w:tblCellMar>
          <w:top w:w="15" w:type="dxa"/>
          <w:left w:w="15" w:type="dxa"/>
          <w:bottom w:w="15" w:type="dxa"/>
          <w:right w:w="15" w:type="dxa"/>
        </w:tblCellMar>
        <w:tblLook w:val="04A0" w:firstRow="1" w:lastRow="0" w:firstColumn="1" w:lastColumn="0" w:noHBand="0" w:noVBand="1"/>
      </w:tblPr>
      <w:tblGrid>
        <w:gridCol w:w="39"/>
        <w:gridCol w:w="5267"/>
        <w:gridCol w:w="37"/>
        <w:gridCol w:w="36"/>
        <w:gridCol w:w="36"/>
        <w:gridCol w:w="257"/>
        <w:gridCol w:w="257"/>
        <w:gridCol w:w="120"/>
        <w:gridCol w:w="998"/>
        <w:gridCol w:w="36"/>
        <w:gridCol w:w="36"/>
        <w:gridCol w:w="36"/>
        <w:gridCol w:w="36"/>
        <w:gridCol w:w="120"/>
        <w:gridCol w:w="959"/>
        <w:gridCol w:w="36"/>
      </w:tblGrid>
      <w:tr w:rsidR="00000000">
        <w:trPr>
          <w:divId w:val="1294798129"/>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294798129"/>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294798129"/>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r>
      <w:tr w:rsidR="00000000">
        <w:trPr>
          <w:divId w:val="1294798129"/>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29479812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Customer Relationship</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294798129"/>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Prime 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536 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Subcontractor</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278 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347 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Contract Type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294798129"/>
        </w:trPr>
        <w:tc>
          <w:tcPr>
            <w:tcW w:w="0" w:type="auto"/>
            <w:gridSpan w:val="3"/>
            <w:shd w:val="clear" w:color="auto" w:fill="FFFFFF"/>
            <w:tcMar>
              <w:top w:w="30" w:type="dxa"/>
              <w:left w:w="20" w:type="dxa"/>
              <w:bottom w:w="30" w:type="dxa"/>
              <w:right w:w="20" w:type="dxa"/>
            </w:tcMar>
            <w:vAlign w:val="bottom"/>
            <w:hideMark/>
          </w:tcPr>
          <w:p w:rsidR="00000000" w:rsidRDefault="0039054C">
            <w:pPr>
              <w:divId w:val="1397556415"/>
              <w:rPr>
                <w:rFonts w:eastAsia="Times New Roman"/>
              </w:rPr>
            </w:pPr>
            <w:r>
              <w:rPr>
                <w:rFonts w:eastAsia="Times New Roman"/>
                <w:color w:val="000000"/>
                <w:sz w:val="20"/>
                <w:szCs w:val="20"/>
              </w:rPr>
              <w:t>Fixed-pric</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841 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Cost-reimbursable</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1,011 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Revenue By Geographical Region</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294798129"/>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United States</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International</w:t>
            </w:r>
          </w:p>
        </w:tc>
        <w:tc>
          <w:tcPr>
            <w:tcW w:w="0" w:type="auto"/>
            <w:vAlign w:val="center"/>
            <w:hideMark/>
          </w:tcPr>
          <w:p w:rsidR="00000000" w:rsidRDefault="0039054C">
            <w:pP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1294798129"/>
        </w:trPr>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1,011 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203100092"/>
        <w:rPr>
          <w:rFonts w:eastAsia="Times New Roman"/>
        </w:rPr>
      </w:pPr>
      <w:r>
        <w:rPr>
          <w:rFonts w:eastAsia="Times New Roman"/>
          <w:color w:val="000000"/>
          <w:sz w:val="16"/>
          <w:szCs w:val="16"/>
        </w:rPr>
        <w:t>_______________</w:t>
      </w:r>
    </w:p>
    <w:p w:rsidR="00000000" w:rsidRDefault="0039054C">
      <w:pPr>
        <w:ind w:hanging="270"/>
        <w:divId w:val="1025592660"/>
        <w:rPr>
          <w:rFonts w:eastAsia="Times New Roman"/>
        </w:rPr>
      </w:pPr>
      <w:r>
        <w:rPr>
          <w:rFonts w:eastAsia="Times New Roman"/>
          <w:color w:val="000000"/>
          <w:sz w:val="16"/>
          <w:szCs w:val="16"/>
        </w:rPr>
        <w:t>(1)Includes revenue derived from time-and-materials contracts.</w:t>
      </w:r>
    </w:p>
    <w:p w:rsidR="00000000" w:rsidRDefault="0039054C">
      <w:pPr>
        <w:ind w:firstLine="450"/>
        <w:jc w:val="center"/>
        <w:divId w:val="895236196"/>
        <w:rPr>
          <w:rFonts w:eastAsia="Times New Roman"/>
        </w:rPr>
      </w:pPr>
      <w:r>
        <w:rPr>
          <w:rFonts w:eastAsia="Times New Roman"/>
          <w:color w:val="000000"/>
          <w:sz w:val="20"/>
          <w:szCs w:val="20"/>
        </w:rPr>
        <w:t>22</w:t>
      </w:r>
    </w:p>
    <w:p w:rsidR="00000000" w:rsidRDefault="0039054C">
      <w:pPr>
        <w:rPr>
          <w:rFonts w:eastAsia="Times New Roman"/>
        </w:rPr>
      </w:pPr>
      <w:r>
        <w:rPr>
          <w:rFonts w:eastAsia="Times New Roman"/>
        </w:rPr>
        <w:pict>
          <v:rect id="_x0000_i1049" style="width:0;height:1.5pt" o:hralign="center" o:hrstd="t" o:hr="t" fillcolor="#a0a0a0" stroked="f"/>
        </w:pict>
      </w:r>
    </w:p>
    <w:p w:rsidR="00000000" w:rsidRDefault="0039054C">
      <w:pPr>
        <w:ind w:firstLine="450"/>
        <w:divId w:val="2092382700"/>
        <w:rPr>
          <w:rFonts w:eastAsia="Times New Roman"/>
        </w:rPr>
      </w:pPr>
    </w:p>
    <w:p w:rsidR="00000000" w:rsidRDefault="0039054C">
      <w:pPr>
        <w:ind w:firstLine="450"/>
        <w:divId w:val="651759163"/>
        <w:rPr>
          <w:rFonts w:eastAsia="Times New Roman"/>
        </w:rPr>
      </w:pPr>
    </w:p>
    <w:p w:rsidR="00000000" w:rsidRDefault="0039054C">
      <w:pPr>
        <w:ind w:firstLine="450"/>
        <w:divId w:val="1514346259"/>
        <w:rPr>
          <w:rFonts w:eastAsia="Times New Roman"/>
        </w:rPr>
      </w:pPr>
      <w:r>
        <w:rPr>
          <w:rFonts w:eastAsia="Times New Roman"/>
          <w:color w:val="000000"/>
          <w:sz w:val="20"/>
          <w:szCs w:val="20"/>
        </w:rPr>
        <w:t>Total assets by business segment are summarized below:</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8"/>
        <w:gridCol w:w="120"/>
        <w:gridCol w:w="1079"/>
        <w:gridCol w:w="36"/>
        <w:gridCol w:w="36"/>
        <w:gridCol w:w="36"/>
        <w:gridCol w:w="36"/>
        <w:gridCol w:w="120"/>
        <w:gridCol w:w="1046"/>
        <w:gridCol w:w="36"/>
      </w:tblGrid>
      <w:tr w:rsidR="00000000">
        <w:trPr>
          <w:divId w:val="849566641"/>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849566641"/>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January 1, 2021</w:t>
            </w:r>
          </w:p>
        </w:tc>
      </w:tr>
      <w:tr w:rsidR="00000000">
        <w:trPr>
          <w:divId w:val="849566641"/>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849566641"/>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20"/>
                <w:szCs w:val="20"/>
              </w:rPr>
              <w:t>Total Assets</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849566641"/>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9,080 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8,906 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9566641"/>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6,996 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6,943 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9566641"/>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5,720 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5,746 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9566641"/>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5,436 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5,026 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9566641"/>
        </w:trPr>
        <w:tc>
          <w:tcPr>
            <w:tcW w:w="0" w:type="auto"/>
            <w:gridSpan w:val="3"/>
            <w:shd w:val="clear" w:color="auto" w:fill="FFFFFF"/>
            <w:tcMar>
              <w:top w:w="30" w:type="dxa"/>
              <w:left w:w="20" w:type="dxa"/>
              <w:bottom w:w="30" w:type="dxa"/>
              <w:right w:w="20" w:type="dxa"/>
            </w:tcMar>
            <w:vAlign w:val="bottom"/>
            <w:hideMark/>
          </w:tcPr>
          <w:p w:rsidR="00000000" w:rsidRDefault="0039054C">
            <w:pPr>
              <w:divId w:val="1079328271"/>
              <w:rPr>
                <w:rFonts w:eastAsia="Times New Roman"/>
              </w:rPr>
            </w:pPr>
            <w:r>
              <w:rPr>
                <w:rFonts w:eastAsia="Times New Roman"/>
                <w:color w:val="000000"/>
                <w:sz w:val="20"/>
                <w:szCs w:val="20"/>
              </w:rPr>
              <w:t>Corporat</w:t>
            </w:r>
            <w:r>
              <w:rPr>
                <w:rFonts w:eastAsia="Times New Roman"/>
                <w:color w:val="000000"/>
                <w:sz w:val="20"/>
                <w:szCs w:val="20"/>
              </w:rPr>
              <w:t>e</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9,358 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10,339 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849566641"/>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Assets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36,590 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36,960 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1175461149"/>
        <w:rPr>
          <w:rFonts w:eastAsia="Times New Roman"/>
        </w:rPr>
      </w:pPr>
      <w:r>
        <w:rPr>
          <w:rFonts w:eastAsia="Times New Roman"/>
          <w:color w:val="000000"/>
          <w:sz w:val="16"/>
          <w:szCs w:val="16"/>
        </w:rPr>
        <w:t>_______________</w:t>
      </w:r>
    </w:p>
    <w:p w:rsidR="00000000" w:rsidRDefault="0039054C">
      <w:pPr>
        <w:ind w:hanging="270"/>
        <w:divId w:val="1977566618"/>
        <w:rPr>
          <w:rFonts w:eastAsia="Times New Roman"/>
        </w:rPr>
      </w:pPr>
      <w:r>
        <w:rPr>
          <w:rFonts w:eastAsia="Times New Roman"/>
          <w:color w:val="000000"/>
          <w:sz w:val="16"/>
          <w:szCs w:val="16"/>
        </w:rPr>
        <w:t>(1)</w:t>
      </w:r>
      <w:r>
        <w:rPr>
          <w:rFonts w:eastAsia="Times New Roman"/>
          <w:color w:val="000000"/>
          <w:sz w:val="16"/>
          <w:szCs w:val="16"/>
        </w:rPr>
        <w:t>Identifiable intangible assets acquired in connection with the L3Harris Merger on June 29, 2019 and our acquisition of Exelis Inc. in fiscal 2015 were recorded as Corporate assets because they benefited the entire Company as opposed to any individual segme</w:t>
      </w:r>
      <w:r>
        <w:rPr>
          <w:rFonts w:eastAsia="Times New Roman"/>
          <w:color w:val="000000"/>
          <w:sz w:val="16"/>
          <w:szCs w:val="16"/>
        </w:rPr>
        <w:t>nt. Identifiable intangible asset balances recorded as Corporate assets were approximately $7.3 billion and $7.9 billion at April 2, 2021 and January 1, 2021, respectively. Corporate assets also consisted of cash, income taxes receivable, deferred income t</w:t>
      </w:r>
      <w:r>
        <w:rPr>
          <w:rFonts w:eastAsia="Times New Roman"/>
          <w:color w:val="000000"/>
          <w:sz w:val="16"/>
          <w:szCs w:val="16"/>
        </w:rPr>
        <w:t xml:space="preserve">axes, deferred compensation plan investments, buildings and equipment, as well as any assets and liabilities from discontinued operations and divestitures. See </w:t>
      </w:r>
      <w:r>
        <w:rPr>
          <w:rFonts w:eastAsia="Times New Roman"/>
          <w:i/>
          <w:iCs/>
          <w:color w:val="000000"/>
          <w:sz w:val="16"/>
          <w:szCs w:val="16"/>
        </w:rPr>
        <w:t>Note B — Business Divestitures</w:t>
      </w:r>
      <w:r>
        <w:rPr>
          <w:rFonts w:eastAsia="Times New Roman"/>
          <w:color w:val="000000"/>
          <w:sz w:val="16"/>
          <w:szCs w:val="16"/>
        </w:rPr>
        <w:t xml:space="preserve"> in these Notes for additional information.</w:t>
      </w:r>
    </w:p>
    <w:p w:rsidR="00000000" w:rsidRDefault="0039054C">
      <w:pPr>
        <w:divId w:val="1015808480"/>
        <w:rPr>
          <w:rFonts w:eastAsia="Times New Roman"/>
        </w:rPr>
      </w:pPr>
      <w:r>
        <w:rPr>
          <w:rFonts w:eastAsia="Times New Roman"/>
          <w:b/>
          <w:bCs/>
          <w:color w:val="000000"/>
          <w:sz w:val="20"/>
          <w:szCs w:val="20"/>
        </w:rPr>
        <w:t xml:space="preserve">Note U — </w:t>
      </w:r>
      <w:r>
        <w:rPr>
          <w:rFonts w:eastAsia="Times New Roman"/>
          <w:b/>
          <w:bCs/>
          <w:color w:val="000000"/>
          <w:sz w:val="20"/>
          <w:szCs w:val="20"/>
        </w:rPr>
        <w:t xml:space="preserve">Legal Proceedings and Contingencies </w:t>
      </w:r>
    </w:p>
    <w:p w:rsidR="00000000" w:rsidRDefault="0039054C">
      <w:pPr>
        <w:ind w:firstLine="450"/>
        <w:divId w:val="144393530"/>
        <w:rPr>
          <w:rFonts w:eastAsia="Times New Roman"/>
        </w:rPr>
      </w:pPr>
      <w:r>
        <w:rPr>
          <w:rFonts w:eastAsia="Times New Roman"/>
          <w:color w:val="000000"/>
          <w:sz w:val="20"/>
          <w:szCs w:val="20"/>
        </w:rPr>
        <w:t>From time to time, as a normal incident of the nature and kind of businesses in which we are or were engaged, various claims or charges are asserted and litigation or arbitration is commenced by or against us arising fr</w:t>
      </w:r>
      <w:r>
        <w:rPr>
          <w:rFonts w:eastAsia="Times New Roman"/>
          <w:color w:val="000000"/>
          <w:sz w:val="20"/>
          <w:szCs w:val="20"/>
        </w:rPr>
        <w:t>om or related to matters, including, but not limited to: product liability; personal injury; patents, trademarks, trade secrets or other intellectual property; labor and employee disputes; commercial or contractual disputes; strategic acquisitions or dives</w:t>
      </w:r>
      <w:r>
        <w:rPr>
          <w:rFonts w:eastAsia="Times New Roman"/>
          <w:color w:val="000000"/>
          <w:sz w:val="20"/>
          <w:szCs w:val="20"/>
        </w:rPr>
        <w:t>titures; the prior sale or use of former products allegedly containing asbestos or other restricted materials; breach of warranty; or environmental matters. Claimed amounts against us may be substantial but may not bear any reasonable relationship to the m</w:t>
      </w:r>
      <w:r>
        <w:rPr>
          <w:rFonts w:eastAsia="Times New Roman"/>
          <w:color w:val="000000"/>
          <w:sz w:val="20"/>
          <w:szCs w:val="20"/>
        </w:rPr>
        <w:t>erits of the claim or the extent of any real risk of court or arbitral awards. We record accruals for losses related to those matters against us that we consider to be probable and that can be reasonably estimated. Gain contingencies, if any, are recognize</w:t>
      </w:r>
      <w:r>
        <w:rPr>
          <w:rFonts w:eastAsia="Times New Roman"/>
          <w:color w:val="000000"/>
          <w:sz w:val="20"/>
          <w:szCs w:val="20"/>
        </w:rPr>
        <w:t>d when they are realized, and legal costs generally are expensed when incurred. At April 2, 2021, our accrual for the potential resolution of lawsuits, claims or proceedings that we consider probable of being decided unfavorably to us was not material. Alt</w:t>
      </w:r>
      <w:r>
        <w:rPr>
          <w:rFonts w:eastAsia="Times New Roman"/>
          <w:color w:val="000000"/>
          <w:sz w:val="20"/>
          <w:szCs w:val="20"/>
        </w:rPr>
        <w:t>hough it is not feasible to predict the outcome of these matters with certainty, it is reasonably possible that some lawsuits, claims or proceedings may be disposed of or decided unfavorably to us and in excess of the amounts currently accrued. Based on av</w:t>
      </w:r>
      <w:r>
        <w:rPr>
          <w:rFonts w:eastAsia="Times New Roman"/>
          <w:color w:val="000000"/>
          <w:sz w:val="20"/>
          <w:szCs w:val="20"/>
        </w:rPr>
        <w:t>ailable information, in the opinion of management, settlements, arbitration awards and final judgments, if any, that are considered probable of being rendered against us in litigation or arbitration in existence at April 2, 2021 are reserved against or wou</w:t>
      </w:r>
      <w:r>
        <w:rPr>
          <w:rFonts w:eastAsia="Times New Roman"/>
          <w:color w:val="000000"/>
          <w:sz w:val="20"/>
          <w:szCs w:val="20"/>
        </w:rPr>
        <w:t>ld not have a material adverse effect on our financial condition, results of operations, cash flows or equity.</w:t>
      </w:r>
    </w:p>
    <w:p w:rsidR="00000000" w:rsidRDefault="0039054C">
      <w:pPr>
        <w:ind w:firstLine="450"/>
        <w:divId w:val="1702512161"/>
        <w:rPr>
          <w:rFonts w:eastAsia="Times New Roman"/>
        </w:rPr>
      </w:pPr>
      <w:r>
        <w:rPr>
          <w:rFonts w:eastAsia="Times New Roman"/>
          <w:i/>
          <w:iCs/>
          <w:color w:val="000000"/>
          <w:sz w:val="20"/>
          <w:szCs w:val="20"/>
        </w:rPr>
        <w:t>Environmental</w:t>
      </w:r>
      <w:r>
        <w:rPr>
          <w:rFonts w:eastAsia="Times New Roman"/>
          <w:color w:val="000000"/>
          <w:sz w:val="20"/>
          <w:szCs w:val="20"/>
        </w:rPr>
        <w:t xml:space="preserve"> </w:t>
      </w:r>
      <w:r>
        <w:rPr>
          <w:rFonts w:eastAsia="Times New Roman"/>
          <w:i/>
          <w:iCs/>
          <w:color w:val="000000"/>
          <w:sz w:val="20"/>
          <w:szCs w:val="20"/>
        </w:rPr>
        <w:t>Matters</w:t>
      </w:r>
      <w:r>
        <w:rPr>
          <w:rFonts w:eastAsia="Times New Roman"/>
          <w:color w:val="000000"/>
          <w:sz w:val="20"/>
          <w:szCs w:val="20"/>
        </w:rPr>
        <w:t>: We are subject to numerous U.S. Federal, state, local and international environmental laws and regulatory requirements and</w:t>
      </w:r>
      <w:r>
        <w:rPr>
          <w:rFonts w:eastAsia="Times New Roman"/>
          <w:color w:val="000000"/>
          <w:sz w:val="20"/>
          <w:szCs w:val="20"/>
        </w:rPr>
        <w:t xml:space="preserve"> are involved from time to time in investigations or litigation of various potential environmental issues. We or companies we have acquired are responsible, or alleged to be responsible, for environmental investigation and/or remediation of multiple sites.</w:t>
      </w:r>
      <w:r>
        <w:rPr>
          <w:rFonts w:eastAsia="Times New Roman"/>
          <w:color w:val="000000"/>
          <w:sz w:val="20"/>
          <w:szCs w:val="20"/>
        </w:rPr>
        <w:t xml:space="preserve"> These sites are in various stages of investigation and/or remediation and in some cases our liability is considered de minimis. Notices from the U.S. Environmental Protection Agency (“EPA”) or equivalent state or international environmental agencies alleg</w:t>
      </w:r>
      <w:r>
        <w:rPr>
          <w:rFonts w:eastAsia="Times New Roman"/>
          <w:color w:val="000000"/>
          <w:sz w:val="20"/>
          <w:szCs w:val="20"/>
        </w:rPr>
        <w:t>e that a number of sites formerly or currently owned and/or operated by us or companies we have acquired, and other properties or water supplies that may be or have been impacted from those operations, contain disposed or recycled materials or wastes and r</w:t>
      </w:r>
      <w:r>
        <w:rPr>
          <w:rFonts w:eastAsia="Times New Roman"/>
          <w:color w:val="000000"/>
          <w:sz w:val="20"/>
          <w:szCs w:val="20"/>
        </w:rPr>
        <w:t>equire environmental investigation and/or remediation. These sites include instances of being identified as a potentially responsible party under the Comprehensive Environmental Response, Compensation and Liability Act (commonly known as the “Superfund Act</w:t>
      </w:r>
      <w:r>
        <w:rPr>
          <w:rFonts w:eastAsia="Times New Roman"/>
          <w:color w:val="000000"/>
          <w:sz w:val="20"/>
          <w:szCs w:val="20"/>
        </w:rPr>
        <w:t>”) and/or equivalent state and international laws. For example, in June 2014, the U.S. Department of Justice, Environment and Natural Resources Division, notified several potentially responsible parties, including Exelis Inc., of potential responsibility f</w:t>
      </w:r>
      <w:r>
        <w:rPr>
          <w:rFonts w:eastAsia="Times New Roman"/>
          <w:color w:val="000000"/>
          <w:sz w:val="20"/>
          <w:szCs w:val="20"/>
        </w:rPr>
        <w:t>or contribution to the environmental investigation and remediation of multiple locations in Alaska. In addition, in March 2016, the EPA notified over 100 potentially responsible parties, including Exelis Inc., of potential liability for the cost of remedia</w:t>
      </w:r>
      <w:r>
        <w:rPr>
          <w:rFonts w:eastAsia="Times New Roman"/>
          <w:color w:val="000000"/>
          <w:sz w:val="20"/>
          <w:szCs w:val="20"/>
        </w:rPr>
        <w:t>tion for the 8.3-mile stretch of the Lower Passaic River, estimated by the EPA to be $1.38 billion, but the parties’ respective allocations have not been determined. Although it is not feasible to predict the outcome of these environmental claims made agai</w:t>
      </w:r>
      <w:r>
        <w:rPr>
          <w:rFonts w:eastAsia="Times New Roman"/>
          <w:color w:val="000000"/>
          <w:sz w:val="20"/>
          <w:szCs w:val="20"/>
        </w:rPr>
        <w:t>nst us, based on available information, in the opinion of our management, any payments we may be required to make as a result of environmental claims made against us in existence at April 2, 2021 are reserved against, covered by insurance or would not have</w:t>
      </w:r>
      <w:r>
        <w:rPr>
          <w:rFonts w:eastAsia="Times New Roman"/>
          <w:color w:val="000000"/>
          <w:sz w:val="20"/>
          <w:szCs w:val="20"/>
        </w:rPr>
        <w:t xml:space="preserve"> a material adverse effect on our financial condition, results of operations, cash flows or equity. </w:t>
      </w:r>
    </w:p>
    <w:p w:rsidR="00000000" w:rsidRDefault="0039054C">
      <w:pPr>
        <w:ind w:firstLine="450"/>
        <w:jc w:val="center"/>
        <w:divId w:val="2055036548"/>
        <w:rPr>
          <w:rFonts w:eastAsia="Times New Roman"/>
        </w:rPr>
      </w:pPr>
      <w:r>
        <w:rPr>
          <w:rFonts w:eastAsia="Times New Roman"/>
          <w:color w:val="000000"/>
          <w:sz w:val="20"/>
          <w:szCs w:val="20"/>
        </w:rPr>
        <w:t>23</w:t>
      </w:r>
    </w:p>
    <w:p w:rsidR="00000000" w:rsidRDefault="0039054C">
      <w:pPr>
        <w:rPr>
          <w:rFonts w:eastAsia="Times New Roman"/>
        </w:rPr>
      </w:pPr>
      <w:r>
        <w:rPr>
          <w:rFonts w:eastAsia="Times New Roman"/>
        </w:rPr>
        <w:pict>
          <v:rect id="_x0000_i1050" style="width:0;height:1.5pt" o:hralign="center" o:hrstd="t" o:hr="t" fillcolor="#a0a0a0" stroked="f"/>
        </w:pict>
      </w:r>
    </w:p>
    <w:p w:rsidR="00000000" w:rsidRDefault="0039054C">
      <w:pPr>
        <w:ind w:firstLine="450"/>
        <w:divId w:val="1680236477"/>
        <w:rPr>
          <w:rFonts w:eastAsia="Times New Roman"/>
        </w:rPr>
      </w:pPr>
    </w:p>
    <w:p w:rsidR="00000000" w:rsidRDefault="0039054C">
      <w:pPr>
        <w:ind w:firstLine="450"/>
        <w:divId w:val="2003585014"/>
        <w:rPr>
          <w:rFonts w:eastAsia="Times New Roman"/>
        </w:rPr>
      </w:pPr>
    </w:p>
    <w:p w:rsidR="00000000" w:rsidRDefault="0039054C">
      <w:pPr>
        <w:ind w:firstLine="450"/>
        <w:jc w:val="center"/>
        <w:divId w:val="1092778100"/>
        <w:rPr>
          <w:rFonts w:eastAsia="Times New Roman"/>
        </w:rPr>
      </w:pPr>
      <w:r>
        <w:rPr>
          <w:rFonts w:eastAsia="Times New Roman"/>
          <w:b/>
          <w:bCs/>
          <w:color w:val="000000"/>
          <w:sz w:val="20"/>
          <w:szCs w:val="20"/>
        </w:rPr>
        <w:t xml:space="preserve">REPORT OF INDEPENDENT REGISTERED PUBLIC ACCOUNTING FIRM </w:t>
      </w:r>
    </w:p>
    <w:p w:rsidR="00000000" w:rsidRDefault="0039054C">
      <w:pPr>
        <w:divId w:val="597830266"/>
        <w:rPr>
          <w:rFonts w:eastAsia="Times New Roman"/>
        </w:rPr>
      </w:pPr>
    </w:p>
    <w:p w:rsidR="00000000" w:rsidRDefault="0039054C">
      <w:pPr>
        <w:jc w:val="both"/>
        <w:rPr>
          <w:rFonts w:eastAsia="Times New Roman"/>
        </w:rPr>
      </w:pPr>
      <w:r>
        <w:rPr>
          <w:rFonts w:eastAsia="Times New Roman"/>
          <w:color w:val="000000"/>
          <w:sz w:val="20"/>
          <w:szCs w:val="20"/>
        </w:rPr>
        <w:t>To the Shareholders and Board of Directors of L3Harri</w:t>
      </w:r>
      <w:r>
        <w:rPr>
          <w:rFonts w:eastAsia="Times New Roman"/>
          <w:color w:val="000000"/>
          <w:sz w:val="20"/>
          <w:szCs w:val="20"/>
        </w:rPr>
        <w:t>s Technologies, Inc.</w:t>
      </w:r>
    </w:p>
    <w:p w:rsidR="00000000" w:rsidRDefault="0039054C">
      <w:pPr>
        <w:divId w:val="670570045"/>
        <w:rPr>
          <w:rFonts w:eastAsia="Times New Roman"/>
        </w:rPr>
      </w:pPr>
    </w:p>
    <w:p w:rsidR="00000000" w:rsidRDefault="0039054C">
      <w:pPr>
        <w:jc w:val="both"/>
        <w:rPr>
          <w:rFonts w:eastAsia="Times New Roman"/>
        </w:rPr>
      </w:pPr>
      <w:r>
        <w:rPr>
          <w:rFonts w:eastAsia="Times New Roman"/>
          <w:b/>
          <w:bCs/>
          <w:color w:val="000000"/>
          <w:sz w:val="20"/>
          <w:szCs w:val="20"/>
        </w:rPr>
        <w:t xml:space="preserve">Results of Review of Interim Financial Statements </w:t>
      </w:r>
    </w:p>
    <w:p w:rsidR="00000000" w:rsidRDefault="0039054C">
      <w:pPr>
        <w:divId w:val="696857011"/>
        <w:rPr>
          <w:rFonts w:eastAsia="Times New Roman"/>
        </w:rPr>
      </w:pPr>
    </w:p>
    <w:p w:rsidR="00000000" w:rsidRDefault="0039054C">
      <w:pPr>
        <w:divId w:val="792986895"/>
        <w:rPr>
          <w:rFonts w:eastAsia="Times New Roman"/>
        </w:rPr>
      </w:pPr>
      <w:r>
        <w:rPr>
          <w:rFonts w:eastAsia="Times New Roman"/>
          <w:color w:val="000000"/>
          <w:sz w:val="20"/>
          <w:szCs w:val="20"/>
        </w:rPr>
        <w:t>We have reviewed the accompanying condensed consolidated balance sheet of L3Harris Technologies, Inc. (the Company) as of April 2, 2021, the related condensed consolidated statemen</w:t>
      </w:r>
      <w:r>
        <w:rPr>
          <w:rFonts w:eastAsia="Times New Roman"/>
          <w:color w:val="000000"/>
          <w:sz w:val="20"/>
          <w:szCs w:val="20"/>
        </w:rPr>
        <w:t>ts of income, comprehensive income, cash flows and equity for the quarters ended April 2, 2021 and April 3, 2020, and the related notes (collectively referred to as the “condensed consolidated interim financial statements”). Based on our reviews, we are no</w:t>
      </w:r>
      <w:r>
        <w:rPr>
          <w:rFonts w:eastAsia="Times New Roman"/>
          <w:color w:val="000000"/>
          <w:sz w:val="20"/>
          <w:szCs w:val="20"/>
        </w:rPr>
        <w:t xml:space="preserve">t aware of any material modifications that should be made to the condensed consolidated interim financial statements for them to be in conformity with U.S. generally accepted accounting principles. </w:t>
      </w:r>
    </w:p>
    <w:p w:rsidR="00000000" w:rsidRDefault="0039054C">
      <w:pPr>
        <w:divId w:val="198443687"/>
        <w:rPr>
          <w:rFonts w:eastAsia="Times New Roman"/>
        </w:rPr>
      </w:pPr>
    </w:p>
    <w:p w:rsidR="00000000" w:rsidRDefault="0039054C">
      <w:pPr>
        <w:divId w:val="1543134133"/>
        <w:rPr>
          <w:rFonts w:eastAsia="Times New Roman"/>
        </w:rPr>
      </w:pPr>
      <w:r>
        <w:rPr>
          <w:rFonts w:eastAsia="Times New Roman"/>
          <w:color w:val="000000"/>
          <w:sz w:val="20"/>
          <w:szCs w:val="20"/>
        </w:rPr>
        <w:t>We have previously audited, in accordance with the stan</w:t>
      </w:r>
      <w:r>
        <w:rPr>
          <w:rFonts w:eastAsia="Times New Roman"/>
          <w:color w:val="000000"/>
          <w:sz w:val="20"/>
          <w:szCs w:val="20"/>
        </w:rPr>
        <w:t>dards of the Public Company Accounting Oversight Board (United States) (PCAOB), the consolidated balance sheet of the Company as of January 1, 2021, the related consolidated statements of income, comprehensive income, cash flows and equity for the year the</w:t>
      </w:r>
      <w:r>
        <w:rPr>
          <w:rFonts w:eastAsia="Times New Roman"/>
          <w:color w:val="000000"/>
          <w:sz w:val="20"/>
          <w:szCs w:val="20"/>
        </w:rPr>
        <w:t>n ended, and the related notes (not presented herein); and in our report dated March 1, 2021, we expressed an unqualified audit opinion on those consolidated financial statements. In our opinion, the information set forth in the accompanying condensed cons</w:t>
      </w:r>
      <w:r>
        <w:rPr>
          <w:rFonts w:eastAsia="Times New Roman"/>
          <w:color w:val="000000"/>
          <w:sz w:val="20"/>
          <w:szCs w:val="20"/>
        </w:rPr>
        <w:t xml:space="preserve">olidated balance sheet as of January 1, 2021, is fairly stated, in all material respects, in relation to the consolidated balance sheet from which it has been derived. </w:t>
      </w:r>
    </w:p>
    <w:p w:rsidR="00000000" w:rsidRDefault="0039054C">
      <w:pPr>
        <w:divId w:val="1511723895"/>
        <w:rPr>
          <w:rFonts w:eastAsia="Times New Roman"/>
        </w:rPr>
      </w:pPr>
    </w:p>
    <w:p w:rsidR="00000000" w:rsidRDefault="0039054C">
      <w:pPr>
        <w:jc w:val="both"/>
        <w:rPr>
          <w:rFonts w:eastAsia="Times New Roman"/>
        </w:rPr>
      </w:pPr>
      <w:r>
        <w:rPr>
          <w:rFonts w:eastAsia="Times New Roman"/>
          <w:b/>
          <w:bCs/>
          <w:color w:val="000000"/>
          <w:sz w:val="20"/>
          <w:szCs w:val="20"/>
        </w:rPr>
        <w:t xml:space="preserve">Basis for Review Results </w:t>
      </w:r>
    </w:p>
    <w:p w:rsidR="00000000" w:rsidRDefault="0039054C">
      <w:pPr>
        <w:jc w:val="both"/>
        <w:rPr>
          <w:rFonts w:eastAsia="Times New Roman"/>
        </w:rPr>
      </w:pPr>
    </w:p>
    <w:p w:rsidR="00000000" w:rsidRDefault="0039054C">
      <w:pPr>
        <w:divId w:val="1559323379"/>
        <w:rPr>
          <w:rFonts w:eastAsia="Times New Roman"/>
        </w:rPr>
      </w:pPr>
      <w:r>
        <w:rPr>
          <w:rFonts w:eastAsia="Times New Roman"/>
          <w:color w:val="000000"/>
          <w:sz w:val="20"/>
          <w:szCs w:val="20"/>
        </w:rPr>
        <w:t xml:space="preserve">These financial statements are the responsibility of the </w:t>
      </w:r>
      <w:r>
        <w:rPr>
          <w:rFonts w:eastAsia="Times New Roman"/>
          <w:color w:val="000000"/>
          <w:sz w:val="20"/>
          <w:szCs w:val="20"/>
        </w:rPr>
        <w:t>Company’s management. We are a public accounting firm registered with the PCAOB and required to be independent with respect to the Company in accordance with the U.S. federal securities laws and the applicable rules and regulations of the SEC and the PCAOB</w:t>
      </w:r>
      <w:r>
        <w:rPr>
          <w:rFonts w:eastAsia="Times New Roman"/>
          <w:color w:val="000000"/>
          <w:sz w:val="20"/>
          <w:szCs w:val="20"/>
        </w:rPr>
        <w:t>. We conducted our review in accordance with the standards of the PCAOB. A review of interim financial statements consists principally of applying analytical procedures and making inquiries of persons responsible for financial and accounting matters. It is</w:t>
      </w:r>
      <w:r>
        <w:rPr>
          <w:rFonts w:eastAsia="Times New Roman"/>
          <w:color w:val="000000"/>
          <w:sz w:val="20"/>
          <w:szCs w:val="20"/>
        </w:rPr>
        <w:t xml:space="preserve"> substantially less in scope than an audit conducted in accordance with the standards of the PCAOB, the objective of which is the expression of an opinion regarding the financial statements taken as a whole. Accordingly, we do not express such an opinion.</w:t>
      </w:r>
    </w:p>
    <w:p w:rsidR="00000000" w:rsidRDefault="0039054C">
      <w:pPr>
        <w:jc w:val="both"/>
        <w:rPr>
          <w:rFonts w:eastAsia="Times New Roman"/>
        </w:rPr>
      </w:pPr>
    </w:p>
    <w:p w:rsidR="00000000" w:rsidRDefault="0039054C">
      <w:pPr>
        <w:jc w:val="both"/>
        <w:rPr>
          <w:rFonts w:eastAsia="Times New Roman"/>
        </w:rPr>
      </w:pPr>
    </w:p>
    <w:p w:rsidR="00000000" w:rsidRDefault="0039054C">
      <w:pPr>
        <w:jc w:val="both"/>
        <w:rPr>
          <w:rFonts w:eastAsia="Times New Roman"/>
        </w:rPr>
      </w:pPr>
    </w:p>
    <w:p w:rsidR="00000000" w:rsidRDefault="0039054C">
      <w:pPr>
        <w:divId w:val="744761357"/>
        <w:rPr>
          <w:rFonts w:eastAsia="Times New Roman"/>
        </w:rPr>
      </w:pPr>
      <w:r>
        <w:rPr>
          <w:rFonts w:eastAsia="Times New Roman"/>
          <w:color w:val="000000"/>
          <w:sz w:val="20"/>
          <w:szCs w:val="20"/>
        </w:rPr>
        <w:t>/s/ Ernst &amp; Young LLP</w:t>
      </w:r>
    </w:p>
    <w:p w:rsidR="00000000" w:rsidRDefault="0039054C">
      <w:pPr>
        <w:divId w:val="496850914"/>
        <w:rPr>
          <w:rFonts w:eastAsia="Times New Roman"/>
        </w:rPr>
      </w:pPr>
      <w:r>
        <w:rPr>
          <w:rFonts w:eastAsia="Times New Roman"/>
          <w:color w:val="000000"/>
          <w:sz w:val="20"/>
          <w:szCs w:val="20"/>
        </w:rPr>
        <w:t>Orlando, Florida</w:t>
      </w:r>
    </w:p>
    <w:p w:rsidR="00000000" w:rsidRDefault="0039054C">
      <w:pPr>
        <w:divId w:val="675808490"/>
        <w:rPr>
          <w:rFonts w:eastAsia="Times New Roman"/>
        </w:rPr>
      </w:pPr>
      <w:r>
        <w:rPr>
          <w:rFonts w:eastAsia="Times New Roman"/>
          <w:color w:val="000000"/>
          <w:sz w:val="20"/>
          <w:szCs w:val="20"/>
        </w:rPr>
        <w:t xml:space="preserve">May 3, 2021 </w:t>
      </w:r>
    </w:p>
    <w:p w:rsidR="00000000" w:rsidRDefault="0039054C">
      <w:pPr>
        <w:ind w:firstLine="450"/>
        <w:jc w:val="center"/>
        <w:divId w:val="50346716"/>
        <w:rPr>
          <w:rFonts w:eastAsia="Times New Roman"/>
        </w:rPr>
      </w:pPr>
      <w:r>
        <w:rPr>
          <w:rFonts w:eastAsia="Times New Roman"/>
          <w:color w:val="000000"/>
          <w:sz w:val="20"/>
          <w:szCs w:val="20"/>
        </w:rPr>
        <w:t>24</w:t>
      </w:r>
    </w:p>
    <w:p w:rsidR="00000000" w:rsidRDefault="0039054C">
      <w:pPr>
        <w:rPr>
          <w:rFonts w:eastAsia="Times New Roman"/>
        </w:rPr>
      </w:pPr>
      <w:r>
        <w:rPr>
          <w:rFonts w:eastAsia="Times New Roman"/>
        </w:rPr>
        <w:pict>
          <v:rect id="_x0000_i1051" style="width:0;height:1.5pt" o:hralign="center" o:hrstd="t" o:hr="t" fillcolor="#a0a0a0" stroked="f"/>
        </w:pict>
      </w:r>
    </w:p>
    <w:p w:rsidR="00000000" w:rsidRDefault="0039054C">
      <w:pPr>
        <w:ind w:firstLine="450"/>
        <w:divId w:val="2134665767"/>
        <w:rPr>
          <w:rFonts w:eastAsia="Times New Roman"/>
        </w:rPr>
      </w:pPr>
    </w:p>
    <w:p w:rsidR="00000000" w:rsidRDefault="0039054C">
      <w:pPr>
        <w:ind w:firstLine="450"/>
        <w:divId w:val="2027978232"/>
        <w:rPr>
          <w:rFonts w:eastAsia="Times New Roman"/>
        </w:rPr>
      </w:pPr>
    </w:p>
    <w:p w:rsidR="00000000" w:rsidRDefault="0039054C">
      <w:pPr>
        <w:divId w:val="114257875"/>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39054C">
      <w:pPr>
        <w:divId w:val="614097895"/>
        <w:rPr>
          <w:rFonts w:eastAsia="Times New Roman"/>
        </w:rPr>
      </w:pPr>
      <w:r>
        <w:rPr>
          <w:rFonts w:eastAsia="Times New Roman"/>
          <w:b/>
          <w:bCs/>
          <w:color w:val="000000"/>
          <w:sz w:val="20"/>
          <w:szCs w:val="20"/>
        </w:rPr>
        <w:t>OVERVIEW</w:t>
      </w:r>
    </w:p>
    <w:p w:rsidR="00000000" w:rsidRDefault="0039054C">
      <w:pPr>
        <w:ind w:firstLine="450"/>
        <w:divId w:val="1041593460"/>
        <w:rPr>
          <w:rFonts w:eastAsia="Times New Roman"/>
        </w:rPr>
      </w:pPr>
      <w:r>
        <w:rPr>
          <w:rFonts w:eastAsia="Times New Roman"/>
          <w:color w:val="000000"/>
          <w:sz w:val="20"/>
          <w:szCs w:val="20"/>
        </w:rPr>
        <w:t>The following Management’s Discussion and Analysis (“MD&amp;A”</w:t>
      </w:r>
      <w:r>
        <w:rPr>
          <w:rFonts w:eastAsia="Times New Roman"/>
          <w:color w:val="000000"/>
          <w:sz w:val="20"/>
          <w:szCs w:val="20"/>
        </w:rPr>
        <w:t>) is intended to assist in an understanding of our financial condition and results of operations. This MD&amp;A is provided as a supplement to, should be read in conjunction with, and is qualified in its entirety by reference to, our Condensed Consolidated Fin</w:t>
      </w:r>
      <w:r>
        <w:rPr>
          <w:rFonts w:eastAsia="Times New Roman"/>
          <w:color w:val="000000"/>
          <w:sz w:val="20"/>
          <w:szCs w:val="20"/>
        </w:rPr>
        <w:t>ancial Statements (Unaudited) and accompanying Notes appearing elsewhere in this Report (the “Notes”). In addition, reference should be made to our audited Consolidated Financial Statements and accompanying Notes to Consolidated Financial Statements and It</w:t>
      </w:r>
      <w:r>
        <w:rPr>
          <w:rFonts w:eastAsia="Times New Roman"/>
          <w:color w:val="000000"/>
          <w:sz w:val="20"/>
          <w:szCs w:val="20"/>
        </w:rPr>
        <w:t>em 7. “Management’s Discussion and Analysis of Financial Condition and Results of Operations” included in our Fiscal 2020 Form 10-K. Except for the historical information contained herein, the discussions in this MD&amp;A contain forward-looking statements tha</w:t>
      </w:r>
      <w:r>
        <w:rPr>
          <w:rFonts w:eastAsia="Times New Roman"/>
          <w:color w:val="000000"/>
          <w:sz w:val="20"/>
          <w:szCs w:val="20"/>
        </w:rPr>
        <w:t>t involve risks and uncertainties. Our future results could differ materially from those discussed herein. Factors that could cause or contribute to such differences include, but are not limited to, those discussed below in this MD&amp;A under “Forward-Looking</w:t>
      </w:r>
      <w:r>
        <w:rPr>
          <w:rFonts w:eastAsia="Times New Roman"/>
          <w:color w:val="000000"/>
          <w:sz w:val="20"/>
          <w:szCs w:val="20"/>
        </w:rPr>
        <w:t xml:space="preserve"> Statements and Factors that May Affect Future Results.” </w:t>
      </w:r>
    </w:p>
    <w:p w:rsidR="00000000" w:rsidRDefault="0039054C">
      <w:pPr>
        <w:divId w:val="658118863"/>
        <w:rPr>
          <w:rFonts w:eastAsia="Times New Roman"/>
        </w:rPr>
      </w:pPr>
      <w:r>
        <w:rPr>
          <w:rFonts w:eastAsia="Times New Roman"/>
          <w:b/>
          <w:bCs/>
          <w:color w:val="000000"/>
          <w:sz w:val="20"/>
          <w:szCs w:val="20"/>
        </w:rPr>
        <w:t>COVID </w:t>
      </w:r>
    </w:p>
    <w:p w:rsidR="00000000" w:rsidRDefault="0039054C">
      <w:pPr>
        <w:ind w:firstLine="495"/>
        <w:divId w:val="1357929004"/>
        <w:rPr>
          <w:rFonts w:eastAsia="Times New Roman"/>
        </w:rPr>
      </w:pPr>
      <w:r>
        <w:rPr>
          <w:rFonts w:eastAsia="Times New Roman"/>
          <w:color w:val="000000"/>
          <w:sz w:val="20"/>
          <w:szCs w:val="20"/>
        </w:rPr>
        <w:t>The ongoing attempts to contain and reduce the spread of COVID, such as mandatory closures, “shelter-in-place” orders and travel and quarantine restrictions, have caused significant disruptio</w:t>
      </w:r>
      <w:r>
        <w:rPr>
          <w:rFonts w:eastAsia="Times New Roman"/>
          <w:color w:val="000000"/>
          <w:sz w:val="20"/>
          <w:szCs w:val="20"/>
        </w:rPr>
        <w:t>ns and adverse effects on the U.S. and global economies, such as impacts to supply chains, customer demand, international trade and capital markets. Our response has involved increasing our focus on keeping our employees safe while striving to maintain con</w:t>
      </w:r>
      <w:r>
        <w:rPr>
          <w:rFonts w:eastAsia="Times New Roman"/>
          <w:color w:val="000000"/>
          <w:sz w:val="20"/>
          <w:szCs w:val="20"/>
        </w:rPr>
        <w:t>tinuity of operations, meet customer commitments and support suppliers. For example, we instituted work-from-home (for employees who are able to work remotely) and social distancing arrangements; canceled travel and external events; procured personal prote</w:t>
      </w:r>
      <w:r>
        <w:rPr>
          <w:rFonts w:eastAsia="Times New Roman"/>
          <w:color w:val="000000"/>
          <w:sz w:val="20"/>
          <w:szCs w:val="20"/>
        </w:rPr>
        <w:t>ctive equipment for employees; implemented health screening procedures at all facilities; staggered work shifts, redesigned work stations, implemented stringent cleaning protocols and initiated more detailed safety precautions and protocols for on-site wor</w:t>
      </w:r>
      <w:r>
        <w:rPr>
          <w:rFonts w:eastAsia="Times New Roman"/>
          <w:color w:val="000000"/>
          <w:sz w:val="20"/>
          <w:szCs w:val="20"/>
        </w:rPr>
        <w:t>k, such as daily health assessments and mandatory face coverings, which currently remain in effect. We have also maintained an active dialog with key suppliers and developed plans to mitigate supply chain risks. We have allowed certain essential business t</w:t>
      </w:r>
      <w:r>
        <w:rPr>
          <w:rFonts w:eastAsia="Times New Roman"/>
          <w:color w:val="000000"/>
          <w:sz w:val="20"/>
          <w:szCs w:val="20"/>
        </w:rPr>
        <w:t xml:space="preserve">ravel to resume, and we continue to expect to utilize a phased approach based on local conditions for transitioning employees from work-from-home arrangements to on-site work or hybrid arrangements. As COVID vaccines are being distributed and administered </w:t>
      </w:r>
      <w:r>
        <w:rPr>
          <w:rFonts w:eastAsia="Times New Roman"/>
          <w:color w:val="000000"/>
          <w:sz w:val="20"/>
          <w:szCs w:val="20"/>
        </w:rPr>
        <w:t>throughout the U.S. and global community, we are currently facilitating the provision of vaccines to our workforce.</w:t>
      </w:r>
    </w:p>
    <w:p w:rsidR="00000000" w:rsidRDefault="0039054C">
      <w:pPr>
        <w:ind w:firstLine="495"/>
        <w:divId w:val="1878161596"/>
        <w:rPr>
          <w:rFonts w:eastAsia="Times New Roman"/>
        </w:rPr>
      </w:pPr>
      <w:r>
        <w:rPr>
          <w:rFonts w:eastAsia="Times New Roman"/>
          <w:color w:val="000000"/>
          <w:sz w:val="20"/>
          <w:szCs w:val="20"/>
        </w:rPr>
        <w:t>The U.S. Government response to COVID has included identifying the defense industrial base as a Critical Infrastructure Sector and enhancing</w:t>
      </w:r>
      <w:r>
        <w:rPr>
          <w:rFonts w:eastAsia="Times New Roman"/>
          <w:color w:val="000000"/>
          <w:sz w:val="20"/>
          <w:szCs w:val="20"/>
        </w:rPr>
        <w:t xml:space="preserve"> cash flow and liquidity for the defense industrial base, such as by increasing progress payments and accelerating contract awards. As a part of the defense industrial base, these actions have enabled us to keep our U.S. production facilities largely opera</w:t>
      </w:r>
      <w:r>
        <w:rPr>
          <w:rFonts w:eastAsia="Times New Roman"/>
          <w:color w:val="000000"/>
          <w:sz w:val="20"/>
          <w:szCs w:val="20"/>
        </w:rPr>
        <w:t>tional in support of national security commitments to U.S. Government customers and to accelerate payments to small business suppliers, which we expect to continue while the U.S. Government’s responsive actions remain in effect.</w:t>
      </w:r>
    </w:p>
    <w:p w:rsidR="00000000" w:rsidRDefault="0039054C">
      <w:pPr>
        <w:ind w:firstLine="495"/>
        <w:divId w:val="1985044109"/>
        <w:rPr>
          <w:rFonts w:eastAsia="Times New Roman"/>
        </w:rPr>
      </w:pPr>
      <w:r>
        <w:rPr>
          <w:rFonts w:eastAsia="Times New Roman"/>
          <w:color w:val="000000"/>
          <w:sz w:val="20"/>
          <w:szCs w:val="20"/>
        </w:rPr>
        <w:t>Although we believe that th</w:t>
      </w:r>
      <w:r>
        <w:rPr>
          <w:rFonts w:eastAsia="Times New Roman"/>
          <w:color w:val="000000"/>
          <w:sz w:val="20"/>
          <w:szCs w:val="20"/>
        </w:rPr>
        <w:t>e large percentage of our revenue, earnings and cash flow that is derived from sales to the U.S. Government, whether directly or through prime contractors, will be relatively predictable, in part due to the responsive actions taken by the U.S. Government d</w:t>
      </w:r>
      <w:r>
        <w:rPr>
          <w:rFonts w:eastAsia="Times New Roman"/>
          <w:color w:val="000000"/>
          <w:sz w:val="20"/>
          <w:szCs w:val="20"/>
        </w:rPr>
        <w:t>escribed above, our commercial, international and public safety businesses are at a higher risk of adverse impacts related to COVID. For example, the severe decline in global air traffic from travel restrictions and the resulting downturn in the commercial</w:t>
      </w:r>
      <w:r>
        <w:rPr>
          <w:rFonts w:eastAsia="Times New Roman"/>
          <w:color w:val="000000"/>
          <w:sz w:val="20"/>
          <w:szCs w:val="20"/>
        </w:rPr>
        <w:t xml:space="preserve"> aviation market and its impact on customer operations has significantly reduced demand for flight training, flight simulators and commercial avionics products in our Aviation Systems segment. As a result, we recognized $767 million of charges for impairme</w:t>
      </w:r>
      <w:r>
        <w:rPr>
          <w:rFonts w:eastAsia="Times New Roman"/>
          <w:color w:val="000000"/>
          <w:sz w:val="20"/>
          <w:szCs w:val="20"/>
        </w:rPr>
        <w:t xml:space="preserve">nt of goodwill and other assets and other COVID-related impacts in fiscal 2020. </w:t>
      </w:r>
    </w:p>
    <w:p w:rsidR="00000000" w:rsidRDefault="0039054C">
      <w:pPr>
        <w:ind w:firstLine="495"/>
        <w:divId w:val="1834056246"/>
        <w:rPr>
          <w:rFonts w:eastAsia="Times New Roman"/>
        </w:rPr>
      </w:pPr>
      <w:r>
        <w:rPr>
          <w:rFonts w:eastAsia="Times New Roman"/>
          <w:color w:val="000000"/>
          <w:sz w:val="20"/>
          <w:szCs w:val="20"/>
        </w:rPr>
        <w:t>The extent of these disruptions and impacts, including on our ability to perform under U.S. Government contracts and other contracts within agreed timeframes and ultimately on</w:t>
      </w:r>
      <w:r>
        <w:rPr>
          <w:rFonts w:eastAsia="Times New Roman"/>
          <w:color w:val="000000"/>
          <w:sz w:val="20"/>
          <w:szCs w:val="20"/>
        </w:rPr>
        <w:t xml:space="preserve"> our results of operations and cash flows, will depend on future developments, including the severity and duration of the pandemic and associated containment and mitigation actions taken by the U.S. Government, state and local government officials and inte</w:t>
      </w:r>
      <w:r>
        <w:rPr>
          <w:rFonts w:eastAsia="Times New Roman"/>
          <w:color w:val="000000"/>
          <w:sz w:val="20"/>
          <w:szCs w:val="20"/>
        </w:rPr>
        <w:t>rnational governments, and consequences thereof, and global air traffic demand and governmental subsidies to airlines, all of which are uncertain and unpredictable.</w:t>
      </w:r>
    </w:p>
    <w:p w:rsidR="00000000" w:rsidRDefault="0039054C">
      <w:pPr>
        <w:ind w:firstLine="495"/>
        <w:divId w:val="182137217"/>
        <w:rPr>
          <w:rFonts w:eastAsia="Times New Roman"/>
        </w:rPr>
      </w:pPr>
      <w:r>
        <w:rPr>
          <w:rFonts w:eastAsia="Times New Roman"/>
          <w:color w:val="000000"/>
          <w:sz w:val="20"/>
          <w:szCs w:val="20"/>
        </w:rPr>
        <w:t>The impact of COVID may also exacerbate other risks discussed in “Item 1A. Risk Factors” of</w:t>
      </w:r>
      <w:r>
        <w:rPr>
          <w:rFonts w:eastAsia="Times New Roman"/>
          <w:color w:val="000000"/>
          <w:sz w:val="20"/>
          <w:szCs w:val="20"/>
        </w:rPr>
        <w:t xml:space="preserve"> our Fiscal 2020 Form 10-K, any of which could have a material effect on us. We continue to work with our customers, employees, suppliers, subcontractors, distributors, resellers and communities to address the impact of the ongoing pandemic. We continue to</w:t>
      </w:r>
      <w:r>
        <w:rPr>
          <w:rFonts w:eastAsia="Times New Roman"/>
          <w:color w:val="000000"/>
          <w:sz w:val="20"/>
          <w:szCs w:val="20"/>
        </w:rPr>
        <w:t xml:space="preserve"> assess possible implications to our business, supply chain and customers, and to take actions in an effort to mitigate adverse consequences. For further information regarding the impact, and the risks of the impact, of COVID on the Company, see “Item 1A. </w:t>
      </w:r>
      <w:r>
        <w:rPr>
          <w:rFonts w:eastAsia="Times New Roman"/>
          <w:color w:val="000000"/>
          <w:sz w:val="20"/>
          <w:szCs w:val="20"/>
        </w:rPr>
        <w:t>Risk Factors” of our Fiscal 2020 Form 10-K.</w:t>
      </w:r>
    </w:p>
    <w:p w:rsidR="00000000" w:rsidRDefault="0039054C">
      <w:pPr>
        <w:ind w:firstLine="450"/>
        <w:jc w:val="center"/>
        <w:divId w:val="1064833996"/>
        <w:rPr>
          <w:rFonts w:eastAsia="Times New Roman"/>
        </w:rPr>
      </w:pPr>
      <w:r>
        <w:rPr>
          <w:rFonts w:eastAsia="Times New Roman"/>
          <w:color w:val="000000"/>
          <w:sz w:val="20"/>
          <w:szCs w:val="20"/>
        </w:rPr>
        <w:t>25</w:t>
      </w:r>
    </w:p>
    <w:p w:rsidR="00000000" w:rsidRDefault="0039054C">
      <w:pPr>
        <w:rPr>
          <w:rFonts w:eastAsia="Times New Roman"/>
        </w:rPr>
      </w:pPr>
      <w:r>
        <w:rPr>
          <w:rFonts w:eastAsia="Times New Roman"/>
        </w:rPr>
        <w:pict>
          <v:rect id="_x0000_i1052" style="width:0;height:1.5pt" o:hralign="center" o:hrstd="t" o:hr="t" fillcolor="#a0a0a0" stroked="f"/>
        </w:pict>
      </w:r>
    </w:p>
    <w:p w:rsidR="00000000" w:rsidRDefault="0039054C">
      <w:pPr>
        <w:ind w:firstLine="450"/>
        <w:divId w:val="1507788204"/>
        <w:rPr>
          <w:rFonts w:eastAsia="Times New Roman"/>
        </w:rPr>
      </w:pPr>
    </w:p>
    <w:p w:rsidR="00000000" w:rsidRDefault="0039054C">
      <w:pPr>
        <w:ind w:firstLine="450"/>
        <w:divId w:val="444277647"/>
        <w:rPr>
          <w:rFonts w:eastAsia="Times New Roman"/>
        </w:rPr>
      </w:pPr>
    </w:p>
    <w:p w:rsidR="00000000" w:rsidRDefault="0039054C">
      <w:pPr>
        <w:divId w:val="1619722773"/>
        <w:rPr>
          <w:rFonts w:eastAsia="Times New Roman"/>
        </w:rPr>
      </w:pPr>
      <w:r>
        <w:rPr>
          <w:rFonts w:eastAsia="Times New Roman"/>
          <w:b/>
          <w:bCs/>
          <w:color w:val="000000"/>
          <w:sz w:val="20"/>
          <w:szCs w:val="20"/>
        </w:rPr>
        <w:t>KEY DEVELOPMENTS</w:t>
      </w:r>
    </w:p>
    <w:p w:rsidR="00000000" w:rsidRDefault="0039054C">
      <w:pPr>
        <w:ind w:firstLine="450"/>
        <w:divId w:val="1896506591"/>
        <w:rPr>
          <w:rFonts w:eastAsia="Times New Roman"/>
        </w:rPr>
      </w:pPr>
      <w:r>
        <w:rPr>
          <w:rFonts w:eastAsia="Times New Roman"/>
          <w:color w:val="000000"/>
          <w:sz w:val="20"/>
          <w:szCs w:val="20"/>
        </w:rPr>
        <w:t>The following is a list of the remaining sections of this MD&amp;A, together with our perspective on their contents, which we hope will assist in reading t</w:t>
      </w:r>
      <w:r>
        <w:rPr>
          <w:rFonts w:eastAsia="Times New Roman"/>
          <w:color w:val="000000"/>
          <w:sz w:val="20"/>
          <w:szCs w:val="20"/>
        </w:rPr>
        <w:t>hese pages:</w:t>
      </w:r>
    </w:p>
    <w:p w:rsidR="00000000" w:rsidRDefault="0039054C">
      <w:pPr>
        <w:ind w:hanging="180"/>
        <w:divId w:val="1505436941"/>
        <w:rPr>
          <w:rFonts w:eastAsia="Times New Roman"/>
        </w:rPr>
      </w:pPr>
      <w:r>
        <w:rPr>
          <w:rFonts w:eastAsia="Times New Roman"/>
          <w:color w:val="000000"/>
          <w:sz w:val="20"/>
          <w:szCs w:val="20"/>
        </w:rPr>
        <w:t>•</w:t>
      </w:r>
      <w:r>
        <w:rPr>
          <w:rFonts w:eastAsia="Times New Roman"/>
          <w:b/>
          <w:bCs/>
          <w:i/>
          <w:iCs/>
          <w:color w:val="000000"/>
          <w:sz w:val="20"/>
          <w:szCs w:val="20"/>
        </w:rPr>
        <w:t xml:space="preserve">Results of Operations </w:t>
      </w:r>
      <w:r>
        <w:rPr>
          <w:rFonts w:eastAsia="Times New Roman"/>
          <w:color w:val="000000"/>
          <w:sz w:val="20"/>
          <w:szCs w:val="20"/>
        </w:rPr>
        <w:t>— an analysis of our consolidated results of operations and the results in each of our business segments, to the extent the segment results are helpful to an understanding of our business as a whole, for the periods prese</w:t>
      </w:r>
      <w:r>
        <w:rPr>
          <w:rFonts w:eastAsia="Times New Roman"/>
          <w:color w:val="000000"/>
          <w:sz w:val="20"/>
          <w:szCs w:val="20"/>
        </w:rPr>
        <w:t xml:space="preserve">nted in our Condensed Consolidated Statement of Income (Unaudited). </w:t>
      </w:r>
    </w:p>
    <w:p w:rsidR="00000000" w:rsidRDefault="0039054C">
      <w:pPr>
        <w:ind w:hanging="180"/>
        <w:divId w:val="2097823507"/>
        <w:rPr>
          <w:rFonts w:eastAsia="Times New Roman"/>
        </w:rPr>
      </w:pPr>
      <w:r>
        <w:rPr>
          <w:rFonts w:eastAsia="Times New Roman"/>
          <w:color w:val="000000"/>
          <w:sz w:val="20"/>
          <w:szCs w:val="20"/>
        </w:rPr>
        <w:t>•</w:t>
      </w:r>
      <w:r>
        <w:rPr>
          <w:rFonts w:eastAsia="Times New Roman"/>
          <w:b/>
          <w:bCs/>
          <w:i/>
          <w:iCs/>
          <w:color w:val="000000"/>
          <w:sz w:val="20"/>
          <w:szCs w:val="20"/>
        </w:rPr>
        <w:t>Liquidity, Capital Resources and Financial Strategies </w:t>
      </w:r>
      <w:r>
        <w:rPr>
          <w:rFonts w:eastAsia="Times New Roman"/>
          <w:color w:val="000000"/>
          <w:sz w:val="20"/>
          <w:szCs w:val="20"/>
        </w:rPr>
        <w:t>— an analysis of cash flows, funding of pension plans, common stock repurchases, dividends, capital structure and resources, off-bal</w:t>
      </w:r>
      <w:r>
        <w:rPr>
          <w:rFonts w:eastAsia="Times New Roman"/>
          <w:color w:val="000000"/>
          <w:sz w:val="20"/>
          <w:szCs w:val="20"/>
        </w:rPr>
        <w:t>ance sheet arrangements and commercial commitments and contractual obligations.</w:t>
      </w:r>
    </w:p>
    <w:p w:rsidR="00000000" w:rsidRDefault="0039054C">
      <w:pPr>
        <w:ind w:hanging="180"/>
        <w:divId w:val="1318995943"/>
        <w:rPr>
          <w:rFonts w:eastAsia="Times New Roman"/>
        </w:rPr>
      </w:pPr>
      <w:r>
        <w:rPr>
          <w:rFonts w:eastAsia="Times New Roman"/>
          <w:color w:val="000000"/>
          <w:sz w:val="20"/>
          <w:szCs w:val="20"/>
        </w:rPr>
        <w:t>•</w:t>
      </w:r>
      <w:r>
        <w:rPr>
          <w:rFonts w:eastAsia="Times New Roman"/>
          <w:b/>
          <w:bCs/>
          <w:i/>
          <w:iCs/>
          <w:color w:val="000000"/>
          <w:sz w:val="20"/>
          <w:szCs w:val="20"/>
        </w:rPr>
        <w:t>Critical Accounting Policies and Estimates</w:t>
      </w:r>
      <w:r>
        <w:rPr>
          <w:rFonts w:eastAsia="Times New Roman"/>
          <w:color w:val="000000"/>
          <w:sz w:val="20"/>
          <w:szCs w:val="20"/>
        </w:rPr>
        <w:t xml:space="preserve"> — information about accounting policies that require critical judgments and estimates and about accounting standards that have been </w:t>
      </w:r>
      <w:r>
        <w:rPr>
          <w:rFonts w:eastAsia="Times New Roman"/>
          <w:color w:val="000000"/>
          <w:sz w:val="20"/>
          <w:szCs w:val="20"/>
        </w:rPr>
        <w:t>issued, but are not yet effective for us, and their potential impact on our financial condition, results of operations, cash flows and equity.</w:t>
      </w:r>
    </w:p>
    <w:p w:rsidR="00000000" w:rsidRDefault="0039054C">
      <w:pPr>
        <w:ind w:hanging="180"/>
        <w:divId w:val="80613854"/>
        <w:rPr>
          <w:rFonts w:eastAsia="Times New Roman"/>
        </w:rPr>
      </w:pPr>
      <w:r>
        <w:rPr>
          <w:rFonts w:eastAsia="Times New Roman"/>
          <w:color w:val="000000"/>
          <w:sz w:val="20"/>
          <w:szCs w:val="20"/>
        </w:rPr>
        <w:t>•</w:t>
      </w:r>
      <w:r>
        <w:rPr>
          <w:rFonts w:eastAsia="Times New Roman"/>
          <w:b/>
          <w:bCs/>
          <w:i/>
          <w:iCs/>
          <w:color w:val="000000"/>
          <w:sz w:val="20"/>
          <w:szCs w:val="20"/>
        </w:rPr>
        <w:t>Forward-Looking Statements and Factors that May Affect Future Results</w:t>
      </w:r>
      <w:r>
        <w:rPr>
          <w:rFonts w:eastAsia="Times New Roman"/>
          <w:color w:val="000000"/>
          <w:sz w:val="20"/>
          <w:szCs w:val="20"/>
        </w:rPr>
        <w:t> — cautionary information about forward-loo</w:t>
      </w:r>
      <w:r>
        <w:rPr>
          <w:rFonts w:eastAsia="Times New Roman"/>
          <w:color w:val="000000"/>
          <w:sz w:val="20"/>
          <w:szCs w:val="20"/>
        </w:rPr>
        <w:t>king statements and a description of certain risks and uncertainties that could cause our actual results to differ materially from our historical results or our current expectations or projections.</w:t>
      </w:r>
    </w:p>
    <w:p w:rsidR="00000000" w:rsidRDefault="0039054C">
      <w:pPr>
        <w:ind w:firstLine="450"/>
        <w:divId w:val="1962154261"/>
        <w:rPr>
          <w:rFonts w:eastAsia="Times New Roman"/>
        </w:rPr>
      </w:pPr>
      <w:r>
        <w:rPr>
          <w:rFonts w:eastAsia="Times New Roman"/>
          <w:color w:val="000000"/>
          <w:sz w:val="20"/>
          <w:szCs w:val="20"/>
        </w:rPr>
        <w:t>We report the financial results of our continuing operatio</w:t>
      </w:r>
      <w:r>
        <w:rPr>
          <w:rFonts w:eastAsia="Times New Roman"/>
          <w:color w:val="000000"/>
          <w:sz w:val="20"/>
          <w:szCs w:val="20"/>
        </w:rPr>
        <w:t>ns in the following four segments, which are also referred to as our business segments:</w:t>
      </w:r>
    </w:p>
    <w:p w:rsidR="00000000" w:rsidRDefault="0039054C">
      <w:pPr>
        <w:ind w:hanging="180"/>
        <w:divId w:val="1525248346"/>
        <w:rPr>
          <w:rFonts w:eastAsia="Times New Roman"/>
        </w:rPr>
      </w:pPr>
      <w:r>
        <w:rPr>
          <w:rFonts w:eastAsia="Times New Roman"/>
          <w:color w:val="000000"/>
          <w:sz w:val="20"/>
          <w:szCs w:val="20"/>
        </w:rPr>
        <w:t>•Integrated Mission Systems, including multi-mission ISR and communication systems; integrated electrical and electronic systems for maritime platforms; and advanced el</w:t>
      </w:r>
      <w:r>
        <w:rPr>
          <w:rFonts w:eastAsia="Times New Roman"/>
          <w:color w:val="000000"/>
          <w:sz w:val="20"/>
          <w:szCs w:val="20"/>
        </w:rPr>
        <w:t>ectro-optical and infrared solutions;</w:t>
      </w:r>
    </w:p>
    <w:p w:rsidR="00000000" w:rsidRDefault="0039054C">
      <w:pPr>
        <w:ind w:hanging="180"/>
        <w:divId w:val="559289897"/>
        <w:rPr>
          <w:rFonts w:eastAsia="Times New Roman"/>
        </w:rPr>
      </w:pPr>
      <w:r>
        <w:rPr>
          <w:rFonts w:eastAsia="Times New Roman"/>
          <w:color w:val="000000"/>
          <w:sz w:val="20"/>
          <w:szCs w:val="20"/>
        </w:rPr>
        <w:t>•Space and Airborne Systems, including space payloads, sensors and full-mission solutions; classified intelligence and cyber defense; avionics; and electronic warfare;</w:t>
      </w:r>
    </w:p>
    <w:p w:rsidR="00000000" w:rsidRDefault="0039054C">
      <w:pPr>
        <w:ind w:hanging="180"/>
        <w:divId w:val="1006009538"/>
        <w:rPr>
          <w:rFonts w:eastAsia="Times New Roman"/>
        </w:rPr>
      </w:pPr>
      <w:r>
        <w:rPr>
          <w:rFonts w:eastAsia="Times New Roman"/>
          <w:color w:val="000000"/>
          <w:sz w:val="20"/>
          <w:szCs w:val="20"/>
        </w:rPr>
        <w:t>•</w:t>
      </w:r>
      <w:r>
        <w:rPr>
          <w:rFonts w:eastAsia="Times New Roman"/>
          <w:color w:val="000000"/>
          <w:sz w:val="20"/>
          <w:szCs w:val="20"/>
        </w:rPr>
        <w:t>Communication Systems, including tactical communications; broadband communications; integrated vision solutions; public safety and global communications solutions; and</w:t>
      </w:r>
    </w:p>
    <w:p w:rsidR="00000000" w:rsidRDefault="0039054C">
      <w:pPr>
        <w:ind w:hanging="180"/>
        <w:divId w:val="1179658651"/>
        <w:rPr>
          <w:rFonts w:eastAsia="Times New Roman"/>
        </w:rPr>
      </w:pPr>
      <w:r>
        <w:rPr>
          <w:rFonts w:eastAsia="Times New Roman"/>
          <w:color w:val="000000"/>
          <w:sz w:val="20"/>
          <w:szCs w:val="20"/>
        </w:rPr>
        <w:t xml:space="preserve">•Aviation Systems, including defense aviation; commercial aviation products; commercial </w:t>
      </w:r>
      <w:r>
        <w:rPr>
          <w:rFonts w:eastAsia="Times New Roman"/>
          <w:color w:val="000000"/>
          <w:sz w:val="20"/>
          <w:szCs w:val="20"/>
        </w:rPr>
        <w:t>and military pilot training; and mission networks for air traffic management.</w:t>
      </w:r>
    </w:p>
    <w:p w:rsidR="00000000" w:rsidRDefault="0039054C">
      <w:pPr>
        <w:ind w:firstLine="450"/>
        <w:divId w:val="630939498"/>
        <w:rPr>
          <w:rFonts w:eastAsia="Times New Roman"/>
        </w:rPr>
      </w:pPr>
      <w:r>
        <w:rPr>
          <w:rFonts w:eastAsia="Times New Roman"/>
          <w:color w:val="000000"/>
          <w:sz w:val="20"/>
          <w:szCs w:val="20"/>
        </w:rPr>
        <w:t>As described in more detail in</w:t>
      </w:r>
      <w:r>
        <w:rPr>
          <w:rFonts w:eastAsia="Times New Roman"/>
          <w:i/>
          <w:iCs/>
          <w:color w:val="000000"/>
          <w:sz w:val="20"/>
          <w:szCs w:val="20"/>
        </w:rPr>
        <w:t xml:space="preserve"> Note B — Business Divestitures</w:t>
      </w:r>
      <w:r>
        <w:rPr>
          <w:rFonts w:eastAsia="Times New Roman"/>
          <w:color w:val="000000"/>
          <w:sz w:val="20"/>
          <w:szCs w:val="20"/>
        </w:rPr>
        <w:t xml:space="preserve"> and elsewhere in the Notes, during fiscal 2020 and 2021, we announced the following business divestitures:</w:t>
      </w:r>
    </w:p>
    <w:p w:rsidR="00000000" w:rsidRDefault="0039054C">
      <w:pPr>
        <w:ind w:hanging="180"/>
        <w:divId w:val="2043361906"/>
        <w:rPr>
          <w:rFonts w:eastAsia="Times New Roman"/>
        </w:rPr>
      </w:pPr>
      <w:r>
        <w:rPr>
          <w:rFonts w:eastAsia="Times New Roman"/>
          <w:color w:val="000000"/>
          <w:sz w:val="20"/>
          <w:szCs w:val="20"/>
        </w:rPr>
        <w:t xml:space="preserve">•Airport </w:t>
      </w:r>
      <w:r>
        <w:rPr>
          <w:rFonts w:eastAsia="Times New Roman"/>
          <w:color w:val="000000"/>
          <w:sz w:val="20"/>
          <w:szCs w:val="20"/>
        </w:rPr>
        <w:t xml:space="preserve">security and automation business, completed on May 4, 2020, the results of which were reported as part of our Aviation Systems segment through the date of divestiture; </w:t>
      </w:r>
    </w:p>
    <w:p w:rsidR="00000000" w:rsidRDefault="0039054C">
      <w:pPr>
        <w:ind w:hanging="180"/>
        <w:divId w:val="1174996573"/>
        <w:rPr>
          <w:rFonts w:eastAsia="Times New Roman"/>
        </w:rPr>
      </w:pPr>
      <w:r>
        <w:rPr>
          <w:rFonts w:eastAsia="Times New Roman"/>
          <w:color w:val="000000"/>
          <w:sz w:val="20"/>
          <w:szCs w:val="20"/>
        </w:rPr>
        <w:t xml:space="preserve">•Applied Kilovolts and Analytical Instrumentation business, completed on May 15, 2020, </w:t>
      </w:r>
      <w:r>
        <w:rPr>
          <w:rFonts w:eastAsia="Times New Roman"/>
          <w:color w:val="000000"/>
          <w:sz w:val="20"/>
          <w:szCs w:val="20"/>
        </w:rPr>
        <w:t>the results of which were reported as part of our Space and Airborne Systems segment through the date of divestiture;</w:t>
      </w:r>
    </w:p>
    <w:p w:rsidR="00000000" w:rsidRDefault="0039054C">
      <w:pPr>
        <w:ind w:hanging="180"/>
        <w:divId w:val="909464677"/>
        <w:rPr>
          <w:rFonts w:eastAsia="Times New Roman"/>
        </w:rPr>
      </w:pPr>
      <w:r>
        <w:rPr>
          <w:rFonts w:eastAsia="Times New Roman"/>
          <w:color w:val="000000"/>
          <w:sz w:val="20"/>
          <w:szCs w:val="20"/>
        </w:rPr>
        <w:t xml:space="preserve">•EOTech business, completed on July 31, 2020, the results of which were reported as part of our Communication Systems segment through the </w:t>
      </w:r>
      <w:r>
        <w:rPr>
          <w:rFonts w:eastAsia="Times New Roman"/>
          <w:color w:val="000000"/>
          <w:sz w:val="20"/>
          <w:szCs w:val="20"/>
        </w:rPr>
        <w:t>date of divestiture;</w:t>
      </w:r>
    </w:p>
    <w:p w:rsidR="00000000" w:rsidRDefault="0039054C">
      <w:pPr>
        <w:ind w:hanging="180"/>
        <w:divId w:val="1465924615"/>
        <w:rPr>
          <w:rFonts w:eastAsia="Times New Roman"/>
        </w:rPr>
      </w:pPr>
      <w:r>
        <w:rPr>
          <w:rFonts w:eastAsia="Times New Roman"/>
          <w:color w:val="000000"/>
          <w:sz w:val="20"/>
          <w:szCs w:val="20"/>
        </w:rPr>
        <w:t xml:space="preserve">•VSE disposal group, definitive agreement entered into on February 23, 2021, expected to be completed in the second half of fiscal 2021, the results of which are reported as part of our Aviation Systems segment; </w:t>
      </w:r>
    </w:p>
    <w:p w:rsidR="00000000" w:rsidRDefault="0039054C">
      <w:pPr>
        <w:ind w:hanging="180"/>
        <w:divId w:val="1599216603"/>
        <w:rPr>
          <w:rFonts w:eastAsia="Times New Roman"/>
        </w:rPr>
      </w:pPr>
      <w:r>
        <w:rPr>
          <w:rFonts w:eastAsia="Times New Roman"/>
          <w:color w:val="000000"/>
          <w:sz w:val="20"/>
          <w:szCs w:val="20"/>
        </w:rPr>
        <w:t>•Military training bus</w:t>
      </w:r>
      <w:r>
        <w:rPr>
          <w:rFonts w:eastAsia="Times New Roman"/>
          <w:color w:val="000000"/>
          <w:sz w:val="20"/>
          <w:szCs w:val="20"/>
        </w:rPr>
        <w:t>iness, definitive agreement entered into on February 27, 2021, expected to be completed in the second half of 2021, the results of which are reported as part of our Aviation Systems segment; and</w:t>
      </w:r>
    </w:p>
    <w:p w:rsidR="00000000" w:rsidRDefault="0039054C">
      <w:pPr>
        <w:ind w:hanging="180"/>
        <w:divId w:val="960378621"/>
        <w:rPr>
          <w:rFonts w:eastAsia="Times New Roman"/>
        </w:rPr>
      </w:pPr>
      <w:r>
        <w:rPr>
          <w:rFonts w:eastAsia="Times New Roman"/>
          <w:color w:val="000000"/>
          <w:sz w:val="20"/>
          <w:szCs w:val="20"/>
        </w:rPr>
        <w:t xml:space="preserve">•CPS business, definitive agreement entered into on March 1, </w:t>
      </w:r>
      <w:r>
        <w:rPr>
          <w:rFonts w:eastAsia="Times New Roman"/>
          <w:color w:val="000000"/>
          <w:sz w:val="20"/>
          <w:szCs w:val="20"/>
        </w:rPr>
        <w:t>2021, expected to be completed in the second half of 2021, the results of which are reported as part of our Aviation Systems segment.</w:t>
      </w:r>
    </w:p>
    <w:p w:rsidR="00000000" w:rsidRDefault="0039054C">
      <w:pPr>
        <w:ind w:firstLine="450"/>
        <w:divId w:val="449931059"/>
        <w:rPr>
          <w:rFonts w:eastAsia="Times New Roman"/>
        </w:rPr>
      </w:pPr>
      <w:r>
        <w:rPr>
          <w:rFonts w:eastAsia="Times New Roman"/>
          <w:color w:val="000000"/>
          <w:sz w:val="20"/>
          <w:szCs w:val="20"/>
        </w:rPr>
        <w:t>Amounts contained in this Report may not always add to totals due to rounding.</w:t>
      </w:r>
    </w:p>
    <w:p w:rsidR="00000000" w:rsidRDefault="0039054C">
      <w:pPr>
        <w:ind w:firstLine="450"/>
        <w:jc w:val="center"/>
        <w:divId w:val="838618993"/>
        <w:rPr>
          <w:rFonts w:eastAsia="Times New Roman"/>
        </w:rPr>
      </w:pPr>
      <w:r>
        <w:rPr>
          <w:rFonts w:eastAsia="Times New Roman"/>
          <w:color w:val="000000"/>
          <w:sz w:val="20"/>
          <w:szCs w:val="20"/>
        </w:rPr>
        <w:t>26</w:t>
      </w:r>
    </w:p>
    <w:p w:rsidR="00000000" w:rsidRDefault="0039054C">
      <w:pPr>
        <w:rPr>
          <w:rFonts w:eastAsia="Times New Roman"/>
        </w:rPr>
      </w:pPr>
      <w:r>
        <w:rPr>
          <w:rFonts w:eastAsia="Times New Roman"/>
        </w:rPr>
        <w:pict>
          <v:rect id="_x0000_i1053" style="width:0;height:1.5pt" o:hralign="center" o:hrstd="t" o:hr="t" fillcolor="#a0a0a0" stroked="f"/>
        </w:pict>
      </w:r>
    </w:p>
    <w:p w:rsidR="00000000" w:rsidRDefault="0039054C">
      <w:pPr>
        <w:ind w:firstLine="450"/>
        <w:divId w:val="1868061933"/>
        <w:rPr>
          <w:rFonts w:eastAsia="Times New Roman"/>
        </w:rPr>
      </w:pPr>
    </w:p>
    <w:p w:rsidR="00000000" w:rsidRDefault="0039054C">
      <w:pPr>
        <w:ind w:firstLine="450"/>
        <w:divId w:val="29109582"/>
        <w:rPr>
          <w:rFonts w:eastAsia="Times New Roman"/>
        </w:rPr>
      </w:pPr>
    </w:p>
    <w:p w:rsidR="00000000" w:rsidRDefault="0039054C">
      <w:pPr>
        <w:divId w:val="1381127088"/>
        <w:rPr>
          <w:rFonts w:eastAsia="Times New Roman"/>
        </w:rPr>
      </w:pPr>
      <w:r>
        <w:rPr>
          <w:rFonts w:eastAsia="Times New Roman"/>
          <w:b/>
          <w:bCs/>
          <w:color w:val="000000"/>
          <w:sz w:val="20"/>
          <w:szCs w:val="20"/>
        </w:rPr>
        <w:t>RESULTS OF OPERATIONS</w:t>
      </w:r>
    </w:p>
    <w:p w:rsidR="00000000" w:rsidRDefault="0039054C">
      <w:pPr>
        <w:divId w:val="778453019"/>
        <w:rPr>
          <w:rFonts w:eastAsia="Times New Roman"/>
        </w:rPr>
      </w:pPr>
      <w:r>
        <w:rPr>
          <w:rFonts w:eastAsia="Times New Roman"/>
          <w:b/>
          <w:bCs/>
          <w:color w:val="000000"/>
          <w:sz w:val="20"/>
          <w:szCs w:val="20"/>
        </w:rPr>
        <w:t>Consolidated Results of Operations</w:t>
      </w:r>
    </w:p>
    <w:tbl>
      <w:tblPr>
        <w:tblW w:w="4948" w:type="pct"/>
        <w:tblCellMar>
          <w:top w:w="15" w:type="dxa"/>
          <w:left w:w="15" w:type="dxa"/>
          <w:bottom w:w="15" w:type="dxa"/>
          <w:right w:w="15" w:type="dxa"/>
        </w:tblCellMar>
        <w:tblLook w:val="04A0" w:firstRow="1" w:lastRow="0" w:firstColumn="1" w:lastColumn="0" w:noHBand="0" w:noVBand="1"/>
      </w:tblPr>
      <w:tblGrid>
        <w:gridCol w:w="40"/>
        <w:gridCol w:w="4576"/>
        <w:gridCol w:w="39"/>
        <w:gridCol w:w="120"/>
        <w:gridCol w:w="985"/>
        <w:gridCol w:w="187"/>
        <w:gridCol w:w="36"/>
        <w:gridCol w:w="36"/>
        <w:gridCol w:w="36"/>
        <w:gridCol w:w="120"/>
        <w:gridCol w:w="898"/>
        <w:gridCol w:w="187"/>
        <w:gridCol w:w="36"/>
        <w:gridCol w:w="36"/>
        <w:gridCol w:w="36"/>
        <w:gridCol w:w="68"/>
        <w:gridCol w:w="597"/>
        <w:gridCol w:w="187"/>
      </w:tblGrid>
      <w:tr w:rsidR="00000000">
        <w:trPr>
          <w:divId w:val="1001741890"/>
        </w:trPr>
        <w:tc>
          <w:tcPr>
            <w:tcW w:w="50" w:type="pct"/>
            <w:vAlign w:val="center"/>
            <w:hideMark/>
          </w:tcPr>
          <w:p w:rsidR="00000000" w:rsidRDefault="0039054C">
            <w:pPr>
              <w:rPr>
                <w:rFonts w:eastAsia="Times New Roman"/>
              </w:rPr>
            </w:pPr>
          </w:p>
        </w:tc>
        <w:tc>
          <w:tcPr>
            <w:tcW w:w="289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001741890"/>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1001741890"/>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 Inc/(Dec)</w:t>
            </w:r>
          </w:p>
        </w:tc>
      </w:tr>
      <w:tr w:rsidR="00000000">
        <w:trPr>
          <w:divId w:val="1001741890"/>
        </w:trPr>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001741890"/>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01741890"/>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Revenue:</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01741890"/>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Integrated Mission Systems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1,370 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Space and Airborne Systems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1,236 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Communication Systems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Aviation Systems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vAlign w:val="center"/>
            <w:hideMark/>
          </w:tcPr>
          <w:p w:rsidR="00000000" w:rsidRDefault="0039054C">
            <w:pPr>
              <w:jc w:val="right"/>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001741890"/>
        </w:trPr>
        <w:tc>
          <w:tcPr>
            <w:tcW w:w="0" w:type="auto"/>
            <w:gridSpan w:val="3"/>
            <w:shd w:val="clear" w:color="auto" w:fill="FFFFFF"/>
            <w:tcMar>
              <w:top w:w="30" w:type="dxa"/>
              <w:left w:w="14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Corporate eliminations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35" w:type="dxa"/>
              <w:bottom w:w="30" w:type="dxa"/>
              <w:right w:w="20" w:type="dxa"/>
            </w:tcMar>
            <w:vAlign w:val="bottom"/>
            <w:hideMark/>
          </w:tcPr>
          <w:p w:rsidR="00000000" w:rsidRDefault="0039054C">
            <w:pPr>
              <w:rPr>
                <w:rFonts w:eastAsia="Times New Roman"/>
              </w:rPr>
            </w:pPr>
            <w:r>
              <w:rPr>
                <w:rFonts w:eastAsia="Times New Roman"/>
                <w:color w:val="000000"/>
                <w:sz w:val="20"/>
                <w:szCs w:val="20"/>
              </w:rPr>
              <w:t>Total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4,567 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Cost of product sales and services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(3,213)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(3,298)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35" w:type="dxa"/>
              <w:bottom w:w="30" w:type="dxa"/>
              <w:right w:w="20" w:type="dxa"/>
            </w:tcMar>
            <w:vAlign w:val="bottom"/>
            <w:hideMark/>
          </w:tcPr>
          <w:p w:rsidR="00000000" w:rsidRDefault="0039054C">
            <w:pPr>
              <w:rPr>
                <w:rFonts w:eastAsia="Times New Roman"/>
              </w:rPr>
            </w:pPr>
            <w:r>
              <w:rPr>
                <w:rFonts w:eastAsia="Times New Roman"/>
                <w:color w:val="000000"/>
                <w:sz w:val="20"/>
                <w:szCs w:val="20"/>
              </w:rPr>
              <w:t>Gross margin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01741890"/>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Engineering, selling and administrative expenses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(801)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155"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 of total revenue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01741890"/>
        </w:trPr>
        <w:tc>
          <w:tcPr>
            <w:tcW w:w="0" w:type="auto"/>
            <w:gridSpan w:val="3"/>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Business divestiture-related losses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400 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Impairment of goodwill and other assets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Non-operating income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interest expense</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(63)</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taxes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(60)</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Effective tax rate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01741890"/>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Income from continuing operations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Noncontrolling interests, net of income taxes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FFFFFF"/>
            <w:tcMar>
              <w:top w:w="30" w:type="dxa"/>
              <w:left w:w="20" w:type="dxa"/>
              <w:bottom w:w="30" w:type="dxa"/>
              <w:right w:w="20" w:type="dxa"/>
            </w:tcMar>
            <w:vAlign w:val="bottom"/>
            <w:hideMark/>
          </w:tcPr>
          <w:p w:rsidR="00000000" w:rsidRDefault="0039054C">
            <w:pPr>
              <w:ind w:hanging="90"/>
              <w:divId w:val="1912931156"/>
              <w:rPr>
                <w:rFonts w:eastAsia="Times New Roman"/>
              </w:rPr>
            </w:pPr>
            <w:r>
              <w:rPr>
                <w:rFonts w:eastAsia="Times New Roman"/>
                <w:color w:val="000000"/>
                <w:sz w:val="20"/>
                <w:szCs w:val="20"/>
              </w:rPr>
              <w:t>Income from continuing operations attributable to L3Harris Technologies, Inc. common shareholders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001741890"/>
        </w:trPr>
        <w:tc>
          <w:tcPr>
            <w:tcW w:w="0" w:type="auto"/>
            <w:gridSpan w:val="3"/>
            <w:shd w:val="clear" w:color="auto" w:fill="CCEEFF"/>
            <w:tcMar>
              <w:top w:w="30" w:type="dxa"/>
              <w:left w:w="155"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 of total revenue</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001741890"/>
        </w:trPr>
        <w:tc>
          <w:tcPr>
            <w:tcW w:w="0" w:type="auto"/>
            <w:gridSpan w:val="3"/>
            <w:shd w:val="clear" w:color="auto" w:fill="FFFFFF"/>
            <w:tcMar>
              <w:top w:w="30" w:type="dxa"/>
              <w:left w:w="110" w:type="dxa"/>
              <w:bottom w:w="30" w:type="dxa"/>
              <w:right w:w="20" w:type="dxa"/>
            </w:tcMar>
            <w:vAlign w:val="bottom"/>
            <w:hideMark/>
          </w:tcPr>
          <w:p w:rsidR="00000000" w:rsidRDefault="0039054C">
            <w:pPr>
              <w:ind w:hanging="90"/>
              <w:rPr>
                <w:rFonts w:eastAsia="Times New Roman"/>
              </w:rPr>
            </w:pPr>
            <w:r>
              <w:rPr>
                <w:rFonts w:eastAsia="Times New Roman"/>
                <w:color w:val="000000"/>
                <w:sz w:val="20"/>
                <w:szCs w:val="20"/>
              </w:rPr>
              <w:t>Income from continuing operations per diluted common share attributable to L3Harris Technologies, Inc. common shareholders</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2.25 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0.99 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127 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bl>
    <w:p w:rsidR="00000000" w:rsidRDefault="0039054C">
      <w:pPr>
        <w:ind w:hanging="270"/>
        <w:divId w:val="815226334"/>
        <w:rPr>
          <w:rFonts w:eastAsia="Times New Roman"/>
        </w:rPr>
      </w:pPr>
      <w:r>
        <w:rPr>
          <w:rFonts w:eastAsia="Times New Roman"/>
          <w:b/>
          <w:bCs/>
          <w:i/>
          <w:iCs/>
          <w:color w:val="000000"/>
          <w:sz w:val="20"/>
          <w:szCs w:val="20"/>
        </w:rPr>
        <w:t>Revenue</w:t>
      </w:r>
    </w:p>
    <w:p w:rsidR="00000000" w:rsidRDefault="0039054C">
      <w:pPr>
        <w:ind w:firstLine="450"/>
        <w:divId w:val="952400371"/>
        <w:rPr>
          <w:rFonts w:eastAsia="Times New Roman"/>
        </w:rPr>
      </w:pPr>
      <w:r>
        <w:rPr>
          <w:rFonts w:eastAsia="Times New Roman"/>
          <w:color w:val="000000"/>
          <w:sz w:val="20"/>
          <w:szCs w:val="20"/>
        </w:rPr>
        <w:t>The decrease in revenue in the first quarter of fiscal 2021 compared with the first quarter of fiscal 2020 was primarily due to lower revenue in our Aviation Systems segment from the impact of the divestiture of the airport security and automation business</w:t>
      </w:r>
      <w:r>
        <w:rPr>
          <w:rFonts w:eastAsia="Times New Roman"/>
          <w:color w:val="000000"/>
          <w:sz w:val="20"/>
          <w:szCs w:val="20"/>
        </w:rPr>
        <w:t xml:space="preserve"> and the continued COVID-related downturn in the commercial aviation market and its impact on customer operations in the first quarter of fiscal 2021, partially offset by higher revenue in our Integrated Mission Systems, Space and Airborne Systems and Comm</w:t>
      </w:r>
      <w:r>
        <w:rPr>
          <w:rFonts w:eastAsia="Times New Roman"/>
          <w:color w:val="000000"/>
          <w:sz w:val="20"/>
          <w:szCs w:val="20"/>
        </w:rPr>
        <w:t xml:space="preserve">unication Systems segments, driven by growth in our U.S. and international government businesses. </w:t>
      </w:r>
    </w:p>
    <w:p w:rsidR="00000000" w:rsidRDefault="0039054C">
      <w:pPr>
        <w:ind w:firstLine="450"/>
        <w:divId w:val="264073821"/>
        <w:rPr>
          <w:rFonts w:eastAsia="Times New Roman"/>
        </w:rPr>
      </w:pPr>
      <w:r>
        <w:rPr>
          <w:rFonts w:eastAsia="Times New Roman"/>
          <w:color w:val="000000"/>
          <w:sz w:val="20"/>
          <w:szCs w:val="20"/>
        </w:rPr>
        <w:t>See “Discussion of Business Segment Results of Operations” below in this MD&amp;A for further information.</w:t>
      </w:r>
    </w:p>
    <w:p w:rsidR="00000000" w:rsidRDefault="0039054C">
      <w:pPr>
        <w:divId w:val="2049334340"/>
        <w:rPr>
          <w:rFonts w:eastAsia="Times New Roman"/>
        </w:rPr>
      </w:pPr>
      <w:r>
        <w:rPr>
          <w:rFonts w:eastAsia="Times New Roman"/>
          <w:b/>
          <w:bCs/>
          <w:i/>
          <w:iCs/>
          <w:color w:val="000000"/>
          <w:sz w:val="20"/>
          <w:szCs w:val="20"/>
        </w:rPr>
        <w:t>Gross Margin</w:t>
      </w:r>
    </w:p>
    <w:p w:rsidR="00000000" w:rsidRDefault="0039054C">
      <w:pPr>
        <w:ind w:firstLine="450"/>
        <w:divId w:val="1013872475"/>
        <w:rPr>
          <w:rFonts w:eastAsia="Times New Roman"/>
        </w:rPr>
      </w:pPr>
      <w:r>
        <w:rPr>
          <w:rFonts w:eastAsia="Times New Roman"/>
          <w:color w:val="000000"/>
          <w:sz w:val="20"/>
          <w:szCs w:val="20"/>
        </w:rPr>
        <w:t>The increases in gross margin and gross m</w:t>
      </w:r>
      <w:r>
        <w:rPr>
          <w:rFonts w:eastAsia="Times New Roman"/>
          <w:color w:val="000000"/>
          <w:sz w:val="20"/>
          <w:szCs w:val="20"/>
        </w:rPr>
        <w:t>argin as a percentage of total revenue (“gross margin percentage”) in the first quarter of fiscal 2021 compared with the first quarter of fiscal 2020 were primarily due to L3Harris Merger-related integration benefits and operational excellence, and the abs</w:t>
      </w:r>
      <w:r>
        <w:rPr>
          <w:rFonts w:eastAsia="Times New Roman"/>
          <w:color w:val="000000"/>
          <w:sz w:val="20"/>
          <w:szCs w:val="20"/>
        </w:rPr>
        <w:t>ence in the first quarter of 2021 of $15 million of additional cost of sales related to the fair value step-up in inventory sold recorded in the first quarter of fiscal 2020, partially offset by COVID and divestiture-related impacts in the first quarter of</w:t>
      </w:r>
      <w:r>
        <w:rPr>
          <w:rFonts w:eastAsia="Times New Roman"/>
          <w:color w:val="000000"/>
          <w:sz w:val="20"/>
          <w:szCs w:val="20"/>
        </w:rPr>
        <w:t xml:space="preserve"> fiscal 2021.</w:t>
      </w:r>
    </w:p>
    <w:p w:rsidR="00000000" w:rsidRDefault="0039054C">
      <w:pPr>
        <w:ind w:firstLine="450"/>
        <w:divId w:val="322709819"/>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39054C">
      <w:pPr>
        <w:ind w:firstLine="450"/>
        <w:jc w:val="center"/>
        <w:divId w:val="1496384744"/>
        <w:rPr>
          <w:rFonts w:eastAsia="Times New Roman"/>
        </w:rPr>
      </w:pPr>
      <w:r>
        <w:rPr>
          <w:rFonts w:eastAsia="Times New Roman"/>
          <w:color w:val="000000"/>
          <w:sz w:val="20"/>
          <w:szCs w:val="20"/>
        </w:rPr>
        <w:t>27</w:t>
      </w:r>
    </w:p>
    <w:p w:rsidR="00000000" w:rsidRDefault="0039054C">
      <w:pPr>
        <w:rPr>
          <w:rFonts w:eastAsia="Times New Roman"/>
        </w:rPr>
      </w:pPr>
      <w:r>
        <w:rPr>
          <w:rFonts w:eastAsia="Times New Roman"/>
        </w:rPr>
        <w:pict>
          <v:rect id="_x0000_i1054" style="width:0;height:1.5pt" o:hralign="center" o:hrstd="t" o:hr="t" fillcolor="#a0a0a0" stroked="f"/>
        </w:pict>
      </w:r>
    </w:p>
    <w:p w:rsidR="00000000" w:rsidRDefault="0039054C">
      <w:pPr>
        <w:ind w:firstLine="450"/>
        <w:divId w:val="473110575"/>
        <w:rPr>
          <w:rFonts w:eastAsia="Times New Roman"/>
        </w:rPr>
      </w:pPr>
    </w:p>
    <w:p w:rsidR="00000000" w:rsidRDefault="0039054C">
      <w:pPr>
        <w:ind w:firstLine="450"/>
        <w:divId w:val="1432555171"/>
        <w:rPr>
          <w:rFonts w:eastAsia="Times New Roman"/>
        </w:rPr>
      </w:pPr>
    </w:p>
    <w:p w:rsidR="00000000" w:rsidRDefault="0039054C">
      <w:pPr>
        <w:divId w:val="639959369"/>
        <w:rPr>
          <w:rFonts w:eastAsia="Times New Roman"/>
        </w:rPr>
      </w:pPr>
      <w:r>
        <w:rPr>
          <w:rFonts w:eastAsia="Times New Roman"/>
          <w:b/>
          <w:bCs/>
          <w:i/>
          <w:iCs/>
          <w:color w:val="000000"/>
          <w:sz w:val="20"/>
          <w:szCs w:val="20"/>
        </w:rPr>
        <w:t xml:space="preserve">Engineering, Selling and Administrative (“ESA”) Expenses </w:t>
      </w:r>
    </w:p>
    <w:p w:rsidR="00000000" w:rsidRDefault="0039054C">
      <w:pPr>
        <w:ind w:firstLine="450"/>
        <w:divId w:val="1388990256"/>
        <w:rPr>
          <w:rFonts w:eastAsia="Times New Roman"/>
        </w:rPr>
      </w:pPr>
      <w:r>
        <w:rPr>
          <w:rFonts w:eastAsia="Times New Roman"/>
          <w:color w:val="000000"/>
          <w:sz w:val="20"/>
          <w:szCs w:val="20"/>
        </w:rPr>
        <w:t>The decrease in ESA ex</w:t>
      </w:r>
      <w:r>
        <w:rPr>
          <w:rFonts w:eastAsia="Times New Roman"/>
          <w:color w:val="000000"/>
          <w:sz w:val="20"/>
          <w:szCs w:val="20"/>
        </w:rPr>
        <w:t>penses in the first quarter of fiscal 2021 compared with the first quarter of fiscal 2020 was primarily due to the impact of divestitures, integration savings, $10 million of lower L3Harris Merger-related integration expenses and $3 million of lower restru</w:t>
      </w:r>
      <w:r>
        <w:rPr>
          <w:rFonts w:eastAsia="Times New Roman"/>
          <w:color w:val="000000"/>
          <w:sz w:val="20"/>
          <w:szCs w:val="20"/>
        </w:rPr>
        <w:t xml:space="preserve">cturing charges, partially offset by $19 million of higher amortization of identifiable intangible assets acquired as a result of the L3Harris Merger and $7 million of higher divestiture-related expenses in the first quarter of fiscal 2021. ESA expense as </w:t>
      </w:r>
      <w:r>
        <w:rPr>
          <w:rFonts w:eastAsia="Times New Roman"/>
          <w:color w:val="000000"/>
          <w:sz w:val="20"/>
          <w:szCs w:val="20"/>
        </w:rPr>
        <w:t>a percentage of total revenue (“ESA percentage”) in the first quarter of fiscal 2021 was comparable with the first quarter of fiscal 2020.</w:t>
      </w:r>
    </w:p>
    <w:p w:rsidR="00000000" w:rsidRDefault="0039054C">
      <w:pPr>
        <w:ind w:firstLine="450"/>
        <w:divId w:val="1967806565"/>
        <w:rPr>
          <w:rFonts w:eastAsia="Times New Roman"/>
        </w:rPr>
      </w:pPr>
      <w:r>
        <w:rPr>
          <w:rFonts w:eastAsia="Times New Roman"/>
          <w:color w:val="000000"/>
          <w:sz w:val="20"/>
          <w:szCs w:val="20"/>
        </w:rPr>
        <w:t>See the “Discussion of Business Segment Results of Operations” discussion below in this MD&amp;A for further information.</w:t>
      </w:r>
    </w:p>
    <w:p w:rsidR="00000000" w:rsidRDefault="0039054C">
      <w:pPr>
        <w:divId w:val="741561201"/>
        <w:rPr>
          <w:rFonts w:eastAsia="Times New Roman"/>
        </w:rPr>
      </w:pPr>
      <w:r>
        <w:rPr>
          <w:rFonts w:eastAsia="Times New Roman"/>
          <w:b/>
          <w:bCs/>
          <w:i/>
          <w:iCs/>
          <w:color w:val="000000"/>
          <w:sz w:val="20"/>
          <w:szCs w:val="20"/>
        </w:rPr>
        <w:t>Business Divestiture-Related Losses</w:t>
      </w:r>
    </w:p>
    <w:p w:rsidR="00000000" w:rsidRDefault="0039054C">
      <w:pPr>
        <w:ind w:firstLine="450"/>
        <w:divId w:val="917594405"/>
        <w:rPr>
          <w:rFonts w:eastAsia="Times New Roman"/>
        </w:rPr>
      </w:pPr>
      <w:r>
        <w:rPr>
          <w:rFonts w:eastAsia="Times New Roman"/>
          <w:color w:val="000000"/>
          <w:sz w:val="20"/>
          <w:szCs w:val="20"/>
        </w:rPr>
        <w:t>Business divestiture-related losses included a $7 million non-cash remeasurement loss on the pending divestiture of the CPS business and an $8 million non-cash remeasurement loss on the pending divestiture of the VSE di</w:t>
      </w:r>
      <w:r>
        <w:rPr>
          <w:rFonts w:eastAsia="Times New Roman"/>
          <w:color w:val="000000"/>
          <w:sz w:val="20"/>
          <w:szCs w:val="20"/>
        </w:rPr>
        <w:t>sposal group in the first quarter of fiscal 2021 and a $3 million non-cash remeasurement loss associated with the divestiture of the airport security and automation business in the first quarter of fiscal 2020.</w:t>
      </w:r>
    </w:p>
    <w:p w:rsidR="00000000" w:rsidRDefault="0039054C">
      <w:pPr>
        <w:ind w:firstLine="450"/>
        <w:divId w:val="1632593999"/>
        <w:rPr>
          <w:rFonts w:eastAsia="Times New Roman"/>
        </w:rPr>
      </w:pPr>
      <w:r>
        <w:rPr>
          <w:rFonts w:eastAsia="Times New Roman"/>
          <w:color w:val="000000"/>
          <w:sz w:val="20"/>
          <w:szCs w:val="20"/>
        </w:rPr>
        <w:t xml:space="preserve">See </w:t>
      </w:r>
      <w:r>
        <w:rPr>
          <w:rFonts w:eastAsia="Times New Roman"/>
          <w:i/>
          <w:iCs/>
          <w:color w:val="000000"/>
          <w:sz w:val="20"/>
          <w:szCs w:val="20"/>
        </w:rPr>
        <w:t xml:space="preserve">Note B — </w:t>
      </w:r>
      <w:r>
        <w:rPr>
          <w:rFonts w:eastAsia="Times New Roman"/>
          <w:i/>
          <w:iCs/>
          <w:color w:val="000000"/>
          <w:sz w:val="20"/>
          <w:szCs w:val="20"/>
        </w:rPr>
        <w:t>Business Divestitures</w:t>
      </w:r>
      <w:r>
        <w:rPr>
          <w:rFonts w:eastAsia="Times New Roman"/>
          <w:color w:val="000000"/>
          <w:sz w:val="20"/>
          <w:szCs w:val="20"/>
        </w:rPr>
        <w:t xml:space="preserve"> in the Notes for further information.</w:t>
      </w:r>
    </w:p>
    <w:p w:rsidR="00000000" w:rsidRDefault="0039054C">
      <w:pPr>
        <w:divId w:val="1197111598"/>
        <w:rPr>
          <w:rFonts w:eastAsia="Times New Roman"/>
        </w:rPr>
      </w:pPr>
      <w:r>
        <w:rPr>
          <w:rFonts w:eastAsia="Times New Roman"/>
          <w:b/>
          <w:bCs/>
          <w:i/>
          <w:iCs/>
          <w:color w:val="000000"/>
          <w:sz w:val="20"/>
          <w:szCs w:val="20"/>
        </w:rPr>
        <w:t>Impairment of Goodwill and Other Assets</w:t>
      </w:r>
    </w:p>
    <w:p w:rsidR="00000000" w:rsidRDefault="0039054C">
      <w:pPr>
        <w:ind w:firstLine="450"/>
        <w:divId w:val="414978482"/>
        <w:rPr>
          <w:rFonts w:eastAsia="Times New Roman"/>
        </w:rPr>
      </w:pPr>
      <w:r>
        <w:rPr>
          <w:rFonts w:eastAsia="Times New Roman"/>
          <w:color w:val="000000"/>
          <w:sz w:val="20"/>
          <w:szCs w:val="20"/>
        </w:rPr>
        <w:t xml:space="preserve">Impairment of goodwill and other assets in the first quarter of fiscal 2021 reflected a $62 million non-cash charge for the impairment of goodwill recorded </w:t>
      </w:r>
      <w:r>
        <w:rPr>
          <w:rFonts w:eastAsia="Times New Roman"/>
          <w:color w:val="000000"/>
          <w:sz w:val="20"/>
          <w:szCs w:val="20"/>
        </w:rPr>
        <w:t>in connection with the pending divestiture of the CPS business. Impairment of goodwill and other assets in the first quarter of fiscal 2020 reflected $319 million of non-cash charges for the impairment of goodwill and other assets in our Commercial Aviatio</w:t>
      </w:r>
      <w:r>
        <w:rPr>
          <w:rFonts w:eastAsia="Times New Roman"/>
          <w:color w:val="000000"/>
          <w:sz w:val="20"/>
          <w:szCs w:val="20"/>
        </w:rPr>
        <w:t>n Solutions sector due to the COVID-related downturn in the commercial aviation market and its impact on customer operations and a $5 million non-cash charge for impairment of goodwill in connection with the then-pending divestiture of our Applied Kilovolt</w:t>
      </w:r>
      <w:r>
        <w:rPr>
          <w:rFonts w:eastAsia="Times New Roman"/>
          <w:color w:val="000000"/>
          <w:sz w:val="20"/>
          <w:szCs w:val="20"/>
        </w:rPr>
        <w:t xml:space="preserve">s and Analytical Instrumentation business. </w:t>
      </w:r>
    </w:p>
    <w:p w:rsidR="00000000" w:rsidRDefault="0039054C">
      <w:pPr>
        <w:ind w:firstLine="450"/>
        <w:divId w:val="2020420847"/>
        <w:rPr>
          <w:rFonts w:eastAsia="Times New Roman"/>
        </w:rPr>
      </w:pPr>
      <w:r>
        <w:rPr>
          <w:rFonts w:eastAsia="Times New Roman"/>
          <w:color w:val="000000"/>
          <w:sz w:val="20"/>
          <w:szCs w:val="20"/>
        </w:rPr>
        <w:t xml:space="preserve">See </w:t>
      </w:r>
      <w:r>
        <w:rPr>
          <w:rFonts w:eastAsia="Times New Roman"/>
          <w:i/>
          <w:iCs/>
          <w:color w:val="000000"/>
          <w:sz w:val="20"/>
          <w:szCs w:val="20"/>
        </w:rPr>
        <w:t>Note B — Business Divestitures</w:t>
      </w:r>
      <w:r>
        <w:rPr>
          <w:rFonts w:eastAsia="Times New Roman"/>
          <w:color w:val="000000"/>
          <w:sz w:val="20"/>
          <w:szCs w:val="20"/>
        </w:rPr>
        <w:t xml:space="preserve"> and </w:t>
      </w:r>
      <w:r>
        <w:rPr>
          <w:rFonts w:eastAsia="Times New Roman"/>
          <w:i/>
          <w:iCs/>
          <w:color w:val="000000"/>
          <w:sz w:val="20"/>
          <w:szCs w:val="20"/>
        </w:rPr>
        <w:t xml:space="preserve">Note J — Goodwill and Other Intangible Assets </w:t>
      </w:r>
      <w:r>
        <w:rPr>
          <w:rFonts w:eastAsia="Times New Roman"/>
          <w:color w:val="000000"/>
          <w:sz w:val="20"/>
          <w:szCs w:val="20"/>
        </w:rPr>
        <w:t>in the Notes for further information.</w:t>
      </w:r>
    </w:p>
    <w:p w:rsidR="00000000" w:rsidRDefault="0039054C">
      <w:pPr>
        <w:divId w:val="1362899065"/>
        <w:rPr>
          <w:rFonts w:eastAsia="Times New Roman"/>
        </w:rPr>
      </w:pPr>
      <w:r>
        <w:rPr>
          <w:rFonts w:eastAsia="Times New Roman"/>
          <w:b/>
          <w:bCs/>
          <w:i/>
          <w:iCs/>
          <w:color w:val="000000"/>
          <w:sz w:val="20"/>
          <w:szCs w:val="20"/>
        </w:rPr>
        <w:t xml:space="preserve">Non-Operating Income </w:t>
      </w:r>
    </w:p>
    <w:p w:rsidR="00000000" w:rsidRDefault="0039054C">
      <w:pPr>
        <w:ind w:firstLine="450"/>
        <w:divId w:val="957108620"/>
        <w:rPr>
          <w:rFonts w:eastAsia="Times New Roman"/>
        </w:rPr>
      </w:pPr>
      <w:r>
        <w:rPr>
          <w:rFonts w:eastAsia="Times New Roman"/>
          <w:color w:val="000000"/>
          <w:sz w:val="20"/>
          <w:szCs w:val="20"/>
        </w:rPr>
        <w:t>The increase in non-operating income in the first quarter of fiscal</w:t>
      </w:r>
      <w:r>
        <w:rPr>
          <w:rFonts w:eastAsia="Times New Roman"/>
          <w:color w:val="000000"/>
          <w:sz w:val="20"/>
          <w:szCs w:val="20"/>
        </w:rPr>
        <w:t xml:space="preserve"> 2021 compared with the first quarter of fiscal 2020 was primarily due to an increase in the non-service cost components of pension and other postretirement benefit plan income.</w:t>
      </w:r>
    </w:p>
    <w:p w:rsidR="00000000" w:rsidRDefault="0039054C">
      <w:pPr>
        <w:ind w:firstLine="450"/>
        <w:divId w:val="180513087"/>
        <w:rPr>
          <w:rFonts w:eastAsia="Times New Roman"/>
        </w:rPr>
      </w:pPr>
      <w:r>
        <w:rPr>
          <w:rFonts w:eastAsia="Times New Roman"/>
          <w:color w:val="000000"/>
          <w:sz w:val="20"/>
          <w:szCs w:val="20"/>
        </w:rPr>
        <w:t>See</w:t>
      </w:r>
      <w:r>
        <w:rPr>
          <w:rFonts w:eastAsia="Times New Roman"/>
          <w:i/>
          <w:iCs/>
          <w:color w:val="000000"/>
          <w:sz w:val="20"/>
          <w:szCs w:val="20"/>
        </w:rPr>
        <w:t xml:space="preserve"> Note N — Non-Operating Income</w:t>
      </w:r>
      <w:r>
        <w:rPr>
          <w:rFonts w:eastAsia="Times New Roman"/>
          <w:color w:val="000000"/>
          <w:sz w:val="20"/>
          <w:szCs w:val="20"/>
        </w:rPr>
        <w:t xml:space="preserve"> and </w:t>
      </w:r>
      <w:r>
        <w:rPr>
          <w:rFonts w:eastAsia="Times New Roman"/>
          <w:i/>
          <w:iCs/>
          <w:color w:val="000000"/>
          <w:sz w:val="20"/>
          <w:szCs w:val="20"/>
        </w:rPr>
        <w:t xml:space="preserve">Note L — Postretirement Benefit Plans </w:t>
      </w:r>
      <w:r>
        <w:rPr>
          <w:rFonts w:eastAsia="Times New Roman"/>
          <w:color w:val="000000"/>
          <w:sz w:val="20"/>
          <w:szCs w:val="20"/>
        </w:rPr>
        <w:t>in</w:t>
      </w:r>
      <w:r>
        <w:rPr>
          <w:rFonts w:eastAsia="Times New Roman"/>
          <w:color w:val="000000"/>
          <w:sz w:val="20"/>
          <w:szCs w:val="20"/>
        </w:rPr>
        <w:t xml:space="preserve"> the Notes for further information.</w:t>
      </w:r>
    </w:p>
    <w:p w:rsidR="00000000" w:rsidRDefault="0039054C">
      <w:pPr>
        <w:divId w:val="937566985"/>
        <w:rPr>
          <w:rFonts w:eastAsia="Times New Roman"/>
        </w:rPr>
      </w:pPr>
      <w:r>
        <w:rPr>
          <w:rFonts w:eastAsia="Times New Roman"/>
          <w:b/>
          <w:bCs/>
          <w:i/>
          <w:iCs/>
          <w:color w:val="000000"/>
          <w:sz w:val="20"/>
          <w:szCs w:val="20"/>
        </w:rPr>
        <w:t>Net Interest Expense</w:t>
      </w:r>
    </w:p>
    <w:p w:rsidR="00000000" w:rsidRDefault="0039054C">
      <w:pPr>
        <w:ind w:firstLine="450"/>
        <w:divId w:val="523397909"/>
        <w:rPr>
          <w:rFonts w:eastAsia="Times New Roman"/>
        </w:rPr>
      </w:pPr>
      <w:r>
        <w:rPr>
          <w:rFonts w:eastAsia="Times New Roman"/>
          <w:color w:val="000000"/>
          <w:sz w:val="20"/>
          <w:szCs w:val="20"/>
        </w:rPr>
        <w:t>The increase in net interest expense in the first quarter of fiscal 2021 compared with the first quarter of fiscal 2020 was primarily due to lower interest income.</w:t>
      </w:r>
    </w:p>
    <w:p w:rsidR="00000000" w:rsidRDefault="0039054C">
      <w:pPr>
        <w:ind w:firstLine="450"/>
        <w:divId w:val="649554427"/>
        <w:rPr>
          <w:rFonts w:eastAsia="Times New Roman"/>
        </w:rPr>
      </w:pPr>
      <w:r>
        <w:rPr>
          <w:rFonts w:eastAsia="Times New Roman"/>
          <w:color w:val="000000"/>
          <w:sz w:val="20"/>
          <w:szCs w:val="20"/>
        </w:rPr>
        <w:t xml:space="preserve">See </w:t>
      </w:r>
      <w:r>
        <w:rPr>
          <w:rFonts w:eastAsia="Times New Roman"/>
          <w:i/>
          <w:iCs/>
          <w:color w:val="000000"/>
          <w:sz w:val="20"/>
          <w:szCs w:val="20"/>
        </w:rPr>
        <w:t>Note 14: “Debt”</w:t>
      </w:r>
      <w:r>
        <w:rPr>
          <w:rFonts w:eastAsia="Times New Roman"/>
          <w:color w:val="000000"/>
          <w:sz w:val="20"/>
          <w:szCs w:val="20"/>
        </w:rPr>
        <w:t xml:space="preserve"> in the Notes to</w:t>
      </w:r>
      <w:r>
        <w:rPr>
          <w:rFonts w:eastAsia="Times New Roman"/>
          <w:color w:val="000000"/>
          <w:sz w:val="20"/>
          <w:szCs w:val="20"/>
        </w:rPr>
        <w:t xml:space="preserve"> Consolidated Financial Statements in our Fiscal 2020 Form 10-K for further information.</w:t>
      </w:r>
    </w:p>
    <w:p w:rsidR="00000000" w:rsidRDefault="0039054C">
      <w:pPr>
        <w:divId w:val="1998848652"/>
        <w:rPr>
          <w:rFonts w:eastAsia="Times New Roman"/>
        </w:rPr>
      </w:pPr>
      <w:r>
        <w:rPr>
          <w:rFonts w:eastAsia="Times New Roman"/>
          <w:b/>
          <w:bCs/>
          <w:i/>
          <w:iCs/>
          <w:color w:val="000000"/>
          <w:sz w:val="20"/>
          <w:szCs w:val="20"/>
        </w:rPr>
        <w:t>Income Taxes</w:t>
      </w:r>
    </w:p>
    <w:p w:rsidR="00000000" w:rsidRDefault="0039054C">
      <w:pPr>
        <w:ind w:firstLine="450"/>
        <w:divId w:val="841093232"/>
        <w:rPr>
          <w:rFonts w:eastAsia="Times New Roman"/>
        </w:rPr>
      </w:pPr>
      <w:r>
        <w:rPr>
          <w:rFonts w:eastAsia="Times New Roman"/>
          <w:color w:val="000000"/>
          <w:sz w:val="20"/>
          <w:szCs w:val="20"/>
        </w:rPr>
        <w:t>Our effective tax rate (income taxes as a percentage of income from continuing operations before income taxes) was 11.4 percent for the first quarter of f</w:t>
      </w:r>
      <w:r>
        <w:rPr>
          <w:rFonts w:eastAsia="Times New Roman"/>
          <w:color w:val="000000"/>
          <w:sz w:val="20"/>
          <w:szCs w:val="20"/>
        </w:rPr>
        <w:t xml:space="preserve">iscal 2021 compared with 11.8 percent for the first quarter of fiscal 2020. For the first quarter of fiscal 2021, our effective tax rate benefited from the favorable impact of R&amp;D credits, the resolution of specific audit uncertainties and the recognition </w:t>
      </w:r>
      <w:r>
        <w:rPr>
          <w:rFonts w:eastAsia="Times New Roman"/>
          <w:color w:val="000000"/>
          <w:sz w:val="20"/>
          <w:szCs w:val="20"/>
        </w:rPr>
        <w:t>of deferred tax assets on the outside basis of entities held-for-sale. For the first quarter of fiscal 2020, our effective tax rate benefited from the favorable impact of excess tax benefits related to equity-based compensation, R&amp;D credits and the favorab</w:t>
      </w:r>
      <w:r>
        <w:rPr>
          <w:rFonts w:eastAsia="Times New Roman"/>
          <w:color w:val="000000"/>
          <w:sz w:val="20"/>
          <w:szCs w:val="20"/>
        </w:rPr>
        <w:t>le impact of audit settlements, partially offset by a valuation allowance increase on international credits and the unfavorable impact of non-deductible goodwill impairment charges.</w:t>
      </w:r>
    </w:p>
    <w:p w:rsidR="00000000" w:rsidRDefault="0039054C">
      <w:pPr>
        <w:divId w:val="758019404"/>
        <w:rPr>
          <w:rFonts w:eastAsia="Times New Roman"/>
        </w:rPr>
      </w:pPr>
      <w:r>
        <w:rPr>
          <w:rFonts w:eastAsia="Times New Roman"/>
          <w:b/>
          <w:bCs/>
          <w:i/>
          <w:iCs/>
          <w:color w:val="000000"/>
          <w:sz w:val="20"/>
          <w:szCs w:val="20"/>
        </w:rPr>
        <w:t>Income From Continuing Operations</w:t>
      </w:r>
    </w:p>
    <w:p w:rsidR="00000000" w:rsidRDefault="0039054C">
      <w:pPr>
        <w:ind w:firstLine="450"/>
        <w:divId w:val="573584987"/>
        <w:rPr>
          <w:rFonts w:eastAsia="Times New Roman"/>
        </w:rPr>
      </w:pPr>
      <w:r>
        <w:rPr>
          <w:rFonts w:eastAsia="Times New Roman"/>
          <w:color w:val="000000"/>
          <w:sz w:val="20"/>
          <w:szCs w:val="20"/>
        </w:rPr>
        <w:t>The increase in income from continuing operations in the first quarter of fiscal 2021 compared with the first quarter of fiscal 2020 was primarily due to the combined effects of the reasons noted above regarding the first quarters of fiscal 2021 and 2020.</w:t>
      </w:r>
    </w:p>
    <w:p w:rsidR="00000000" w:rsidRDefault="0039054C">
      <w:pPr>
        <w:ind w:firstLine="450"/>
        <w:jc w:val="center"/>
        <w:divId w:val="1674844943"/>
        <w:rPr>
          <w:rFonts w:eastAsia="Times New Roman"/>
        </w:rPr>
      </w:pPr>
      <w:r>
        <w:rPr>
          <w:rFonts w:eastAsia="Times New Roman"/>
          <w:color w:val="000000"/>
          <w:sz w:val="20"/>
          <w:szCs w:val="20"/>
        </w:rPr>
        <w:t>28</w:t>
      </w:r>
    </w:p>
    <w:p w:rsidR="00000000" w:rsidRDefault="0039054C">
      <w:pPr>
        <w:rPr>
          <w:rFonts w:eastAsia="Times New Roman"/>
        </w:rPr>
      </w:pPr>
      <w:r>
        <w:rPr>
          <w:rFonts w:eastAsia="Times New Roman"/>
        </w:rPr>
        <w:pict>
          <v:rect id="_x0000_i1055" style="width:0;height:1.5pt" o:hralign="center" o:hrstd="t" o:hr="t" fillcolor="#a0a0a0" stroked="f"/>
        </w:pict>
      </w:r>
    </w:p>
    <w:p w:rsidR="00000000" w:rsidRDefault="0039054C">
      <w:pPr>
        <w:ind w:firstLine="450"/>
        <w:divId w:val="1574586850"/>
        <w:rPr>
          <w:rFonts w:eastAsia="Times New Roman"/>
        </w:rPr>
      </w:pPr>
    </w:p>
    <w:p w:rsidR="00000000" w:rsidRDefault="0039054C">
      <w:pPr>
        <w:ind w:firstLine="450"/>
        <w:divId w:val="1951162774"/>
        <w:rPr>
          <w:rFonts w:eastAsia="Times New Roman"/>
        </w:rPr>
      </w:pPr>
    </w:p>
    <w:p w:rsidR="00000000" w:rsidRDefault="0039054C">
      <w:pPr>
        <w:divId w:val="1340307292"/>
        <w:rPr>
          <w:rFonts w:eastAsia="Times New Roman"/>
        </w:rPr>
      </w:pPr>
      <w:r>
        <w:rPr>
          <w:rFonts w:eastAsia="Times New Roman"/>
          <w:b/>
          <w:bCs/>
          <w:i/>
          <w:iCs/>
          <w:color w:val="000000"/>
          <w:sz w:val="20"/>
          <w:szCs w:val="20"/>
        </w:rPr>
        <w:t>Income From Continuing Operations Per Diluted Common Share Attributable to L3Harris Common Shareholders</w:t>
      </w:r>
    </w:p>
    <w:p w:rsidR="00000000" w:rsidRDefault="0039054C">
      <w:pPr>
        <w:ind w:firstLine="450"/>
        <w:divId w:val="1007827637"/>
        <w:rPr>
          <w:rFonts w:eastAsia="Times New Roman"/>
        </w:rPr>
      </w:pPr>
      <w:r>
        <w:rPr>
          <w:rFonts w:eastAsia="Times New Roman"/>
          <w:color w:val="000000"/>
          <w:sz w:val="20"/>
          <w:szCs w:val="20"/>
        </w:rPr>
        <w:t>The increase in income from continuing operations per diluted common share attributable to L3Harris common s</w:t>
      </w:r>
      <w:r>
        <w:rPr>
          <w:rFonts w:eastAsia="Times New Roman"/>
          <w:color w:val="000000"/>
          <w:sz w:val="20"/>
          <w:szCs w:val="20"/>
        </w:rPr>
        <w:t>hareholders in the first quarter of fiscal 2021 compared with the first quarter of fiscal 2020 was primarily due to higher income from continuing operations and fewer diluted weighted average common shares outstanding due to our repurchases of shares of ou</w:t>
      </w:r>
      <w:r>
        <w:rPr>
          <w:rFonts w:eastAsia="Times New Roman"/>
          <w:color w:val="000000"/>
          <w:sz w:val="20"/>
          <w:szCs w:val="20"/>
        </w:rPr>
        <w:t>r common stock under our repurchase program in the last two quarters of fiscal 2020 and first quarter of fiscal 2021.</w:t>
      </w:r>
    </w:p>
    <w:p w:rsidR="00000000" w:rsidRDefault="0039054C">
      <w:pPr>
        <w:divId w:val="1521158650"/>
        <w:rPr>
          <w:rFonts w:eastAsia="Times New Roman"/>
        </w:rPr>
      </w:pPr>
      <w:r>
        <w:rPr>
          <w:rFonts w:eastAsia="Times New Roman"/>
          <w:b/>
          <w:bCs/>
          <w:color w:val="000000"/>
          <w:sz w:val="20"/>
          <w:szCs w:val="20"/>
        </w:rPr>
        <w:t>Discussion of Business Segment Results of Operations</w:t>
      </w:r>
    </w:p>
    <w:p w:rsidR="00000000" w:rsidRDefault="0039054C">
      <w:pPr>
        <w:divId w:val="900484450"/>
        <w:rPr>
          <w:rFonts w:eastAsia="Times New Roman"/>
        </w:rPr>
      </w:pPr>
      <w:r>
        <w:rPr>
          <w:rFonts w:eastAsia="Times New Roman"/>
          <w:b/>
          <w:bCs/>
          <w:color w:val="000000"/>
          <w:sz w:val="20"/>
          <w:szCs w:val="20"/>
        </w:rPr>
        <w:t>Integrated Mission Systems</w:t>
      </w:r>
    </w:p>
    <w:tbl>
      <w:tblPr>
        <w:tblW w:w="4948" w:type="pct"/>
        <w:tblCellMar>
          <w:top w:w="15" w:type="dxa"/>
          <w:left w:w="15" w:type="dxa"/>
          <w:bottom w:w="15" w:type="dxa"/>
          <w:right w:w="15" w:type="dxa"/>
        </w:tblCellMar>
        <w:tblLook w:val="04A0" w:firstRow="1" w:lastRow="0" w:firstColumn="1" w:lastColumn="0" w:noHBand="0" w:noVBand="1"/>
      </w:tblPr>
      <w:tblGrid>
        <w:gridCol w:w="39"/>
        <w:gridCol w:w="4578"/>
        <w:gridCol w:w="38"/>
        <w:gridCol w:w="120"/>
        <w:gridCol w:w="985"/>
        <w:gridCol w:w="187"/>
        <w:gridCol w:w="36"/>
        <w:gridCol w:w="36"/>
        <w:gridCol w:w="36"/>
        <w:gridCol w:w="120"/>
        <w:gridCol w:w="898"/>
        <w:gridCol w:w="187"/>
        <w:gridCol w:w="36"/>
        <w:gridCol w:w="36"/>
        <w:gridCol w:w="36"/>
        <w:gridCol w:w="68"/>
        <w:gridCol w:w="597"/>
        <w:gridCol w:w="187"/>
      </w:tblGrid>
      <w:tr w:rsidR="00000000">
        <w:trPr>
          <w:divId w:val="910694751"/>
        </w:trPr>
        <w:tc>
          <w:tcPr>
            <w:tcW w:w="50" w:type="pct"/>
            <w:vAlign w:val="center"/>
            <w:hideMark/>
          </w:tcPr>
          <w:p w:rsidR="00000000" w:rsidRDefault="0039054C">
            <w:pPr>
              <w:rPr>
                <w:rFonts w:eastAsia="Times New Roman"/>
              </w:rPr>
            </w:pPr>
          </w:p>
        </w:tc>
        <w:tc>
          <w:tcPr>
            <w:tcW w:w="289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910694751"/>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910694751"/>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 Inc/(Dec)</w:t>
            </w:r>
          </w:p>
        </w:tc>
      </w:tr>
      <w:tr w:rsidR="00000000">
        <w:trPr>
          <w:divId w:val="910694751"/>
        </w:trPr>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10694751"/>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910694751"/>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1,370 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910694751"/>
        </w:trPr>
        <w:tc>
          <w:tcPr>
            <w:tcW w:w="0" w:type="auto"/>
            <w:gridSpan w:val="3"/>
            <w:vAlign w:val="center"/>
            <w:hideMark/>
          </w:tcPr>
          <w:p w:rsidR="00000000" w:rsidRDefault="0039054C">
            <w:pPr>
              <w:jc w:val="right"/>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91069475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91069475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91069475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91069475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910694751"/>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201 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910694751"/>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bl>
    <w:p w:rsidR="00000000" w:rsidRDefault="0039054C">
      <w:pPr>
        <w:ind w:firstLine="450"/>
        <w:divId w:val="1920282892"/>
        <w:rPr>
          <w:rFonts w:eastAsia="Times New Roman"/>
        </w:rPr>
      </w:pPr>
      <w:r>
        <w:rPr>
          <w:rFonts w:eastAsia="Times New Roman"/>
          <w:color w:val="000000"/>
          <w:sz w:val="20"/>
          <w:szCs w:val="20"/>
        </w:rPr>
        <w:t>The increase in segment revenue in the first quarter of fiscal 2021 compared with the first quarter of fiscal 2020 was primarily due to $38 million of higher revenue in Maritime reflecting a ramp in manned platforms, $35 million of higher revenue in ISR fr</w:t>
      </w:r>
      <w:r>
        <w:rPr>
          <w:rFonts w:eastAsia="Times New Roman"/>
          <w:color w:val="000000"/>
          <w:sz w:val="20"/>
          <w:szCs w:val="20"/>
        </w:rPr>
        <w:t xml:space="preserve">om a newly awarded North Atlantic Treaty Organization program and moderate growth in Electro Optical. </w:t>
      </w:r>
    </w:p>
    <w:p w:rsidR="00000000" w:rsidRDefault="0039054C">
      <w:pPr>
        <w:ind w:firstLine="450"/>
        <w:divId w:val="550503038"/>
        <w:rPr>
          <w:rFonts w:eastAsia="Times New Roman"/>
        </w:rPr>
      </w:pPr>
      <w:r>
        <w:rPr>
          <w:rFonts w:eastAsia="Times New Roman"/>
          <w:color w:val="000000"/>
          <w:sz w:val="20"/>
          <w:szCs w:val="20"/>
        </w:rPr>
        <w:t>The increase in segment operating income in the first quarter of fiscal 2021 compared with the first quarter of fiscal 2020 was primarily due to higher v</w:t>
      </w:r>
      <w:r>
        <w:rPr>
          <w:rFonts w:eastAsia="Times New Roman"/>
          <w:color w:val="000000"/>
          <w:sz w:val="20"/>
          <w:szCs w:val="20"/>
        </w:rPr>
        <w:t>olume, integration benefits and operational excellence.</w:t>
      </w:r>
    </w:p>
    <w:p w:rsidR="00000000" w:rsidRDefault="0039054C">
      <w:pPr>
        <w:divId w:val="390231554"/>
        <w:rPr>
          <w:rFonts w:eastAsia="Times New Roman"/>
        </w:rPr>
      </w:pPr>
      <w:r>
        <w:rPr>
          <w:rFonts w:eastAsia="Times New Roman"/>
          <w:b/>
          <w:bCs/>
          <w:color w:val="000000"/>
          <w:sz w:val="20"/>
          <w:szCs w:val="20"/>
        </w:rPr>
        <w:t>Space and Airborne Systems</w:t>
      </w:r>
    </w:p>
    <w:tbl>
      <w:tblPr>
        <w:tblW w:w="4948" w:type="pct"/>
        <w:tblCellMar>
          <w:top w:w="15" w:type="dxa"/>
          <w:left w:w="15" w:type="dxa"/>
          <w:bottom w:w="15" w:type="dxa"/>
          <w:right w:w="15" w:type="dxa"/>
        </w:tblCellMar>
        <w:tblLook w:val="04A0" w:firstRow="1" w:lastRow="0" w:firstColumn="1" w:lastColumn="0" w:noHBand="0" w:noVBand="1"/>
      </w:tblPr>
      <w:tblGrid>
        <w:gridCol w:w="39"/>
        <w:gridCol w:w="4578"/>
        <w:gridCol w:w="38"/>
        <w:gridCol w:w="120"/>
        <w:gridCol w:w="985"/>
        <w:gridCol w:w="187"/>
        <w:gridCol w:w="36"/>
        <w:gridCol w:w="36"/>
        <w:gridCol w:w="36"/>
        <w:gridCol w:w="120"/>
        <w:gridCol w:w="898"/>
        <w:gridCol w:w="187"/>
        <w:gridCol w:w="36"/>
        <w:gridCol w:w="36"/>
        <w:gridCol w:w="36"/>
        <w:gridCol w:w="68"/>
        <w:gridCol w:w="597"/>
        <w:gridCol w:w="187"/>
      </w:tblGrid>
      <w:tr w:rsidR="00000000">
        <w:trPr>
          <w:divId w:val="1544098081"/>
        </w:trPr>
        <w:tc>
          <w:tcPr>
            <w:tcW w:w="50" w:type="pct"/>
            <w:vAlign w:val="center"/>
            <w:hideMark/>
          </w:tcPr>
          <w:p w:rsidR="00000000" w:rsidRDefault="0039054C">
            <w:pPr>
              <w:rPr>
                <w:rFonts w:eastAsia="Times New Roman"/>
              </w:rPr>
            </w:pPr>
          </w:p>
        </w:tc>
        <w:tc>
          <w:tcPr>
            <w:tcW w:w="289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544098081"/>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1544098081"/>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 Inc/(Dec)</w:t>
            </w:r>
          </w:p>
        </w:tc>
      </w:tr>
      <w:tr w:rsidR="00000000">
        <w:trPr>
          <w:divId w:val="1544098081"/>
        </w:trPr>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544098081"/>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544098081"/>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1,236 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1,192 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544098081"/>
        </w:trPr>
        <w:tc>
          <w:tcPr>
            <w:tcW w:w="0" w:type="auto"/>
            <w:gridSpan w:val="3"/>
            <w:vAlign w:val="center"/>
            <w:hideMark/>
          </w:tcPr>
          <w:p w:rsidR="00000000" w:rsidRDefault="0039054C">
            <w:pPr>
              <w:jc w:val="right"/>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54409808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54409808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54409808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544098081"/>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544098081"/>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544098081"/>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bl>
    <w:p w:rsidR="00000000" w:rsidRDefault="0039054C">
      <w:pPr>
        <w:ind w:firstLine="450"/>
        <w:divId w:val="891233215"/>
        <w:rPr>
          <w:rFonts w:eastAsia="Times New Roman"/>
        </w:rPr>
      </w:pPr>
      <w:r>
        <w:rPr>
          <w:rFonts w:eastAsia="Times New Roman"/>
          <w:color w:val="000000"/>
          <w:sz w:val="20"/>
          <w:szCs w:val="20"/>
        </w:rPr>
        <w:t>The increase in segment revenue in the first quarter of fiscal 2021 compared with the first quarter of fiscal 2020 was primarily due to $33 million of higher revenue in Space from a ramp in missile defense and other responsive programs, as well as growth i</w:t>
      </w:r>
      <w:r>
        <w:rPr>
          <w:rFonts w:eastAsia="Times New Roman"/>
          <w:color w:val="000000"/>
          <w:sz w:val="20"/>
          <w:szCs w:val="20"/>
        </w:rPr>
        <w:t xml:space="preserve">n Mission Avionics from a ramp in the F-35 platform and in Intel and Cyber from classified programs, partially offset by modestly lower revenue in Electronic Warfare, reflecting program timing. </w:t>
      </w:r>
    </w:p>
    <w:p w:rsidR="00000000" w:rsidRDefault="0039054C">
      <w:pPr>
        <w:ind w:firstLine="450"/>
        <w:divId w:val="1640450250"/>
        <w:rPr>
          <w:rFonts w:eastAsia="Times New Roman"/>
        </w:rPr>
      </w:pPr>
      <w:r>
        <w:rPr>
          <w:rFonts w:eastAsia="Times New Roman"/>
          <w:color w:val="000000"/>
          <w:sz w:val="20"/>
          <w:szCs w:val="20"/>
        </w:rPr>
        <w:t xml:space="preserve">Segment operating income increased and operating income as a </w:t>
      </w:r>
      <w:r>
        <w:rPr>
          <w:rFonts w:eastAsia="Times New Roman"/>
          <w:color w:val="000000"/>
          <w:sz w:val="20"/>
          <w:szCs w:val="20"/>
        </w:rPr>
        <w:t>percentage of revenue (“operating margin percentage”) was comparable in the first quarter of fiscal 2021 compared with the first quarter of fiscal 2020, reflecting cost management, operational excellence and higher pension income.</w:t>
      </w:r>
    </w:p>
    <w:p w:rsidR="00000000" w:rsidRDefault="0039054C">
      <w:pPr>
        <w:divId w:val="146829746"/>
        <w:rPr>
          <w:rFonts w:eastAsia="Times New Roman"/>
        </w:rPr>
      </w:pPr>
      <w:r>
        <w:rPr>
          <w:rFonts w:eastAsia="Times New Roman"/>
          <w:b/>
          <w:bCs/>
          <w:color w:val="000000"/>
          <w:sz w:val="20"/>
          <w:szCs w:val="20"/>
        </w:rPr>
        <w:t>Communication Systems</w:t>
      </w:r>
    </w:p>
    <w:tbl>
      <w:tblPr>
        <w:tblW w:w="4948" w:type="pct"/>
        <w:tblCellMar>
          <w:top w:w="15" w:type="dxa"/>
          <w:left w:w="15" w:type="dxa"/>
          <w:bottom w:w="15" w:type="dxa"/>
          <w:right w:w="15" w:type="dxa"/>
        </w:tblCellMar>
        <w:tblLook w:val="04A0" w:firstRow="1" w:lastRow="0" w:firstColumn="1" w:lastColumn="0" w:noHBand="0" w:noVBand="1"/>
      </w:tblPr>
      <w:tblGrid>
        <w:gridCol w:w="39"/>
        <w:gridCol w:w="4578"/>
        <w:gridCol w:w="38"/>
        <w:gridCol w:w="120"/>
        <w:gridCol w:w="985"/>
        <w:gridCol w:w="187"/>
        <w:gridCol w:w="36"/>
        <w:gridCol w:w="36"/>
        <w:gridCol w:w="36"/>
        <w:gridCol w:w="120"/>
        <w:gridCol w:w="898"/>
        <w:gridCol w:w="187"/>
        <w:gridCol w:w="36"/>
        <w:gridCol w:w="36"/>
        <w:gridCol w:w="36"/>
        <w:gridCol w:w="68"/>
        <w:gridCol w:w="597"/>
        <w:gridCol w:w="187"/>
      </w:tblGrid>
      <w:tr w:rsidR="00000000">
        <w:trPr>
          <w:divId w:val="1907567266"/>
        </w:trPr>
        <w:tc>
          <w:tcPr>
            <w:tcW w:w="50" w:type="pct"/>
            <w:vAlign w:val="center"/>
            <w:hideMark/>
          </w:tcPr>
          <w:p w:rsidR="00000000" w:rsidRDefault="0039054C">
            <w:pPr>
              <w:rPr>
                <w:rFonts w:eastAsia="Times New Roman"/>
              </w:rPr>
            </w:pPr>
          </w:p>
        </w:tc>
        <w:tc>
          <w:tcPr>
            <w:tcW w:w="289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907567266"/>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1907567266"/>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 Inc/(Dec)</w:t>
            </w:r>
          </w:p>
        </w:tc>
      </w:tr>
      <w:tr w:rsidR="00000000">
        <w:trPr>
          <w:divId w:val="1907567266"/>
        </w:trPr>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907567266"/>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907567266"/>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1,094 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907567266"/>
        </w:trPr>
        <w:tc>
          <w:tcPr>
            <w:tcW w:w="0" w:type="auto"/>
            <w:gridSpan w:val="3"/>
            <w:vAlign w:val="center"/>
            <w:hideMark/>
          </w:tcPr>
          <w:p w:rsidR="00000000" w:rsidRDefault="0039054C">
            <w:pPr>
              <w:jc w:val="right"/>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90756726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90756726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90756726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907567266"/>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907567266"/>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Segment operating income</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907567266"/>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bl>
    <w:p w:rsidR="00000000" w:rsidRDefault="0039054C">
      <w:pPr>
        <w:ind w:firstLine="450"/>
        <w:divId w:val="633215173"/>
        <w:rPr>
          <w:rFonts w:eastAsia="Times New Roman"/>
        </w:rPr>
      </w:pPr>
      <w:r>
        <w:rPr>
          <w:rFonts w:eastAsia="Times New Roman"/>
          <w:color w:val="000000"/>
          <w:sz w:val="20"/>
          <w:szCs w:val="20"/>
        </w:rPr>
        <w:t>The increase in segment revenue in the first quarter of fiscal 2021 compared with the first quarter of fiscal 2020 was primarily due to $39 million and $19 million of higher revenue in Tactical Communications and Global Communications Solutions, respective</w:t>
      </w:r>
      <w:r>
        <w:rPr>
          <w:rFonts w:eastAsia="Times New Roman"/>
          <w:color w:val="000000"/>
          <w:sz w:val="20"/>
          <w:szCs w:val="20"/>
        </w:rPr>
        <w:t>ly, primarily from the continued ramp in DoD modernization that also benefited Integrated Vision Solutions, partially offset by $25 million of lower revenue in Public Safety due to anticipated COVID-related impacts, the impact of the EOTech business divest</w:t>
      </w:r>
      <w:r>
        <w:rPr>
          <w:rFonts w:eastAsia="Times New Roman"/>
          <w:color w:val="000000"/>
          <w:sz w:val="20"/>
          <w:szCs w:val="20"/>
        </w:rPr>
        <w:t xml:space="preserve">iture on July 31, 2020 and lower volume on legacy unmanned platforms in Broadband Communications. </w:t>
      </w:r>
    </w:p>
    <w:p w:rsidR="00000000" w:rsidRDefault="0039054C">
      <w:pPr>
        <w:ind w:firstLine="450"/>
        <w:divId w:val="1186139885"/>
        <w:rPr>
          <w:rFonts w:eastAsia="Times New Roman"/>
        </w:rPr>
      </w:pPr>
      <w:r>
        <w:rPr>
          <w:rFonts w:eastAsia="Times New Roman"/>
          <w:color w:val="000000"/>
          <w:sz w:val="20"/>
          <w:szCs w:val="20"/>
        </w:rPr>
        <w:t xml:space="preserve">The increases in segment operating income and operating margin percentage in the first quarter of fiscal 2021 compared with the first quarter of fiscal 2020 </w:t>
      </w:r>
      <w:r>
        <w:rPr>
          <w:rFonts w:eastAsia="Times New Roman"/>
          <w:color w:val="000000"/>
          <w:sz w:val="20"/>
          <w:szCs w:val="20"/>
        </w:rPr>
        <w:t>were primarily due to operational excellence, cost management and integration benefits.</w:t>
      </w:r>
    </w:p>
    <w:p w:rsidR="00000000" w:rsidRDefault="0039054C">
      <w:pPr>
        <w:ind w:firstLine="450"/>
        <w:jc w:val="center"/>
        <w:divId w:val="869605690"/>
        <w:rPr>
          <w:rFonts w:eastAsia="Times New Roman"/>
        </w:rPr>
      </w:pPr>
      <w:r>
        <w:rPr>
          <w:rFonts w:eastAsia="Times New Roman"/>
          <w:color w:val="000000"/>
          <w:sz w:val="20"/>
          <w:szCs w:val="20"/>
        </w:rPr>
        <w:t>29</w:t>
      </w:r>
    </w:p>
    <w:p w:rsidR="00000000" w:rsidRDefault="0039054C">
      <w:pPr>
        <w:rPr>
          <w:rFonts w:eastAsia="Times New Roman"/>
        </w:rPr>
      </w:pPr>
      <w:r>
        <w:rPr>
          <w:rFonts w:eastAsia="Times New Roman"/>
        </w:rPr>
        <w:pict>
          <v:rect id="_x0000_i1056" style="width:0;height:1.5pt" o:hralign="center" o:hrstd="t" o:hr="t" fillcolor="#a0a0a0" stroked="f"/>
        </w:pict>
      </w:r>
    </w:p>
    <w:p w:rsidR="00000000" w:rsidRDefault="0039054C">
      <w:pPr>
        <w:ind w:firstLine="450"/>
        <w:divId w:val="264768853"/>
        <w:rPr>
          <w:rFonts w:eastAsia="Times New Roman"/>
        </w:rPr>
      </w:pPr>
    </w:p>
    <w:p w:rsidR="00000000" w:rsidRDefault="0039054C">
      <w:pPr>
        <w:ind w:firstLine="450"/>
        <w:divId w:val="2086220328"/>
        <w:rPr>
          <w:rFonts w:eastAsia="Times New Roman"/>
        </w:rPr>
      </w:pPr>
    </w:p>
    <w:p w:rsidR="00000000" w:rsidRDefault="0039054C">
      <w:pPr>
        <w:divId w:val="1824393309"/>
        <w:rPr>
          <w:rFonts w:eastAsia="Times New Roman"/>
        </w:rPr>
      </w:pPr>
      <w:r>
        <w:rPr>
          <w:rFonts w:eastAsia="Times New Roman"/>
          <w:b/>
          <w:bCs/>
          <w:color w:val="000000"/>
          <w:sz w:val="20"/>
          <w:szCs w:val="20"/>
        </w:rPr>
        <w:t>Aviation Systems</w:t>
      </w:r>
    </w:p>
    <w:tbl>
      <w:tblPr>
        <w:tblW w:w="4948" w:type="pct"/>
        <w:tblCellMar>
          <w:top w:w="15" w:type="dxa"/>
          <w:left w:w="15" w:type="dxa"/>
          <w:bottom w:w="15" w:type="dxa"/>
          <w:right w:w="15" w:type="dxa"/>
        </w:tblCellMar>
        <w:tblLook w:val="04A0" w:firstRow="1" w:lastRow="0" w:firstColumn="1" w:lastColumn="0" w:noHBand="0" w:noVBand="1"/>
      </w:tblPr>
      <w:tblGrid>
        <w:gridCol w:w="39"/>
        <w:gridCol w:w="4578"/>
        <w:gridCol w:w="38"/>
        <w:gridCol w:w="120"/>
        <w:gridCol w:w="985"/>
        <w:gridCol w:w="187"/>
        <w:gridCol w:w="36"/>
        <w:gridCol w:w="36"/>
        <w:gridCol w:w="36"/>
        <w:gridCol w:w="120"/>
        <w:gridCol w:w="898"/>
        <w:gridCol w:w="187"/>
        <w:gridCol w:w="36"/>
        <w:gridCol w:w="36"/>
        <w:gridCol w:w="36"/>
        <w:gridCol w:w="68"/>
        <w:gridCol w:w="597"/>
        <w:gridCol w:w="187"/>
      </w:tblGrid>
      <w:tr w:rsidR="00000000">
        <w:trPr>
          <w:divId w:val="1442991992"/>
        </w:trPr>
        <w:tc>
          <w:tcPr>
            <w:tcW w:w="50" w:type="pct"/>
            <w:vAlign w:val="center"/>
            <w:hideMark/>
          </w:tcPr>
          <w:p w:rsidR="00000000" w:rsidRDefault="0039054C">
            <w:pPr>
              <w:rPr>
                <w:rFonts w:eastAsia="Times New Roman"/>
              </w:rPr>
            </w:pPr>
          </w:p>
        </w:tc>
        <w:tc>
          <w:tcPr>
            <w:tcW w:w="289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44299199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144299199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 Inc/(Dec)</w:t>
            </w:r>
          </w:p>
        </w:tc>
      </w:tr>
      <w:tr w:rsidR="00000000">
        <w:trPr>
          <w:divId w:val="1442991992"/>
        </w:trPr>
        <w:tc>
          <w:tcPr>
            <w:tcW w:w="0" w:type="auto"/>
            <w:gridSpan w:val="3"/>
            <w:vAlign w:val="center"/>
            <w:hideMark/>
          </w:tcPr>
          <w:p w:rsidR="00000000" w:rsidRDefault="0039054C">
            <w:pPr>
              <w:jc w:val="center"/>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1442991992"/>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42991992"/>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Revenue</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814 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442991992"/>
        </w:trPr>
        <w:tc>
          <w:tcPr>
            <w:tcW w:w="0" w:type="auto"/>
            <w:gridSpan w:val="3"/>
            <w:vAlign w:val="center"/>
            <w:hideMark/>
          </w:tcPr>
          <w:p w:rsidR="00000000" w:rsidRDefault="0039054C">
            <w:pPr>
              <w:jc w:val="right"/>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42991992"/>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42991992"/>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42991992"/>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42991992"/>
        </w:trPr>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442991992"/>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Segment operating income (loss)</w:t>
            </w: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(177)</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172 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442991992"/>
        </w:trPr>
        <w:tc>
          <w:tcPr>
            <w:tcW w:w="0" w:type="auto"/>
            <w:gridSpan w:val="3"/>
            <w:shd w:val="clear" w:color="auto" w:fill="CCEEFF"/>
            <w:tcMar>
              <w:top w:w="30" w:type="dxa"/>
              <w:left w:w="380" w:type="dxa"/>
              <w:bottom w:w="30" w:type="dxa"/>
              <w:right w:w="20" w:type="dxa"/>
            </w:tcMar>
            <w:vAlign w:val="bottom"/>
            <w:hideMark/>
          </w:tcPr>
          <w:p w:rsidR="00000000" w:rsidRDefault="0039054C">
            <w:pPr>
              <w:rPr>
                <w:rFonts w:eastAsia="Times New Roman"/>
              </w:rPr>
            </w:pPr>
            <w:r>
              <w:rPr>
                <w:rFonts w:eastAsia="Times New Roman"/>
                <w:i/>
                <w:iCs/>
                <w:color w:val="000000"/>
                <w:sz w:val="20"/>
                <w:szCs w:val="20"/>
              </w:rPr>
              <w:t>% of revenue</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i/>
                <w:i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i/>
                <w:i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bl>
    <w:p w:rsidR="00000000" w:rsidRDefault="0039054C">
      <w:pPr>
        <w:ind w:firstLine="450"/>
        <w:divId w:val="1334991896"/>
        <w:rPr>
          <w:rFonts w:eastAsia="Times New Roman"/>
        </w:rPr>
      </w:pPr>
      <w:r>
        <w:rPr>
          <w:rFonts w:eastAsia="Times New Roman"/>
          <w:color w:val="000000"/>
          <w:sz w:val="20"/>
          <w:szCs w:val="20"/>
        </w:rPr>
        <w:t>The decrease in segment revenue in the first quarter of fiscal 2021 compared with the first quarter of fiscal 2020 was primarily due to $209 million of lower commercial aviation revenue, including a $123 million revenue impact from the airport security and</w:t>
      </w:r>
      <w:r>
        <w:rPr>
          <w:rFonts w:eastAsia="Times New Roman"/>
          <w:color w:val="000000"/>
          <w:sz w:val="20"/>
          <w:szCs w:val="20"/>
        </w:rPr>
        <w:t xml:space="preserve"> automation business divestiture on May 4, 2020 and lower revenue from the COVID-related downturn in the commercial aviation market and its impact on customer operations and lower revenue in Military Training primarily due to program timing, partially offs</w:t>
      </w:r>
      <w:r>
        <w:rPr>
          <w:rFonts w:eastAsia="Times New Roman"/>
          <w:color w:val="000000"/>
          <w:sz w:val="20"/>
          <w:szCs w:val="20"/>
        </w:rPr>
        <w:t xml:space="preserve">et by $15 million of higher revenue in Mission Networks from higher U.S. Federal Aviation Administration volume and $11 million of higher revenue in Defense Aviation. </w:t>
      </w:r>
    </w:p>
    <w:p w:rsidR="00000000" w:rsidRDefault="0039054C">
      <w:pPr>
        <w:ind w:firstLine="450"/>
        <w:divId w:val="374163533"/>
        <w:rPr>
          <w:rFonts w:eastAsia="Times New Roman"/>
        </w:rPr>
      </w:pPr>
      <w:r>
        <w:rPr>
          <w:rFonts w:eastAsia="Times New Roman"/>
          <w:color w:val="000000"/>
          <w:sz w:val="20"/>
          <w:szCs w:val="20"/>
        </w:rPr>
        <w:t>The increases in segment operating income and operating margin percentage in the first q</w:t>
      </w:r>
      <w:r>
        <w:rPr>
          <w:rFonts w:eastAsia="Times New Roman"/>
          <w:color w:val="000000"/>
          <w:sz w:val="20"/>
          <w:szCs w:val="20"/>
        </w:rPr>
        <w:t>uarter of fiscal 2021 compared with the first quarter of fiscal 2020 were primarily due to $324 million of non-cash charges for the impairment of goodwill and other assets and restructuring charges recorded in the first quarter of fiscal 2020 due to the CO</w:t>
      </w:r>
      <w:r>
        <w:rPr>
          <w:rFonts w:eastAsia="Times New Roman"/>
          <w:color w:val="000000"/>
          <w:sz w:val="20"/>
          <w:szCs w:val="20"/>
        </w:rPr>
        <w:t xml:space="preserve">VID-related downturn in the commercial aviation market and its impact on customer operations. Aside from the impact of the prior-year COVID-related impairment of goodwill and other assets, segment operating income and operating margin percentage decreased </w:t>
      </w:r>
      <w:r>
        <w:rPr>
          <w:rFonts w:eastAsia="Times New Roman"/>
          <w:color w:val="000000"/>
          <w:sz w:val="20"/>
          <w:szCs w:val="20"/>
        </w:rPr>
        <w:t>in the first quarter of fiscal 2021 compared with the first quarter of fiscal 2020 primarily due to impacts from COVID and the divestiture of the airport security and automation business, partially offset by operational excellence, cost management and inte</w:t>
      </w:r>
      <w:r>
        <w:rPr>
          <w:rFonts w:eastAsia="Times New Roman"/>
          <w:color w:val="000000"/>
          <w:sz w:val="20"/>
          <w:szCs w:val="20"/>
        </w:rPr>
        <w:t>gration benefits in the first quarter of fiscal 2021.</w:t>
      </w:r>
    </w:p>
    <w:p w:rsidR="00000000" w:rsidRDefault="0039054C">
      <w:pPr>
        <w:divId w:val="1291133080"/>
        <w:rPr>
          <w:rFonts w:eastAsia="Times New Roman"/>
        </w:rPr>
      </w:pPr>
      <w:r>
        <w:rPr>
          <w:rFonts w:eastAsia="Times New Roman"/>
          <w:b/>
          <w:bCs/>
          <w:color w:val="000000"/>
          <w:sz w:val="20"/>
          <w:szCs w:val="20"/>
        </w:rPr>
        <w:t>Unallocated Corporate Expenses</w:t>
      </w:r>
    </w:p>
    <w:tbl>
      <w:tblPr>
        <w:tblW w:w="4948" w:type="pct"/>
        <w:tblCellMar>
          <w:top w:w="15" w:type="dxa"/>
          <w:left w:w="15" w:type="dxa"/>
          <w:bottom w:w="15" w:type="dxa"/>
          <w:right w:w="15" w:type="dxa"/>
        </w:tblCellMar>
        <w:tblLook w:val="04A0" w:firstRow="1" w:lastRow="0" w:firstColumn="1" w:lastColumn="0" w:noHBand="0" w:noVBand="1"/>
      </w:tblPr>
      <w:tblGrid>
        <w:gridCol w:w="39"/>
        <w:gridCol w:w="4691"/>
        <w:gridCol w:w="37"/>
        <w:gridCol w:w="120"/>
        <w:gridCol w:w="1061"/>
        <w:gridCol w:w="36"/>
        <w:gridCol w:w="36"/>
        <w:gridCol w:w="36"/>
        <w:gridCol w:w="36"/>
        <w:gridCol w:w="120"/>
        <w:gridCol w:w="1012"/>
        <w:gridCol w:w="36"/>
        <w:gridCol w:w="36"/>
        <w:gridCol w:w="36"/>
        <w:gridCol w:w="36"/>
        <w:gridCol w:w="68"/>
        <w:gridCol w:w="597"/>
        <w:gridCol w:w="187"/>
      </w:tblGrid>
      <w:tr w:rsidR="00000000">
        <w:trPr>
          <w:divId w:val="1732121562"/>
        </w:trPr>
        <w:tc>
          <w:tcPr>
            <w:tcW w:w="50" w:type="pct"/>
            <w:vAlign w:val="center"/>
            <w:hideMark/>
          </w:tcPr>
          <w:p w:rsidR="00000000" w:rsidRDefault="0039054C">
            <w:pPr>
              <w:rPr>
                <w:rFonts w:eastAsia="Times New Roman"/>
              </w:rPr>
            </w:pPr>
          </w:p>
        </w:tc>
        <w:tc>
          <w:tcPr>
            <w:tcW w:w="289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8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39"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73212156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15"/>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1732121562"/>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 Inc/(Dec)</w:t>
            </w:r>
          </w:p>
        </w:tc>
      </w:tr>
      <w:tr w:rsidR="00000000">
        <w:trPr>
          <w:divId w:val="1732121562"/>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732121562"/>
        </w:trPr>
        <w:tc>
          <w:tcPr>
            <w:tcW w:w="0" w:type="auto"/>
            <w:gridSpan w:val="3"/>
            <w:shd w:val="clear" w:color="auto" w:fill="CCEE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 xml:space="preserve">Unallocated corporate expenses </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732121562"/>
        </w:trPr>
        <w:tc>
          <w:tcPr>
            <w:tcW w:w="0" w:type="auto"/>
            <w:gridSpan w:val="3"/>
            <w:shd w:val="clear" w:color="auto" w:fill="FFFF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L3Harris Merger-related integration expenses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732121562"/>
        </w:trPr>
        <w:tc>
          <w:tcPr>
            <w:tcW w:w="0" w:type="auto"/>
            <w:gridSpan w:val="3"/>
            <w:vAlign w:val="center"/>
            <w:hideMark/>
          </w:tcPr>
          <w:p w:rsidR="00000000" w:rsidRDefault="0039054C">
            <w:pPr>
              <w:jc w:val="right"/>
              <w:rPr>
                <w:rFonts w:eastAsia="Times New Roman"/>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1732121562"/>
        </w:trPr>
        <w:tc>
          <w:tcPr>
            <w:tcW w:w="0" w:type="auto"/>
            <w:gridSpan w:val="3"/>
            <w:shd w:val="clear" w:color="auto" w:fill="CCEE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Amortization of acquisition-related intangibles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732121562"/>
        </w:trPr>
        <w:tc>
          <w:tcPr>
            <w:tcW w:w="0" w:type="auto"/>
            <w:gridSpan w:val="3"/>
            <w:shd w:val="clear" w:color="auto" w:fill="FFFF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Business divestiture-related losses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r w:rsidR="00000000">
        <w:trPr>
          <w:divId w:val="1732121562"/>
        </w:trPr>
        <w:tc>
          <w:tcPr>
            <w:tcW w:w="0" w:type="auto"/>
            <w:gridSpan w:val="3"/>
            <w:shd w:val="clear" w:color="auto" w:fill="CCEE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Impairment of goodwill and other assets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39054C">
            <w:pPr>
              <w:jc w:val="right"/>
              <w:rPr>
                <w:rFonts w:eastAsia="Times New Roman"/>
              </w:rPr>
            </w:pPr>
            <w:r>
              <w:rPr>
                <w:rFonts w:eastAsia="Times New Roman"/>
                <w:color w:val="000000"/>
                <w:sz w:val="20"/>
                <w:szCs w:val="20"/>
              </w:rPr>
              <w:t>*</w:t>
            </w:r>
          </w:p>
        </w:tc>
      </w:tr>
    </w:tbl>
    <w:p w:rsidR="00000000" w:rsidRDefault="0039054C">
      <w:pPr>
        <w:divId w:val="845901082"/>
        <w:rPr>
          <w:rFonts w:eastAsia="Times New Roman"/>
        </w:rPr>
      </w:pPr>
      <w:r>
        <w:rPr>
          <w:rFonts w:eastAsia="Times New Roman"/>
          <w:color w:val="000000"/>
          <w:sz w:val="16"/>
          <w:szCs w:val="16"/>
        </w:rPr>
        <w:t>_________________</w:t>
      </w:r>
    </w:p>
    <w:p w:rsidR="00000000" w:rsidRDefault="0039054C">
      <w:pPr>
        <w:ind w:hanging="360"/>
        <w:divId w:val="342323919"/>
        <w:rPr>
          <w:rFonts w:eastAsia="Times New Roman"/>
        </w:rPr>
      </w:pPr>
      <w:r>
        <w:rPr>
          <w:rFonts w:eastAsia="Times New Roman"/>
          <w:color w:val="000000"/>
          <w:sz w:val="16"/>
          <w:szCs w:val="16"/>
        </w:rPr>
        <w:t>*Not meaningful</w:t>
      </w:r>
    </w:p>
    <w:p w:rsidR="00000000" w:rsidRDefault="0039054C">
      <w:pPr>
        <w:ind w:firstLine="450"/>
        <w:divId w:val="365910657"/>
        <w:rPr>
          <w:rFonts w:eastAsia="Times New Roman"/>
        </w:rPr>
      </w:pPr>
      <w:r>
        <w:rPr>
          <w:rFonts w:eastAsia="Times New Roman"/>
          <w:color w:val="000000"/>
          <w:sz w:val="20"/>
          <w:szCs w:val="20"/>
        </w:rPr>
        <w:t>The increase in unallocated corporate expenses in the first quarter of fiscal 2021 compared with the first quarter of fiscal 2020 was primarily due to a $15 million accrual for a value added tax obligation, $7 million of divestiture-related costs and an in</w:t>
      </w:r>
      <w:r>
        <w:rPr>
          <w:rFonts w:eastAsia="Times New Roman"/>
          <w:color w:val="000000"/>
          <w:sz w:val="20"/>
          <w:szCs w:val="20"/>
        </w:rPr>
        <w:t>crease in compensation expense accruals in the first quarter of fiscal 2021, partially offset by $15 million of additional cost of sales related to the fair value step-up in inventory sold recorded in the first quarter of fiscal 2020.</w:t>
      </w:r>
    </w:p>
    <w:p w:rsidR="00000000" w:rsidRDefault="0039054C">
      <w:pPr>
        <w:divId w:val="814906161"/>
        <w:rPr>
          <w:rFonts w:eastAsia="Times New Roman"/>
        </w:rPr>
      </w:pPr>
      <w:r>
        <w:rPr>
          <w:rFonts w:eastAsia="Times New Roman"/>
          <w:b/>
          <w:bCs/>
          <w:color w:val="000000"/>
          <w:sz w:val="20"/>
          <w:szCs w:val="20"/>
        </w:rPr>
        <w:t>LIQUIDITY, CAPITAL RESOURCES AND FINANCIAL STRATEGIES</w:t>
      </w:r>
    </w:p>
    <w:p w:rsidR="00000000" w:rsidRDefault="0039054C">
      <w:pPr>
        <w:divId w:val="969475490"/>
        <w:rPr>
          <w:rFonts w:eastAsia="Times New Roman"/>
        </w:rPr>
      </w:pPr>
      <w:r>
        <w:rPr>
          <w:rFonts w:eastAsia="Times New Roman"/>
          <w:b/>
          <w:bCs/>
          <w:color w:val="000000"/>
          <w:sz w:val="20"/>
          <w:szCs w:val="20"/>
        </w:rPr>
        <w:t>Cash Flows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5683"/>
        <w:gridCol w:w="38"/>
        <w:gridCol w:w="121"/>
        <w:gridCol w:w="1078"/>
        <w:gridCol w:w="36"/>
        <w:gridCol w:w="36"/>
        <w:gridCol w:w="36"/>
        <w:gridCol w:w="36"/>
        <w:gridCol w:w="120"/>
        <w:gridCol w:w="1046"/>
        <w:gridCol w:w="36"/>
      </w:tblGrid>
      <w:tr w:rsidR="00000000">
        <w:trPr>
          <w:divId w:val="788547555"/>
        </w:trPr>
        <w:tc>
          <w:tcPr>
            <w:tcW w:w="50" w:type="pct"/>
            <w:vAlign w:val="center"/>
            <w:hideMark/>
          </w:tcPr>
          <w:p w:rsidR="00000000" w:rsidRDefault="0039054C">
            <w:pPr>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788547555"/>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r>
      <w:tr w:rsidR="00000000">
        <w:trPr>
          <w:divId w:val="788547555"/>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r>
      <w:tr w:rsidR="00000000">
        <w:trPr>
          <w:divId w:val="788547555"/>
          <w:trHeight w:val="60"/>
        </w:trPr>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788547555"/>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cash provided by operating activities</w:t>
            </w: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88547555"/>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cash used in investing activities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88547555"/>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cash used in financing activities</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(900)</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(612)</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88547555"/>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Effect of exchange rate changes on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88547555"/>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Net decrease in cash and cash equivalents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88547555"/>
        </w:trPr>
        <w:tc>
          <w:tcPr>
            <w:tcW w:w="0" w:type="auto"/>
            <w:gridSpan w:val="3"/>
            <w:shd w:val="clear" w:color="auto" w:fill="FFFF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1,276 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824 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788547555"/>
        </w:trPr>
        <w:tc>
          <w:tcPr>
            <w:tcW w:w="0" w:type="auto"/>
            <w:gridSpan w:val="3"/>
            <w:shd w:val="clear" w:color="auto" w:fill="CCEEFF"/>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Cash and cash equivalents, end of quarter</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976 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ind w:firstLine="450"/>
        <w:jc w:val="center"/>
        <w:divId w:val="1539079789"/>
        <w:rPr>
          <w:rFonts w:eastAsia="Times New Roman"/>
        </w:rPr>
      </w:pPr>
      <w:r>
        <w:rPr>
          <w:rFonts w:eastAsia="Times New Roman"/>
          <w:color w:val="000000"/>
          <w:sz w:val="20"/>
          <w:szCs w:val="20"/>
        </w:rPr>
        <w:t>30</w:t>
      </w:r>
    </w:p>
    <w:p w:rsidR="00000000" w:rsidRDefault="0039054C">
      <w:pPr>
        <w:rPr>
          <w:rFonts w:eastAsia="Times New Roman"/>
        </w:rPr>
      </w:pPr>
      <w:r>
        <w:rPr>
          <w:rFonts w:eastAsia="Times New Roman"/>
        </w:rPr>
        <w:pict>
          <v:rect id="_x0000_i1057" style="width:0;height:1.5pt" o:hralign="center" o:hrstd="t" o:hr="t" fillcolor="#a0a0a0" stroked="f"/>
        </w:pict>
      </w:r>
    </w:p>
    <w:p w:rsidR="00000000" w:rsidRDefault="0039054C">
      <w:pPr>
        <w:ind w:firstLine="450"/>
        <w:divId w:val="1893034749"/>
        <w:rPr>
          <w:rFonts w:eastAsia="Times New Roman"/>
        </w:rPr>
      </w:pPr>
    </w:p>
    <w:p w:rsidR="00000000" w:rsidRDefault="0039054C">
      <w:pPr>
        <w:ind w:firstLine="450"/>
        <w:divId w:val="92827745"/>
        <w:rPr>
          <w:rFonts w:eastAsia="Times New Roman"/>
        </w:rPr>
      </w:pPr>
    </w:p>
    <w:p w:rsidR="00000000" w:rsidRDefault="0039054C">
      <w:pPr>
        <w:divId w:val="1155535398"/>
        <w:rPr>
          <w:rFonts w:eastAsia="Times New Roman"/>
        </w:rPr>
      </w:pPr>
      <w:r>
        <w:rPr>
          <w:rFonts w:eastAsia="Times New Roman"/>
          <w:b/>
          <w:bCs/>
          <w:i/>
          <w:iCs/>
          <w:color w:val="000000"/>
          <w:sz w:val="20"/>
          <w:szCs w:val="20"/>
        </w:rPr>
        <w:t>Cash and cash equivalents</w:t>
      </w:r>
    </w:p>
    <w:p w:rsidR="00000000" w:rsidRDefault="0039054C">
      <w:pPr>
        <w:ind w:firstLine="450"/>
        <w:divId w:val="911547532"/>
        <w:rPr>
          <w:rFonts w:eastAsia="Times New Roman"/>
        </w:rPr>
      </w:pPr>
      <w:r>
        <w:rPr>
          <w:rFonts w:eastAsia="Times New Roman"/>
          <w:color w:val="000000"/>
          <w:sz w:val="20"/>
          <w:szCs w:val="20"/>
        </w:rPr>
        <w:t>The $300 million net decrease in cash and cash equivalents in the first quarter of fiscal 2021 was primarily due to:</w:t>
      </w:r>
    </w:p>
    <w:p w:rsidR="00000000" w:rsidRDefault="0039054C">
      <w:pPr>
        <w:ind w:hanging="180"/>
        <w:divId w:val="952901715"/>
        <w:rPr>
          <w:rFonts w:eastAsia="Times New Roman"/>
        </w:rPr>
      </w:pPr>
      <w:r>
        <w:rPr>
          <w:rFonts w:eastAsia="Times New Roman"/>
          <w:color w:val="000000"/>
          <w:sz w:val="20"/>
          <w:szCs w:val="20"/>
        </w:rPr>
        <w:t>•$661 million of net cash provided by operating activities; and</w:t>
      </w:r>
    </w:p>
    <w:p w:rsidR="00000000" w:rsidRDefault="0039054C">
      <w:pPr>
        <w:ind w:hanging="180"/>
        <w:divId w:val="813520615"/>
        <w:rPr>
          <w:rFonts w:eastAsia="Times New Roman"/>
        </w:rPr>
      </w:pPr>
      <w:r>
        <w:rPr>
          <w:rFonts w:eastAsia="Times New Roman"/>
          <w:color w:val="000000"/>
          <w:sz w:val="20"/>
          <w:szCs w:val="20"/>
        </w:rPr>
        <w:t>•$10 mill</w:t>
      </w:r>
      <w:r>
        <w:rPr>
          <w:rFonts w:eastAsia="Times New Roman"/>
          <w:color w:val="000000"/>
          <w:sz w:val="20"/>
          <w:szCs w:val="20"/>
        </w:rPr>
        <w:t>ion of proceeds from exercises of employee stock options; more than offset by</w:t>
      </w:r>
    </w:p>
    <w:p w:rsidR="00000000" w:rsidRDefault="0039054C">
      <w:pPr>
        <w:ind w:hanging="180"/>
        <w:divId w:val="74671210"/>
        <w:rPr>
          <w:rFonts w:eastAsia="Times New Roman"/>
        </w:rPr>
      </w:pPr>
      <w:r>
        <w:rPr>
          <w:rFonts w:eastAsia="Times New Roman"/>
          <w:color w:val="000000"/>
          <w:sz w:val="20"/>
          <w:szCs w:val="20"/>
        </w:rPr>
        <w:t xml:space="preserve">•$700 million used to repurchase shares of our common stock; </w:t>
      </w:r>
    </w:p>
    <w:p w:rsidR="00000000" w:rsidRDefault="0039054C">
      <w:pPr>
        <w:ind w:hanging="180"/>
        <w:divId w:val="1723407468"/>
        <w:rPr>
          <w:rFonts w:eastAsia="Times New Roman"/>
        </w:rPr>
      </w:pPr>
      <w:r>
        <w:rPr>
          <w:rFonts w:eastAsia="Times New Roman"/>
          <w:color w:val="000000"/>
          <w:sz w:val="20"/>
          <w:szCs w:val="20"/>
        </w:rPr>
        <w:t>•$209 million used to pay cash dividends; and</w:t>
      </w:r>
    </w:p>
    <w:p w:rsidR="00000000" w:rsidRDefault="0039054C">
      <w:pPr>
        <w:ind w:hanging="180"/>
        <w:divId w:val="1857890076"/>
        <w:rPr>
          <w:rFonts w:eastAsia="Times New Roman"/>
        </w:rPr>
      </w:pPr>
      <w:r>
        <w:rPr>
          <w:rFonts w:eastAsia="Times New Roman"/>
          <w:color w:val="000000"/>
          <w:sz w:val="20"/>
          <w:szCs w:val="20"/>
        </w:rPr>
        <w:t>•$64 million used for net additions of property, plant and equipment.</w:t>
      </w:r>
    </w:p>
    <w:p w:rsidR="00000000" w:rsidRDefault="0039054C">
      <w:pPr>
        <w:ind w:firstLine="450"/>
        <w:divId w:val="474428"/>
        <w:rPr>
          <w:rFonts w:eastAsia="Times New Roman"/>
        </w:rPr>
      </w:pPr>
      <w:r>
        <w:rPr>
          <w:rFonts w:eastAsia="Times New Roman"/>
          <w:color w:val="000000"/>
          <w:sz w:val="20"/>
          <w:szCs w:val="20"/>
        </w:rPr>
        <w:t>The $161 million net decrease in cash and cash equivalents in the first quarter of fiscal 2020 was primarily due to:</w:t>
      </w:r>
    </w:p>
    <w:p w:rsidR="00000000" w:rsidRDefault="0039054C">
      <w:pPr>
        <w:ind w:hanging="180"/>
        <w:divId w:val="847712241"/>
        <w:rPr>
          <w:rFonts w:eastAsia="Times New Roman"/>
        </w:rPr>
      </w:pPr>
      <w:r>
        <w:rPr>
          <w:rFonts w:eastAsia="Times New Roman"/>
          <w:color w:val="000000"/>
          <w:sz w:val="20"/>
          <w:szCs w:val="20"/>
        </w:rPr>
        <w:t>•$533 million of net cash provided by operating activities;</w:t>
      </w:r>
    </w:p>
    <w:p w:rsidR="00000000" w:rsidRDefault="0039054C">
      <w:pPr>
        <w:ind w:hanging="180"/>
        <w:divId w:val="446244443"/>
        <w:rPr>
          <w:rFonts w:eastAsia="Times New Roman"/>
        </w:rPr>
      </w:pPr>
      <w:r>
        <w:rPr>
          <w:rFonts w:eastAsia="Times New Roman"/>
          <w:color w:val="000000"/>
          <w:sz w:val="20"/>
          <w:szCs w:val="20"/>
        </w:rPr>
        <w:t>•$245 million of net proceeds from borrowings; and</w:t>
      </w:r>
    </w:p>
    <w:p w:rsidR="00000000" w:rsidRDefault="0039054C">
      <w:pPr>
        <w:ind w:hanging="180"/>
        <w:divId w:val="301882975"/>
        <w:rPr>
          <w:rFonts w:eastAsia="Times New Roman"/>
        </w:rPr>
      </w:pPr>
      <w:r>
        <w:rPr>
          <w:rFonts w:eastAsia="Times New Roman"/>
          <w:color w:val="000000"/>
          <w:sz w:val="20"/>
          <w:szCs w:val="20"/>
        </w:rPr>
        <w:t>•$33 million of proceeds fro</w:t>
      </w:r>
      <w:r>
        <w:rPr>
          <w:rFonts w:eastAsia="Times New Roman"/>
          <w:color w:val="000000"/>
          <w:sz w:val="20"/>
          <w:szCs w:val="20"/>
        </w:rPr>
        <w:t>m exercises of employee stock options; more than offset by</w:t>
      </w:r>
    </w:p>
    <w:p w:rsidR="00000000" w:rsidRDefault="0039054C">
      <w:pPr>
        <w:ind w:hanging="180"/>
        <w:divId w:val="2101291795"/>
        <w:rPr>
          <w:rFonts w:eastAsia="Times New Roman"/>
        </w:rPr>
      </w:pPr>
      <w:r>
        <w:rPr>
          <w:rFonts w:eastAsia="Times New Roman"/>
          <w:color w:val="000000"/>
          <w:sz w:val="20"/>
          <w:szCs w:val="20"/>
        </w:rPr>
        <w:t>•$700 million used to repurchase shares of our common stock;</w:t>
      </w:r>
    </w:p>
    <w:p w:rsidR="00000000" w:rsidRDefault="0039054C">
      <w:pPr>
        <w:ind w:hanging="180"/>
        <w:divId w:val="146021938"/>
        <w:rPr>
          <w:rFonts w:eastAsia="Times New Roman"/>
        </w:rPr>
      </w:pPr>
      <w:r>
        <w:rPr>
          <w:rFonts w:eastAsia="Times New Roman"/>
          <w:color w:val="000000"/>
          <w:sz w:val="20"/>
          <w:szCs w:val="20"/>
        </w:rPr>
        <w:t>•$183 million used to pay cash dividends; and</w:t>
      </w:r>
    </w:p>
    <w:p w:rsidR="00000000" w:rsidRDefault="0039054C">
      <w:pPr>
        <w:ind w:hanging="180"/>
        <w:divId w:val="1880699914"/>
        <w:rPr>
          <w:rFonts w:eastAsia="Times New Roman"/>
        </w:rPr>
      </w:pPr>
      <w:r>
        <w:rPr>
          <w:rFonts w:eastAsia="Times New Roman"/>
          <w:color w:val="000000"/>
          <w:sz w:val="20"/>
          <w:szCs w:val="20"/>
        </w:rPr>
        <w:t>•$48 million used for net additions of property, plant and equipment.</w:t>
      </w:r>
    </w:p>
    <w:p w:rsidR="00000000" w:rsidRDefault="0039054C">
      <w:pPr>
        <w:ind w:firstLine="450"/>
        <w:divId w:val="1854613542"/>
        <w:rPr>
          <w:rFonts w:eastAsia="Times New Roman"/>
        </w:rPr>
      </w:pPr>
      <w:r>
        <w:rPr>
          <w:rFonts w:eastAsia="Times New Roman"/>
          <w:color w:val="000000"/>
          <w:sz w:val="20"/>
          <w:szCs w:val="20"/>
        </w:rPr>
        <w:t>At April 2, 2021, we</w:t>
      </w:r>
      <w:r>
        <w:rPr>
          <w:rFonts w:eastAsia="Times New Roman"/>
          <w:color w:val="000000"/>
          <w:sz w:val="20"/>
          <w:szCs w:val="20"/>
        </w:rPr>
        <w:t xml:space="preserve"> had cash and cash equivalents of $976 million, and we have a senior unsecured $2 billion revolving credit facility that expires in June 2024 (all of which was available to us as of April 2, 2021). Additionally, we had $7.1 billion of long-term debt outsta</w:t>
      </w:r>
      <w:r>
        <w:rPr>
          <w:rFonts w:eastAsia="Times New Roman"/>
          <w:color w:val="000000"/>
          <w:sz w:val="20"/>
          <w:szCs w:val="20"/>
        </w:rPr>
        <w:t>nding at April 2, 2021, the majority of which was assumed in connection with the L3Harris Merger and the acquisition of Exelis Inc. Our $976 million of cash and cash equivalents at April 2, 2021 included $283 million held by our foreign subsidiaries, a sig</w:t>
      </w:r>
      <w:r>
        <w:rPr>
          <w:rFonts w:eastAsia="Times New Roman"/>
          <w:color w:val="000000"/>
          <w:sz w:val="20"/>
          <w:szCs w:val="20"/>
        </w:rPr>
        <w:t>nificant portion of which we believe can be repatriated to the U.S. with minimal tax cost.</w:t>
      </w:r>
    </w:p>
    <w:p w:rsidR="00000000" w:rsidRDefault="0039054C">
      <w:pPr>
        <w:ind w:firstLine="450"/>
        <w:divId w:val="1056200753"/>
        <w:rPr>
          <w:rFonts w:eastAsia="Times New Roman"/>
        </w:rPr>
      </w:pPr>
      <w:r>
        <w:rPr>
          <w:rFonts w:eastAsia="Times New Roman"/>
          <w:color w:val="000000"/>
          <w:sz w:val="20"/>
          <w:szCs w:val="20"/>
        </w:rPr>
        <w:t>Given our current cash position, outlook for funds generated from operations, credit ratings, available credit facility, cash needs and debt structure, we have not e</w:t>
      </w:r>
      <w:r>
        <w:rPr>
          <w:rFonts w:eastAsia="Times New Roman"/>
          <w:color w:val="000000"/>
          <w:sz w:val="20"/>
          <w:szCs w:val="20"/>
        </w:rPr>
        <w:t>xperienced to date, and do not expect to experience, any material issues with liquidity, although we can give no assurances concerning our future liquidity, particularly in light of our overall level of debt, U.S. Government budget uncertainties and the st</w:t>
      </w:r>
      <w:r>
        <w:rPr>
          <w:rFonts w:eastAsia="Times New Roman"/>
          <w:color w:val="000000"/>
          <w:sz w:val="20"/>
          <w:szCs w:val="20"/>
        </w:rPr>
        <w:t xml:space="preserve">ate of global commerce and general political and financial uncertainty. We cannot predict the on-going impact that COVID, among other potential risks and uncertainties, will have on our cash from operations. For further information regarding COVID-related </w:t>
      </w:r>
      <w:r>
        <w:rPr>
          <w:rFonts w:eastAsia="Times New Roman"/>
          <w:color w:val="000000"/>
          <w:sz w:val="20"/>
          <w:szCs w:val="20"/>
        </w:rPr>
        <w:t>risks and uncertainties, see Item 1A. “Risk Factors” of our Fiscal 2020 Form 10-K.</w:t>
      </w:r>
    </w:p>
    <w:p w:rsidR="00000000" w:rsidRDefault="0039054C">
      <w:pPr>
        <w:ind w:firstLine="450"/>
        <w:divId w:val="1816098936"/>
        <w:rPr>
          <w:rFonts w:eastAsia="Times New Roman"/>
        </w:rPr>
      </w:pPr>
      <w:r>
        <w:rPr>
          <w:rFonts w:eastAsia="Times New Roman"/>
          <w:color w:val="000000"/>
          <w:sz w:val="20"/>
          <w:szCs w:val="20"/>
        </w:rPr>
        <w:t>Based on our current business plan and revenue prospects, we believe that our existing cash, funds generated from operations, our credit facility and access to the public an</w:t>
      </w:r>
      <w:r>
        <w:rPr>
          <w:rFonts w:eastAsia="Times New Roman"/>
          <w:color w:val="000000"/>
          <w:sz w:val="20"/>
          <w:szCs w:val="20"/>
        </w:rPr>
        <w:t xml:space="preserve">d private debt and equity markets will be sufficient to provide for our anticipated working capital requirements, capital expenditures, dividend payments, repurchases under our share repurchase program and repayments of our debt securities at maturity for </w:t>
      </w:r>
      <w:r>
        <w:rPr>
          <w:rFonts w:eastAsia="Times New Roman"/>
          <w:color w:val="000000"/>
          <w:sz w:val="20"/>
          <w:szCs w:val="20"/>
        </w:rPr>
        <w:t>the next twelve months and the reasonably foreseeable future thereafter. Our total capital expenditures for fiscal 2021 are expected to be approximately $375 million. We anticipate tax payments in fiscal 2021 to be approximately equal to or marginally less</w:t>
      </w:r>
      <w:r>
        <w:rPr>
          <w:rFonts w:eastAsia="Times New Roman"/>
          <w:color w:val="000000"/>
          <w:sz w:val="20"/>
          <w:szCs w:val="20"/>
        </w:rPr>
        <w:t xml:space="preserve"> than our tax expense for the same period, subject to adjustment for certain timing differences and divestitures. Other than those cash outlays noted in “Contractual Obligations” in Item 7. “Management’s Discussion and Analysis of Financial Condition and R</w:t>
      </w:r>
      <w:r>
        <w:rPr>
          <w:rFonts w:eastAsia="Times New Roman"/>
          <w:color w:val="000000"/>
          <w:sz w:val="20"/>
          <w:szCs w:val="20"/>
        </w:rPr>
        <w:t>esults of Operations” in our Fiscal 2020 Form 10-K and in the “Commercial Commitments and Contractual Obligations” section below in this MD&amp;A, capital expenditures, dividend payments, repurchases under our share repurchase program and L3Harris Merger-relat</w:t>
      </w:r>
      <w:r>
        <w:rPr>
          <w:rFonts w:eastAsia="Times New Roman"/>
          <w:color w:val="000000"/>
          <w:sz w:val="20"/>
          <w:szCs w:val="20"/>
        </w:rPr>
        <w:t>ed integration costs, we do not anticipate any significant cash outlays during the remainder of fiscal 2021. For further information regarding COVID-related risks and uncertainties, see Item 1A. “Risk Factors” of our Fiscal 2020 Form 10-K.</w:t>
      </w:r>
    </w:p>
    <w:p w:rsidR="00000000" w:rsidRDefault="0039054C">
      <w:pPr>
        <w:ind w:firstLine="450"/>
        <w:divId w:val="1103722519"/>
        <w:rPr>
          <w:rFonts w:eastAsia="Times New Roman"/>
        </w:rPr>
      </w:pPr>
      <w:r>
        <w:rPr>
          <w:rFonts w:eastAsia="Times New Roman"/>
          <w:color w:val="000000"/>
          <w:sz w:val="20"/>
          <w:szCs w:val="20"/>
        </w:rPr>
        <w:t xml:space="preserve">There can be no </w:t>
      </w:r>
      <w:r>
        <w:rPr>
          <w:rFonts w:eastAsia="Times New Roman"/>
          <w:color w:val="000000"/>
          <w:sz w:val="20"/>
          <w:szCs w:val="20"/>
        </w:rPr>
        <w:t>assurance, however, that our business will continue to generate cash flows at current levels or that the cost or availability of future borrowings, if any, under our commercial paper program or our credit facility or in the debt markets will not be impacte</w:t>
      </w:r>
      <w:r>
        <w:rPr>
          <w:rFonts w:eastAsia="Times New Roman"/>
          <w:color w:val="000000"/>
          <w:sz w:val="20"/>
          <w:szCs w:val="20"/>
        </w:rPr>
        <w:t>d by any potential future credit or capital markets disruptions. If we are unable to maintain cash balances, generate cash flow from operations or borrow under our commercial paper program or our credit facility sufficient to service our obligations, we ma</w:t>
      </w:r>
      <w:r>
        <w:rPr>
          <w:rFonts w:eastAsia="Times New Roman"/>
          <w:color w:val="000000"/>
          <w:sz w:val="20"/>
          <w:szCs w:val="20"/>
        </w:rPr>
        <w:t>y be required to reduce capital expenditures, reduce or eliminate strategic acquisitions, reduce or terminate our share repurchases, reduce or eliminate dividends, refinance all or a portion of our existing debt, obtain additional financing or sell assets.</w:t>
      </w:r>
      <w:r>
        <w:rPr>
          <w:rFonts w:eastAsia="Times New Roman"/>
          <w:color w:val="000000"/>
          <w:sz w:val="20"/>
          <w:szCs w:val="20"/>
        </w:rPr>
        <w:t xml:space="preserve"> Our ability to make principal payments or pay interest on or refinance our indebtedness depends on our future performance and financial results, which, to a certain extent, are subject to general conditions in or affecting the defense, government and othe</w:t>
      </w:r>
      <w:r>
        <w:rPr>
          <w:rFonts w:eastAsia="Times New Roman"/>
          <w:color w:val="000000"/>
          <w:sz w:val="20"/>
          <w:szCs w:val="20"/>
        </w:rPr>
        <w:t>r markets we serve and to general economic, political, financial, competitive, legislative and regulatory factors beyond our control.</w:t>
      </w:r>
    </w:p>
    <w:p w:rsidR="00000000" w:rsidRDefault="0039054C">
      <w:pPr>
        <w:ind w:firstLine="450"/>
        <w:divId w:val="1110512236"/>
        <w:rPr>
          <w:rFonts w:eastAsia="Times New Roman"/>
        </w:rPr>
      </w:pPr>
      <w:r>
        <w:rPr>
          <w:rFonts w:eastAsia="Times New Roman"/>
          <w:b/>
          <w:bCs/>
          <w:i/>
          <w:iCs/>
          <w:color w:val="000000"/>
          <w:sz w:val="20"/>
          <w:szCs w:val="20"/>
        </w:rPr>
        <w:t xml:space="preserve">Net cash provided by operating activities: </w:t>
      </w:r>
      <w:r>
        <w:rPr>
          <w:rFonts w:eastAsia="Times New Roman"/>
          <w:color w:val="000000"/>
          <w:sz w:val="20"/>
          <w:szCs w:val="20"/>
        </w:rPr>
        <w:t>The $128 million increase in net cash provided by operating activities in the f</w:t>
      </w:r>
      <w:r>
        <w:rPr>
          <w:rFonts w:eastAsia="Times New Roman"/>
          <w:color w:val="000000"/>
          <w:sz w:val="20"/>
          <w:szCs w:val="20"/>
        </w:rPr>
        <w:t>irst quarter of fiscal 2021 compared with the first quarter of fiscal 2020 was primarily due to the impact of higher income (excluding the impact of non-cash items such as depreciation and amortization and impairment of goodwill and other assets) and a $54</w:t>
      </w:r>
      <w:r>
        <w:rPr>
          <w:rFonts w:eastAsia="Times New Roman"/>
          <w:color w:val="000000"/>
          <w:sz w:val="20"/>
          <w:szCs w:val="20"/>
        </w:rPr>
        <w:t xml:space="preserve"> million decrease in cash used to fund working capital (i.e., accounts receivable, contract assets, inventories, accounts payable and contract liabilities) in the first quarter of fiscal 2021. </w:t>
      </w:r>
    </w:p>
    <w:p w:rsidR="00000000" w:rsidRDefault="0039054C">
      <w:pPr>
        <w:ind w:firstLine="450"/>
        <w:divId w:val="891893318"/>
        <w:rPr>
          <w:rFonts w:eastAsia="Times New Roman"/>
        </w:rPr>
      </w:pPr>
      <w:r>
        <w:rPr>
          <w:rFonts w:eastAsia="Times New Roman"/>
          <w:b/>
          <w:bCs/>
          <w:i/>
          <w:iCs/>
          <w:color w:val="000000"/>
          <w:sz w:val="20"/>
          <w:szCs w:val="20"/>
        </w:rPr>
        <w:t xml:space="preserve">Net cash used in investing activities: </w:t>
      </w:r>
      <w:r>
        <w:rPr>
          <w:rFonts w:eastAsia="Times New Roman"/>
          <w:color w:val="000000"/>
          <w:sz w:val="20"/>
          <w:szCs w:val="20"/>
        </w:rPr>
        <w:t>The $3 million increase</w:t>
      </w:r>
      <w:r>
        <w:rPr>
          <w:rFonts w:eastAsia="Times New Roman"/>
          <w:color w:val="000000"/>
          <w:sz w:val="20"/>
          <w:szCs w:val="20"/>
        </w:rPr>
        <w:t xml:space="preserve"> in net cash used in investing activities in the first quarter of fiscal 2021 compared with the first quarter of fiscal 2020 was primarily due to a $16 million increase in cash used for net </w:t>
      </w:r>
    </w:p>
    <w:p w:rsidR="00000000" w:rsidRDefault="0039054C">
      <w:pPr>
        <w:ind w:firstLine="450"/>
        <w:jc w:val="center"/>
        <w:divId w:val="636838512"/>
        <w:rPr>
          <w:rFonts w:eastAsia="Times New Roman"/>
        </w:rPr>
      </w:pPr>
      <w:r>
        <w:rPr>
          <w:rFonts w:eastAsia="Times New Roman"/>
          <w:color w:val="000000"/>
          <w:sz w:val="20"/>
          <w:szCs w:val="20"/>
        </w:rPr>
        <w:t>31</w:t>
      </w:r>
    </w:p>
    <w:p w:rsidR="00000000" w:rsidRDefault="0039054C">
      <w:pPr>
        <w:rPr>
          <w:rFonts w:eastAsia="Times New Roman"/>
        </w:rPr>
      </w:pPr>
      <w:r>
        <w:rPr>
          <w:rFonts w:eastAsia="Times New Roman"/>
        </w:rPr>
        <w:pict>
          <v:rect id="_x0000_i1058" style="width:0;height:1.5pt" o:hralign="center" o:hrstd="t" o:hr="t" fillcolor="#a0a0a0" stroked="f"/>
        </w:pict>
      </w:r>
    </w:p>
    <w:p w:rsidR="00000000" w:rsidRDefault="0039054C">
      <w:pPr>
        <w:ind w:firstLine="450"/>
        <w:divId w:val="1009483714"/>
        <w:rPr>
          <w:rFonts w:eastAsia="Times New Roman"/>
        </w:rPr>
      </w:pPr>
    </w:p>
    <w:p w:rsidR="00000000" w:rsidRDefault="0039054C">
      <w:pPr>
        <w:ind w:firstLine="450"/>
        <w:divId w:val="1792437487"/>
        <w:rPr>
          <w:rFonts w:eastAsia="Times New Roman"/>
        </w:rPr>
      </w:pPr>
    </w:p>
    <w:p w:rsidR="00000000" w:rsidRDefault="0039054C">
      <w:pPr>
        <w:divId w:val="776368454"/>
        <w:rPr>
          <w:rFonts w:eastAsia="Times New Roman"/>
        </w:rPr>
      </w:pPr>
      <w:r>
        <w:rPr>
          <w:rFonts w:eastAsia="Times New Roman"/>
          <w:color w:val="000000"/>
          <w:sz w:val="20"/>
          <w:szCs w:val="20"/>
        </w:rPr>
        <w:t>additions of property, plant and equipment, partially offset by $10 million used for an investment purchase in the first quarter of 2020.</w:t>
      </w:r>
    </w:p>
    <w:p w:rsidR="00000000" w:rsidRDefault="0039054C">
      <w:pPr>
        <w:ind w:firstLine="450"/>
        <w:divId w:val="939488890"/>
        <w:rPr>
          <w:rFonts w:eastAsia="Times New Roman"/>
        </w:rPr>
      </w:pPr>
      <w:r>
        <w:rPr>
          <w:rFonts w:eastAsia="Times New Roman"/>
          <w:b/>
          <w:bCs/>
          <w:i/>
          <w:iCs/>
          <w:color w:val="000000"/>
          <w:sz w:val="20"/>
          <w:szCs w:val="20"/>
        </w:rPr>
        <w:t>Net cash used in financing activities:</w:t>
      </w:r>
      <w:r>
        <w:rPr>
          <w:rFonts w:eastAsia="Times New Roman"/>
          <w:color w:val="000000"/>
          <w:sz w:val="20"/>
          <w:szCs w:val="20"/>
        </w:rPr>
        <w:t xml:space="preserve"> The $288 million increase in net cash used in financing activities in the first</w:t>
      </w:r>
      <w:r>
        <w:rPr>
          <w:rFonts w:eastAsia="Times New Roman"/>
          <w:color w:val="000000"/>
          <w:sz w:val="20"/>
          <w:szCs w:val="20"/>
        </w:rPr>
        <w:t xml:space="preserve"> quarter of fiscal 2021 compared with the first quarter of fiscal 2020 was primarily due to $244 million of lower net proceeds from borrowings, a $26 million increase in cash dividends paid and a $23 million decrease in proceeds from exercises of employee </w:t>
      </w:r>
      <w:r>
        <w:rPr>
          <w:rFonts w:eastAsia="Times New Roman"/>
          <w:color w:val="000000"/>
          <w:sz w:val="20"/>
          <w:szCs w:val="20"/>
        </w:rPr>
        <w:t>stock options in the first quarter of fiscal 2021.</w:t>
      </w:r>
    </w:p>
    <w:p w:rsidR="00000000" w:rsidRDefault="0039054C">
      <w:pPr>
        <w:divId w:val="1669400741"/>
        <w:rPr>
          <w:rFonts w:eastAsia="Times New Roman"/>
        </w:rPr>
      </w:pPr>
      <w:r>
        <w:rPr>
          <w:rFonts w:eastAsia="Times New Roman"/>
          <w:b/>
          <w:bCs/>
          <w:color w:val="000000"/>
          <w:sz w:val="20"/>
          <w:szCs w:val="20"/>
        </w:rPr>
        <w:t>Funding of Pension Plans</w:t>
      </w:r>
    </w:p>
    <w:p w:rsidR="00000000" w:rsidRDefault="0039054C">
      <w:pPr>
        <w:ind w:firstLine="450"/>
        <w:divId w:val="684670311"/>
        <w:rPr>
          <w:rFonts w:eastAsia="Times New Roman"/>
        </w:rPr>
      </w:pPr>
      <w:r>
        <w:rPr>
          <w:rFonts w:eastAsia="Times New Roman"/>
          <w:color w:val="000000"/>
          <w:sz w:val="20"/>
          <w:szCs w:val="20"/>
        </w:rPr>
        <w:t>Funding requirements under applicable laws and regulations are a major consideration in making contributions to our U.S. pension plans. Although we have significant discretion in m</w:t>
      </w:r>
      <w:r>
        <w:rPr>
          <w:rFonts w:eastAsia="Times New Roman"/>
          <w:color w:val="000000"/>
          <w:sz w:val="20"/>
          <w:szCs w:val="20"/>
        </w:rPr>
        <w:t>aking voluntary contributions, the Employee Retirement Income Security Act of 1974, as amended by the Pension Protection Act of 2006 and further amended by the Worker, Retiree, and Employer Recovery Act of 2008, the Moving Ahead for Progress in the 21st Ce</w:t>
      </w:r>
      <w:r>
        <w:rPr>
          <w:rFonts w:eastAsia="Times New Roman"/>
          <w:color w:val="000000"/>
          <w:sz w:val="20"/>
          <w:szCs w:val="20"/>
        </w:rPr>
        <w:t>ntury Act (“MAP-21”), and applicable Internal Revenue Code regulations mandate minimum funding thresholds. Failure to satisfy the minimum funding thresholds could result in restrictions on our ability to amend the plans or make benefit payments. With respe</w:t>
      </w:r>
      <w:r>
        <w:rPr>
          <w:rFonts w:eastAsia="Times New Roman"/>
          <w:color w:val="000000"/>
          <w:sz w:val="20"/>
          <w:szCs w:val="20"/>
        </w:rPr>
        <w:t>ct to our U.S. qualified defined benefit pension plans, we intend to contribute annually not less than the required minimum funding thresholds.</w:t>
      </w:r>
    </w:p>
    <w:p w:rsidR="00000000" w:rsidRDefault="0039054C">
      <w:pPr>
        <w:ind w:firstLine="450"/>
        <w:divId w:val="544296629"/>
        <w:rPr>
          <w:rFonts w:eastAsia="Times New Roman"/>
        </w:rPr>
      </w:pPr>
      <w:r>
        <w:rPr>
          <w:rFonts w:eastAsia="Times New Roman"/>
          <w:color w:val="000000"/>
          <w:sz w:val="20"/>
          <w:szCs w:val="20"/>
        </w:rPr>
        <w:t>The Highway and Transportation Funding Act of 2014, the Bipartisan Budget Act of 2015, and the American Rescue P</w:t>
      </w:r>
      <w:r>
        <w:rPr>
          <w:rFonts w:eastAsia="Times New Roman"/>
          <w:color w:val="000000"/>
          <w:sz w:val="20"/>
          <w:szCs w:val="20"/>
        </w:rPr>
        <w:t>lan Act of 2021 further extended the interest rate stabilization provision of MAP-21. We made a voluntary contribution of $302 million to our U.S. qualified defined benefit pension plans during the during the quarter ended September 27, 2019. As a result o</w:t>
      </w:r>
      <w:r>
        <w:rPr>
          <w:rFonts w:eastAsia="Times New Roman"/>
          <w:color w:val="000000"/>
          <w:sz w:val="20"/>
          <w:szCs w:val="20"/>
        </w:rPr>
        <w:t>f this voluntary contribution, as well as $300 million and $400 million of voluntary contributions in fiscal 2018 and 2017, respectively, we are not required to make any contributions to our U.S. qualified defined benefit pension plans in fiscal 2021 and f</w:t>
      </w:r>
      <w:r>
        <w:rPr>
          <w:rFonts w:eastAsia="Times New Roman"/>
          <w:color w:val="000000"/>
          <w:sz w:val="20"/>
          <w:szCs w:val="20"/>
        </w:rPr>
        <w:t>or several years thereafter.</w:t>
      </w:r>
    </w:p>
    <w:p w:rsidR="00000000" w:rsidRDefault="0039054C">
      <w:pPr>
        <w:ind w:firstLine="450"/>
        <w:divId w:val="65806019"/>
        <w:rPr>
          <w:rFonts w:eastAsia="Times New Roman"/>
        </w:rPr>
      </w:pPr>
      <w:r>
        <w:rPr>
          <w:rFonts w:eastAsia="Times New Roman"/>
          <w:color w:val="000000"/>
          <w:sz w:val="20"/>
          <w:szCs w:val="20"/>
        </w:rPr>
        <w:t>Future required contributions primarily will depend on the actual annual return on assets and the discount rate used to measure the benefit obligation at the end of each year. Depending on these factors, and the resulting funde</w:t>
      </w:r>
      <w:r>
        <w:rPr>
          <w:rFonts w:eastAsia="Times New Roman"/>
          <w:color w:val="000000"/>
          <w:sz w:val="20"/>
          <w:szCs w:val="20"/>
        </w:rPr>
        <w:t xml:space="preserve">d status of our pension plans, the level of future statutory required minimum contributions could be material. We had net unfunded defined benefit plan obligations of $1.8 billion at April 2, 2021. See </w:t>
      </w:r>
      <w:r>
        <w:rPr>
          <w:rFonts w:eastAsia="Times New Roman"/>
          <w:i/>
          <w:iCs/>
          <w:color w:val="000000"/>
          <w:sz w:val="20"/>
          <w:szCs w:val="20"/>
        </w:rPr>
        <w:t>Note 15: “Pension and Other Postretirement Benefits”</w:t>
      </w:r>
      <w:r>
        <w:rPr>
          <w:rFonts w:eastAsia="Times New Roman"/>
          <w:color w:val="000000"/>
          <w:sz w:val="20"/>
          <w:szCs w:val="20"/>
        </w:rPr>
        <w:t xml:space="preserve"> i</w:t>
      </w:r>
      <w:r>
        <w:rPr>
          <w:rFonts w:eastAsia="Times New Roman"/>
          <w:color w:val="000000"/>
          <w:sz w:val="20"/>
          <w:szCs w:val="20"/>
        </w:rPr>
        <w:t xml:space="preserve">n the Notes to the Consolidated Financial Statements in our Fiscal 2020 Form 10-K and </w:t>
      </w:r>
      <w:r>
        <w:rPr>
          <w:rFonts w:eastAsia="Times New Roman"/>
          <w:i/>
          <w:iCs/>
          <w:color w:val="000000"/>
          <w:sz w:val="20"/>
          <w:szCs w:val="20"/>
        </w:rPr>
        <w:t>Note L — Postretirement Benefit Plans</w:t>
      </w:r>
      <w:r>
        <w:rPr>
          <w:rFonts w:eastAsia="Times New Roman"/>
          <w:color w:val="000000"/>
          <w:sz w:val="20"/>
          <w:szCs w:val="20"/>
        </w:rPr>
        <w:t xml:space="preserve"> in the Notes for further information regarding our pension plans.</w:t>
      </w:r>
    </w:p>
    <w:p w:rsidR="00000000" w:rsidRDefault="0039054C">
      <w:pPr>
        <w:divId w:val="582952254"/>
        <w:rPr>
          <w:rFonts w:eastAsia="Times New Roman"/>
        </w:rPr>
      </w:pPr>
      <w:r>
        <w:rPr>
          <w:rFonts w:eastAsia="Times New Roman"/>
          <w:b/>
          <w:bCs/>
          <w:color w:val="000000"/>
          <w:sz w:val="20"/>
          <w:szCs w:val="20"/>
        </w:rPr>
        <w:t xml:space="preserve">Common Stock Repurchases </w:t>
      </w:r>
    </w:p>
    <w:p w:rsidR="00000000" w:rsidRDefault="0039054C">
      <w:pPr>
        <w:ind w:firstLine="450"/>
        <w:divId w:val="1615938211"/>
        <w:rPr>
          <w:rFonts w:eastAsia="Times New Roman"/>
        </w:rPr>
      </w:pPr>
      <w:r>
        <w:rPr>
          <w:rFonts w:eastAsia="Times New Roman"/>
          <w:color w:val="000000"/>
          <w:sz w:val="20"/>
          <w:szCs w:val="20"/>
        </w:rPr>
        <w:t>On January 28, 2021, we announced that o</w:t>
      </w:r>
      <w:r>
        <w:rPr>
          <w:rFonts w:eastAsia="Times New Roman"/>
          <w:color w:val="000000"/>
          <w:sz w:val="20"/>
          <w:szCs w:val="20"/>
        </w:rPr>
        <w:t>ur Board of Directors approved a $6 billion share repurchase authorization under our share repurchase program that was in addition to the remaining unused authorization of $210 million as of January 1, 2021. During the first quarter of fiscal 2021, we used</w:t>
      </w:r>
      <w:r>
        <w:rPr>
          <w:rFonts w:eastAsia="Times New Roman"/>
          <w:color w:val="000000"/>
          <w:sz w:val="20"/>
          <w:szCs w:val="20"/>
        </w:rPr>
        <w:t> $700 million to repurchase 3.8 million shares of our common stock under our share repurchase program at an average price per share of $184.54, including commissions of $.02 per share. During the quarter ended April 3, 2020, we used $700 million to repurch</w:t>
      </w:r>
      <w:r>
        <w:rPr>
          <w:rFonts w:eastAsia="Times New Roman"/>
          <w:color w:val="000000"/>
          <w:sz w:val="20"/>
          <w:szCs w:val="20"/>
        </w:rPr>
        <w:t>ase 3.3 million shares of our common stock under our share repurchase program at an average price per share of $213.57, including commissions of $.02 per share. During both the first quarters of fiscal 2021 and 2020, $1 million in shares of our common stoc</w:t>
      </w:r>
      <w:r>
        <w:rPr>
          <w:rFonts w:eastAsia="Times New Roman"/>
          <w:color w:val="000000"/>
          <w:sz w:val="20"/>
          <w:szCs w:val="20"/>
        </w:rPr>
        <w:t xml:space="preserve">k were delivered to us or withheld by us to satisfy withholding taxes on employee share-based awards. Shares purchased by us are canceled and retired. </w:t>
      </w:r>
    </w:p>
    <w:p w:rsidR="00000000" w:rsidRDefault="0039054C">
      <w:pPr>
        <w:ind w:firstLine="450"/>
        <w:divId w:val="24260223"/>
        <w:rPr>
          <w:rFonts w:eastAsia="Times New Roman"/>
        </w:rPr>
      </w:pPr>
      <w:r>
        <w:rPr>
          <w:rFonts w:eastAsia="Times New Roman"/>
          <w:color w:val="000000"/>
          <w:sz w:val="20"/>
          <w:szCs w:val="20"/>
        </w:rPr>
        <w:t>At April 2, 2021, we had a remaining, unused authorization of approximately $5.5 billion under our share</w:t>
      </w:r>
      <w:r>
        <w:rPr>
          <w:rFonts w:eastAsia="Times New Roman"/>
          <w:color w:val="000000"/>
          <w:sz w:val="20"/>
          <w:szCs w:val="20"/>
        </w:rPr>
        <w:t xml:space="preserve"> repurchase program, which does not have an expiration date. Repurchases under our share repurchase program may be made through open-market transactions, private transactions, transactions structured through investment banking institutions or any combinati</w:t>
      </w:r>
      <w:r>
        <w:rPr>
          <w:rFonts w:eastAsia="Times New Roman"/>
          <w:color w:val="000000"/>
          <w:sz w:val="20"/>
          <w:szCs w:val="20"/>
        </w:rPr>
        <w:t>on thereof. The level of our repurchases depends on a number of factors, including our financial condition, capital requirements, cash flows, results of operations, future business prospects and other factors our Board and management may deem relevant. The</w:t>
      </w:r>
      <w:r>
        <w:rPr>
          <w:rFonts w:eastAsia="Times New Roman"/>
          <w:color w:val="000000"/>
          <w:sz w:val="20"/>
          <w:szCs w:val="20"/>
        </w:rPr>
        <w:t xml:space="preserve"> timing, volume and nature of repurchases are subject to market conditions, applicable securities laws and other factors and are at our discretion and may be suspended or discontinued at any time. Additional information regarding our current repurchase pro</w:t>
      </w:r>
      <w:r>
        <w:rPr>
          <w:rFonts w:eastAsia="Times New Roman"/>
          <w:color w:val="000000"/>
          <w:sz w:val="20"/>
          <w:szCs w:val="20"/>
        </w:rPr>
        <w:t xml:space="preserve">gram is set forth in this Report under Part II, Item 2. “Unregistered Sales of Equity Securities and Use of Proceeds.” </w:t>
      </w:r>
    </w:p>
    <w:p w:rsidR="00000000" w:rsidRDefault="0039054C">
      <w:pPr>
        <w:divId w:val="1471051244"/>
        <w:rPr>
          <w:rFonts w:eastAsia="Times New Roman"/>
        </w:rPr>
      </w:pPr>
      <w:r>
        <w:rPr>
          <w:rFonts w:eastAsia="Times New Roman"/>
          <w:b/>
          <w:bCs/>
          <w:color w:val="000000"/>
          <w:sz w:val="20"/>
          <w:szCs w:val="20"/>
        </w:rPr>
        <w:t>Dividends</w:t>
      </w:r>
    </w:p>
    <w:p w:rsidR="00000000" w:rsidRDefault="0039054C">
      <w:pPr>
        <w:ind w:firstLine="450"/>
        <w:divId w:val="2048068921"/>
        <w:rPr>
          <w:rFonts w:eastAsia="Times New Roman"/>
        </w:rPr>
      </w:pPr>
      <w:r>
        <w:rPr>
          <w:rFonts w:eastAsia="Times New Roman"/>
          <w:color w:val="000000"/>
          <w:sz w:val="20"/>
          <w:szCs w:val="20"/>
        </w:rPr>
        <w:t>On January 28, 2021, our Board of Directors increased the quarterly per share cash dividend rate on our common stock from $.85</w:t>
      </w:r>
      <w:r>
        <w:rPr>
          <w:rFonts w:eastAsia="Times New Roman"/>
          <w:color w:val="000000"/>
          <w:sz w:val="20"/>
          <w:szCs w:val="20"/>
        </w:rPr>
        <w:t xml:space="preserve"> to $1.02,</w:t>
      </w:r>
      <w:r>
        <w:rPr>
          <w:rFonts w:eastAsia="Times New Roman"/>
          <w:color w:val="FF0000"/>
          <w:sz w:val="20"/>
          <w:szCs w:val="20"/>
        </w:rPr>
        <w:t xml:space="preserve"> </w:t>
      </w:r>
      <w:r>
        <w:rPr>
          <w:rFonts w:eastAsia="Times New Roman"/>
          <w:color w:val="000000"/>
          <w:sz w:val="20"/>
          <w:szCs w:val="20"/>
        </w:rPr>
        <w:t>for an annualized per share cash dividend rate</w:t>
      </w:r>
      <w:r>
        <w:rPr>
          <w:rFonts w:eastAsia="Times New Roman"/>
          <w:color w:val="FF0000"/>
          <w:sz w:val="20"/>
          <w:szCs w:val="20"/>
        </w:rPr>
        <w:t xml:space="preserve"> </w:t>
      </w:r>
      <w:r>
        <w:rPr>
          <w:rFonts w:eastAsia="Times New Roman"/>
          <w:color w:val="000000"/>
          <w:sz w:val="20"/>
          <w:szCs w:val="20"/>
        </w:rPr>
        <w:t xml:space="preserve">of $4.08, which was our twentieth consecutive annual increase in our quarterly cash dividend rate. Our annualized per share cash dividend rate was $3.40 in fiscal 2020. Quarterly cash dividends are </w:t>
      </w:r>
      <w:r>
        <w:rPr>
          <w:rFonts w:eastAsia="Times New Roman"/>
          <w:color w:val="000000"/>
          <w:sz w:val="20"/>
          <w:szCs w:val="20"/>
        </w:rPr>
        <w:t>typically paid in March, June, September and December. We currently expect that cash dividends will continue to be paid in the near future, but we can give no assurances concerning payment of future dividends or future dividend increases. The declaration o</w:t>
      </w:r>
      <w:r>
        <w:rPr>
          <w:rFonts w:eastAsia="Times New Roman"/>
          <w:color w:val="000000"/>
          <w:sz w:val="20"/>
          <w:szCs w:val="20"/>
        </w:rPr>
        <w:t xml:space="preserve">f dividends and the amount thereof will depend on a number of factors, including our financial condition, capital requirements, cash flows, results of operations, future business prospects and other factors our Board of Directors may deem relevant. </w:t>
      </w:r>
    </w:p>
    <w:p w:rsidR="00000000" w:rsidRDefault="0039054C">
      <w:pPr>
        <w:ind w:firstLine="450"/>
        <w:jc w:val="center"/>
        <w:divId w:val="1626887242"/>
        <w:rPr>
          <w:rFonts w:eastAsia="Times New Roman"/>
        </w:rPr>
      </w:pPr>
      <w:r>
        <w:rPr>
          <w:rFonts w:eastAsia="Times New Roman"/>
          <w:color w:val="000000"/>
          <w:sz w:val="20"/>
          <w:szCs w:val="20"/>
        </w:rPr>
        <w:t>32</w:t>
      </w:r>
    </w:p>
    <w:p w:rsidR="00000000" w:rsidRDefault="0039054C">
      <w:pPr>
        <w:rPr>
          <w:rFonts w:eastAsia="Times New Roman"/>
        </w:rPr>
      </w:pPr>
      <w:r>
        <w:rPr>
          <w:rFonts w:eastAsia="Times New Roman"/>
        </w:rPr>
        <w:pict>
          <v:rect id="_x0000_i1059" style="width:0;height:1.5pt" o:hralign="center" o:hrstd="t" o:hr="t" fillcolor="#a0a0a0" stroked="f"/>
        </w:pict>
      </w:r>
    </w:p>
    <w:p w:rsidR="00000000" w:rsidRDefault="0039054C">
      <w:pPr>
        <w:ind w:firstLine="450"/>
        <w:divId w:val="1339625399"/>
        <w:rPr>
          <w:rFonts w:eastAsia="Times New Roman"/>
        </w:rPr>
      </w:pPr>
    </w:p>
    <w:p w:rsidR="00000000" w:rsidRDefault="0039054C">
      <w:pPr>
        <w:ind w:firstLine="450"/>
        <w:divId w:val="1906211435"/>
        <w:rPr>
          <w:rFonts w:eastAsia="Times New Roman"/>
        </w:rPr>
      </w:pPr>
    </w:p>
    <w:p w:rsidR="00000000" w:rsidRDefault="0039054C">
      <w:pPr>
        <w:divId w:val="1028606373"/>
        <w:rPr>
          <w:rFonts w:eastAsia="Times New Roman"/>
        </w:rPr>
      </w:pPr>
      <w:r>
        <w:rPr>
          <w:rFonts w:eastAsia="Times New Roman"/>
          <w:b/>
          <w:bCs/>
          <w:color w:val="000000"/>
          <w:sz w:val="20"/>
          <w:szCs w:val="20"/>
        </w:rPr>
        <w:t>Capital Structure and Resources</w:t>
      </w:r>
    </w:p>
    <w:p w:rsidR="00000000" w:rsidRDefault="0039054C">
      <w:pPr>
        <w:ind w:firstLine="450"/>
        <w:divId w:val="1367637222"/>
        <w:rPr>
          <w:rFonts w:eastAsia="Times New Roman"/>
        </w:rPr>
      </w:pPr>
      <w:r>
        <w:rPr>
          <w:rFonts w:eastAsia="Times New Roman"/>
          <w:b/>
          <w:bCs/>
          <w:i/>
          <w:iCs/>
          <w:color w:val="000000"/>
          <w:sz w:val="20"/>
          <w:szCs w:val="20"/>
        </w:rPr>
        <w:t>2019 Credit Agreement:</w:t>
      </w:r>
      <w:r>
        <w:rPr>
          <w:rFonts w:eastAsia="Times New Roman"/>
          <w:color w:val="000000"/>
          <w:sz w:val="20"/>
          <w:szCs w:val="20"/>
        </w:rPr>
        <w:t> We have a $2 billion, 5-year senior unsecured revolving credit facility (the “2019 Credit Facility”) under a Revolving Credit Agreement (the “2019 Credit Agreement</w:t>
      </w:r>
      <w:r>
        <w:rPr>
          <w:rFonts w:eastAsia="Times New Roman"/>
          <w:color w:val="000000"/>
          <w:sz w:val="20"/>
          <w:szCs w:val="20"/>
        </w:rPr>
        <w:t xml:space="preserve">”) entered into on June 28, 2019 with a syndicate of lenders. For a description of the 2019 Credit Facility and the 2019 Credit Agreement, see </w:t>
      </w:r>
      <w:r>
        <w:rPr>
          <w:rFonts w:eastAsia="Times New Roman"/>
          <w:i/>
          <w:iCs/>
          <w:color w:val="000000"/>
          <w:sz w:val="20"/>
          <w:szCs w:val="20"/>
        </w:rPr>
        <w:t>Note 13: “Credit Arrangements”</w:t>
      </w:r>
      <w:r>
        <w:rPr>
          <w:rFonts w:eastAsia="Times New Roman"/>
          <w:color w:val="000000"/>
          <w:sz w:val="20"/>
          <w:szCs w:val="20"/>
        </w:rPr>
        <w:t xml:space="preserve"> in the Notes to Consolidated Financial Statements in our Fiscal 2020 Form 10-K.</w:t>
      </w:r>
    </w:p>
    <w:p w:rsidR="00000000" w:rsidRDefault="0039054C">
      <w:pPr>
        <w:ind w:firstLine="495"/>
        <w:divId w:val="756632069"/>
        <w:rPr>
          <w:rFonts w:eastAsia="Times New Roman"/>
        </w:rPr>
      </w:pPr>
      <w:r>
        <w:rPr>
          <w:rFonts w:eastAsia="Times New Roman"/>
          <w:color w:val="000000"/>
          <w:sz w:val="20"/>
          <w:szCs w:val="20"/>
        </w:rPr>
        <w:t>We</w:t>
      </w:r>
      <w:r>
        <w:rPr>
          <w:rFonts w:eastAsia="Times New Roman"/>
          <w:color w:val="000000"/>
          <w:sz w:val="20"/>
          <w:szCs w:val="20"/>
        </w:rPr>
        <w:t xml:space="preserve"> were in compliance with the covenants in the 2019 Credit Agreement at April 2, 2021, including the covenant requiring that we not permit our ratio of consolidated total indebtedness to total capital, each as defined in the 2019 Credit Agreement, to be gre</w:t>
      </w:r>
      <w:r>
        <w:rPr>
          <w:rFonts w:eastAsia="Times New Roman"/>
          <w:color w:val="000000"/>
          <w:sz w:val="20"/>
          <w:szCs w:val="20"/>
        </w:rPr>
        <w:t xml:space="preserve">ater than 0.65 to 1.00. At April 2, 2021, we had no borrowings outstanding under the 2019 Credit Agreement. </w:t>
      </w:r>
    </w:p>
    <w:p w:rsidR="00000000" w:rsidRDefault="0039054C">
      <w:pPr>
        <w:ind w:firstLine="450"/>
        <w:divId w:val="1192383472"/>
        <w:rPr>
          <w:rFonts w:eastAsia="Times New Roman"/>
        </w:rPr>
      </w:pPr>
      <w:r>
        <w:rPr>
          <w:rFonts w:eastAsia="Times New Roman"/>
          <w:b/>
          <w:bCs/>
          <w:i/>
          <w:iCs/>
          <w:color w:val="000000"/>
          <w:sz w:val="20"/>
          <w:szCs w:val="20"/>
        </w:rPr>
        <w:t>Long-Term Debt:</w:t>
      </w:r>
      <w:r>
        <w:rPr>
          <w:rFonts w:eastAsia="Times New Roman"/>
          <w:color w:val="000000"/>
          <w:sz w:val="20"/>
          <w:szCs w:val="20"/>
        </w:rPr>
        <w:t xml:space="preserve"> For a description of our long-term variable-rate and fixed-rate debt, see </w:t>
      </w:r>
      <w:r>
        <w:rPr>
          <w:rFonts w:eastAsia="Times New Roman"/>
          <w:i/>
          <w:iCs/>
          <w:color w:val="000000"/>
          <w:sz w:val="20"/>
          <w:szCs w:val="20"/>
        </w:rPr>
        <w:t>Note 14: “Debt”</w:t>
      </w:r>
      <w:r>
        <w:rPr>
          <w:rFonts w:eastAsia="Times New Roman"/>
          <w:color w:val="000000"/>
          <w:sz w:val="20"/>
          <w:szCs w:val="20"/>
        </w:rPr>
        <w:t xml:space="preserve"> in the Notes to Consolidated Financial St</w:t>
      </w:r>
      <w:r>
        <w:rPr>
          <w:rFonts w:eastAsia="Times New Roman"/>
          <w:color w:val="000000"/>
          <w:sz w:val="20"/>
          <w:szCs w:val="20"/>
        </w:rPr>
        <w:t>atements in our Fiscal 2020 Form 10-K.</w:t>
      </w:r>
    </w:p>
    <w:p w:rsidR="00000000" w:rsidRDefault="0039054C">
      <w:pPr>
        <w:ind w:firstLine="450"/>
        <w:divId w:val="1132747455"/>
        <w:rPr>
          <w:rFonts w:eastAsia="Times New Roman"/>
        </w:rPr>
      </w:pPr>
      <w:r>
        <w:rPr>
          <w:rFonts w:eastAsia="Times New Roman"/>
          <w:b/>
          <w:bCs/>
          <w:i/>
          <w:iCs/>
          <w:color w:val="000000"/>
          <w:sz w:val="20"/>
          <w:szCs w:val="20"/>
        </w:rPr>
        <w:t>Short-Term Debt:</w:t>
      </w:r>
      <w:r>
        <w:rPr>
          <w:rFonts w:eastAsia="Times New Roman"/>
          <w:color w:val="000000"/>
          <w:sz w:val="20"/>
          <w:szCs w:val="20"/>
        </w:rPr>
        <w:t xml:space="preserve"> Our short-term debt was $2 million at April 2, 2021 and January 1, 2021, consisting of local borrowing by international subsidiaries for working capital needs. </w:t>
      </w:r>
    </w:p>
    <w:p w:rsidR="00000000" w:rsidRDefault="0039054C">
      <w:pPr>
        <w:ind w:firstLine="450"/>
        <w:divId w:val="2090224509"/>
        <w:rPr>
          <w:rFonts w:eastAsia="Times New Roman"/>
        </w:rPr>
      </w:pPr>
      <w:r>
        <w:rPr>
          <w:rFonts w:eastAsia="Times New Roman"/>
          <w:b/>
          <w:bCs/>
          <w:i/>
          <w:iCs/>
          <w:color w:val="000000"/>
          <w:sz w:val="20"/>
          <w:szCs w:val="20"/>
        </w:rPr>
        <w:t xml:space="preserve">Other Agreements: </w:t>
      </w:r>
      <w:r>
        <w:rPr>
          <w:rFonts w:eastAsia="Times New Roman"/>
          <w:color w:val="000000"/>
          <w:sz w:val="20"/>
          <w:szCs w:val="20"/>
        </w:rPr>
        <w:t>We have two RSAs with</w:t>
      </w:r>
      <w:r>
        <w:rPr>
          <w:rFonts w:eastAsia="Times New Roman"/>
          <w:color w:val="000000"/>
          <w:sz w:val="20"/>
          <w:szCs w:val="20"/>
        </w:rPr>
        <w:t xml:space="preserve"> third-party financial institutions that permit us to sell, on a non-recourse basis, up to $100 million each of outstanding receivables at any given time. From time to time, we have sold certain customer receivables under the RSAs, which we continue to ser</w:t>
      </w:r>
      <w:r>
        <w:rPr>
          <w:rFonts w:eastAsia="Times New Roman"/>
          <w:color w:val="000000"/>
          <w:sz w:val="20"/>
          <w:szCs w:val="20"/>
        </w:rPr>
        <w:t>vice and collect on behalf of the third-party financial institutions and which we account for as sales of receivables with sale proceeds included in net cash from operating activities. The impact to net cash from operating activities from these transaction</w:t>
      </w:r>
      <w:r>
        <w:rPr>
          <w:rFonts w:eastAsia="Times New Roman"/>
          <w:color w:val="000000"/>
          <w:sz w:val="20"/>
          <w:szCs w:val="20"/>
        </w:rPr>
        <w:t>s was not material in the first quarters of fiscal 2021 and 2020.</w:t>
      </w:r>
    </w:p>
    <w:p w:rsidR="00000000" w:rsidRDefault="0039054C">
      <w:pPr>
        <w:divId w:val="737172474"/>
        <w:rPr>
          <w:rFonts w:eastAsia="Times New Roman"/>
        </w:rPr>
      </w:pPr>
      <w:r>
        <w:rPr>
          <w:rFonts w:eastAsia="Times New Roman"/>
          <w:b/>
          <w:bCs/>
          <w:color w:val="000000"/>
          <w:sz w:val="20"/>
          <w:szCs w:val="20"/>
        </w:rPr>
        <w:t>Off-Balance Sheet Arrangements</w:t>
      </w:r>
    </w:p>
    <w:p w:rsidR="00000000" w:rsidRDefault="0039054C">
      <w:pPr>
        <w:ind w:firstLine="450"/>
        <w:divId w:val="592011237"/>
        <w:rPr>
          <w:rFonts w:eastAsia="Times New Roman"/>
        </w:rPr>
      </w:pPr>
      <w:r>
        <w:rPr>
          <w:rFonts w:eastAsia="Times New Roman"/>
          <w:color w:val="000000"/>
          <w:sz w:val="20"/>
          <w:szCs w:val="20"/>
        </w:rPr>
        <w:t>In accordance with the definition under SEC rules, any of the following qualify as off-balance sheet arrangements:</w:t>
      </w:r>
    </w:p>
    <w:p w:rsidR="00000000" w:rsidRDefault="0039054C">
      <w:pPr>
        <w:ind w:hanging="180"/>
        <w:divId w:val="1948926638"/>
        <w:rPr>
          <w:rFonts w:eastAsia="Times New Roman"/>
        </w:rPr>
      </w:pPr>
      <w:r>
        <w:rPr>
          <w:rFonts w:eastAsia="Times New Roman"/>
          <w:color w:val="000000"/>
          <w:sz w:val="20"/>
          <w:szCs w:val="20"/>
        </w:rPr>
        <w:t>•Any obligation under certain guarantee cont</w:t>
      </w:r>
      <w:r>
        <w:rPr>
          <w:rFonts w:eastAsia="Times New Roman"/>
          <w:color w:val="000000"/>
          <w:sz w:val="20"/>
          <w:szCs w:val="20"/>
        </w:rPr>
        <w:t>racts;</w:t>
      </w:r>
    </w:p>
    <w:p w:rsidR="00000000" w:rsidRDefault="0039054C">
      <w:pPr>
        <w:ind w:hanging="180"/>
        <w:divId w:val="400443788"/>
        <w:rPr>
          <w:rFonts w:eastAsia="Times New Roman"/>
        </w:rPr>
      </w:pPr>
      <w:r>
        <w:rPr>
          <w:rFonts w:eastAsia="Times New Roman"/>
          <w:color w:val="000000"/>
          <w:sz w:val="20"/>
          <w:szCs w:val="20"/>
        </w:rPr>
        <w:t>•A retained or contingent interest in assets transferred to an unconsolidated entity or similar arrangement that serves as credit, liquidity or market risk support to that entity for such assets;</w:t>
      </w:r>
    </w:p>
    <w:p w:rsidR="00000000" w:rsidRDefault="0039054C">
      <w:pPr>
        <w:ind w:hanging="180"/>
        <w:divId w:val="417484964"/>
        <w:rPr>
          <w:rFonts w:eastAsia="Times New Roman"/>
        </w:rPr>
      </w:pPr>
      <w:r>
        <w:rPr>
          <w:rFonts w:eastAsia="Times New Roman"/>
          <w:color w:val="000000"/>
          <w:sz w:val="20"/>
          <w:szCs w:val="20"/>
        </w:rPr>
        <w:t>•Any obligation, including a contingent obligation, u</w:t>
      </w:r>
      <w:r>
        <w:rPr>
          <w:rFonts w:eastAsia="Times New Roman"/>
          <w:color w:val="000000"/>
          <w:sz w:val="20"/>
          <w:szCs w:val="20"/>
        </w:rPr>
        <w:t>nder certain derivative instruments; and</w:t>
      </w:r>
    </w:p>
    <w:p w:rsidR="00000000" w:rsidRDefault="0039054C">
      <w:pPr>
        <w:ind w:hanging="180"/>
        <w:divId w:val="881944438"/>
        <w:rPr>
          <w:rFonts w:eastAsia="Times New Roman"/>
        </w:rPr>
      </w:pPr>
      <w:r>
        <w:rPr>
          <w:rFonts w:eastAsia="Times New Roman"/>
          <w:color w:val="000000"/>
          <w:sz w:val="20"/>
          <w:szCs w:val="20"/>
        </w:rPr>
        <w:t>•</w:t>
      </w:r>
      <w:r>
        <w:rPr>
          <w:rFonts w:eastAsia="Times New Roman"/>
          <w:color w:val="000000"/>
          <w:sz w:val="20"/>
          <w:szCs w:val="20"/>
        </w:rPr>
        <w:t>Any obligation, including a contingent obligation, under a material variable interest in an unconsolidated entity that is held by, and material to, the registrant, where such entity provides financing, liquidity, market risk or credit risk support to the r</w:t>
      </w:r>
      <w:r>
        <w:rPr>
          <w:rFonts w:eastAsia="Times New Roman"/>
          <w:color w:val="000000"/>
          <w:sz w:val="20"/>
          <w:szCs w:val="20"/>
        </w:rPr>
        <w:t>egistrant, or engages in leasing, hedging or R&amp;D services with the registrant.</w:t>
      </w:r>
    </w:p>
    <w:p w:rsidR="00000000" w:rsidRDefault="0039054C">
      <w:pPr>
        <w:ind w:firstLine="450"/>
        <w:divId w:val="1028801484"/>
        <w:rPr>
          <w:rFonts w:eastAsia="Times New Roman"/>
        </w:rPr>
      </w:pPr>
      <w:r>
        <w:rPr>
          <w:rFonts w:eastAsia="Times New Roman"/>
          <w:color w:val="000000"/>
          <w:sz w:val="20"/>
          <w:szCs w:val="20"/>
        </w:rPr>
        <w:t>As of April </w:t>
      </w:r>
      <w:r>
        <w:rPr>
          <w:rFonts w:eastAsia="Times New Roman"/>
          <w:color w:val="000000"/>
          <w:sz w:val="20"/>
          <w:szCs w:val="20"/>
        </w:rPr>
        <w:t>2, 2021, we were not participating in any material transactions that generated relationships with unconsolidated entities or financial partnerships, including variable interest entities, and we did not have any material retained or contingent interest in a</w:t>
      </w:r>
      <w:r>
        <w:rPr>
          <w:rFonts w:eastAsia="Times New Roman"/>
          <w:color w:val="000000"/>
          <w:sz w:val="20"/>
          <w:szCs w:val="20"/>
        </w:rPr>
        <w:t xml:space="preserve">ssets as defined above. As of April 2, 2021, we did not have material financial guarantees or other contractual commitments that we believe are reasonably likely to adversely affect our financial condition, results of operations, cash flows or equity, and </w:t>
      </w:r>
      <w:r>
        <w:rPr>
          <w:rFonts w:eastAsia="Times New Roman"/>
          <w:color w:val="000000"/>
          <w:sz w:val="20"/>
          <w:szCs w:val="20"/>
        </w:rPr>
        <w:t>we were not a party to any related party transactions that materially affect our financial condition, results of operations, cash flows or equity.</w:t>
      </w:r>
    </w:p>
    <w:p w:rsidR="00000000" w:rsidRDefault="0039054C">
      <w:pPr>
        <w:ind w:firstLine="450"/>
        <w:divId w:val="2100982658"/>
        <w:rPr>
          <w:rFonts w:eastAsia="Times New Roman"/>
        </w:rPr>
      </w:pPr>
      <w:r>
        <w:rPr>
          <w:rFonts w:eastAsia="Times New Roman"/>
          <w:color w:val="000000"/>
          <w:sz w:val="20"/>
          <w:szCs w:val="20"/>
        </w:rPr>
        <w:t>We have, from time to time, divested certain of our businesses and assets. In connection with these divestitu</w:t>
      </w:r>
      <w:r>
        <w:rPr>
          <w:rFonts w:eastAsia="Times New Roman"/>
          <w:color w:val="000000"/>
          <w:sz w:val="20"/>
          <w:szCs w:val="20"/>
        </w:rPr>
        <w:t>res, we often provide representations, warranties and/or indemnities to cover various risks and unknown liabilities, such as environmental liabilities and tax liabilities. We cannot estimate the potential liability from such representations, warranties and</w:t>
      </w:r>
      <w:r>
        <w:rPr>
          <w:rFonts w:eastAsia="Times New Roman"/>
          <w:color w:val="000000"/>
          <w:sz w:val="20"/>
          <w:szCs w:val="20"/>
        </w:rPr>
        <w:t xml:space="preserve"> indemnities because they relate to unknown conditions. We do not believe, however, that the liabilities relating to these representations, warranties and indemnities will have a material adverse effect on our financial condition, results of operations, ca</w:t>
      </w:r>
      <w:r>
        <w:rPr>
          <w:rFonts w:eastAsia="Times New Roman"/>
          <w:color w:val="000000"/>
          <w:sz w:val="20"/>
          <w:szCs w:val="20"/>
        </w:rPr>
        <w:t>sh flows or equity.</w:t>
      </w:r>
    </w:p>
    <w:p w:rsidR="00000000" w:rsidRDefault="0039054C">
      <w:pPr>
        <w:ind w:firstLine="450"/>
        <w:divId w:val="1852990371"/>
        <w:rPr>
          <w:rFonts w:eastAsia="Times New Roman"/>
        </w:rPr>
      </w:pPr>
      <w:r>
        <w:rPr>
          <w:rFonts w:eastAsia="Times New Roman"/>
          <w:color w:val="000000"/>
          <w:sz w:val="20"/>
          <w:szCs w:val="20"/>
        </w:rPr>
        <w:t xml:space="preserve">Due to our downsizing of certain operations pursuant to acquisitions, divestitures, restructuring plans or otherwise, certain properties leased by us have been sublet to third parties. If any of these third parties vacates any of these </w:t>
      </w:r>
      <w:r>
        <w:rPr>
          <w:rFonts w:eastAsia="Times New Roman"/>
          <w:color w:val="000000"/>
          <w:sz w:val="20"/>
          <w:szCs w:val="20"/>
        </w:rPr>
        <w:t>premises, we would be legally obligated under master lease arrangements. We believe that the financial risk of default by such sub-lessees is individually and in the aggregate not material to our financial condition, results of operations, cash flows or eq</w:t>
      </w:r>
      <w:r>
        <w:rPr>
          <w:rFonts w:eastAsia="Times New Roman"/>
          <w:color w:val="000000"/>
          <w:sz w:val="20"/>
          <w:szCs w:val="20"/>
        </w:rPr>
        <w:t>uity.</w:t>
      </w:r>
    </w:p>
    <w:p w:rsidR="00000000" w:rsidRDefault="0039054C">
      <w:pPr>
        <w:divId w:val="381248596"/>
        <w:rPr>
          <w:rFonts w:eastAsia="Times New Roman"/>
        </w:rPr>
      </w:pPr>
      <w:r>
        <w:rPr>
          <w:rFonts w:eastAsia="Times New Roman"/>
          <w:b/>
          <w:bCs/>
          <w:color w:val="000000"/>
          <w:sz w:val="20"/>
          <w:szCs w:val="20"/>
        </w:rPr>
        <w:t xml:space="preserve">Commercial Commitments and Contractual Obligations </w:t>
      </w:r>
    </w:p>
    <w:p w:rsidR="00000000" w:rsidRDefault="0039054C">
      <w:pPr>
        <w:ind w:firstLine="450"/>
        <w:divId w:val="542525360"/>
        <w:rPr>
          <w:rFonts w:eastAsia="Times New Roman"/>
        </w:rPr>
      </w:pPr>
      <w:r>
        <w:rPr>
          <w:rFonts w:eastAsia="Times New Roman"/>
          <w:color w:val="000000"/>
          <w:sz w:val="20"/>
          <w:szCs w:val="20"/>
        </w:rPr>
        <w:t>The amounts disclosed in our Fiscal 2020 Form 10-K include our commercial commitments and contractual obligations. There were no material changes during the first quarter of fiscal 2021 in our contr</w:t>
      </w:r>
      <w:r>
        <w:rPr>
          <w:rFonts w:eastAsia="Times New Roman"/>
          <w:color w:val="000000"/>
          <w:sz w:val="20"/>
          <w:szCs w:val="20"/>
        </w:rPr>
        <w:t>actual cash obligations to repay debt, to purchase goods and services, to make payments under operating leases or our commercial commitments, or in our contingent liabilities on outstanding surety bonds, standby letters of credit or other arrangements as d</w:t>
      </w:r>
      <w:r>
        <w:rPr>
          <w:rFonts w:eastAsia="Times New Roman"/>
          <w:color w:val="000000"/>
          <w:sz w:val="20"/>
          <w:szCs w:val="20"/>
        </w:rPr>
        <w:t xml:space="preserve">isclosed in our Fiscal 2020 Form 10-K. </w:t>
      </w:r>
    </w:p>
    <w:p w:rsidR="00000000" w:rsidRDefault="0039054C">
      <w:pPr>
        <w:ind w:firstLine="450"/>
        <w:jc w:val="center"/>
        <w:divId w:val="1016267554"/>
        <w:rPr>
          <w:rFonts w:eastAsia="Times New Roman"/>
        </w:rPr>
      </w:pPr>
      <w:r>
        <w:rPr>
          <w:rFonts w:eastAsia="Times New Roman"/>
          <w:color w:val="000000"/>
          <w:sz w:val="20"/>
          <w:szCs w:val="20"/>
        </w:rPr>
        <w:t>33</w:t>
      </w:r>
    </w:p>
    <w:p w:rsidR="00000000" w:rsidRDefault="0039054C">
      <w:pPr>
        <w:rPr>
          <w:rFonts w:eastAsia="Times New Roman"/>
        </w:rPr>
      </w:pPr>
      <w:r>
        <w:rPr>
          <w:rFonts w:eastAsia="Times New Roman"/>
        </w:rPr>
        <w:pict>
          <v:rect id="_x0000_i1060" style="width:0;height:1.5pt" o:hralign="center" o:hrstd="t" o:hr="t" fillcolor="#a0a0a0" stroked="f"/>
        </w:pict>
      </w:r>
    </w:p>
    <w:p w:rsidR="00000000" w:rsidRDefault="0039054C">
      <w:pPr>
        <w:ind w:firstLine="450"/>
        <w:divId w:val="1475414606"/>
        <w:rPr>
          <w:rFonts w:eastAsia="Times New Roman"/>
        </w:rPr>
      </w:pPr>
    </w:p>
    <w:p w:rsidR="00000000" w:rsidRDefault="0039054C">
      <w:pPr>
        <w:ind w:firstLine="450"/>
        <w:divId w:val="1448500076"/>
        <w:rPr>
          <w:rFonts w:eastAsia="Times New Roman"/>
        </w:rPr>
      </w:pPr>
    </w:p>
    <w:p w:rsidR="00000000" w:rsidRDefault="0039054C">
      <w:pPr>
        <w:divId w:val="1091198866"/>
        <w:rPr>
          <w:rFonts w:eastAsia="Times New Roman"/>
        </w:rPr>
      </w:pPr>
      <w:r>
        <w:rPr>
          <w:rFonts w:eastAsia="Times New Roman"/>
          <w:b/>
          <w:bCs/>
          <w:color w:val="000000"/>
          <w:sz w:val="20"/>
          <w:szCs w:val="20"/>
        </w:rPr>
        <w:t>CRITICAL ACCOUNTING POLICIES AND ESTIMATES</w:t>
      </w:r>
    </w:p>
    <w:p w:rsidR="00000000" w:rsidRDefault="0039054C">
      <w:pPr>
        <w:ind w:firstLine="450"/>
        <w:divId w:val="2064021863"/>
        <w:rPr>
          <w:rFonts w:eastAsia="Times New Roman"/>
        </w:rPr>
      </w:pPr>
      <w:r>
        <w:rPr>
          <w:rFonts w:eastAsia="Times New Roman"/>
          <w:color w:val="000000"/>
          <w:sz w:val="20"/>
          <w:szCs w:val="20"/>
        </w:rPr>
        <w:t>Our Condensed Consolidated Financial Statements (Unaudited) and accompanying Notes are prepared in accordance with GAAP. Preparin</w:t>
      </w:r>
      <w:r>
        <w:rPr>
          <w:rFonts w:eastAsia="Times New Roman"/>
          <w:color w:val="000000"/>
          <w:sz w:val="20"/>
          <w:szCs w:val="20"/>
        </w:rPr>
        <w:t>g financial statements requires us to make estimates and assumptions that affect the reported amounts of assets, liabilities, revenue, expenses and backlog as well as disclosures of contingent assets and liabilities. Actual results may differ from our esti</w:t>
      </w:r>
      <w:r>
        <w:rPr>
          <w:rFonts w:eastAsia="Times New Roman"/>
          <w:color w:val="000000"/>
          <w:sz w:val="20"/>
          <w:szCs w:val="20"/>
        </w:rPr>
        <w:t>mates. These estimates and assumptions are affected by the application of our accounting policies. Critical accounting policies and estimates are those that require application of management’s most difficult, subjective or complex judgments, often as a res</w:t>
      </w:r>
      <w:r>
        <w:rPr>
          <w:rFonts w:eastAsia="Times New Roman"/>
          <w:color w:val="000000"/>
          <w:sz w:val="20"/>
          <w:szCs w:val="20"/>
        </w:rPr>
        <w:t>ult of matters that are inherently uncertain and may change in subsequent periods. Critical accounting policies and estimates for us include: (i) revenue recognition on contracts and contract estimates; (ii) postretirement benefit plans; (iii) impairment t</w:t>
      </w:r>
      <w:r>
        <w:rPr>
          <w:rFonts w:eastAsia="Times New Roman"/>
          <w:color w:val="000000"/>
          <w:sz w:val="20"/>
          <w:szCs w:val="20"/>
        </w:rPr>
        <w:t>esting of goodwill; (iv) accounting for business combinations; and (v) income taxes and tax valuation allowances. For additional discussion of our critical accounting policies and estimates, see “Critical Accounting Policies and Estimates” in Item 7. “Mana</w:t>
      </w:r>
      <w:r>
        <w:rPr>
          <w:rFonts w:eastAsia="Times New Roman"/>
          <w:color w:val="000000"/>
          <w:sz w:val="20"/>
          <w:szCs w:val="20"/>
        </w:rPr>
        <w:t xml:space="preserve">gement’s Discussion and Analysis of Financial Condition and Results of Operations” in our Fiscal 2020 Form 10-K. </w:t>
      </w:r>
    </w:p>
    <w:p w:rsidR="00000000" w:rsidRDefault="0039054C">
      <w:pPr>
        <w:divId w:val="2110808868"/>
        <w:rPr>
          <w:rFonts w:eastAsia="Times New Roman"/>
        </w:rPr>
      </w:pPr>
      <w:r>
        <w:rPr>
          <w:rFonts w:eastAsia="Times New Roman"/>
          <w:b/>
          <w:bCs/>
          <w:color w:val="000000"/>
          <w:sz w:val="20"/>
          <w:szCs w:val="20"/>
        </w:rPr>
        <w:t>Revenue Recognition</w:t>
      </w:r>
    </w:p>
    <w:p w:rsidR="00000000" w:rsidRDefault="0039054C">
      <w:pPr>
        <w:ind w:firstLine="450"/>
        <w:divId w:val="248126121"/>
        <w:rPr>
          <w:rFonts w:eastAsia="Times New Roman"/>
        </w:rPr>
      </w:pPr>
      <w:r>
        <w:rPr>
          <w:rFonts w:eastAsia="Times New Roman"/>
          <w:color w:val="000000"/>
          <w:sz w:val="20"/>
          <w:szCs w:val="20"/>
        </w:rPr>
        <w:t xml:space="preserve">A significant portion of our business is derived from development and production contracts. Revenue and profit related to </w:t>
      </w:r>
      <w:r>
        <w:rPr>
          <w:rFonts w:eastAsia="Times New Roman"/>
          <w:color w:val="000000"/>
          <w:sz w:val="20"/>
          <w:szCs w:val="20"/>
        </w:rPr>
        <w:t>development and production contracts are generally recognized over time, typically using the POC cost-to-cost method of revenue recognition, whereby we measure our progress towards completion of the performance obligation based on the ratio of costs incurr</w:t>
      </w:r>
      <w:r>
        <w:rPr>
          <w:rFonts w:eastAsia="Times New Roman"/>
          <w:color w:val="000000"/>
          <w:sz w:val="20"/>
          <w:szCs w:val="20"/>
        </w:rPr>
        <w:t>ed to date to estimated costs at completion under the contract. Because costs incurred represent work performed, we believe this method best depicts the transfer of control of the asset to the customer. Under the POC cost-to-cost method of revenue recognit</w:t>
      </w:r>
      <w:r>
        <w:rPr>
          <w:rFonts w:eastAsia="Times New Roman"/>
          <w:color w:val="000000"/>
          <w:sz w:val="20"/>
          <w:szCs w:val="20"/>
        </w:rPr>
        <w:t>ion, a single estimated profit margin is used to recognize profit for each performance obligation over its period of performance. Recognition of profit on a contract requires estimates of the total cost at completion and transaction price and the measureme</w:t>
      </w:r>
      <w:r>
        <w:rPr>
          <w:rFonts w:eastAsia="Times New Roman"/>
          <w:color w:val="000000"/>
          <w:sz w:val="20"/>
          <w:szCs w:val="20"/>
        </w:rPr>
        <w:t>nt of progress towards completion. Due to the long-term nature of many of our contracts, developing the estimated total cost at completion and total transaction price often requires judgment. Factors that must be considered in estimating the cost of the wo</w:t>
      </w:r>
      <w:r>
        <w:rPr>
          <w:rFonts w:eastAsia="Times New Roman"/>
          <w:color w:val="000000"/>
          <w:sz w:val="20"/>
          <w:szCs w:val="20"/>
        </w:rPr>
        <w:t xml:space="preserve">rk to be completed include: the nature and complexity of the work to be performed, subcontractor performance and the risk and impact of delayed performance. Factors that must be considered in estimating the total transaction price include contractual cost </w:t>
      </w:r>
      <w:r>
        <w:rPr>
          <w:rFonts w:eastAsia="Times New Roman"/>
          <w:color w:val="000000"/>
          <w:sz w:val="20"/>
          <w:szCs w:val="20"/>
        </w:rPr>
        <w:t>or performance incentives (such as incentive fees, award fees and penalties) and other forms of variable consideration as well as our historical experience and our expectation for performance on the contract. These variable amounts generally are awarded up</w:t>
      </w:r>
      <w:r>
        <w:rPr>
          <w:rFonts w:eastAsia="Times New Roman"/>
          <w:color w:val="000000"/>
          <w:sz w:val="20"/>
          <w:szCs w:val="20"/>
        </w:rPr>
        <w:t>on achievement of certain negotiated performance metrics, program milestones or cost targets and can be based upon customer discretion. We include such estimated amounts in the transaction price to the extent it is probable that a significant reversal of c</w:t>
      </w:r>
      <w:r>
        <w:rPr>
          <w:rFonts w:eastAsia="Times New Roman"/>
          <w:color w:val="000000"/>
          <w:sz w:val="20"/>
          <w:szCs w:val="20"/>
        </w:rPr>
        <w:t>umulative revenue recognized will not occur when the uncertainty associated with the variable consideration is resolved.</w:t>
      </w:r>
    </w:p>
    <w:p w:rsidR="00000000" w:rsidRDefault="0039054C">
      <w:pPr>
        <w:ind w:firstLine="450"/>
        <w:divId w:val="1701280295"/>
        <w:rPr>
          <w:rFonts w:eastAsia="Times New Roman"/>
        </w:rPr>
      </w:pPr>
      <w:r>
        <w:rPr>
          <w:rFonts w:eastAsia="Times New Roman"/>
          <w:color w:val="000000"/>
          <w:sz w:val="20"/>
          <w:szCs w:val="20"/>
        </w:rPr>
        <w:t>At the outset of each contract, we gauge its complexity and perceived risks and establish an estimated total cost at completion in line</w:t>
      </w:r>
      <w:r>
        <w:rPr>
          <w:rFonts w:eastAsia="Times New Roman"/>
          <w:color w:val="000000"/>
          <w:sz w:val="20"/>
          <w:szCs w:val="20"/>
        </w:rPr>
        <w:t xml:space="preserve"> with these expectations. After establishing the estimated total cost at completion, we follow a standard EAC process in which we review the progress and performance on our ongoing contracts at least quarterly and, in many cases, more frequently. If we suc</w:t>
      </w:r>
      <w:r>
        <w:rPr>
          <w:rFonts w:eastAsia="Times New Roman"/>
          <w:color w:val="000000"/>
          <w:sz w:val="20"/>
          <w:szCs w:val="20"/>
        </w:rPr>
        <w:t>cessfully retire risks associated with the technical, schedule and cost aspects of a contract, we may lower our estimated total cost at completion commensurate with the retirement of these risks. Conversely, if we are not successful in retiring these risks</w:t>
      </w:r>
      <w:r>
        <w:rPr>
          <w:rFonts w:eastAsia="Times New Roman"/>
          <w:color w:val="000000"/>
          <w:sz w:val="20"/>
          <w:szCs w:val="20"/>
        </w:rPr>
        <w:t>, we may increase our estimated total cost at completion. Additionally, as the contract progresses, our estimates of total transaction price may increase or decrease if, for example, we receive award fees that are higher or lower than expected. When adjust</w:t>
      </w:r>
      <w:r>
        <w:rPr>
          <w:rFonts w:eastAsia="Times New Roman"/>
          <w:color w:val="000000"/>
          <w:sz w:val="20"/>
          <w:szCs w:val="20"/>
        </w:rPr>
        <w:t xml:space="preserve">ments in estimated total costs at completion or in estimated total transaction price are determined, the related impact on operating income is recognized using the cumulative catch-up method, which recognizes in the current period the cumulative effect of </w:t>
      </w:r>
      <w:r>
        <w:rPr>
          <w:rFonts w:eastAsia="Times New Roman"/>
          <w:color w:val="000000"/>
          <w:sz w:val="20"/>
          <w:szCs w:val="20"/>
        </w:rPr>
        <w:t>such adjustments for all prior periods. Any anticipated losses on these contracts are fully recognized in the period in which the losses become evident.</w:t>
      </w:r>
    </w:p>
    <w:p w:rsidR="00000000" w:rsidRDefault="0039054C">
      <w:pPr>
        <w:ind w:firstLine="450"/>
        <w:divId w:val="1646855586"/>
        <w:rPr>
          <w:rFonts w:eastAsia="Times New Roman"/>
        </w:rPr>
      </w:pPr>
      <w:r>
        <w:rPr>
          <w:rFonts w:eastAsia="Times New Roman"/>
          <w:color w:val="000000"/>
          <w:sz w:val="20"/>
          <w:szCs w:val="20"/>
        </w:rPr>
        <w:t>EAC adjustments resulted in the following impacts to operating income for the periods presented:</w:t>
      </w: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5482"/>
        <w:gridCol w:w="36"/>
        <w:gridCol w:w="120"/>
        <w:gridCol w:w="1039"/>
        <w:gridCol w:w="36"/>
        <w:gridCol w:w="36"/>
        <w:gridCol w:w="36"/>
        <w:gridCol w:w="36"/>
        <w:gridCol w:w="120"/>
        <w:gridCol w:w="1003"/>
        <w:gridCol w:w="36"/>
        <w:gridCol w:w="36"/>
        <w:gridCol w:w="36"/>
        <w:gridCol w:w="36"/>
        <w:gridCol w:w="36"/>
        <w:gridCol w:w="36"/>
        <w:gridCol w:w="36"/>
        <w:gridCol w:w="36"/>
        <w:gridCol w:w="36"/>
      </w:tblGrid>
      <w:tr w:rsidR="00000000">
        <w:trPr>
          <w:divId w:val="57753330"/>
        </w:trPr>
        <w:tc>
          <w:tcPr>
            <w:tcW w:w="50" w:type="pct"/>
            <w:vAlign w:val="center"/>
            <w:hideMark/>
          </w:tcPr>
          <w:p w:rsidR="00000000" w:rsidRDefault="0039054C">
            <w:pPr>
              <w:ind w:firstLine="450"/>
              <w:rPr>
                <w:rFonts w:eastAsia="Times New Roman"/>
              </w:rPr>
            </w:pPr>
          </w:p>
        </w:tc>
        <w:tc>
          <w:tcPr>
            <w:tcW w:w="34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2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7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7753330"/>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Quarter Ended</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57753330"/>
        </w:trPr>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(In millions)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2, 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April 3, 2020</w:t>
            </w:r>
          </w:p>
        </w:tc>
        <w:tc>
          <w:tcPr>
            <w:tcW w:w="0" w:type="auto"/>
            <w:vAlign w:val="center"/>
            <w:hideMark/>
          </w:tcPr>
          <w:p w:rsidR="00000000" w:rsidRDefault="0039054C">
            <w:pPr>
              <w:jc w:val="center"/>
              <w:rPr>
                <w:rFonts w:eastAsia="Times New Roman"/>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7753330"/>
          <w:trHeight w:val="6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7753330"/>
        </w:trPr>
        <w:tc>
          <w:tcPr>
            <w:tcW w:w="0" w:type="auto"/>
            <w:gridSpan w:val="3"/>
            <w:shd w:val="clear" w:color="auto" w:fill="CCEE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Favorable adjustments</w:t>
            </w:r>
          </w:p>
        </w:tc>
        <w:tc>
          <w:tcPr>
            <w:tcW w:w="0" w:type="auto"/>
            <w:shd w:val="clear" w:color="auto" w:fill="CCEEFF"/>
            <w:tcMar>
              <w:top w:w="30" w:type="dxa"/>
              <w:left w:w="20" w:type="dxa"/>
              <w:bottom w:w="30" w:type="dxa"/>
              <w:right w:w="0" w:type="dxa"/>
            </w:tcMar>
            <w:vAlign w:val="center"/>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39054C">
            <w:pPr>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39054C">
            <w:pPr>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center"/>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7753330"/>
        </w:trPr>
        <w:tc>
          <w:tcPr>
            <w:tcW w:w="0" w:type="auto"/>
            <w:gridSpan w:val="3"/>
            <w:shd w:val="clear" w:color="auto" w:fill="FFFF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Unfavorable adjustments</w:t>
            </w:r>
          </w:p>
        </w:tc>
        <w:tc>
          <w:tcPr>
            <w:tcW w:w="0" w:type="auto"/>
            <w:gridSpan w:val="2"/>
            <w:shd w:val="clear" w:color="auto" w:fill="FFFFFF"/>
            <w:tcMar>
              <w:top w:w="30" w:type="dxa"/>
              <w:left w:w="20" w:type="dxa"/>
              <w:bottom w:w="30" w:type="dxa"/>
              <w:right w:w="0" w:type="dxa"/>
            </w:tcMar>
            <w:vAlign w:val="center"/>
            <w:hideMark/>
          </w:tcPr>
          <w:p w:rsidR="00000000" w:rsidRDefault="0039054C">
            <w:pPr>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center"/>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39054C">
            <w:pPr>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center"/>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r w:rsidR="00000000">
        <w:trPr>
          <w:divId w:val="57753330"/>
        </w:trPr>
        <w:tc>
          <w:tcPr>
            <w:tcW w:w="0" w:type="auto"/>
            <w:gridSpan w:val="3"/>
            <w:shd w:val="clear" w:color="auto" w:fill="CCEEFF"/>
            <w:tcMar>
              <w:top w:w="30" w:type="dxa"/>
              <w:left w:w="20" w:type="dxa"/>
              <w:bottom w:w="30" w:type="dxa"/>
              <w:right w:w="20" w:type="dxa"/>
            </w:tcMar>
            <w:vAlign w:val="center"/>
            <w:hideMark/>
          </w:tcPr>
          <w:p w:rsidR="00000000" w:rsidRDefault="0039054C">
            <w:pPr>
              <w:rPr>
                <w:rFonts w:eastAsia="Times New Roman"/>
              </w:rPr>
            </w:pPr>
            <w:r>
              <w:rPr>
                <w:rFonts w:eastAsia="Times New Roman"/>
                <w:color w:val="000000"/>
                <w:sz w:val="20"/>
                <w:szCs w:val="20"/>
              </w:rPr>
              <w:t>Net operating income adjustments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39054C">
            <w:pPr>
              <w:jc w:val="right"/>
              <w:rPr>
                <w:rFonts w:eastAsia="Times New Roman"/>
              </w:rPr>
            </w:pPr>
            <w:r>
              <w:rPr>
                <w:rFonts w:eastAsia="Times New Roman"/>
                <w:color w:val="000000"/>
                <w:sz w:val="20"/>
                <w:szCs w:val="20"/>
              </w:rPr>
              <w:t>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39054C">
            <w:pPr>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39054C">
            <w:pPr>
              <w:jc w:val="right"/>
              <w:rPr>
                <w:rFonts w:eastAsia="Times New Roman"/>
              </w:rPr>
            </w:pPr>
            <w:r>
              <w:rPr>
                <w:rFonts w:eastAsia="Times New Roman"/>
                <w:color w:val="000000"/>
                <w:sz w:val="20"/>
                <w:szCs w:val="20"/>
              </w:rPr>
              <w:t>103 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39054C">
            <w:pPr>
              <w:jc w:val="right"/>
              <w:rPr>
                <w:rFonts w:eastAsia="Times New Roman"/>
              </w:rPr>
            </w:pPr>
          </w:p>
        </w:tc>
        <w:tc>
          <w:tcPr>
            <w:tcW w:w="0" w:type="auto"/>
            <w:vAlign w:val="center"/>
            <w:hideMark/>
          </w:tcPr>
          <w:p w:rsidR="00000000" w:rsidRDefault="0039054C">
            <w:pPr>
              <w:jc w:val="right"/>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r>
    </w:tbl>
    <w:p w:rsidR="00000000" w:rsidRDefault="0039054C">
      <w:pPr>
        <w:ind w:firstLine="450"/>
        <w:divId w:val="1447428953"/>
        <w:rPr>
          <w:rFonts w:eastAsia="Times New Roman"/>
        </w:rPr>
      </w:pPr>
      <w:r>
        <w:rPr>
          <w:rFonts w:eastAsia="Times New Roman"/>
          <w:color w:val="000000"/>
          <w:sz w:val="20"/>
          <w:szCs w:val="20"/>
        </w:rPr>
        <w:t>The net favorable impact to operating income from EAC adjustments in the first quarter of fiscal 2021 reflected benefits of operational performance on programs, including additional retirement of risks and schedule improvements, achievement of incentive pa</w:t>
      </w:r>
      <w:r>
        <w:rPr>
          <w:rFonts w:eastAsia="Times New Roman"/>
          <w:color w:val="000000"/>
          <w:sz w:val="20"/>
          <w:szCs w:val="20"/>
        </w:rPr>
        <w:t>yments and realization of synergy savings across</w:t>
      </w:r>
      <w:r>
        <w:rPr>
          <w:rFonts w:eastAsia="Times New Roman"/>
          <w:color w:val="000000"/>
          <w:sz w:val="20"/>
          <w:szCs w:val="20"/>
          <w:shd w:val="clear" w:color="auto" w:fill="FFFFFF"/>
        </w:rPr>
        <w:t xml:space="preserve"> all four of our business segments. </w:t>
      </w:r>
      <w:r>
        <w:rPr>
          <w:rFonts w:eastAsia="Times New Roman"/>
          <w:color w:val="000000"/>
          <w:sz w:val="20"/>
          <w:szCs w:val="20"/>
        </w:rPr>
        <w:t>There were no EAC adjustments on any individual program with impacts to operating income in the first quarter of fiscal 2021 or 2020 that were material to our results of op</w:t>
      </w:r>
      <w:r>
        <w:rPr>
          <w:rFonts w:eastAsia="Times New Roman"/>
          <w:color w:val="000000"/>
          <w:sz w:val="20"/>
          <w:szCs w:val="20"/>
        </w:rPr>
        <w:t>erations on a consolidated or segment basis for such periods.</w:t>
      </w:r>
    </w:p>
    <w:p w:rsidR="00000000" w:rsidRDefault="0039054C">
      <w:pPr>
        <w:ind w:firstLine="450"/>
        <w:jc w:val="center"/>
        <w:divId w:val="1765301573"/>
        <w:rPr>
          <w:rFonts w:eastAsia="Times New Roman"/>
        </w:rPr>
      </w:pPr>
      <w:r>
        <w:rPr>
          <w:rFonts w:eastAsia="Times New Roman"/>
          <w:color w:val="000000"/>
          <w:sz w:val="20"/>
          <w:szCs w:val="20"/>
        </w:rPr>
        <w:t>34</w:t>
      </w:r>
    </w:p>
    <w:p w:rsidR="00000000" w:rsidRDefault="0039054C">
      <w:pPr>
        <w:rPr>
          <w:rFonts w:eastAsia="Times New Roman"/>
        </w:rPr>
      </w:pPr>
      <w:r>
        <w:rPr>
          <w:rFonts w:eastAsia="Times New Roman"/>
        </w:rPr>
        <w:pict>
          <v:rect id="_x0000_i1061" style="width:0;height:1.5pt" o:hralign="center" o:hrstd="t" o:hr="t" fillcolor="#a0a0a0" stroked="f"/>
        </w:pict>
      </w:r>
    </w:p>
    <w:p w:rsidR="00000000" w:rsidRDefault="0039054C">
      <w:pPr>
        <w:ind w:firstLine="450"/>
        <w:divId w:val="241524200"/>
        <w:rPr>
          <w:rFonts w:eastAsia="Times New Roman"/>
        </w:rPr>
      </w:pPr>
    </w:p>
    <w:p w:rsidR="00000000" w:rsidRDefault="0039054C">
      <w:pPr>
        <w:ind w:firstLine="450"/>
        <w:divId w:val="744182460"/>
        <w:rPr>
          <w:rFonts w:eastAsia="Times New Roman"/>
        </w:rPr>
      </w:pPr>
    </w:p>
    <w:p w:rsidR="00000000" w:rsidRDefault="0039054C">
      <w:pPr>
        <w:ind w:firstLine="450"/>
        <w:divId w:val="282464270"/>
        <w:rPr>
          <w:rFonts w:eastAsia="Times New Roman"/>
        </w:rPr>
      </w:pPr>
      <w:r>
        <w:rPr>
          <w:rFonts w:eastAsia="Times New Roman"/>
          <w:color w:val="000000"/>
          <w:sz w:val="20"/>
          <w:szCs w:val="20"/>
        </w:rPr>
        <w:t>We recognize revenue from numerous contracts with multiple performance obligations. For these contracts, we allocate the transaction price to each performance obligation based on the relative standalone selling price</w:t>
      </w:r>
      <w:r>
        <w:rPr>
          <w:rFonts w:eastAsia="Times New Roman"/>
          <w:color w:val="000000"/>
          <w:sz w:val="20"/>
          <w:szCs w:val="20"/>
        </w:rPr>
        <w:t xml:space="preserve"> of the good or service underlying each performance obligation. The standalone selling price represents the amount for which we would sell the good or service to a customer on a standalone basis (i.e., not sold as a bundled sale with any other products or </w:t>
      </w:r>
      <w:r>
        <w:rPr>
          <w:rFonts w:eastAsia="Times New Roman"/>
          <w:color w:val="000000"/>
          <w:sz w:val="20"/>
          <w:szCs w:val="20"/>
        </w:rPr>
        <w:t xml:space="preserve">services). The allocation of transaction price among separate performance obligations may impact the timing of revenue recognition but will not change the total revenue recognized on the contract. </w:t>
      </w:r>
    </w:p>
    <w:p w:rsidR="00000000" w:rsidRDefault="0039054C">
      <w:pPr>
        <w:ind w:firstLine="450"/>
        <w:divId w:val="2073310660"/>
        <w:rPr>
          <w:rFonts w:eastAsia="Times New Roman"/>
        </w:rPr>
      </w:pPr>
      <w:r>
        <w:rPr>
          <w:rFonts w:eastAsia="Times New Roman"/>
          <w:color w:val="000000"/>
          <w:sz w:val="20"/>
          <w:szCs w:val="20"/>
        </w:rPr>
        <w:t>A substantial majority of our revenue is derived from cont</w:t>
      </w:r>
      <w:r>
        <w:rPr>
          <w:rFonts w:eastAsia="Times New Roman"/>
          <w:color w:val="000000"/>
          <w:sz w:val="20"/>
          <w:szCs w:val="20"/>
        </w:rPr>
        <w:t>racts with the U.S. Government, including foreign military sales contracts. These contracts are subject to the Federal Acquisition Regulations and the prices of our contract deliverables are typically based on our estimated or actual costs plus a reasonabl</w:t>
      </w:r>
      <w:r>
        <w:rPr>
          <w:rFonts w:eastAsia="Times New Roman"/>
          <w:color w:val="000000"/>
          <w:sz w:val="20"/>
          <w:szCs w:val="20"/>
        </w:rPr>
        <w:t>e profit margin. As a result, the standalone selling prices of the goods and services in these contracts are typically equal to the selling prices stated in the contract, thereby eliminating the need to allocate (or reallocate) the transaction price to the</w:t>
      </w:r>
      <w:r>
        <w:rPr>
          <w:rFonts w:eastAsia="Times New Roman"/>
          <w:color w:val="000000"/>
          <w:sz w:val="20"/>
          <w:szCs w:val="20"/>
        </w:rPr>
        <w:t xml:space="preserve"> multiple performance obligations. In our non-U.S. Government contracts, when standalone selling prices are not directly observable, we also generally use the expected cost plus a margin approach to determine standalone selling price. In determining the ap</w:t>
      </w:r>
      <w:r>
        <w:rPr>
          <w:rFonts w:eastAsia="Times New Roman"/>
          <w:color w:val="000000"/>
          <w:sz w:val="20"/>
          <w:szCs w:val="20"/>
        </w:rPr>
        <w:t>propriate margin under the cost plus margin approach, we consider historical margins on similar products sold to similar customers or within similar geographies where objective evidence is available. We may also consider our cost structure and profit objec</w:t>
      </w:r>
      <w:r>
        <w:rPr>
          <w:rFonts w:eastAsia="Times New Roman"/>
          <w:color w:val="000000"/>
          <w:sz w:val="20"/>
          <w:szCs w:val="20"/>
        </w:rPr>
        <w:t xml:space="preserve">tives, the nature of the proposal, the effects of customization of pricing, our practices used to establish pricing of bundled products, the expected technological life of the product, margins earned on similar contracts with different customers and other </w:t>
      </w:r>
      <w:r>
        <w:rPr>
          <w:rFonts w:eastAsia="Times New Roman"/>
          <w:color w:val="000000"/>
          <w:sz w:val="20"/>
          <w:szCs w:val="20"/>
        </w:rPr>
        <w:t xml:space="preserve">factors to determine the appropriate margin. </w:t>
      </w:r>
    </w:p>
    <w:p w:rsidR="00000000" w:rsidRDefault="0039054C">
      <w:pPr>
        <w:divId w:val="740834119"/>
        <w:rPr>
          <w:rFonts w:eastAsia="Times New Roman"/>
        </w:rPr>
      </w:pPr>
      <w:r>
        <w:rPr>
          <w:rFonts w:eastAsia="Times New Roman"/>
          <w:b/>
          <w:bCs/>
          <w:color w:val="000000"/>
          <w:sz w:val="20"/>
          <w:szCs w:val="20"/>
        </w:rPr>
        <w:t>Goodwill</w:t>
      </w:r>
    </w:p>
    <w:p w:rsidR="00000000" w:rsidRDefault="0039054C">
      <w:pPr>
        <w:ind w:firstLine="450"/>
        <w:divId w:val="536700154"/>
        <w:rPr>
          <w:rFonts w:eastAsia="Times New Roman"/>
        </w:rPr>
      </w:pPr>
      <w:r>
        <w:rPr>
          <w:rFonts w:eastAsia="Times New Roman"/>
          <w:color w:val="000000"/>
          <w:sz w:val="20"/>
          <w:szCs w:val="20"/>
        </w:rPr>
        <w:t xml:space="preserve">Goodwill in our Condensed Consolidated Balance Sheet (Unaudited) as of April 2, 2021 and January 1, 2021 was $18.3 billion and $18.9 billion, respectively. Goodwill is not amortized. We perform annual </w:t>
      </w:r>
      <w:r>
        <w:rPr>
          <w:rFonts w:eastAsia="Times New Roman"/>
          <w:color w:val="000000"/>
          <w:sz w:val="20"/>
          <w:szCs w:val="20"/>
        </w:rPr>
        <w:t>(or under certain circumstances, more frequent) impairment tests of our goodwill. We identify potential impairment by comparing the fair value of each of our reporting units with its carrying amount, including goodwill, which is adjusted for allocations of</w:t>
      </w:r>
      <w:r>
        <w:rPr>
          <w:rFonts w:eastAsia="Times New Roman"/>
          <w:color w:val="000000"/>
          <w:sz w:val="20"/>
          <w:szCs w:val="20"/>
        </w:rPr>
        <w:t xml:space="preserve"> Corporate assets and liabilities as appropriate. If the fair value of a reporting unit exceeds its carrying amount, goodwill of the reporting unit is considered not impaired. If the carrying amount of a reporting unit exceeds its fair value, an impairment</w:t>
      </w:r>
      <w:r>
        <w:rPr>
          <w:rFonts w:eastAsia="Times New Roman"/>
          <w:color w:val="000000"/>
          <w:sz w:val="20"/>
          <w:szCs w:val="20"/>
        </w:rPr>
        <w:t xml:space="preserve"> loss is recognized in an amount equal to that excess. </w:t>
      </w:r>
    </w:p>
    <w:p w:rsidR="00000000" w:rsidRDefault="0039054C">
      <w:pPr>
        <w:ind w:firstLine="450"/>
        <w:divId w:val="1652979604"/>
        <w:rPr>
          <w:rFonts w:eastAsia="Times New Roman"/>
        </w:rPr>
      </w:pPr>
      <w:r>
        <w:rPr>
          <w:rFonts w:eastAsia="Times New Roman"/>
          <w:i/>
          <w:iCs/>
          <w:color w:val="000000"/>
          <w:sz w:val="20"/>
          <w:szCs w:val="20"/>
        </w:rPr>
        <w:t xml:space="preserve">CPS business goodwill allocation: </w:t>
      </w:r>
      <w:r>
        <w:rPr>
          <w:rFonts w:eastAsia="Times New Roman"/>
          <w:color w:val="000000"/>
          <w:sz w:val="20"/>
          <w:szCs w:val="20"/>
        </w:rPr>
        <w:t xml:space="preserve">As described in more detail in </w:t>
      </w:r>
      <w:r>
        <w:rPr>
          <w:rFonts w:eastAsia="Times New Roman"/>
          <w:i/>
          <w:iCs/>
          <w:color w:val="000000"/>
          <w:sz w:val="20"/>
          <w:szCs w:val="20"/>
        </w:rPr>
        <w:t>Note B — Business Divestitures</w:t>
      </w:r>
      <w:r>
        <w:rPr>
          <w:rFonts w:eastAsia="Times New Roman"/>
          <w:color w:val="000000"/>
          <w:sz w:val="20"/>
          <w:szCs w:val="20"/>
        </w:rPr>
        <w:t xml:space="preserve"> in the Notes, we entered into a definitive agreement to sell our CPS business on March 1, 2021. Because </w:t>
      </w:r>
      <w:r>
        <w:rPr>
          <w:rFonts w:eastAsia="Times New Roman"/>
          <w:color w:val="000000"/>
          <w:sz w:val="20"/>
          <w:szCs w:val="20"/>
        </w:rPr>
        <w:t>the pending divestiture of the CPS business represented the disposal of a portion of a reporting unit within our Aviation Systems segment, we assigned $174 million of goodwill to the CPS business disposal group on a relative fair value basis. In conjunctio</w:t>
      </w:r>
      <w:r>
        <w:rPr>
          <w:rFonts w:eastAsia="Times New Roman"/>
          <w:color w:val="000000"/>
          <w:sz w:val="20"/>
          <w:szCs w:val="20"/>
        </w:rPr>
        <w:t>n with the relative fair value allocation, we tested goodwill assigned to the CPS business disposal group and goodwill assigned to the retained businesses of the reporting unit for impairment and concluded that goodwill related to the CPS business disposal</w:t>
      </w:r>
      <w:r>
        <w:rPr>
          <w:rFonts w:eastAsia="Times New Roman"/>
          <w:color w:val="000000"/>
          <w:sz w:val="20"/>
          <w:szCs w:val="20"/>
        </w:rPr>
        <w:t xml:space="preserve"> group was impaired. As a result, we recorded a non-cash impairment charge of $62 million, which is included in the “Impairment of goodwill and other assets” line item in our Condensed Consolidated Statement of Income (Unaudited) for the first quarter of f</w:t>
      </w:r>
      <w:r>
        <w:rPr>
          <w:rFonts w:eastAsia="Times New Roman"/>
          <w:color w:val="000000"/>
          <w:sz w:val="20"/>
          <w:szCs w:val="20"/>
        </w:rPr>
        <w:t xml:space="preserve">iscal 2021. </w:t>
      </w:r>
    </w:p>
    <w:p w:rsidR="00000000" w:rsidRDefault="0039054C">
      <w:pPr>
        <w:ind w:firstLine="450"/>
        <w:divId w:val="49962948"/>
        <w:rPr>
          <w:rFonts w:eastAsia="Times New Roman"/>
        </w:rPr>
      </w:pPr>
      <w:r>
        <w:rPr>
          <w:rFonts w:eastAsia="Times New Roman"/>
          <w:color w:val="000000"/>
          <w:sz w:val="20"/>
          <w:szCs w:val="20"/>
        </w:rPr>
        <w:t>For purposes of allocating goodwill to the disposal group above, we determined the fair value of the disposal group based on the negotiated selling price and the fair value of the retained businesses of the reporting unit based on a combinatio</w:t>
      </w:r>
      <w:r>
        <w:rPr>
          <w:rFonts w:eastAsia="Times New Roman"/>
          <w:color w:val="000000"/>
          <w:sz w:val="20"/>
          <w:szCs w:val="20"/>
        </w:rPr>
        <w:t>n of market-based valuation techniques, utilizing quoted market prices and comparable publicly reported transactions, and projected discounted cash flows. These fair value determinations are categorized as Level 3 in the fair value hierarchy due to their u</w:t>
      </w:r>
      <w:r>
        <w:rPr>
          <w:rFonts w:eastAsia="Times New Roman"/>
          <w:color w:val="000000"/>
          <w:sz w:val="20"/>
          <w:szCs w:val="20"/>
        </w:rPr>
        <w:t xml:space="preserve">se of internal projections and unobservable measurement inputs. See </w:t>
      </w:r>
      <w:r>
        <w:rPr>
          <w:rFonts w:eastAsia="Times New Roman"/>
          <w:i/>
          <w:iCs/>
          <w:color w:val="000000"/>
          <w:sz w:val="20"/>
          <w:szCs w:val="20"/>
        </w:rPr>
        <w:t>Note 1: "Significant Accounting Policies"</w:t>
      </w:r>
      <w:r>
        <w:rPr>
          <w:rFonts w:eastAsia="Times New Roman"/>
          <w:color w:val="000000"/>
          <w:sz w:val="20"/>
          <w:szCs w:val="20"/>
        </w:rPr>
        <w:t xml:space="preserve"> in the Notes to Consolidated Financial Statements in our Fiscal 2020 Form 10-K for additional information regarding the fair value hierarchy.</w:t>
      </w:r>
    </w:p>
    <w:p w:rsidR="00000000" w:rsidRDefault="0039054C">
      <w:pPr>
        <w:divId w:val="1977248705"/>
        <w:rPr>
          <w:rFonts w:eastAsia="Times New Roman"/>
        </w:rPr>
      </w:pPr>
      <w:r>
        <w:rPr>
          <w:rFonts w:eastAsia="Times New Roman"/>
          <w:b/>
          <w:bCs/>
          <w:color w:val="000000"/>
          <w:sz w:val="20"/>
          <w:szCs w:val="20"/>
        </w:rPr>
        <w:t>FORW</w:t>
      </w:r>
      <w:r>
        <w:rPr>
          <w:rFonts w:eastAsia="Times New Roman"/>
          <w:b/>
          <w:bCs/>
          <w:color w:val="000000"/>
          <w:sz w:val="20"/>
          <w:szCs w:val="20"/>
        </w:rPr>
        <w:t>ARD-LOOKING STATEMENTS AND FACTORS THAT MAY AFFECT FUTURE RESULTS</w:t>
      </w:r>
    </w:p>
    <w:p w:rsidR="00000000" w:rsidRDefault="0039054C">
      <w:pPr>
        <w:ind w:firstLine="450"/>
        <w:divId w:val="1679428426"/>
        <w:rPr>
          <w:rFonts w:eastAsia="Times New Roman"/>
        </w:rPr>
      </w:pPr>
      <w:r>
        <w:rPr>
          <w:rFonts w:eastAsia="Times New Roman"/>
          <w:color w:val="000000"/>
          <w:sz w:val="20"/>
          <w:szCs w:val="20"/>
        </w:rPr>
        <w:t>This Report contains forward-looking statements that involve risks and uncertainties, as well as assumptions that may not materialize or prove to be correct, which could cause our results to</w:t>
      </w:r>
      <w:r>
        <w:rPr>
          <w:rFonts w:eastAsia="Times New Roman"/>
          <w:color w:val="000000"/>
          <w:sz w:val="20"/>
          <w:szCs w:val="20"/>
        </w:rPr>
        <w:t xml:space="preserve"> differ materially from those expressed in or implied by such forward-looking statements. All statements other than statements of historical fact are statements that could be deemed forward-looking statements, including, but not limited to, statements conc</w:t>
      </w:r>
      <w:r>
        <w:rPr>
          <w:rFonts w:eastAsia="Times New Roman"/>
          <w:color w:val="000000"/>
          <w:sz w:val="20"/>
          <w:szCs w:val="20"/>
        </w:rPr>
        <w:t xml:space="preserve">erning: our plans, strategies and objectives for future operations; new products, systems, technologies, services or developments; future economic conditions, performance or outlook; future political conditions; the outcome of contingencies; the potential </w:t>
      </w:r>
      <w:r>
        <w:rPr>
          <w:rFonts w:eastAsia="Times New Roman"/>
          <w:color w:val="000000"/>
          <w:sz w:val="20"/>
          <w:szCs w:val="20"/>
        </w:rPr>
        <w:t xml:space="preserve">level of share repurchases, dividends or pension contributions; potential acquisitions or divestitures; the value of contract awards and programs; expected cash flows or capital expenditures; our beliefs or expectations; activities, events or developments </w:t>
      </w:r>
      <w:r>
        <w:rPr>
          <w:rFonts w:eastAsia="Times New Roman"/>
          <w:color w:val="000000"/>
          <w:sz w:val="20"/>
          <w:szCs w:val="20"/>
        </w:rPr>
        <w:t>that we intend, expect, project, believe or anticipate will or may occur in the future, including expected COVID-related impacts in our Public Safety and Commercial Aviation Solutions sectors; and assumptions underlying any of the foregoing. Forward-lookin</w:t>
      </w:r>
      <w:r>
        <w:rPr>
          <w:rFonts w:eastAsia="Times New Roman"/>
          <w:color w:val="000000"/>
          <w:sz w:val="20"/>
          <w:szCs w:val="20"/>
        </w:rPr>
        <w:t>g statements may be identified by their use of forward-looking terminology, such as “believes,” “expects,” “may,” “should,” “would,” “will,” “intends,” “plans,” “estimates,” “anticipates,” “projects” and similar words or expressions. You should not place u</w:t>
      </w:r>
      <w:r>
        <w:rPr>
          <w:rFonts w:eastAsia="Times New Roman"/>
          <w:color w:val="000000"/>
          <w:sz w:val="20"/>
          <w:szCs w:val="20"/>
        </w:rPr>
        <w:t>ndue reliance on these forward-looking statements, which reflect our management’s opinions only as of the date of filing of this Report and are not guarantees of future performance or actual results. Forward-looking statements are made in reliance on the s</w:t>
      </w:r>
      <w:r>
        <w:rPr>
          <w:rFonts w:eastAsia="Times New Roman"/>
          <w:color w:val="000000"/>
          <w:sz w:val="20"/>
          <w:szCs w:val="20"/>
        </w:rPr>
        <w:t xml:space="preserve">afe harbor provisions of </w:t>
      </w:r>
    </w:p>
    <w:p w:rsidR="00000000" w:rsidRDefault="0039054C">
      <w:pPr>
        <w:ind w:firstLine="450"/>
        <w:jc w:val="center"/>
        <w:divId w:val="482159698"/>
        <w:rPr>
          <w:rFonts w:eastAsia="Times New Roman"/>
        </w:rPr>
      </w:pPr>
      <w:r>
        <w:rPr>
          <w:rFonts w:eastAsia="Times New Roman"/>
          <w:color w:val="000000"/>
          <w:sz w:val="20"/>
          <w:szCs w:val="20"/>
        </w:rPr>
        <w:t>35</w:t>
      </w:r>
    </w:p>
    <w:p w:rsidR="00000000" w:rsidRDefault="0039054C">
      <w:pPr>
        <w:rPr>
          <w:rFonts w:eastAsia="Times New Roman"/>
        </w:rPr>
      </w:pPr>
      <w:r>
        <w:rPr>
          <w:rFonts w:eastAsia="Times New Roman"/>
        </w:rPr>
        <w:pict>
          <v:rect id="_x0000_i1062" style="width:0;height:1.5pt" o:hralign="center" o:hrstd="t" o:hr="t" fillcolor="#a0a0a0" stroked="f"/>
        </w:pict>
      </w:r>
    </w:p>
    <w:p w:rsidR="00000000" w:rsidRDefault="0039054C">
      <w:pPr>
        <w:ind w:firstLine="450"/>
        <w:divId w:val="2120639703"/>
        <w:rPr>
          <w:rFonts w:eastAsia="Times New Roman"/>
        </w:rPr>
      </w:pPr>
    </w:p>
    <w:p w:rsidR="00000000" w:rsidRDefault="0039054C">
      <w:pPr>
        <w:ind w:firstLine="450"/>
        <w:divId w:val="804739363"/>
        <w:rPr>
          <w:rFonts w:eastAsia="Times New Roman"/>
        </w:rPr>
      </w:pPr>
    </w:p>
    <w:p w:rsidR="00000000" w:rsidRDefault="0039054C">
      <w:pPr>
        <w:divId w:val="384642241"/>
        <w:rPr>
          <w:rFonts w:eastAsia="Times New Roman"/>
        </w:rPr>
      </w:pPr>
      <w:r>
        <w:rPr>
          <w:rFonts w:eastAsia="Times New Roman"/>
          <w:color w:val="000000"/>
          <w:sz w:val="20"/>
          <w:szCs w:val="20"/>
        </w:rPr>
        <w:t>Section 27A of the Securities Act of 1933, as amended (the “Securities Act”), and Section 21E of the Securities Exchange Act of 1934, as amended (the “Exchange Act”). The following are s</w:t>
      </w:r>
      <w:r>
        <w:rPr>
          <w:rFonts w:eastAsia="Times New Roman"/>
          <w:color w:val="000000"/>
          <w:sz w:val="20"/>
          <w:szCs w:val="20"/>
        </w:rPr>
        <w:t>ome of the factors we believe could cause our actual results to differ materially from our historical results or our current expectations or projections:</w:t>
      </w:r>
    </w:p>
    <w:p w:rsidR="00000000" w:rsidRDefault="0039054C">
      <w:pPr>
        <w:ind w:hanging="360"/>
        <w:divId w:val="2020236619"/>
        <w:rPr>
          <w:rFonts w:eastAsia="Times New Roman"/>
        </w:rPr>
      </w:pPr>
      <w:r>
        <w:rPr>
          <w:rFonts w:eastAsia="Times New Roman"/>
          <w:color w:val="000000"/>
          <w:sz w:val="20"/>
          <w:szCs w:val="20"/>
        </w:rPr>
        <w:t>•COVID and ongoing attempts to contain and reduce its spread could have a material adverse effect on o</w:t>
      </w:r>
      <w:r>
        <w:rPr>
          <w:rFonts w:eastAsia="Times New Roman"/>
          <w:color w:val="000000"/>
          <w:sz w:val="20"/>
          <w:szCs w:val="20"/>
        </w:rPr>
        <w:t>ur business operations, financial condition, results of operations, cash flows and equity.</w:t>
      </w:r>
    </w:p>
    <w:p w:rsidR="00000000" w:rsidRDefault="0039054C">
      <w:pPr>
        <w:ind w:hanging="360"/>
        <w:divId w:val="928318849"/>
        <w:rPr>
          <w:rFonts w:eastAsia="Times New Roman"/>
        </w:rPr>
      </w:pPr>
      <w:r>
        <w:rPr>
          <w:rFonts w:eastAsia="Times New Roman"/>
          <w:color w:val="000000"/>
          <w:sz w:val="20"/>
          <w:szCs w:val="20"/>
        </w:rPr>
        <w:t>•We depend on U.S. Government customers for a significant portion of our revenue, and the loss of these relationships, a reduction in U.S. Government funding or a ch</w:t>
      </w:r>
      <w:r>
        <w:rPr>
          <w:rFonts w:eastAsia="Times New Roman"/>
          <w:color w:val="000000"/>
          <w:sz w:val="20"/>
          <w:szCs w:val="20"/>
        </w:rPr>
        <w:t>ange in U.S. Government spending priorities could have an adverse impact on our business, financial condition, results of operations, cash flows and equity.</w:t>
      </w:r>
    </w:p>
    <w:p w:rsidR="00000000" w:rsidRDefault="0039054C">
      <w:pPr>
        <w:ind w:hanging="360"/>
        <w:divId w:val="1087726683"/>
        <w:rPr>
          <w:rFonts w:eastAsia="Times New Roman"/>
        </w:rPr>
      </w:pPr>
      <w:r>
        <w:rPr>
          <w:rFonts w:eastAsia="Times New Roman"/>
          <w:color w:val="000000"/>
          <w:sz w:val="20"/>
          <w:szCs w:val="20"/>
        </w:rPr>
        <w:t>•We depend significantly on U.S. Government contracts, which often are only partially funded, subje</w:t>
      </w:r>
      <w:r>
        <w:rPr>
          <w:rFonts w:eastAsia="Times New Roman"/>
          <w:color w:val="000000"/>
          <w:sz w:val="20"/>
          <w:szCs w:val="20"/>
        </w:rPr>
        <w:t>ct to immediate termination, and heavily regulated and audited. The termination or failure to fund, or negative audit findings for, one or more of these contracts could have an adverse impact on our business, financial condition, results of operations, cas</w:t>
      </w:r>
      <w:r>
        <w:rPr>
          <w:rFonts w:eastAsia="Times New Roman"/>
          <w:color w:val="000000"/>
          <w:sz w:val="20"/>
          <w:szCs w:val="20"/>
        </w:rPr>
        <w:t>h flows and equity.</w:t>
      </w:r>
    </w:p>
    <w:p w:rsidR="00000000" w:rsidRDefault="0039054C">
      <w:pPr>
        <w:ind w:hanging="360"/>
        <w:divId w:val="472676687"/>
        <w:rPr>
          <w:rFonts w:eastAsia="Times New Roman"/>
        </w:rPr>
      </w:pPr>
      <w:r>
        <w:rPr>
          <w:rFonts w:eastAsia="Times New Roman"/>
          <w:color w:val="000000"/>
          <w:sz w:val="20"/>
          <w:szCs w:val="20"/>
        </w:rPr>
        <w:t>•The U.S. Government’s budget deficit and the national debt, as well as any inability of the U.S. Government to complete its budget process for any government fiscal year and consequently having to shut down or operate on funding levels</w:t>
      </w:r>
      <w:r>
        <w:rPr>
          <w:rFonts w:eastAsia="Times New Roman"/>
          <w:color w:val="000000"/>
          <w:sz w:val="20"/>
          <w:szCs w:val="20"/>
        </w:rPr>
        <w:t xml:space="preserve"> equivalent to its prior fiscal year pursuant to a “continuing resolution,” could have an adverse impact on our business, financial condition, results of operations, cash flows and equity.</w:t>
      </w:r>
    </w:p>
    <w:p w:rsidR="00000000" w:rsidRDefault="0039054C">
      <w:pPr>
        <w:ind w:hanging="360"/>
        <w:divId w:val="69888128"/>
        <w:rPr>
          <w:rFonts w:eastAsia="Times New Roman"/>
        </w:rPr>
      </w:pPr>
      <w:r>
        <w:rPr>
          <w:rFonts w:eastAsia="Times New Roman"/>
          <w:color w:val="000000"/>
          <w:sz w:val="20"/>
          <w:szCs w:val="20"/>
        </w:rPr>
        <w:t>•Our results of operations and cash flows are substantially affecte</w:t>
      </w:r>
      <w:r>
        <w:rPr>
          <w:rFonts w:eastAsia="Times New Roman"/>
          <w:color w:val="000000"/>
          <w:sz w:val="20"/>
          <w:szCs w:val="20"/>
        </w:rPr>
        <w:t>d by our mix of fixed-price, cost-plus and time-and-material type contracts. In particular, our fixed-price contracts could subject us to losses in the event of cost overruns or a significant increase in inflation.</w:t>
      </w:r>
    </w:p>
    <w:p w:rsidR="00000000" w:rsidRDefault="0039054C">
      <w:pPr>
        <w:ind w:hanging="360"/>
        <w:divId w:val="603270957"/>
        <w:rPr>
          <w:rFonts w:eastAsia="Times New Roman"/>
        </w:rPr>
      </w:pPr>
      <w:r>
        <w:rPr>
          <w:rFonts w:eastAsia="Times New Roman"/>
          <w:color w:val="000000"/>
          <w:sz w:val="20"/>
          <w:szCs w:val="20"/>
        </w:rPr>
        <w:t>•Our commercial aviation products, system</w:t>
      </w:r>
      <w:r>
        <w:rPr>
          <w:rFonts w:eastAsia="Times New Roman"/>
          <w:color w:val="000000"/>
          <w:sz w:val="20"/>
          <w:szCs w:val="20"/>
        </w:rPr>
        <w:t>s and services businesses are affected by global demand and economic factors that could negatively impact our financial results.</w:t>
      </w:r>
    </w:p>
    <w:p w:rsidR="00000000" w:rsidRDefault="0039054C">
      <w:pPr>
        <w:ind w:hanging="360"/>
        <w:divId w:val="1421411813"/>
        <w:rPr>
          <w:rFonts w:eastAsia="Times New Roman"/>
        </w:rPr>
      </w:pPr>
      <w:r>
        <w:rPr>
          <w:rFonts w:eastAsia="Times New Roman"/>
          <w:color w:val="000000"/>
          <w:sz w:val="20"/>
          <w:szCs w:val="20"/>
        </w:rPr>
        <w:t>•We participate in markets that are often subject to uncertain economic conditions, which makes it difficult to estimate growth</w:t>
      </w:r>
      <w:r>
        <w:rPr>
          <w:rFonts w:eastAsia="Times New Roman"/>
          <w:color w:val="000000"/>
          <w:sz w:val="20"/>
          <w:szCs w:val="20"/>
        </w:rPr>
        <w:t xml:space="preserve"> in our markets and, as a result, future income and expenditures.</w:t>
      </w:r>
    </w:p>
    <w:p w:rsidR="00000000" w:rsidRDefault="0039054C">
      <w:pPr>
        <w:ind w:hanging="360"/>
        <w:divId w:val="990256308"/>
        <w:rPr>
          <w:rFonts w:eastAsia="Times New Roman"/>
        </w:rPr>
      </w:pPr>
      <w:r>
        <w:rPr>
          <w:rFonts w:eastAsia="Times New Roman"/>
          <w:color w:val="000000"/>
          <w:sz w:val="20"/>
          <w:szCs w:val="20"/>
        </w:rPr>
        <w:t xml:space="preserve">•We cannot predict the consequences of future geo-political events, but they may adversely affect the markets in which we operate, our ability to insure against risks, our operations or our </w:t>
      </w:r>
      <w:r>
        <w:rPr>
          <w:rFonts w:eastAsia="Times New Roman"/>
          <w:color w:val="000000"/>
          <w:sz w:val="20"/>
          <w:szCs w:val="20"/>
        </w:rPr>
        <w:t>profitability.</w:t>
      </w:r>
    </w:p>
    <w:p w:rsidR="00000000" w:rsidRDefault="0039054C">
      <w:pPr>
        <w:ind w:hanging="360"/>
        <w:divId w:val="986058525"/>
        <w:rPr>
          <w:rFonts w:eastAsia="Times New Roman"/>
        </w:rPr>
      </w:pPr>
      <w:r>
        <w:rPr>
          <w:rFonts w:eastAsia="Times New Roman"/>
          <w:color w:val="000000"/>
          <w:sz w:val="20"/>
          <w:szCs w:val="20"/>
        </w:rPr>
        <w:t>•We derive a significant portion of our revenue from international operations and are subject to the risks of doing business internationally, including fluctuations in currency exchange rates.</w:t>
      </w:r>
    </w:p>
    <w:p w:rsidR="00000000" w:rsidRDefault="0039054C">
      <w:pPr>
        <w:ind w:hanging="360"/>
        <w:divId w:val="1220166587"/>
        <w:rPr>
          <w:rFonts w:eastAsia="Times New Roman"/>
        </w:rPr>
      </w:pPr>
      <w:r>
        <w:rPr>
          <w:rFonts w:eastAsia="Times New Roman"/>
          <w:color w:val="000000"/>
          <w:sz w:val="20"/>
          <w:szCs w:val="20"/>
        </w:rPr>
        <w:t>•We are subject to government investigations, wh</w:t>
      </w:r>
      <w:r>
        <w:rPr>
          <w:rFonts w:eastAsia="Times New Roman"/>
          <w:color w:val="000000"/>
          <w:sz w:val="20"/>
          <w:szCs w:val="20"/>
        </w:rPr>
        <w:t>ich could have a material adverse effect on our business, financial condition, results of operations, cash flows and equity.</w:t>
      </w:r>
    </w:p>
    <w:p w:rsidR="00000000" w:rsidRDefault="0039054C">
      <w:pPr>
        <w:ind w:hanging="360"/>
        <w:divId w:val="2017075245"/>
        <w:rPr>
          <w:rFonts w:eastAsia="Times New Roman"/>
        </w:rPr>
      </w:pPr>
      <w:r>
        <w:rPr>
          <w:rFonts w:eastAsia="Times New Roman"/>
          <w:color w:val="000000"/>
          <w:sz w:val="20"/>
          <w:szCs w:val="20"/>
        </w:rPr>
        <w:t>•We could be negatively impacted by a security breach, through cyber attack, cyber intrusion, insider threats or otherwise, or othe</w:t>
      </w:r>
      <w:r>
        <w:rPr>
          <w:rFonts w:eastAsia="Times New Roman"/>
          <w:color w:val="000000"/>
          <w:sz w:val="20"/>
          <w:szCs w:val="20"/>
        </w:rPr>
        <w:t>r significant disruption of our IT networks and related systems or of those we operate for certain of our customers.</w:t>
      </w:r>
    </w:p>
    <w:p w:rsidR="00000000" w:rsidRDefault="0039054C">
      <w:pPr>
        <w:ind w:hanging="360"/>
        <w:divId w:val="2052264380"/>
        <w:rPr>
          <w:rFonts w:eastAsia="Times New Roman"/>
        </w:rPr>
      </w:pPr>
      <w:r>
        <w:rPr>
          <w:rFonts w:eastAsia="Times New Roman"/>
          <w:color w:val="000000"/>
          <w:sz w:val="20"/>
          <w:szCs w:val="20"/>
        </w:rPr>
        <w:t>•</w:t>
      </w:r>
      <w:r>
        <w:rPr>
          <w:rFonts w:eastAsia="Times New Roman"/>
          <w:color w:val="000000"/>
          <w:sz w:val="20"/>
          <w:szCs w:val="20"/>
        </w:rPr>
        <w:t>Our future success will depend on our ability to develop new products, systems, services and technologies that achieve market acceptance in our current and future markets.</w:t>
      </w:r>
    </w:p>
    <w:p w:rsidR="00000000" w:rsidRDefault="0039054C">
      <w:pPr>
        <w:ind w:hanging="360"/>
        <w:divId w:val="1912419540"/>
        <w:rPr>
          <w:rFonts w:eastAsia="Times New Roman"/>
        </w:rPr>
      </w:pPr>
      <w:r>
        <w:rPr>
          <w:rFonts w:eastAsia="Times New Roman"/>
          <w:color w:val="000000"/>
          <w:sz w:val="20"/>
          <w:szCs w:val="20"/>
        </w:rPr>
        <w:t>•</w:t>
      </w:r>
      <w:r>
        <w:rPr>
          <w:rFonts w:eastAsia="Times New Roman"/>
          <w:color w:val="000000"/>
          <w:sz w:val="20"/>
          <w:szCs w:val="20"/>
        </w:rPr>
        <w:t>We must attract and retain key employees, and any failure to do so could seriously harm us.</w:t>
      </w:r>
    </w:p>
    <w:p w:rsidR="00000000" w:rsidRDefault="0039054C">
      <w:pPr>
        <w:ind w:hanging="360"/>
        <w:divId w:val="1171069755"/>
        <w:rPr>
          <w:rFonts w:eastAsia="Times New Roman"/>
        </w:rPr>
      </w:pPr>
      <w:r>
        <w:rPr>
          <w:rFonts w:eastAsia="Times New Roman"/>
          <w:color w:val="000000"/>
          <w:sz w:val="20"/>
          <w:szCs w:val="20"/>
        </w:rPr>
        <w:t>•Some of our workforce is represented by labor unions, so a prolonged work stoppage could harm our business.</w:t>
      </w:r>
    </w:p>
    <w:p w:rsidR="00000000" w:rsidRDefault="0039054C">
      <w:pPr>
        <w:ind w:hanging="360"/>
        <w:divId w:val="976107571"/>
        <w:rPr>
          <w:rFonts w:eastAsia="Times New Roman"/>
        </w:rPr>
      </w:pPr>
      <w:r>
        <w:rPr>
          <w:rFonts w:eastAsia="Times New Roman"/>
          <w:color w:val="000000"/>
          <w:sz w:val="20"/>
          <w:szCs w:val="20"/>
        </w:rPr>
        <w:t xml:space="preserve">•Disputes with our subcontractors or key suppliers, or </w:t>
      </w:r>
      <w:r>
        <w:rPr>
          <w:rFonts w:eastAsia="Times New Roman"/>
          <w:color w:val="000000"/>
          <w:sz w:val="20"/>
          <w:szCs w:val="20"/>
        </w:rPr>
        <w:t>their inability to perform or timely deliver our components, parts or services, could cause our products, systems or services to be produced or delivered in an untimely or unsatisfactory manner.</w:t>
      </w:r>
    </w:p>
    <w:p w:rsidR="00000000" w:rsidRDefault="0039054C">
      <w:pPr>
        <w:ind w:hanging="360"/>
        <w:divId w:val="553081953"/>
        <w:rPr>
          <w:rFonts w:eastAsia="Times New Roman"/>
        </w:rPr>
      </w:pPr>
      <w:r>
        <w:rPr>
          <w:rFonts w:eastAsia="Times New Roman"/>
          <w:color w:val="000000"/>
          <w:sz w:val="20"/>
          <w:szCs w:val="20"/>
        </w:rPr>
        <w:t>•We have significant operations in locations that could be ma</w:t>
      </w:r>
      <w:r>
        <w:rPr>
          <w:rFonts w:eastAsia="Times New Roman"/>
          <w:color w:val="000000"/>
          <w:sz w:val="20"/>
          <w:szCs w:val="20"/>
        </w:rPr>
        <w:t>terially and adversely impacted in the event of a natural disaster or other significant disruption.</w:t>
      </w:r>
    </w:p>
    <w:p w:rsidR="00000000" w:rsidRDefault="0039054C">
      <w:pPr>
        <w:ind w:hanging="360"/>
        <w:divId w:val="411315771"/>
        <w:rPr>
          <w:rFonts w:eastAsia="Times New Roman"/>
        </w:rPr>
      </w:pPr>
      <w:r>
        <w:rPr>
          <w:rFonts w:eastAsia="Times New Roman"/>
          <w:color w:val="000000"/>
          <w:sz w:val="20"/>
          <w:szCs w:val="20"/>
        </w:rPr>
        <w:t>•Changes in estimates we use in accounting for many of our programs could adversely affect our future financial results.</w:t>
      </w:r>
    </w:p>
    <w:p w:rsidR="00000000" w:rsidRDefault="0039054C">
      <w:pPr>
        <w:ind w:hanging="360"/>
        <w:divId w:val="712465037"/>
        <w:rPr>
          <w:rFonts w:eastAsia="Times New Roman"/>
        </w:rPr>
      </w:pPr>
      <w:r>
        <w:rPr>
          <w:rFonts w:eastAsia="Times New Roman"/>
          <w:color w:val="000000"/>
          <w:sz w:val="20"/>
          <w:szCs w:val="20"/>
        </w:rPr>
        <w:t xml:space="preserve">•Our level of indebtedness and our </w:t>
      </w:r>
      <w:r>
        <w:rPr>
          <w:rFonts w:eastAsia="Times New Roman"/>
          <w:color w:val="000000"/>
          <w:sz w:val="20"/>
          <w:szCs w:val="20"/>
        </w:rPr>
        <w:t>ability to make payments on or service our indebtedness and our unfunded defined benefit plans liability may materially adversely affect our financial and operating activities or our ability to incur additional debt.</w:t>
      </w:r>
    </w:p>
    <w:p w:rsidR="00000000" w:rsidRDefault="0039054C">
      <w:pPr>
        <w:ind w:hanging="360"/>
        <w:divId w:val="1670792066"/>
        <w:rPr>
          <w:rFonts w:eastAsia="Times New Roman"/>
        </w:rPr>
      </w:pPr>
      <w:r>
        <w:rPr>
          <w:rFonts w:eastAsia="Times New Roman"/>
          <w:color w:val="000000"/>
          <w:sz w:val="20"/>
          <w:szCs w:val="20"/>
        </w:rPr>
        <w:t>•A downgrade in our credit ratings coul</w:t>
      </w:r>
      <w:r>
        <w:rPr>
          <w:rFonts w:eastAsia="Times New Roman"/>
          <w:color w:val="000000"/>
          <w:sz w:val="20"/>
          <w:szCs w:val="20"/>
        </w:rPr>
        <w:t>d materially adversely affect our business.</w:t>
      </w:r>
    </w:p>
    <w:p w:rsidR="00000000" w:rsidRDefault="0039054C">
      <w:pPr>
        <w:ind w:hanging="360"/>
        <w:divId w:val="1970471824"/>
        <w:rPr>
          <w:rFonts w:eastAsia="Times New Roman"/>
        </w:rPr>
      </w:pPr>
      <w:r>
        <w:rPr>
          <w:rFonts w:eastAsia="Times New Roman"/>
          <w:color w:val="000000"/>
          <w:sz w:val="20"/>
          <w:szCs w:val="20"/>
        </w:rPr>
        <w:t xml:space="preserve">•The level of returns on defined benefit plan assets, changes in interest rates and other factors could materially adversely affect our financial condition, results of operations, cash flows and equity in future </w:t>
      </w:r>
      <w:r>
        <w:rPr>
          <w:rFonts w:eastAsia="Times New Roman"/>
          <w:color w:val="000000"/>
          <w:sz w:val="20"/>
          <w:szCs w:val="20"/>
        </w:rPr>
        <w:t>periods.</w:t>
      </w:r>
    </w:p>
    <w:p w:rsidR="00000000" w:rsidRDefault="0039054C">
      <w:pPr>
        <w:ind w:hanging="360"/>
        <w:divId w:val="770585934"/>
        <w:rPr>
          <w:rFonts w:eastAsia="Times New Roman"/>
        </w:rPr>
      </w:pPr>
      <w:r>
        <w:rPr>
          <w:rFonts w:eastAsia="Times New Roman"/>
          <w:color w:val="000000"/>
          <w:sz w:val="20"/>
          <w:szCs w:val="20"/>
        </w:rPr>
        <w:t>•Changes in our effective tax rate may have an adverse effect on our results of operations.</w:t>
      </w:r>
    </w:p>
    <w:p w:rsidR="00000000" w:rsidRDefault="0039054C">
      <w:pPr>
        <w:ind w:hanging="360"/>
        <w:divId w:val="7102733"/>
        <w:rPr>
          <w:rFonts w:eastAsia="Times New Roman"/>
        </w:rPr>
      </w:pPr>
      <w:r>
        <w:rPr>
          <w:rFonts w:eastAsia="Times New Roman"/>
          <w:color w:val="000000"/>
          <w:sz w:val="20"/>
          <w:szCs w:val="20"/>
        </w:rPr>
        <w:t>•We may not be successful in obtaining the necessary export licenses to conduct certain operations abroad, and Congress may prevent proposed sales to certa</w:t>
      </w:r>
      <w:r>
        <w:rPr>
          <w:rFonts w:eastAsia="Times New Roman"/>
          <w:color w:val="000000"/>
          <w:sz w:val="20"/>
          <w:szCs w:val="20"/>
        </w:rPr>
        <w:t>in foreign governments.</w:t>
      </w:r>
    </w:p>
    <w:p w:rsidR="00000000" w:rsidRDefault="0039054C">
      <w:pPr>
        <w:ind w:hanging="360"/>
        <w:divId w:val="1294554843"/>
        <w:rPr>
          <w:rFonts w:eastAsia="Times New Roman"/>
        </w:rPr>
      </w:pPr>
      <w:r>
        <w:rPr>
          <w:rFonts w:eastAsia="Times New Roman"/>
          <w:color w:val="000000"/>
          <w:sz w:val="20"/>
          <w:szCs w:val="20"/>
        </w:rPr>
        <w:t>•Our reputation and ability to do business may be impacted by the improper conduct of our employees, agents or business partners.</w:t>
      </w:r>
    </w:p>
    <w:p w:rsidR="00000000" w:rsidRDefault="0039054C">
      <w:pPr>
        <w:ind w:hanging="360"/>
        <w:divId w:val="862061170"/>
        <w:rPr>
          <w:rFonts w:eastAsia="Times New Roman"/>
        </w:rPr>
      </w:pPr>
      <w:r>
        <w:rPr>
          <w:rFonts w:eastAsia="Times New Roman"/>
          <w:color w:val="000000"/>
          <w:sz w:val="20"/>
          <w:szCs w:val="20"/>
        </w:rPr>
        <w:t>•The outcome of litigation or arbitration in which we are involved from time to time is unpredictable,</w:t>
      </w:r>
      <w:r>
        <w:rPr>
          <w:rFonts w:eastAsia="Times New Roman"/>
          <w:color w:val="000000"/>
          <w:sz w:val="20"/>
          <w:szCs w:val="20"/>
        </w:rPr>
        <w:t xml:space="preserve"> and an adverse decision in any such matter could have a material adverse effect on our financial condition, results of operations, cash flows and equity.</w:t>
      </w:r>
    </w:p>
    <w:p w:rsidR="00000000" w:rsidRDefault="0039054C">
      <w:pPr>
        <w:ind w:firstLine="450"/>
        <w:jc w:val="center"/>
        <w:divId w:val="1436824027"/>
        <w:rPr>
          <w:rFonts w:eastAsia="Times New Roman"/>
        </w:rPr>
      </w:pPr>
      <w:r>
        <w:rPr>
          <w:rFonts w:eastAsia="Times New Roman"/>
          <w:color w:val="000000"/>
          <w:sz w:val="20"/>
          <w:szCs w:val="20"/>
        </w:rPr>
        <w:t>36</w:t>
      </w:r>
    </w:p>
    <w:p w:rsidR="00000000" w:rsidRDefault="0039054C">
      <w:pPr>
        <w:rPr>
          <w:rFonts w:eastAsia="Times New Roman"/>
        </w:rPr>
      </w:pPr>
      <w:r>
        <w:rPr>
          <w:rFonts w:eastAsia="Times New Roman"/>
        </w:rPr>
        <w:pict>
          <v:rect id="_x0000_i1063" style="width:0;height:1.5pt" o:hralign="center" o:hrstd="t" o:hr="t" fillcolor="#a0a0a0" stroked="f"/>
        </w:pict>
      </w:r>
    </w:p>
    <w:p w:rsidR="00000000" w:rsidRDefault="0039054C">
      <w:pPr>
        <w:ind w:firstLine="450"/>
        <w:divId w:val="1489201032"/>
        <w:rPr>
          <w:rFonts w:eastAsia="Times New Roman"/>
        </w:rPr>
      </w:pPr>
    </w:p>
    <w:p w:rsidR="00000000" w:rsidRDefault="0039054C">
      <w:pPr>
        <w:ind w:firstLine="450"/>
        <w:divId w:val="1892688806"/>
        <w:rPr>
          <w:rFonts w:eastAsia="Times New Roman"/>
        </w:rPr>
      </w:pPr>
    </w:p>
    <w:p w:rsidR="00000000" w:rsidRDefault="0039054C">
      <w:pPr>
        <w:ind w:hanging="360"/>
        <w:divId w:val="1327126709"/>
        <w:rPr>
          <w:rFonts w:eastAsia="Times New Roman"/>
        </w:rPr>
      </w:pPr>
      <w:r>
        <w:rPr>
          <w:rFonts w:eastAsia="Times New Roman"/>
          <w:color w:val="000000"/>
          <w:sz w:val="20"/>
          <w:szCs w:val="20"/>
        </w:rPr>
        <w:t>•Third parties have claimed in the past and may claim in t</w:t>
      </w:r>
      <w:r>
        <w:rPr>
          <w:rFonts w:eastAsia="Times New Roman"/>
          <w:color w:val="000000"/>
          <w:sz w:val="20"/>
          <w:szCs w:val="20"/>
        </w:rPr>
        <w:t>he future that we are infringing directly or indirectly upon their intellectual property rights, and third parties may infringe upon our intellectual property rights.</w:t>
      </w:r>
    </w:p>
    <w:p w:rsidR="00000000" w:rsidRDefault="0039054C">
      <w:pPr>
        <w:ind w:hanging="360"/>
        <w:divId w:val="1182476415"/>
        <w:rPr>
          <w:rFonts w:eastAsia="Times New Roman"/>
        </w:rPr>
      </w:pPr>
      <w:r>
        <w:rPr>
          <w:rFonts w:eastAsia="Times New Roman"/>
          <w:color w:val="000000"/>
          <w:sz w:val="20"/>
          <w:szCs w:val="20"/>
        </w:rPr>
        <w:t>•We face certain significant risk exposures and potential liabilities that may not be cov</w:t>
      </w:r>
      <w:r>
        <w:rPr>
          <w:rFonts w:eastAsia="Times New Roman"/>
          <w:color w:val="000000"/>
          <w:sz w:val="20"/>
          <w:szCs w:val="20"/>
        </w:rPr>
        <w:t>ered adequately by insurance or indemnity.</w:t>
      </w:r>
    </w:p>
    <w:p w:rsidR="00000000" w:rsidRDefault="0039054C">
      <w:pPr>
        <w:ind w:hanging="360"/>
        <w:divId w:val="776411949"/>
        <w:rPr>
          <w:rFonts w:eastAsia="Times New Roman"/>
        </w:rPr>
      </w:pPr>
      <w:r>
        <w:rPr>
          <w:rFonts w:eastAsia="Times New Roman"/>
          <w:color w:val="000000"/>
          <w:sz w:val="20"/>
          <w:szCs w:val="20"/>
        </w:rPr>
        <w:t>•Unforeseen environmental issues could have a material adverse effect on our business, financial condition, results of operations, cash flows and equity.</w:t>
      </w:r>
    </w:p>
    <w:p w:rsidR="00000000" w:rsidRDefault="0039054C">
      <w:pPr>
        <w:ind w:hanging="360"/>
        <w:divId w:val="597981488"/>
        <w:rPr>
          <w:rFonts w:eastAsia="Times New Roman"/>
        </w:rPr>
      </w:pPr>
      <w:r>
        <w:rPr>
          <w:rFonts w:eastAsia="Times New Roman"/>
          <w:color w:val="000000"/>
          <w:sz w:val="20"/>
          <w:szCs w:val="20"/>
        </w:rPr>
        <w:t>•Strategic transactions, including mergers, acquisitions an</w:t>
      </w:r>
      <w:r>
        <w:rPr>
          <w:rFonts w:eastAsia="Times New Roman"/>
          <w:color w:val="000000"/>
          <w:sz w:val="20"/>
          <w:szCs w:val="20"/>
        </w:rPr>
        <w:t>d divestitures, involve significant risks and uncertainties that could adversely affect our business, financial condition, results of operations, cash flows and equity.</w:t>
      </w:r>
    </w:p>
    <w:p w:rsidR="00000000" w:rsidRDefault="0039054C">
      <w:pPr>
        <w:ind w:hanging="360"/>
        <w:divId w:val="1095593877"/>
        <w:rPr>
          <w:rFonts w:eastAsia="Times New Roman"/>
        </w:rPr>
      </w:pPr>
      <w:r>
        <w:rPr>
          <w:rFonts w:eastAsia="Times New Roman"/>
          <w:color w:val="000000"/>
          <w:sz w:val="20"/>
          <w:szCs w:val="20"/>
        </w:rPr>
        <w:t>•Changes in future business or other market conditions could cause business investments</w:t>
      </w:r>
      <w:r>
        <w:rPr>
          <w:rFonts w:eastAsia="Times New Roman"/>
          <w:color w:val="000000"/>
          <w:sz w:val="20"/>
          <w:szCs w:val="20"/>
        </w:rPr>
        <w:t xml:space="preserve"> and/or recorded goodwill or other long-term assets to become impaired, resulting in substantial losses and write-downs that would materially adversely affect our results of operations and financial condition.</w:t>
      </w:r>
    </w:p>
    <w:p w:rsidR="00000000" w:rsidRDefault="0039054C">
      <w:pPr>
        <w:ind w:hanging="360"/>
        <w:divId w:val="1214004837"/>
        <w:rPr>
          <w:rFonts w:eastAsia="Times New Roman"/>
        </w:rPr>
      </w:pPr>
      <w:r>
        <w:rPr>
          <w:rFonts w:eastAsia="Times New Roman"/>
          <w:color w:val="000000"/>
          <w:sz w:val="20"/>
          <w:szCs w:val="20"/>
        </w:rPr>
        <w:t>•We may fail to realize all of the anticipated</w:t>
      </w:r>
      <w:r>
        <w:rPr>
          <w:rFonts w:eastAsia="Times New Roman"/>
          <w:color w:val="000000"/>
          <w:sz w:val="20"/>
          <w:szCs w:val="20"/>
        </w:rPr>
        <w:t xml:space="preserve"> benefits of the L3Harris Merger or those benefits may take longer to realize than expected. We may also encounter significant difficulties in integrating the businesses.</w:t>
      </w:r>
    </w:p>
    <w:p w:rsidR="00000000" w:rsidRDefault="0039054C">
      <w:pPr>
        <w:ind w:firstLine="450"/>
        <w:divId w:val="954557959"/>
        <w:rPr>
          <w:rFonts w:eastAsia="Times New Roman"/>
        </w:rPr>
      </w:pPr>
      <w:r>
        <w:rPr>
          <w:rFonts w:eastAsia="Times New Roman"/>
          <w:color w:val="000000"/>
          <w:sz w:val="20"/>
          <w:szCs w:val="20"/>
        </w:rPr>
        <w:t>Additional details and discussions concerning some of the factors that could affect o</w:t>
      </w:r>
      <w:r>
        <w:rPr>
          <w:rFonts w:eastAsia="Times New Roman"/>
          <w:color w:val="000000"/>
          <w:sz w:val="20"/>
          <w:szCs w:val="20"/>
        </w:rPr>
        <w:t>ur forward-looking statements or future results are set forth in our Fiscal 2020 Form 10-K under Item 1A. “Risk Factors” and in Part II, Item 1A. “Risk Factors” in this Report. The foregoing list of factors and the factors set forth in Item 1A. “Risk Facto</w:t>
      </w:r>
      <w:r>
        <w:rPr>
          <w:rFonts w:eastAsia="Times New Roman"/>
          <w:color w:val="000000"/>
          <w:sz w:val="20"/>
          <w:szCs w:val="20"/>
        </w:rPr>
        <w:t xml:space="preserve">rs” included in our Fiscal 2020 Form 10-K and in Part II, Item 1A. “Risk Factors” in this Report are not exhaustive. Additional risks and uncertainties not known to us or that we currently believe not to be material also may adversely impact our business, </w:t>
      </w:r>
      <w:r>
        <w:rPr>
          <w:rFonts w:eastAsia="Times New Roman"/>
          <w:color w:val="000000"/>
          <w:sz w:val="20"/>
          <w:szCs w:val="20"/>
        </w:rPr>
        <w:t>financial condition, results of operations, cash flows and equity. Should any risks or uncertainties develop into actual events, these developments could have a material adverse effect on our business, financial condition, results of operations, cash flows</w:t>
      </w:r>
      <w:r>
        <w:rPr>
          <w:rFonts w:eastAsia="Times New Roman"/>
          <w:color w:val="000000"/>
          <w:sz w:val="20"/>
          <w:szCs w:val="20"/>
        </w:rPr>
        <w:t xml:space="preserve"> and equity. The forward-looking statements contained in this Report are made as of the date of filing of this Report, and we disclaim any intention or obligation, other than imposed by law, to update or revise any forward-looking statements or to update t</w:t>
      </w:r>
      <w:r>
        <w:rPr>
          <w:rFonts w:eastAsia="Times New Roman"/>
          <w:color w:val="000000"/>
          <w:sz w:val="20"/>
          <w:szCs w:val="20"/>
        </w:rPr>
        <w:t xml:space="preserve">he reasons actual results could differ materially from those projected in the forward-looking statements, whether as a result of new information, future events or developments or otherwise. </w:t>
      </w:r>
    </w:p>
    <w:p w:rsidR="00000000" w:rsidRDefault="0039054C">
      <w:pPr>
        <w:divId w:val="774861238"/>
        <w:rPr>
          <w:rFonts w:eastAsia="Times New Roman"/>
        </w:rPr>
      </w:pPr>
      <w:r>
        <w:rPr>
          <w:rFonts w:eastAsia="Times New Roman"/>
          <w:b/>
          <w:bCs/>
          <w:color w:val="000000"/>
          <w:sz w:val="20"/>
          <w:szCs w:val="20"/>
        </w:rPr>
        <w:t>Item 3. Quantitative and Qualitative Disclosures about Market Ris</w:t>
      </w:r>
      <w:r>
        <w:rPr>
          <w:rFonts w:eastAsia="Times New Roman"/>
          <w:b/>
          <w:bCs/>
          <w:color w:val="000000"/>
          <w:sz w:val="20"/>
          <w:szCs w:val="20"/>
        </w:rPr>
        <w:t>k.</w:t>
      </w:r>
    </w:p>
    <w:p w:rsidR="00000000" w:rsidRDefault="0039054C">
      <w:pPr>
        <w:ind w:firstLine="450"/>
        <w:divId w:val="1996109686"/>
        <w:rPr>
          <w:rFonts w:eastAsia="Times New Roman"/>
        </w:rPr>
      </w:pPr>
      <w:r>
        <w:rPr>
          <w:rFonts w:eastAsia="Times New Roman"/>
          <w:color w:val="000000"/>
          <w:sz w:val="20"/>
          <w:szCs w:val="20"/>
        </w:rPr>
        <w:t>In the normal course of business, we are exposed to risks associated with foreign currency exchange rates and changes in interest rates. We employ established policies and procedures governing the use of financial instruments to manage our exposure to s</w:t>
      </w:r>
      <w:r>
        <w:rPr>
          <w:rFonts w:eastAsia="Times New Roman"/>
          <w:color w:val="000000"/>
          <w:sz w:val="20"/>
          <w:szCs w:val="20"/>
        </w:rPr>
        <w:t>uch risks. There were no material changes during the quarter ended April 2, 2021 with respect to the information appearing in Part II, Item 7A, “Quantitative and Qualitative Disclosures About Market Risk,” of our Fiscal 2020 Form 10-K.</w:t>
      </w:r>
    </w:p>
    <w:p w:rsidR="00000000" w:rsidRDefault="0039054C">
      <w:pPr>
        <w:ind w:firstLine="450"/>
        <w:divId w:val="1412392931"/>
        <w:rPr>
          <w:rFonts w:eastAsia="Times New Roman"/>
        </w:rPr>
      </w:pPr>
      <w:r>
        <w:rPr>
          <w:rFonts w:eastAsia="Times New Roman"/>
          <w:b/>
          <w:bCs/>
          <w:i/>
          <w:iCs/>
          <w:color w:val="000000"/>
          <w:sz w:val="20"/>
          <w:szCs w:val="20"/>
        </w:rPr>
        <w:t>Foreign Exchange and</w:t>
      </w:r>
      <w:r>
        <w:rPr>
          <w:rFonts w:eastAsia="Times New Roman"/>
          <w:b/>
          <w:bCs/>
          <w:i/>
          <w:iCs/>
          <w:color w:val="000000"/>
          <w:sz w:val="20"/>
          <w:szCs w:val="20"/>
        </w:rPr>
        <w:t xml:space="preserve"> Currency:</w:t>
      </w:r>
      <w:r>
        <w:rPr>
          <w:rFonts w:eastAsia="Times New Roman"/>
          <w:color w:val="000000"/>
          <w:sz w:val="20"/>
          <w:szCs w:val="20"/>
        </w:rPr>
        <w:t xml:space="preserve"> Our U.S. and foreign businesses enter into contracts with customers, subcontractors or vendors that are denominated in currencies other than functional currencies of such businesses. We use foreign currency forward contracts and options to hedge</w:t>
      </w:r>
      <w:r>
        <w:rPr>
          <w:rFonts w:eastAsia="Times New Roman"/>
          <w:color w:val="000000"/>
          <w:sz w:val="20"/>
          <w:szCs w:val="20"/>
        </w:rPr>
        <w:t xml:space="preserve"> both balance sheet and off-balance sheet future foreign currency commitments. Factors that could impact the effectiveness of our hedging programs for foreign currency include the accuracy of sales estimates, volatility of currency markets and the cost and</w:t>
      </w:r>
      <w:r>
        <w:rPr>
          <w:rFonts w:eastAsia="Times New Roman"/>
          <w:color w:val="000000"/>
          <w:sz w:val="20"/>
          <w:szCs w:val="20"/>
        </w:rPr>
        <w:t xml:space="preserve"> availability of hedging instruments. A 10 percent change in currency exchange rates for our foreign currency derivatives held at April 2, 2021 would not have had a material impact on the fair value of such instruments or our results of operations or cash </w:t>
      </w:r>
      <w:r>
        <w:rPr>
          <w:rFonts w:eastAsia="Times New Roman"/>
          <w:color w:val="000000"/>
          <w:sz w:val="20"/>
          <w:szCs w:val="20"/>
        </w:rPr>
        <w:t xml:space="preserve">flows. This quantification of exposure to the market risk associated with foreign currency financial instruments does not take into account the offsetting impact of changes in the fair value of our foreign currency denominated assets, liabilities and firm </w:t>
      </w:r>
      <w:r>
        <w:rPr>
          <w:rFonts w:eastAsia="Times New Roman"/>
          <w:color w:val="000000"/>
          <w:sz w:val="20"/>
          <w:szCs w:val="20"/>
        </w:rPr>
        <w:t xml:space="preserve">commitments. See </w:t>
      </w:r>
      <w:r>
        <w:rPr>
          <w:rFonts w:eastAsia="Times New Roman"/>
          <w:i/>
          <w:iCs/>
          <w:color w:val="000000"/>
          <w:sz w:val="20"/>
          <w:szCs w:val="20"/>
        </w:rPr>
        <w:t>Note Q — Derivative Instruments and Hedging Activities</w:t>
      </w:r>
      <w:r>
        <w:rPr>
          <w:rFonts w:eastAsia="Times New Roman"/>
          <w:color w:val="000000"/>
          <w:sz w:val="20"/>
          <w:szCs w:val="20"/>
        </w:rPr>
        <w:t xml:space="preserve"> in the Notes for additional information.</w:t>
      </w:r>
    </w:p>
    <w:p w:rsidR="00000000" w:rsidRDefault="0039054C">
      <w:pPr>
        <w:ind w:firstLine="450"/>
        <w:divId w:val="269361646"/>
        <w:rPr>
          <w:rFonts w:eastAsia="Times New Roman"/>
        </w:rPr>
      </w:pPr>
      <w:r>
        <w:rPr>
          <w:rFonts w:eastAsia="Times New Roman"/>
          <w:b/>
          <w:bCs/>
          <w:i/>
          <w:iCs/>
          <w:color w:val="000000"/>
          <w:sz w:val="20"/>
          <w:szCs w:val="20"/>
        </w:rPr>
        <w:t>Interest Rates:</w:t>
      </w:r>
      <w:r>
        <w:rPr>
          <w:rFonts w:eastAsia="Times New Roman"/>
          <w:color w:val="000000"/>
          <w:sz w:val="20"/>
          <w:szCs w:val="20"/>
        </w:rPr>
        <w:t xml:space="preserve"> As of April </w:t>
      </w:r>
      <w:r>
        <w:rPr>
          <w:rFonts w:eastAsia="Times New Roman"/>
          <w:color w:val="000000"/>
          <w:sz w:val="20"/>
          <w:szCs w:val="20"/>
        </w:rPr>
        <w:t>2, 2021, we had long-term fixed-rate debt obligations. The fair value of these obligations is impacted by changes in interest rates; however, a 10 percent change in interest rates for our long-term fixed-rate debt obligations at April 2, 2021 would not hav</w:t>
      </w:r>
      <w:r>
        <w:rPr>
          <w:rFonts w:eastAsia="Times New Roman"/>
          <w:color w:val="000000"/>
          <w:sz w:val="20"/>
          <w:szCs w:val="20"/>
        </w:rPr>
        <w:t>e had a material impact on the fair value of these obligations. There is no interest-rate risk associated with long-term fixed-rate debt obligations on our results of operations or cash flows unless existing obligations are refinanced upon maturity at then</w:t>
      </w:r>
      <w:r>
        <w:rPr>
          <w:rFonts w:eastAsia="Times New Roman"/>
          <w:color w:val="000000"/>
          <w:sz w:val="20"/>
          <w:szCs w:val="20"/>
        </w:rPr>
        <w:t>-current interest rates, because the interest rates are fixed until maturity, and because our long-term fixed-rate debt is not putable to us (i.e., not required to be redeemed by us prior to maturity). We can give no assurances, however, that interest rate</w:t>
      </w:r>
      <w:r>
        <w:rPr>
          <w:rFonts w:eastAsia="Times New Roman"/>
          <w:color w:val="000000"/>
          <w:sz w:val="20"/>
          <w:szCs w:val="20"/>
        </w:rPr>
        <w:t>s will not change significantly or have a material effect on the fair value of our long-term debt obligations over the next twelve months.</w:t>
      </w:r>
    </w:p>
    <w:p w:rsidR="00000000" w:rsidRDefault="0039054C">
      <w:pPr>
        <w:ind w:firstLine="450"/>
        <w:divId w:val="1155148007"/>
        <w:rPr>
          <w:rFonts w:eastAsia="Times New Roman"/>
        </w:rPr>
      </w:pPr>
      <w:r>
        <w:rPr>
          <w:rFonts w:eastAsia="Times New Roman"/>
          <w:color w:val="000000"/>
          <w:sz w:val="20"/>
          <w:szCs w:val="20"/>
        </w:rPr>
        <w:t xml:space="preserve">As of April 2, 2021, we also had long-term variable-rate debt obligations of $250 million of Floating Rate Notes due </w:t>
      </w:r>
      <w:r>
        <w:rPr>
          <w:rFonts w:eastAsia="Times New Roman"/>
          <w:color w:val="000000"/>
          <w:sz w:val="20"/>
          <w:szCs w:val="20"/>
        </w:rPr>
        <w:t>March 10, 2023. These debt obligations bear interest that is variable based on certain short-term indices, thus exposing us to interest-rate risk; however, a 10 percent change in interest rates for these debt obligations at April 2, 2021 would not have had</w:t>
      </w:r>
      <w:r>
        <w:rPr>
          <w:rFonts w:eastAsia="Times New Roman"/>
          <w:color w:val="000000"/>
          <w:sz w:val="20"/>
          <w:szCs w:val="20"/>
        </w:rPr>
        <w:t xml:space="preserve"> a material impact on our results of operations or cash flows. See </w:t>
      </w:r>
      <w:r>
        <w:rPr>
          <w:rFonts w:eastAsia="Times New Roman"/>
          <w:i/>
          <w:iCs/>
          <w:color w:val="000000"/>
          <w:sz w:val="20"/>
          <w:szCs w:val="20"/>
        </w:rPr>
        <w:t>Note 14: “Debt”</w:t>
      </w:r>
      <w:r>
        <w:rPr>
          <w:rFonts w:eastAsia="Times New Roman"/>
          <w:color w:val="000000"/>
          <w:sz w:val="20"/>
          <w:szCs w:val="20"/>
        </w:rPr>
        <w:t xml:space="preserve"> in the Notes to Consolidated Financial Statements in our Fiscal 2020 Form 10-K for further information.</w:t>
      </w:r>
    </w:p>
    <w:p w:rsidR="00000000" w:rsidRDefault="0039054C">
      <w:pPr>
        <w:ind w:firstLine="450"/>
        <w:jc w:val="center"/>
        <w:divId w:val="859970500"/>
        <w:rPr>
          <w:rFonts w:eastAsia="Times New Roman"/>
        </w:rPr>
      </w:pPr>
      <w:r>
        <w:rPr>
          <w:rFonts w:eastAsia="Times New Roman"/>
          <w:color w:val="000000"/>
          <w:sz w:val="20"/>
          <w:szCs w:val="20"/>
        </w:rPr>
        <w:t>37</w:t>
      </w:r>
    </w:p>
    <w:p w:rsidR="00000000" w:rsidRDefault="0039054C">
      <w:pPr>
        <w:rPr>
          <w:rFonts w:eastAsia="Times New Roman"/>
        </w:rPr>
      </w:pPr>
      <w:r>
        <w:rPr>
          <w:rFonts w:eastAsia="Times New Roman"/>
        </w:rPr>
        <w:pict>
          <v:rect id="_x0000_i1064" style="width:0;height:1.5pt" o:hralign="center" o:hrstd="t" o:hr="t" fillcolor="#a0a0a0" stroked="f"/>
        </w:pict>
      </w:r>
    </w:p>
    <w:p w:rsidR="00000000" w:rsidRDefault="0039054C">
      <w:pPr>
        <w:ind w:firstLine="450"/>
        <w:divId w:val="1211041293"/>
        <w:rPr>
          <w:rFonts w:eastAsia="Times New Roman"/>
        </w:rPr>
      </w:pPr>
    </w:p>
    <w:p w:rsidR="00000000" w:rsidRDefault="0039054C">
      <w:pPr>
        <w:ind w:firstLine="450"/>
        <w:divId w:val="983662481"/>
        <w:rPr>
          <w:rFonts w:eastAsia="Times New Roman"/>
        </w:rPr>
      </w:pPr>
    </w:p>
    <w:p w:rsidR="00000000" w:rsidRDefault="0039054C">
      <w:pPr>
        <w:divId w:val="412245775"/>
        <w:rPr>
          <w:rFonts w:eastAsia="Times New Roman"/>
        </w:rPr>
      </w:pPr>
      <w:r>
        <w:rPr>
          <w:rFonts w:eastAsia="Times New Roman"/>
          <w:b/>
          <w:bCs/>
          <w:color w:val="000000"/>
          <w:sz w:val="20"/>
          <w:szCs w:val="20"/>
        </w:rPr>
        <w:t>Item 4. Controls and Proce</w:t>
      </w:r>
      <w:r>
        <w:rPr>
          <w:rFonts w:eastAsia="Times New Roman"/>
          <w:b/>
          <w:bCs/>
          <w:color w:val="000000"/>
          <w:sz w:val="20"/>
          <w:szCs w:val="20"/>
        </w:rPr>
        <w:t>dures.</w:t>
      </w:r>
    </w:p>
    <w:p w:rsidR="00000000" w:rsidRDefault="0039054C">
      <w:pPr>
        <w:ind w:firstLine="450"/>
        <w:divId w:val="1956058284"/>
        <w:rPr>
          <w:rFonts w:eastAsia="Times New Roman"/>
        </w:rPr>
      </w:pPr>
      <w:r>
        <w:rPr>
          <w:rFonts w:eastAsia="Times New Roman"/>
          <w:color w:val="000000"/>
          <w:sz w:val="20"/>
          <w:szCs w:val="20"/>
        </w:rPr>
        <w:t xml:space="preserve">(a) </w:t>
      </w:r>
      <w:r>
        <w:rPr>
          <w:rFonts w:eastAsia="Times New Roman"/>
          <w:i/>
          <w:iCs/>
          <w:color w:val="000000"/>
          <w:sz w:val="20"/>
          <w:szCs w:val="20"/>
        </w:rPr>
        <w:t>Evaluation of Disclosure Controls and Procedures:</w:t>
      </w:r>
      <w:r>
        <w:rPr>
          <w:rFonts w:eastAsia="Times New Roman"/>
          <w:color w:val="000000"/>
          <w:sz w:val="20"/>
          <w:szCs w:val="20"/>
        </w:rPr>
        <w:t xml:space="preserve"> We maintain disclosure controls and procedures that are designed to ensure that information required to be disclosed in our reports filed or submitted under the Exchange Act is recorded, processe</w:t>
      </w:r>
      <w:r>
        <w:rPr>
          <w:rFonts w:eastAsia="Times New Roman"/>
          <w:color w:val="000000"/>
          <w:sz w:val="20"/>
          <w:szCs w:val="20"/>
        </w:rPr>
        <w:t>d, summarized and reported within the time periods specified in SEC rules and forms. Our disclosure controls and procedures include, without limitation, controls and procedures designed to ensure that information required to be disclosed in our reports fil</w:t>
      </w:r>
      <w:r>
        <w:rPr>
          <w:rFonts w:eastAsia="Times New Roman"/>
          <w:color w:val="000000"/>
          <w:sz w:val="20"/>
          <w:szCs w:val="20"/>
        </w:rPr>
        <w:t>ed or submitted under the Exchange Act is accumulated and communicated to management, including our Chief Executive Officer and Chief Financial Officer, as appropriate, to allow timely decisions regarding required disclosures. There are inherent limitation</w:t>
      </w:r>
      <w:r>
        <w:rPr>
          <w:rFonts w:eastAsia="Times New Roman"/>
          <w:color w:val="000000"/>
          <w:sz w:val="20"/>
          <w:szCs w:val="20"/>
        </w:rPr>
        <w:t>s to the effectiveness of any system of disclosure controls and procedures, including the possibility of human error and the circumvention or overriding of the controls and procedures. Accordingly, even effective disclosure controls and procedures can prov</w:t>
      </w:r>
      <w:r>
        <w:rPr>
          <w:rFonts w:eastAsia="Times New Roman"/>
          <w:color w:val="000000"/>
          <w:sz w:val="20"/>
          <w:szCs w:val="20"/>
        </w:rPr>
        <w:t>ide only reasonable assurance of achieving their control objectives, and management necessarily is required to use its judgment in evaluating the cost-benefit relationship of possible controls and procedures. As required by Rule 13a-15 under the Exchange A</w:t>
      </w:r>
      <w:r>
        <w:rPr>
          <w:rFonts w:eastAsia="Times New Roman"/>
          <w:color w:val="000000"/>
          <w:sz w:val="20"/>
          <w:szCs w:val="20"/>
        </w:rPr>
        <w:t xml:space="preserve">ct, as of April 2, 2021, we carried out an evaluation of the effectiveness of the design and operation of our disclosure controls and procedures. This evaluation was carried out under the supervision and with the participation of our management, including </w:t>
      </w:r>
      <w:r>
        <w:rPr>
          <w:rFonts w:eastAsia="Times New Roman"/>
          <w:color w:val="000000"/>
          <w:sz w:val="20"/>
          <w:szCs w:val="20"/>
        </w:rPr>
        <w:t>our Chief Executive Officer and our Chief Financial Officer. Based on this work and other evaluation procedures, our management, including our Chief Executive Officer and our Chief Financial Officer, has concluded that as of April 2, 2021, our disclosure c</w:t>
      </w:r>
      <w:r>
        <w:rPr>
          <w:rFonts w:eastAsia="Times New Roman"/>
          <w:color w:val="000000"/>
          <w:sz w:val="20"/>
          <w:szCs w:val="20"/>
        </w:rPr>
        <w:t>ontrols and procedures were effective.</w:t>
      </w:r>
    </w:p>
    <w:p w:rsidR="00000000" w:rsidRDefault="0039054C">
      <w:pPr>
        <w:ind w:firstLine="450"/>
        <w:divId w:val="150681930"/>
        <w:rPr>
          <w:rFonts w:eastAsia="Times New Roman"/>
        </w:rPr>
      </w:pPr>
      <w:r>
        <w:rPr>
          <w:rFonts w:eastAsia="Times New Roman"/>
          <w:color w:val="000000"/>
          <w:sz w:val="20"/>
          <w:szCs w:val="20"/>
        </w:rPr>
        <w:t xml:space="preserve">(b) </w:t>
      </w:r>
      <w:r>
        <w:rPr>
          <w:rFonts w:eastAsia="Times New Roman"/>
          <w:i/>
          <w:iCs/>
          <w:color w:val="000000"/>
          <w:sz w:val="20"/>
          <w:szCs w:val="20"/>
        </w:rPr>
        <w:t xml:space="preserve">Changes in Internal Control: </w:t>
      </w:r>
      <w:r>
        <w:rPr>
          <w:rFonts w:eastAsia="Times New Roman"/>
          <w:color w:val="000000"/>
          <w:sz w:val="20"/>
          <w:szCs w:val="20"/>
        </w:rPr>
        <w:t>We periodically review our internal control over financial reporting as part of our efforts to ensure compliance with the requirements of Section 404 of the Sarbanes-Oxley Act of 2002.</w:t>
      </w:r>
      <w:r>
        <w:rPr>
          <w:rFonts w:eastAsia="Times New Roman"/>
          <w:color w:val="000000"/>
          <w:sz w:val="20"/>
          <w:szCs w:val="20"/>
        </w:rPr>
        <w:t xml:space="preserve"> In addition, we routinely review our system of internal control over financial reporting to identify potential changes to our processes and systems that may improve controls and increase efficiency, while ensuring that we maintain an effective internal co</w:t>
      </w:r>
      <w:r>
        <w:rPr>
          <w:rFonts w:eastAsia="Times New Roman"/>
          <w:color w:val="000000"/>
          <w:sz w:val="20"/>
          <w:szCs w:val="20"/>
        </w:rPr>
        <w:t>ntrol environment. Changes may include such activities as implementing new, more efficient systems, consolidating the activities of business units, migrating certain processes to our shared services organizations, formalizing policies and procedures, impro</w:t>
      </w:r>
      <w:r>
        <w:rPr>
          <w:rFonts w:eastAsia="Times New Roman"/>
          <w:color w:val="000000"/>
          <w:sz w:val="20"/>
          <w:szCs w:val="20"/>
        </w:rPr>
        <w:t>ving segregation of duties and increasing monitoring controls. In addition, when we acquire new businesses, we incorporate our controls and procedures into the acquired business as part of our integration activities. There have been no changes in our inter</w:t>
      </w:r>
      <w:r>
        <w:rPr>
          <w:rFonts w:eastAsia="Times New Roman"/>
          <w:color w:val="000000"/>
          <w:sz w:val="20"/>
          <w:szCs w:val="20"/>
        </w:rPr>
        <w:t xml:space="preserve">nal control over financial reporting that occurred during the first quarter of fiscal 2021 that have materially affected, or are reasonably likely to materially affect, our internal control over financial reporting. </w:t>
      </w:r>
    </w:p>
    <w:p w:rsidR="00000000" w:rsidRDefault="0039054C">
      <w:pPr>
        <w:ind w:firstLine="450"/>
        <w:jc w:val="center"/>
        <w:divId w:val="1412434903"/>
        <w:rPr>
          <w:rFonts w:eastAsia="Times New Roman"/>
        </w:rPr>
      </w:pPr>
      <w:r>
        <w:rPr>
          <w:rFonts w:eastAsia="Times New Roman"/>
          <w:color w:val="000000"/>
          <w:sz w:val="20"/>
          <w:szCs w:val="20"/>
        </w:rPr>
        <w:t>38</w:t>
      </w:r>
    </w:p>
    <w:p w:rsidR="00000000" w:rsidRDefault="0039054C">
      <w:pPr>
        <w:rPr>
          <w:rFonts w:eastAsia="Times New Roman"/>
        </w:rPr>
      </w:pPr>
      <w:r>
        <w:rPr>
          <w:rFonts w:eastAsia="Times New Roman"/>
        </w:rPr>
        <w:pict>
          <v:rect id="_x0000_i1065" style="width:0;height:1.5pt" o:hralign="center" o:hrstd="t" o:hr="t" fillcolor="#a0a0a0" stroked="f"/>
        </w:pict>
      </w:r>
    </w:p>
    <w:p w:rsidR="00000000" w:rsidRDefault="0039054C">
      <w:pPr>
        <w:ind w:firstLine="450"/>
        <w:divId w:val="1976135246"/>
        <w:rPr>
          <w:rFonts w:eastAsia="Times New Roman"/>
        </w:rPr>
      </w:pPr>
    </w:p>
    <w:p w:rsidR="00000000" w:rsidRDefault="0039054C">
      <w:pPr>
        <w:ind w:firstLine="450"/>
        <w:divId w:val="1367370413"/>
        <w:rPr>
          <w:rFonts w:eastAsia="Times New Roman"/>
        </w:rPr>
      </w:pPr>
    </w:p>
    <w:p w:rsidR="00000000" w:rsidRDefault="0039054C">
      <w:pPr>
        <w:ind w:firstLine="450"/>
        <w:jc w:val="center"/>
        <w:divId w:val="666833703"/>
        <w:rPr>
          <w:rFonts w:eastAsia="Times New Roman"/>
        </w:rPr>
      </w:pPr>
      <w:r>
        <w:rPr>
          <w:rFonts w:eastAsia="Times New Roman"/>
          <w:b/>
          <w:bCs/>
          <w:color w:val="000000"/>
          <w:sz w:val="20"/>
          <w:szCs w:val="20"/>
        </w:rPr>
        <w:t>PART II. OTHER INFORMATION</w:t>
      </w:r>
    </w:p>
    <w:p w:rsidR="00000000" w:rsidRDefault="0039054C">
      <w:pPr>
        <w:divId w:val="1571698160"/>
        <w:rPr>
          <w:rFonts w:eastAsia="Times New Roman"/>
        </w:rPr>
      </w:pPr>
      <w:r>
        <w:rPr>
          <w:rFonts w:eastAsia="Times New Roman"/>
          <w:b/>
          <w:bCs/>
          <w:color w:val="000000"/>
          <w:sz w:val="20"/>
          <w:szCs w:val="20"/>
        </w:rPr>
        <w:t>Item 1. Legal Proceedings.</w:t>
      </w:r>
    </w:p>
    <w:p w:rsidR="00000000" w:rsidRDefault="0039054C">
      <w:pPr>
        <w:ind w:firstLine="450"/>
        <w:divId w:val="1194535331"/>
        <w:rPr>
          <w:rFonts w:eastAsia="Times New Roman"/>
        </w:rPr>
      </w:pPr>
      <w:r>
        <w:rPr>
          <w:rFonts w:eastAsia="Times New Roman"/>
          <w:i/>
          <w:iCs/>
          <w:color w:val="000000"/>
          <w:sz w:val="20"/>
          <w:szCs w:val="20"/>
        </w:rPr>
        <w:t>General.</w:t>
      </w:r>
      <w:r>
        <w:rPr>
          <w:rFonts w:eastAsia="Times New Roman"/>
          <w:color w:val="000000"/>
          <w:sz w:val="20"/>
          <w:szCs w:val="20"/>
        </w:rPr>
        <w:t xml:space="preserve"> From time to time, as a normal incident of the nature and kind of businesses in which we are or were engaged, various claims or charges are asserted and </w:t>
      </w:r>
      <w:r>
        <w:rPr>
          <w:rFonts w:eastAsia="Times New Roman"/>
          <w:color w:val="000000"/>
          <w:sz w:val="20"/>
          <w:szCs w:val="20"/>
        </w:rPr>
        <w:t>litigation or arbitration is commenced by or against us arising from or related to matters, including, but not limited to: product liability; personal injury; patents, trademarks, trade secrets or other intellectual property; labor and employee disputes; c</w:t>
      </w:r>
      <w:r>
        <w:rPr>
          <w:rFonts w:eastAsia="Times New Roman"/>
          <w:color w:val="000000"/>
          <w:sz w:val="20"/>
          <w:szCs w:val="20"/>
        </w:rPr>
        <w:t>ommercial or contractual disputes; strategic acquisitions or divestitures; the prior sale or use of former products allegedly containing asbestos or other restricted materials; breach of warranty; or environmental matters. Claimed amounts against us may be</w:t>
      </w:r>
      <w:r>
        <w:rPr>
          <w:rFonts w:eastAsia="Times New Roman"/>
          <w:color w:val="000000"/>
          <w:sz w:val="20"/>
          <w:szCs w:val="20"/>
        </w:rPr>
        <w:t xml:space="preserve"> substantial but may not bear any reasonable relationship to the merits of the claim or the extent of any real risk of court or arbitral awards. We record accruals for losses related to those matters against us that we consider to be probable and that can </w:t>
      </w:r>
      <w:r>
        <w:rPr>
          <w:rFonts w:eastAsia="Times New Roman"/>
          <w:color w:val="000000"/>
          <w:sz w:val="20"/>
          <w:szCs w:val="20"/>
        </w:rPr>
        <w:t>be reasonably estimated. Gain contingencies, if any, are recognized when they are realized, and legal costs generally are expensed when incurred. At April 2, 2021, our accrual for the potential resolution of lawsuits, claims or proceedings that we consider</w:t>
      </w:r>
      <w:r>
        <w:rPr>
          <w:rFonts w:eastAsia="Times New Roman"/>
          <w:color w:val="000000"/>
          <w:sz w:val="20"/>
          <w:szCs w:val="20"/>
        </w:rPr>
        <w:t xml:space="preserve"> probable of being decided unfavorably to us was not material. Although it is not feasible to predict the outcome of these matters with certainty, it is reasonably possible that some lawsuits, claims or proceedings may be disposed of or decided unfavorably</w:t>
      </w:r>
      <w:r>
        <w:rPr>
          <w:rFonts w:eastAsia="Times New Roman"/>
          <w:color w:val="000000"/>
          <w:sz w:val="20"/>
          <w:szCs w:val="20"/>
        </w:rPr>
        <w:t xml:space="preserve"> to us and in excess of the amounts currently accrued. Based on available information, in the opinion of management, settlements, arbitration awards and final judgments, if any, that are considered probable of being rendered against us in litigation or arb</w:t>
      </w:r>
      <w:r>
        <w:rPr>
          <w:rFonts w:eastAsia="Times New Roman"/>
          <w:color w:val="000000"/>
          <w:sz w:val="20"/>
          <w:szCs w:val="20"/>
        </w:rPr>
        <w:t>itration in existence at April 2, 2021 are reserved against or would not have a material adverse effect on our financial condition, results of operations, cash flows or equity.</w:t>
      </w:r>
    </w:p>
    <w:p w:rsidR="00000000" w:rsidRDefault="0039054C">
      <w:pPr>
        <w:ind w:firstLine="450"/>
        <w:divId w:val="1580940039"/>
        <w:rPr>
          <w:rFonts w:eastAsia="Times New Roman"/>
        </w:rPr>
      </w:pPr>
      <w:r>
        <w:rPr>
          <w:rFonts w:eastAsia="Times New Roman"/>
          <w:i/>
          <w:iCs/>
          <w:color w:val="000000"/>
          <w:sz w:val="20"/>
          <w:szCs w:val="20"/>
        </w:rPr>
        <w:t>Tax Audits.</w:t>
      </w:r>
      <w:r>
        <w:rPr>
          <w:rFonts w:eastAsia="Times New Roman"/>
          <w:color w:val="000000"/>
          <w:sz w:val="20"/>
          <w:szCs w:val="20"/>
        </w:rPr>
        <w:t xml:space="preserve"> Our tax filings are subject to audit by taxing authorities in juris</w:t>
      </w:r>
      <w:r>
        <w:rPr>
          <w:rFonts w:eastAsia="Times New Roman"/>
          <w:color w:val="000000"/>
          <w:sz w:val="20"/>
          <w:szCs w:val="20"/>
        </w:rPr>
        <w:t xml:space="preserve">dictions where we conduct or conducted business. These audits may result in assessments of additional taxes that are subsequently resolved with the authorities or ultimately through legal proceedings. We believe we have adequately accrued for any ultimate </w:t>
      </w:r>
      <w:r>
        <w:rPr>
          <w:rFonts w:eastAsia="Times New Roman"/>
          <w:color w:val="000000"/>
          <w:sz w:val="20"/>
          <w:szCs w:val="20"/>
        </w:rPr>
        <w:t>amounts that are likely to result from these audits; however, final assessments, if any, could be different from the amounts recorded in our Condensed Consolidated Financial Statements (Unaudited).</w:t>
      </w:r>
    </w:p>
    <w:p w:rsidR="00000000" w:rsidRDefault="0039054C">
      <w:pPr>
        <w:divId w:val="404643363"/>
        <w:rPr>
          <w:rFonts w:eastAsia="Times New Roman"/>
        </w:rPr>
      </w:pPr>
      <w:r>
        <w:rPr>
          <w:rFonts w:eastAsia="Times New Roman"/>
          <w:b/>
          <w:bCs/>
          <w:color w:val="000000"/>
          <w:sz w:val="20"/>
          <w:szCs w:val="20"/>
        </w:rPr>
        <w:t>Item 1A. Risk Factors.</w:t>
      </w:r>
    </w:p>
    <w:p w:rsidR="00000000" w:rsidRDefault="0039054C">
      <w:pPr>
        <w:ind w:firstLine="450"/>
        <w:divId w:val="189996263"/>
        <w:rPr>
          <w:rFonts w:eastAsia="Times New Roman"/>
        </w:rPr>
      </w:pPr>
      <w:r>
        <w:rPr>
          <w:rFonts w:eastAsia="Times New Roman"/>
          <w:color w:val="000000"/>
          <w:sz w:val="20"/>
          <w:szCs w:val="20"/>
        </w:rPr>
        <w:t>Investors should carefully review a</w:t>
      </w:r>
      <w:r>
        <w:rPr>
          <w:rFonts w:eastAsia="Times New Roman"/>
          <w:color w:val="000000"/>
          <w:sz w:val="20"/>
          <w:szCs w:val="20"/>
        </w:rPr>
        <w:t>nd consider the information regarding certain factors that could materially affect our business, results of operations, financial condition, cash flows and equity as set forth in Item 1A. “Risk Factors” of our Fiscal 2020 Form 10-K. There have been no mate</w:t>
      </w:r>
      <w:r>
        <w:rPr>
          <w:rFonts w:eastAsia="Times New Roman"/>
          <w:color w:val="000000"/>
          <w:sz w:val="20"/>
          <w:szCs w:val="20"/>
        </w:rPr>
        <w:t xml:space="preserve">rial changes to the risk factors disclosed in our Fiscal 2020 Form 10-K. We may disclose changes to our risk factors or disclose additional risk factors from time to time in our future filings with the SEC. Additional risks and uncertainties not presently </w:t>
      </w:r>
      <w:r>
        <w:rPr>
          <w:rFonts w:eastAsia="Times New Roman"/>
          <w:color w:val="000000"/>
          <w:sz w:val="20"/>
          <w:szCs w:val="20"/>
        </w:rPr>
        <w:t>known to us or that we currently believe not to be material also may adversely impact our business, financial condition, results of operations, cash flows and equity.</w:t>
      </w:r>
    </w:p>
    <w:p w:rsidR="00000000" w:rsidRDefault="0039054C">
      <w:pPr>
        <w:divId w:val="1485702178"/>
        <w:rPr>
          <w:rFonts w:eastAsia="Times New Roman"/>
        </w:rPr>
      </w:pPr>
      <w:r>
        <w:rPr>
          <w:rFonts w:eastAsia="Times New Roman"/>
          <w:b/>
          <w:bCs/>
          <w:color w:val="000000"/>
          <w:sz w:val="20"/>
          <w:szCs w:val="20"/>
        </w:rPr>
        <w:t>Item 2. Unregistered Sales of Equity Securities and Use of Proceeds.</w:t>
      </w:r>
    </w:p>
    <w:p w:rsidR="00000000" w:rsidRDefault="0039054C">
      <w:pPr>
        <w:divId w:val="554240588"/>
        <w:rPr>
          <w:rFonts w:eastAsia="Times New Roman"/>
        </w:rPr>
      </w:pPr>
      <w:r>
        <w:rPr>
          <w:rFonts w:eastAsia="Times New Roman"/>
          <w:b/>
          <w:bCs/>
          <w:color w:val="000000"/>
          <w:sz w:val="20"/>
          <w:szCs w:val="20"/>
        </w:rPr>
        <w:t xml:space="preserve">Issuer Purchases of </w:t>
      </w:r>
      <w:r>
        <w:rPr>
          <w:rFonts w:eastAsia="Times New Roman"/>
          <w:b/>
          <w:bCs/>
          <w:color w:val="000000"/>
          <w:sz w:val="20"/>
          <w:szCs w:val="20"/>
        </w:rPr>
        <w:t>Equity Securities</w:t>
      </w:r>
    </w:p>
    <w:p w:rsidR="00000000" w:rsidRDefault="0039054C">
      <w:pPr>
        <w:ind w:firstLine="450"/>
        <w:divId w:val="217514956"/>
        <w:rPr>
          <w:rFonts w:eastAsia="Times New Roman"/>
        </w:rPr>
      </w:pPr>
      <w:r>
        <w:rPr>
          <w:rFonts w:eastAsia="Times New Roman"/>
          <w:color w:val="000000"/>
          <w:sz w:val="20"/>
          <w:szCs w:val="20"/>
        </w:rPr>
        <w:t>During the first quarter of fiscal 2021, we repurchased 3.8 million shares of our common stock under our share repurchase program for $700 million at an average share price of $184.52, excluding commissions of $0.02 per share. The level o</w:t>
      </w:r>
      <w:r>
        <w:rPr>
          <w:rFonts w:eastAsia="Times New Roman"/>
          <w:color w:val="000000"/>
          <w:sz w:val="20"/>
          <w:szCs w:val="20"/>
        </w:rPr>
        <w:t>f our repurchases depends on a number of factors, including our financial condition, capital requirements, cash flows, results of operations, future business prospects and other factors our Board of Directors and management may deem relevant. We have annou</w:t>
      </w:r>
      <w:r>
        <w:rPr>
          <w:rFonts w:eastAsia="Times New Roman"/>
          <w:color w:val="000000"/>
          <w:sz w:val="20"/>
          <w:szCs w:val="20"/>
        </w:rPr>
        <w:t>nced that we currently expect to repurchase up to $2.3 billion in shares under our repurchase program in fiscal 2021, exclusive of any proceeds from divestitures we may complete, but we can give no assurances regarding the level and timing of share repurch</w:t>
      </w:r>
      <w:r>
        <w:rPr>
          <w:rFonts w:eastAsia="Times New Roman"/>
          <w:color w:val="000000"/>
          <w:sz w:val="20"/>
          <w:szCs w:val="20"/>
        </w:rPr>
        <w:t>ases. The timing, volume and nature of repurchases are subject to market conditions, applicable securities laws and other factors and are at our discretion and may be suspended or discontinued at any time. Shares repurchased by us are canceled and retired.</w:t>
      </w:r>
      <w:r>
        <w:rPr>
          <w:rFonts w:eastAsia="Times New Roman"/>
          <w:color w:val="000000"/>
          <w:sz w:val="20"/>
          <w:szCs w:val="20"/>
        </w:rPr>
        <w:t xml:space="preserve"> The following table sets forth information with respect to repurchases by us of our common stock during the first quarter of fiscal 2021:</w:t>
      </w:r>
    </w:p>
    <w:p w:rsidR="00000000" w:rsidRDefault="0039054C">
      <w:pPr>
        <w:ind w:firstLine="450"/>
        <w:jc w:val="center"/>
        <w:divId w:val="532546393"/>
        <w:rPr>
          <w:rFonts w:eastAsia="Times New Roman"/>
        </w:rPr>
      </w:pPr>
      <w:r>
        <w:rPr>
          <w:rFonts w:eastAsia="Times New Roman"/>
          <w:color w:val="000000"/>
          <w:sz w:val="20"/>
          <w:szCs w:val="20"/>
        </w:rPr>
        <w:t>39</w:t>
      </w:r>
    </w:p>
    <w:p w:rsidR="00000000" w:rsidRDefault="0039054C">
      <w:pPr>
        <w:rPr>
          <w:rFonts w:eastAsia="Times New Roman"/>
        </w:rPr>
      </w:pPr>
      <w:r>
        <w:rPr>
          <w:rFonts w:eastAsia="Times New Roman"/>
        </w:rPr>
        <w:pict>
          <v:rect id="_x0000_i1066" style="width:0;height:1.5pt" o:hralign="center" o:hrstd="t" o:hr="t" fillcolor="#a0a0a0" stroked="f"/>
        </w:pict>
      </w:r>
    </w:p>
    <w:p w:rsidR="00000000" w:rsidRDefault="0039054C">
      <w:pPr>
        <w:ind w:firstLine="450"/>
        <w:divId w:val="540240222"/>
        <w:rPr>
          <w:rFonts w:eastAsia="Times New Roman"/>
        </w:rPr>
      </w:pPr>
    </w:p>
    <w:p w:rsidR="00000000" w:rsidRDefault="0039054C">
      <w:pPr>
        <w:ind w:firstLine="450"/>
        <w:divId w:val="192934527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1222"/>
        <w:gridCol w:w="40"/>
        <w:gridCol w:w="40"/>
        <w:gridCol w:w="1223"/>
        <w:gridCol w:w="39"/>
        <w:gridCol w:w="91"/>
        <w:gridCol w:w="1127"/>
        <w:gridCol w:w="36"/>
        <w:gridCol w:w="36"/>
        <w:gridCol w:w="36"/>
        <w:gridCol w:w="36"/>
        <w:gridCol w:w="121"/>
        <w:gridCol w:w="944"/>
        <w:gridCol w:w="36"/>
        <w:gridCol w:w="36"/>
        <w:gridCol w:w="36"/>
        <w:gridCol w:w="36"/>
        <w:gridCol w:w="92"/>
        <w:gridCol w:w="1180"/>
        <w:gridCol w:w="36"/>
        <w:gridCol w:w="36"/>
        <w:gridCol w:w="36"/>
        <w:gridCol w:w="36"/>
        <w:gridCol w:w="121"/>
        <w:gridCol w:w="1558"/>
        <w:gridCol w:w="36"/>
      </w:tblGrid>
      <w:tr w:rsidR="00000000">
        <w:trPr>
          <w:divId w:val="974482597"/>
        </w:trPr>
        <w:tc>
          <w:tcPr>
            <w:tcW w:w="50" w:type="pct"/>
            <w:vAlign w:val="center"/>
            <w:hideMark/>
          </w:tcPr>
          <w:p w:rsidR="00000000" w:rsidRDefault="0039054C">
            <w:pPr>
              <w:ind w:firstLine="450"/>
              <w:rPr>
                <w:rFonts w:eastAsia="Times New Roman"/>
              </w:rPr>
            </w:pPr>
          </w:p>
        </w:tc>
        <w:tc>
          <w:tcPr>
            <w:tcW w:w="85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5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24"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7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24"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7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64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7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81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974482597"/>
        </w:trPr>
        <w:tc>
          <w:tcPr>
            <w:tcW w:w="0" w:type="auto"/>
            <w:gridSpan w:val="6"/>
            <w:tcMar>
              <w:top w:w="30" w:type="dxa"/>
              <w:left w:w="20" w:type="dxa"/>
              <w:bottom w:w="30" w:type="dxa"/>
              <w:right w:w="20" w:type="dxa"/>
            </w:tcMar>
            <w:vAlign w:val="bottom"/>
            <w:hideMark/>
          </w:tcPr>
          <w:p w:rsidR="00000000" w:rsidRDefault="0039054C">
            <w:pP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w:t>
            </w:r>
            <w:r>
              <w:rPr>
                <w:rFonts w:eastAsia="Times New Roman"/>
                <w:b/>
                <w:bCs/>
                <w:color w:val="000000"/>
                <w:sz w:val="16"/>
                <w:szCs w:val="16"/>
              </w:rPr>
              <w:t>purchased</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Average price</w:t>
            </w:r>
            <w:r>
              <w:rPr>
                <w:rFonts w:eastAsia="Times New Roman"/>
                <w:b/>
                <w:bCs/>
                <w:color w:val="000000"/>
                <w:sz w:val="16"/>
                <w:szCs w:val="16"/>
              </w:rPr>
              <w:br/>
              <w:t>paid per share</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Total number of</w:t>
            </w:r>
          </w:p>
          <w:p w:rsidR="00000000" w:rsidRDefault="0039054C">
            <w:pPr>
              <w:jc w:val="center"/>
              <w:rPr>
                <w:rFonts w:eastAsia="Times New Roman"/>
              </w:rPr>
            </w:pPr>
            <w:r>
              <w:rPr>
                <w:rFonts w:eastAsia="Times New Roman"/>
                <w:b/>
                <w:bCs/>
                <w:color w:val="000000"/>
                <w:sz w:val="16"/>
                <w:szCs w:val="16"/>
              </w:rPr>
              <w:t>shares purchased</w:t>
            </w:r>
          </w:p>
          <w:p w:rsidR="00000000" w:rsidRDefault="0039054C">
            <w:pPr>
              <w:jc w:val="center"/>
              <w:rPr>
                <w:rFonts w:eastAsia="Times New Roman"/>
              </w:rPr>
            </w:pPr>
            <w:r>
              <w:rPr>
                <w:rFonts w:eastAsia="Times New Roman"/>
                <w:b/>
                <w:bCs/>
                <w:color w:val="000000"/>
                <w:sz w:val="16"/>
                <w:szCs w:val="16"/>
              </w:rPr>
              <w:t>as part of publicly</w:t>
            </w:r>
          </w:p>
          <w:p w:rsidR="00000000" w:rsidRDefault="0039054C">
            <w:pPr>
              <w:jc w:val="center"/>
              <w:rPr>
                <w:rFonts w:eastAsia="Times New Roman"/>
              </w:rPr>
            </w:pPr>
            <w:r>
              <w:rPr>
                <w:rFonts w:eastAsia="Times New Roman"/>
                <w:b/>
                <w:bCs/>
                <w:color w:val="000000"/>
                <w:sz w:val="16"/>
                <w:szCs w:val="16"/>
              </w:rPr>
              <w:t>announced plans</w:t>
            </w:r>
          </w:p>
          <w:p w:rsidR="00000000" w:rsidRDefault="0039054C">
            <w:pPr>
              <w:jc w:val="center"/>
              <w:rPr>
                <w:rFonts w:eastAsia="Times New Roman"/>
              </w:rPr>
            </w:pPr>
            <w:r>
              <w:rPr>
                <w:rFonts w:eastAsia="Times New Roman"/>
                <w:b/>
                <w:bCs/>
                <w:color w:val="000000"/>
                <w:sz w:val="16"/>
                <w:szCs w:val="16"/>
              </w:rPr>
              <w:t>or programs</w:t>
            </w:r>
            <w:r>
              <w:rPr>
                <w:rFonts w:eastAsia="Times New Roman"/>
                <w:b/>
                <w:bCs/>
                <w:color w:val="000000"/>
                <w:sz w:val="16"/>
                <w:szCs w:val="16"/>
              </w:rPr>
              <w:t xml:space="preserve"> </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39054C">
            <w:pPr>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39054C">
            <w:pPr>
              <w:jc w:val="center"/>
              <w:rPr>
                <w:rFonts w:eastAsia="Times New Roman"/>
              </w:rPr>
            </w:pPr>
            <w:r>
              <w:rPr>
                <w:rFonts w:eastAsia="Times New Roman"/>
                <w:b/>
                <w:bCs/>
                <w:color w:val="000000"/>
                <w:sz w:val="16"/>
                <w:szCs w:val="16"/>
              </w:rPr>
              <w:t>Maximum approximate</w:t>
            </w:r>
          </w:p>
          <w:p w:rsidR="00000000" w:rsidRDefault="0039054C">
            <w:pPr>
              <w:jc w:val="center"/>
              <w:rPr>
                <w:rFonts w:eastAsia="Times New Roman"/>
              </w:rPr>
            </w:pPr>
            <w:r>
              <w:rPr>
                <w:rFonts w:eastAsia="Times New Roman"/>
                <w:b/>
                <w:bCs/>
                <w:color w:val="000000"/>
                <w:sz w:val="16"/>
                <w:szCs w:val="16"/>
              </w:rPr>
              <w:t>dollar value of shares</w:t>
            </w:r>
          </w:p>
          <w:p w:rsidR="00000000" w:rsidRDefault="0039054C">
            <w:pPr>
              <w:jc w:val="center"/>
              <w:rPr>
                <w:rFonts w:eastAsia="Times New Roman"/>
              </w:rPr>
            </w:pPr>
            <w:r>
              <w:rPr>
                <w:rFonts w:eastAsia="Times New Roman"/>
                <w:b/>
                <w:bCs/>
                <w:color w:val="000000"/>
                <w:sz w:val="16"/>
                <w:szCs w:val="16"/>
              </w:rPr>
              <w:t>that may yet be</w:t>
            </w:r>
          </w:p>
          <w:p w:rsidR="00000000" w:rsidRDefault="0039054C">
            <w:pPr>
              <w:jc w:val="center"/>
              <w:rPr>
                <w:rFonts w:eastAsia="Times New Roman"/>
              </w:rPr>
            </w:pPr>
            <w:r>
              <w:rPr>
                <w:rFonts w:eastAsia="Times New Roman"/>
                <w:b/>
                <w:bCs/>
                <w:color w:val="000000"/>
                <w:sz w:val="16"/>
                <w:szCs w:val="16"/>
              </w:rPr>
              <w:t>purchased under the</w:t>
            </w:r>
          </w:p>
          <w:p w:rsidR="00000000" w:rsidRDefault="0039054C">
            <w:pPr>
              <w:jc w:val="center"/>
              <w:rPr>
                <w:rFonts w:eastAsia="Times New Roman"/>
              </w:rPr>
            </w:pPr>
            <w:r>
              <w:rPr>
                <w:rFonts w:eastAsia="Times New Roman"/>
                <w:b/>
                <w:bCs/>
                <w:color w:val="000000"/>
                <w:sz w:val="16"/>
                <w:szCs w:val="16"/>
              </w:rPr>
              <w:t>plans or programs</w:t>
            </w:r>
            <w:r>
              <w:rPr>
                <w:rFonts w:eastAsia="Times New Roman"/>
                <w:b/>
                <w:bCs/>
                <w:color w:val="000000"/>
                <w:sz w:val="16"/>
                <w:szCs w:val="16"/>
              </w:rPr>
              <w:t> </w:t>
            </w:r>
            <w:r>
              <w:rPr>
                <w:rFonts w:eastAsia="Times New Roman"/>
                <w:b/>
                <w:bCs/>
                <w:color w:val="000000"/>
                <w:sz w:val="10"/>
                <w:szCs w:val="10"/>
              </w:rPr>
              <w:t>(1</w:t>
            </w:r>
            <w:r>
              <w:rPr>
                <w:rFonts w:eastAsia="Times New Roman"/>
                <w:b/>
                <w:bCs/>
                <w:color w:val="000000"/>
                <w:sz w:val="10"/>
                <w:szCs w:val="10"/>
              </w:rPr>
              <w:t>)</w:t>
            </w:r>
          </w:p>
        </w:tc>
      </w:tr>
      <w:tr w:rsidR="00000000">
        <w:trPr>
          <w:divId w:val="974482597"/>
        </w:trPr>
        <w:tc>
          <w:tcPr>
            <w:tcW w:w="0" w:type="auto"/>
            <w:gridSpan w:val="6"/>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Month No. 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974482597"/>
        </w:trPr>
        <w:tc>
          <w:tcPr>
            <w:tcW w:w="0" w:type="auto"/>
            <w:gridSpan w:val="6"/>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(January 2, 2021 - January 29, 2021)</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974482597"/>
        </w:trPr>
        <w:tc>
          <w:tcPr>
            <w:tcW w:w="0" w:type="auto"/>
            <w:gridSpan w:val="6"/>
            <w:shd w:val="clear" w:color="auto" w:fill="CCEEFF"/>
            <w:tcMar>
              <w:top w:w="30" w:type="dxa"/>
              <w:left w:w="20" w:type="dxa"/>
              <w:bottom w:w="30" w:type="dxa"/>
              <w:right w:w="20" w:type="dxa"/>
            </w:tcMar>
            <w:hideMark/>
          </w:tcPr>
          <w:p w:rsidR="00000000" w:rsidRDefault="0039054C">
            <w:pPr>
              <w:divId w:val="1000039909"/>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6,210,383,051 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974482597"/>
        </w:trPr>
        <w:tc>
          <w:tcPr>
            <w:tcW w:w="0" w:type="auto"/>
            <w:gridSpan w:val="6"/>
            <w:shd w:val="clear" w:color="auto" w:fill="FFFFFF"/>
            <w:tcMar>
              <w:top w:w="30" w:type="dxa"/>
              <w:left w:w="20" w:type="dxa"/>
              <w:bottom w:w="30" w:type="dxa"/>
              <w:right w:w="20" w:type="dxa"/>
            </w:tcMar>
            <w:hideMark/>
          </w:tcPr>
          <w:p w:rsidR="00000000" w:rsidRDefault="0039054C">
            <w:pPr>
              <w:divId w:val="733702124"/>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14,948 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182.59 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974482597"/>
        </w:trPr>
        <w:tc>
          <w:tcPr>
            <w:tcW w:w="0" w:type="auto"/>
            <w:gridSpan w:val="6"/>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Month No. 2</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974482597"/>
        </w:trPr>
        <w:tc>
          <w:tcPr>
            <w:tcW w:w="0" w:type="auto"/>
            <w:gridSpan w:val="6"/>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(January 30, 2021 - February 26, 2021)</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974482597"/>
        </w:trPr>
        <w:tc>
          <w:tcPr>
            <w:tcW w:w="0" w:type="auto"/>
            <w:gridSpan w:val="6"/>
            <w:shd w:val="clear" w:color="auto" w:fill="CCEEFF"/>
            <w:tcMar>
              <w:top w:w="30" w:type="dxa"/>
              <w:left w:w="20" w:type="dxa"/>
              <w:bottom w:w="30" w:type="dxa"/>
              <w:right w:w="20" w:type="dxa"/>
            </w:tcMar>
            <w:hideMark/>
          </w:tcPr>
          <w:p w:rsidR="00000000" w:rsidRDefault="0039054C">
            <w:pPr>
              <w:divId w:val="1979339976"/>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3,105,000 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183.85 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3,105,000 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5,639,518,028 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974482597"/>
        </w:trPr>
        <w:tc>
          <w:tcPr>
            <w:tcW w:w="0" w:type="auto"/>
            <w:gridSpan w:val="3"/>
            <w:vAlign w:val="center"/>
            <w:hideMark/>
          </w:tcPr>
          <w:p w:rsidR="00000000" w:rsidRDefault="0039054C">
            <w:pPr>
              <w:jc w:val="right"/>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gridSpan w:val="3"/>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c>
          <w:tcPr>
            <w:tcW w:w="0" w:type="auto"/>
            <w:vAlign w:val="center"/>
            <w:hideMark/>
          </w:tcPr>
          <w:p w:rsidR="00000000" w:rsidRDefault="0039054C">
            <w:pPr>
              <w:rPr>
                <w:rFonts w:eastAsia="Times New Roman"/>
                <w:sz w:val="20"/>
                <w:szCs w:val="20"/>
              </w:rPr>
            </w:pPr>
          </w:p>
        </w:tc>
      </w:tr>
      <w:tr w:rsidR="00000000">
        <w:trPr>
          <w:divId w:val="974482597"/>
        </w:trPr>
        <w:tc>
          <w:tcPr>
            <w:tcW w:w="0" w:type="auto"/>
            <w:gridSpan w:val="6"/>
            <w:shd w:val="clear" w:color="auto" w:fill="FFFFFF"/>
            <w:tcMar>
              <w:top w:w="30" w:type="dxa"/>
              <w:left w:w="20" w:type="dxa"/>
              <w:bottom w:w="30" w:type="dxa"/>
              <w:right w:w="20" w:type="dxa"/>
            </w:tcMar>
            <w:hideMark/>
          </w:tcPr>
          <w:p w:rsidR="00000000" w:rsidRDefault="0039054C">
            <w:pPr>
              <w:divId w:val="276985915"/>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2,590 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181.31 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974482597"/>
        </w:trPr>
        <w:tc>
          <w:tcPr>
            <w:tcW w:w="0" w:type="auto"/>
            <w:gridSpan w:val="6"/>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Month No. 3</w:t>
            </w: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974482597"/>
        </w:trPr>
        <w:tc>
          <w:tcPr>
            <w:tcW w:w="0" w:type="auto"/>
            <w:gridSpan w:val="6"/>
            <w:shd w:val="clear" w:color="auto" w:fill="FFFF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(February 27, 2021 - April 2, 2021)</w:t>
            </w: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974482597"/>
        </w:trPr>
        <w:tc>
          <w:tcPr>
            <w:tcW w:w="0" w:type="auto"/>
            <w:gridSpan w:val="6"/>
            <w:shd w:val="clear" w:color="auto" w:fill="CCEEFF"/>
            <w:tcMar>
              <w:top w:w="30" w:type="dxa"/>
              <w:left w:w="20" w:type="dxa"/>
              <w:bottom w:w="30" w:type="dxa"/>
              <w:right w:w="20" w:type="dxa"/>
            </w:tcMar>
            <w:hideMark/>
          </w:tcPr>
          <w:p w:rsidR="00000000" w:rsidRDefault="0039054C">
            <w:pPr>
              <w:divId w:val="539166408"/>
              <w:rPr>
                <w:rFonts w:eastAsia="Times New Roman"/>
              </w:rPr>
            </w:pPr>
            <w:r>
              <w:rPr>
                <w:rFonts w:eastAsia="Times New Roman"/>
                <w:color w:val="000000"/>
                <w:sz w:val="20"/>
                <w:szCs w:val="20"/>
              </w:rPr>
              <w:t>Repurchase progra</w:t>
            </w:r>
            <w:r>
              <w:rPr>
                <w:rFonts w:eastAsia="Times New Roman"/>
                <w:color w:val="000000"/>
                <w:sz w:val="20"/>
                <w:szCs w:val="20"/>
              </w:rPr>
              <w:t>m</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688,199 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187.53 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688,199 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5,510,459,057 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974482597"/>
        </w:trPr>
        <w:tc>
          <w:tcPr>
            <w:tcW w:w="0" w:type="auto"/>
            <w:gridSpan w:val="6"/>
            <w:shd w:val="clear" w:color="auto" w:fill="FFFFFF"/>
            <w:tcMar>
              <w:top w:w="30" w:type="dxa"/>
              <w:left w:w="20" w:type="dxa"/>
              <w:bottom w:w="30" w:type="dxa"/>
              <w:right w:w="20" w:type="dxa"/>
            </w:tcMar>
            <w:hideMark/>
          </w:tcPr>
          <w:p w:rsidR="00000000" w:rsidRDefault="0039054C">
            <w:pPr>
              <w:divId w:val="674767847"/>
              <w:rPr>
                <w:rFonts w:eastAsia="Times New Roman"/>
              </w:rPr>
            </w:pPr>
            <w:r>
              <w:rPr>
                <w:rFonts w:eastAsia="Times New Roman"/>
                <w:color w:val="000000"/>
                <w:sz w:val="20"/>
                <w:szCs w:val="20"/>
              </w:rPr>
              <w:t>Employee transaction</w:t>
            </w:r>
            <w:r>
              <w:rPr>
                <w:rFonts w:eastAsia="Times New Roman"/>
                <w:color w:val="000000"/>
                <w:sz w:val="20"/>
                <w:szCs w:val="20"/>
              </w:rPr>
              <w:t>s</w:t>
            </w:r>
            <w:r>
              <w:rPr>
                <w:rFonts w:eastAsia="Times New Roman"/>
                <w:color w:val="000000"/>
                <w:sz w:val="13"/>
                <w:szCs w:val="13"/>
              </w:rPr>
              <w:t>(2</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11,255 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192.35 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39054C">
            <w:pPr>
              <w:jc w:val="right"/>
              <w:rPr>
                <w:rFonts w:eastAsia="Times New Roman"/>
              </w:rPr>
            </w:pPr>
          </w:p>
        </w:tc>
      </w:tr>
      <w:tr w:rsidR="00000000">
        <w:trPr>
          <w:divId w:val="974482597"/>
        </w:trPr>
        <w:tc>
          <w:tcPr>
            <w:tcW w:w="0" w:type="auto"/>
            <w:gridSpan w:val="6"/>
            <w:shd w:val="clear" w:color="auto" w:fill="CCEEFF"/>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3,821,992 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3,793,199 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39054C">
            <w:pPr>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39054C">
            <w:pPr>
              <w:jc w:val="right"/>
              <w:rPr>
                <w:rFonts w:eastAsia="Times New Roman"/>
              </w:rPr>
            </w:pPr>
            <w:r>
              <w:rPr>
                <w:rFonts w:eastAsia="Times New Roman"/>
                <w:color w:val="000000"/>
                <w:sz w:val="20"/>
                <w:szCs w:val="20"/>
              </w:rPr>
              <w:t>5,510,459,057 </w:t>
            </w:r>
          </w:p>
        </w:tc>
        <w:tc>
          <w:tcPr>
            <w:tcW w:w="0" w:type="auto"/>
            <w:shd w:val="clear" w:color="auto" w:fill="CCEEFF"/>
            <w:tcMar>
              <w:top w:w="30" w:type="dxa"/>
              <w:left w:w="0" w:type="dxa"/>
              <w:bottom w:w="30" w:type="dxa"/>
              <w:right w:w="20" w:type="dxa"/>
            </w:tcMar>
            <w:vAlign w:val="bottom"/>
            <w:hideMark/>
          </w:tcPr>
          <w:p w:rsidR="00000000" w:rsidRDefault="0039054C">
            <w:pPr>
              <w:jc w:val="right"/>
              <w:rPr>
                <w:rFonts w:eastAsia="Times New Roman"/>
              </w:rPr>
            </w:pPr>
          </w:p>
        </w:tc>
      </w:tr>
    </w:tbl>
    <w:p w:rsidR="00000000" w:rsidRDefault="0039054C">
      <w:pPr>
        <w:divId w:val="513768813"/>
        <w:rPr>
          <w:rFonts w:eastAsia="Times New Roman"/>
        </w:rPr>
      </w:pPr>
      <w:r>
        <w:rPr>
          <w:rFonts w:eastAsia="Times New Roman"/>
          <w:color w:val="000000"/>
          <w:sz w:val="16"/>
          <w:szCs w:val="16"/>
        </w:rPr>
        <w:t>_______________</w:t>
      </w:r>
    </w:p>
    <w:p w:rsidR="00000000" w:rsidRDefault="0039054C">
      <w:pPr>
        <w:ind w:hanging="270"/>
        <w:divId w:val="1608855260"/>
        <w:rPr>
          <w:rFonts w:eastAsia="Times New Roman"/>
        </w:rPr>
      </w:pPr>
      <w:r>
        <w:rPr>
          <w:rFonts w:eastAsia="Times New Roman"/>
          <w:color w:val="000000"/>
          <w:sz w:val="16"/>
          <w:szCs w:val="16"/>
        </w:rPr>
        <w:t>*    Periods represent our fiscal months</w:t>
      </w:r>
    </w:p>
    <w:p w:rsidR="00000000" w:rsidRDefault="0039054C">
      <w:pPr>
        <w:ind w:hanging="270"/>
        <w:divId w:val="1230534598"/>
        <w:rPr>
          <w:rFonts w:eastAsia="Times New Roman"/>
        </w:rPr>
      </w:pPr>
      <w:r>
        <w:rPr>
          <w:rFonts w:eastAsia="Times New Roman"/>
          <w:color w:val="000000"/>
          <w:sz w:val="16"/>
          <w:szCs w:val="16"/>
        </w:rPr>
        <w:t>(1)On January 28, 2</w:t>
      </w:r>
      <w:r>
        <w:rPr>
          <w:rFonts w:eastAsia="Times New Roman"/>
          <w:color w:val="000000"/>
          <w:sz w:val="16"/>
          <w:szCs w:val="16"/>
        </w:rPr>
        <w:t xml:space="preserve">021, we announced that our Board of Directors approved a $6 billion share repurchase authorization under our share repurchase program that was in addition to the remaining unused authorization of $210 million as of January 1, 2021. We repurchase shares of </w:t>
      </w:r>
      <w:r>
        <w:rPr>
          <w:rFonts w:eastAsia="Times New Roman"/>
          <w:color w:val="000000"/>
          <w:sz w:val="16"/>
          <w:szCs w:val="16"/>
        </w:rPr>
        <w:t>our common stock through open-market purchases, private transactions, transactions structured through investment banking institutions or any combination thereof. As of April 2, 2021, $5.5 billion (as reflected in the table above) was the approximate dollar</w:t>
      </w:r>
      <w:r>
        <w:rPr>
          <w:rFonts w:eastAsia="Times New Roman"/>
          <w:color w:val="000000"/>
          <w:sz w:val="16"/>
          <w:szCs w:val="16"/>
        </w:rPr>
        <w:t xml:space="preserve"> amount of our common stock that can still be purchased under our share repurchase program, which does not have a stated expiration date. </w:t>
      </w:r>
    </w:p>
    <w:p w:rsidR="00000000" w:rsidRDefault="0039054C">
      <w:pPr>
        <w:ind w:hanging="270"/>
        <w:divId w:val="341905855"/>
        <w:rPr>
          <w:rFonts w:eastAsia="Times New Roman"/>
        </w:rPr>
      </w:pPr>
      <w:r>
        <w:rPr>
          <w:rFonts w:eastAsia="Times New Roman"/>
          <w:color w:val="000000"/>
          <w:sz w:val="16"/>
          <w:szCs w:val="16"/>
        </w:rPr>
        <w:t>(2)Represents a combination of: (a) shares of our common stock delivered to us in satisfaction of the tax withholding</w:t>
      </w:r>
      <w:r>
        <w:rPr>
          <w:rFonts w:eastAsia="Times New Roman"/>
          <w:color w:val="000000"/>
          <w:sz w:val="16"/>
          <w:szCs w:val="16"/>
        </w:rPr>
        <w:t xml:space="preserve"> obligation of holders of performance units, restricted units or restricted shares that vested during the quarter and (b) performance units, restricted units or restricted shares returned to us upon retirement or employment termination of employees. Our eq</w:t>
      </w:r>
      <w:r>
        <w:rPr>
          <w:rFonts w:eastAsia="Times New Roman"/>
          <w:color w:val="000000"/>
          <w:sz w:val="16"/>
          <w:szCs w:val="16"/>
        </w:rPr>
        <w:t>uity incentive plans provide that the value of shares delivered to us to pay the exercise price of options or to cover tax withholding obligations shall be the closing price of our common stock on the date the relevant transaction occurs.</w:t>
      </w:r>
    </w:p>
    <w:p w:rsidR="00000000" w:rsidRDefault="0039054C">
      <w:pPr>
        <w:divId w:val="1532457899"/>
        <w:rPr>
          <w:rFonts w:eastAsia="Times New Roman"/>
        </w:rPr>
      </w:pPr>
      <w:r>
        <w:rPr>
          <w:rFonts w:eastAsia="Times New Roman"/>
          <w:b/>
          <w:bCs/>
          <w:color w:val="000000"/>
          <w:sz w:val="20"/>
          <w:szCs w:val="20"/>
        </w:rPr>
        <w:t>Sales of Unregist</w:t>
      </w:r>
      <w:r>
        <w:rPr>
          <w:rFonts w:eastAsia="Times New Roman"/>
          <w:b/>
          <w:bCs/>
          <w:color w:val="000000"/>
          <w:sz w:val="20"/>
          <w:szCs w:val="20"/>
        </w:rPr>
        <w:t>ered Equity Securities</w:t>
      </w:r>
    </w:p>
    <w:p w:rsidR="00000000" w:rsidRDefault="0039054C">
      <w:pPr>
        <w:ind w:firstLine="450"/>
        <w:divId w:val="207226798"/>
        <w:rPr>
          <w:rFonts w:eastAsia="Times New Roman"/>
        </w:rPr>
      </w:pPr>
      <w:r>
        <w:rPr>
          <w:rFonts w:eastAsia="Times New Roman"/>
          <w:color w:val="000000"/>
          <w:sz w:val="20"/>
          <w:szCs w:val="20"/>
        </w:rPr>
        <w:t>During the first quarter of fiscal 2021, we did not issue or sell any unregistered equity securities.</w:t>
      </w:r>
    </w:p>
    <w:p w:rsidR="00000000" w:rsidRDefault="0039054C">
      <w:pPr>
        <w:divId w:val="733696491"/>
        <w:rPr>
          <w:rFonts w:eastAsia="Times New Roman"/>
        </w:rPr>
      </w:pPr>
      <w:r>
        <w:rPr>
          <w:rFonts w:eastAsia="Times New Roman"/>
          <w:b/>
          <w:bCs/>
          <w:color w:val="000000"/>
          <w:sz w:val="20"/>
          <w:szCs w:val="20"/>
        </w:rPr>
        <w:t>Item 3. Defaults Upon Senior Securities.</w:t>
      </w:r>
    </w:p>
    <w:p w:rsidR="00000000" w:rsidRDefault="0039054C">
      <w:pPr>
        <w:ind w:firstLine="450"/>
        <w:jc w:val="both"/>
        <w:divId w:val="1243444660"/>
        <w:rPr>
          <w:rFonts w:eastAsia="Times New Roman"/>
        </w:rPr>
      </w:pPr>
      <w:r>
        <w:rPr>
          <w:rFonts w:eastAsia="Times New Roman"/>
          <w:color w:val="000000"/>
          <w:sz w:val="20"/>
          <w:szCs w:val="20"/>
        </w:rPr>
        <w:t>Not Applicable.</w:t>
      </w:r>
    </w:p>
    <w:p w:rsidR="00000000" w:rsidRDefault="0039054C">
      <w:pPr>
        <w:divId w:val="677392685"/>
        <w:rPr>
          <w:rFonts w:eastAsia="Times New Roman"/>
        </w:rPr>
      </w:pPr>
      <w:r>
        <w:rPr>
          <w:rFonts w:eastAsia="Times New Roman"/>
          <w:b/>
          <w:bCs/>
          <w:color w:val="000000"/>
          <w:sz w:val="20"/>
          <w:szCs w:val="20"/>
        </w:rPr>
        <w:t>Item 4. Mine Safety Disclosures.</w:t>
      </w:r>
    </w:p>
    <w:p w:rsidR="00000000" w:rsidRDefault="0039054C">
      <w:pPr>
        <w:ind w:firstLine="450"/>
        <w:jc w:val="both"/>
        <w:divId w:val="575552388"/>
        <w:rPr>
          <w:rFonts w:eastAsia="Times New Roman"/>
        </w:rPr>
      </w:pPr>
      <w:r>
        <w:rPr>
          <w:rFonts w:eastAsia="Times New Roman"/>
          <w:color w:val="000000"/>
          <w:sz w:val="20"/>
          <w:szCs w:val="20"/>
        </w:rPr>
        <w:t>Not Applicable.</w:t>
      </w:r>
    </w:p>
    <w:p w:rsidR="00000000" w:rsidRDefault="0039054C">
      <w:pPr>
        <w:divId w:val="1430663472"/>
        <w:rPr>
          <w:rFonts w:eastAsia="Times New Roman"/>
        </w:rPr>
      </w:pPr>
      <w:r>
        <w:rPr>
          <w:rFonts w:eastAsia="Times New Roman"/>
          <w:b/>
          <w:bCs/>
          <w:color w:val="000000"/>
          <w:sz w:val="20"/>
          <w:szCs w:val="20"/>
        </w:rPr>
        <w:t>Item </w:t>
      </w:r>
      <w:r>
        <w:rPr>
          <w:rFonts w:eastAsia="Times New Roman"/>
          <w:b/>
          <w:bCs/>
          <w:color w:val="000000"/>
          <w:sz w:val="20"/>
          <w:szCs w:val="20"/>
        </w:rPr>
        <w:t>5. Other Information.</w:t>
      </w:r>
    </w:p>
    <w:p w:rsidR="00000000" w:rsidRDefault="0039054C">
      <w:pPr>
        <w:ind w:firstLine="450"/>
        <w:jc w:val="both"/>
        <w:divId w:val="313997268"/>
        <w:rPr>
          <w:rFonts w:eastAsia="Times New Roman"/>
        </w:rPr>
      </w:pPr>
      <w:r>
        <w:rPr>
          <w:rFonts w:eastAsia="Times New Roman"/>
          <w:color w:val="000000"/>
          <w:sz w:val="20"/>
          <w:szCs w:val="20"/>
        </w:rPr>
        <w:t>Not Applicable.</w:t>
      </w:r>
    </w:p>
    <w:p w:rsidR="00000000" w:rsidRDefault="0039054C">
      <w:pPr>
        <w:ind w:firstLine="450"/>
        <w:jc w:val="center"/>
        <w:divId w:val="1457486211"/>
        <w:rPr>
          <w:rFonts w:eastAsia="Times New Roman"/>
        </w:rPr>
      </w:pPr>
      <w:r>
        <w:rPr>
          <w:rFonts w:eastAsia="Times New Roman"/>
          <w:color w:val="000000"/>
          <w:sz w:val="20"/>
          <w:szCs w:val="20"/>
        </w:rPr>
        <w:t>40</w:t>
      </w:r>
    </w:p>
    <w:p w:rsidR="00000000" w:rsidRDefault="0039054C">
      <w:pPr>
        <w:rPr>
          <w:rFonts w:eastAsia="Times New Roman"/>
        </w:rPr>
      </w:pPr>
      <w:r>
        <w:rPr>
          <w:rFonts w:eastAsia="Times New Roman"/>
        </w:rPr>
        <w:pict>
          <v:rect id="_x0000_i1067" style="width:0;height:1.5pt" o:hralign="center" o:hrstd="t" o:hr="t" fillcolor="#a0a0a0" stroked="f"/>
        </w:pict>
      </w:r>
    </w:p>
    <w:p w:rsidR="00000000" w:rsidRDefault="0039054C">
      <w:pPr>
        <w:ind w:firstLine="450"/>
        <w:divId w:val="903637822"/>
        <w:rPr>
          <w:rFonts w:eastAsia="Times New Roman"/>
        </w:rPr>
      </w:pPr>
    </w:p>
    <w:p w:rsidR="00000000" w:rsidRDefault="0039054C">
      <w:pPr>
        <w:ind w:firstLine="450"/>
        <w:divId w:val="1639147128"/>
        <w:rPr>
          <w:rFonts w:eastAsia="Times New Roman"/>
        </w:rPr>
      </w:pPr>
    </w:p>
    <w:p w:rsidR="00000000" w:rsidRDefault="0039054C">
      <w:pPr>
        <w:divId w:val="1690716777"/>
        <w:rPr>
          <w:rFonts w:eastAsia="Times New Roman"/>
        </w:rPr>
      </w:pPr>
      <w:r>
        <w:rPr>
          <w:rFonts w:eastAsia="Times New Roman"/>
          <w:b/>
          <w:bCs/>
          <w:color w:val="000000"/>
          <w:sz w:val="20"/>
          <w:szCs w:val="20"/>
        </w:rPr>
        <w:t xml:space="preserve">Item 6. Exhibits. </w:t>
      </w:r>
    </w:p>
    <w:p w:rsidR="00000000" w:rsidRDefault="0039054C">
      <w:pPr>
        <w:ind w:firstLine="450"/>
        <w:jc w:val="center"/>
        <w:divId w:val="1154179917"/>
        <w:rPr>
          <w:rFonts w:eastAsia="Times New Roman"/>
        </w:rPr>
      </w:pPr>
      <w:r>
        <w:rPr>
          <w:rFonts w:eastAsia="Times New Roman"/>
          <w:b/>
          <w:bCs/>
          <w:color w:val="000000"/>
          <w:sz w:val="20"/>
          <w:szCs w:val="20"/>
        </w:rPr>
        <w:t>EXHIBIT INDEX</w:t>
      </w:r>
    </w:p>
    <w:p w:rsidR="00000000" w:rsidRDefault="0039054C">
      <w:pPr>
        <w:ind w:firstLine="450"/>
        <w:jc w:val="both"/>
        <w:divId w:val="428622600"/>
        <w:rPr>
          <w:rFonts w:eastAsia="Times New Roman"/>
        </w:rPr>
      </w:pPr>
      <w:r>
        <w:rPr>
          <w:rFonts w:eastAsia="Times New Roman"/>
          <w:color w:val="000000"/>
          <w:sz w:val="20"/>
          <w:szCs w:val="20"/>
        </w:rPr>
        <w:t>The following exhibits are filed herewith or incorporated by reference to exhibits previously filed with the SEC:</w:t>
      </w:r>
    </w:p>
    <w:tbl>
      <w:tblPr>
        <w:tblW w:w="5000" w:type="pct"/>
        <w:tblCellMar>
          <w:top w:w="15" w:type="dxa"/>
          <w:left w:w="15" w:type="dxa"/>
          <w:bottom w:w="15" w:type="dxa"/>
          <w:right w:w="15" w:type="dxa"/>
        </w:tblCellMar>
        <w:tblLook w:val="04A0" w:firstRow="1" w:lastRow="0" w:firstColumn="1" w:lastColumn="0" w:noHBand="0" w:noVBand="1"/>
      </w:tblPr>
      <w:tblGrid>
        <w:gridCol w:w="69"/>
        <w:gridCol w:w="768"/>
        <w:gridCol w:w="36"/>
        <w:gridCol w:w="69"/>
        <w:gridCol w:w="185"/>
        <w:gridCol w:w="36"/>
        <w:gridCol w:w="69"/>
        <w:gridCol w:w="7037"/>
        <w:gridCol w:w="37"/>
      </w:tblGrid>
      <w:tr w:rsidR="00000000">
        <w:trPr>
          <w:divId w:val="242884867"/>
        </w:trPr>
        <w:tc>
          <w:tcPr>
            <w:tcW w:w="50" w:type="pct"/>
            <w:vAlign w:val="center"/>
            <w:hideMark/>
          </w:tcPr>
          <w:p w:rsidR="00000000" w:rsidRDefault="0039054C">
            <w:pPr>
              <w:ind w:firstLine="450"/>
              <w:jc w:val="both"/>
              <w:rPr>
                <w:rFonts w:eastAsia="Times New Roman"/>
              </w:rPr>
            </w:pPr>
          </w:p>
        </w:tc>
        <w:tc>
          <w:tcPr>
            <w:tcW w:w="471"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2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24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242884867"/>
        </w:trPr>
        <w:tc>
          <w:tcPr>
            <w:tcW w:w="0" w:type="auto"/>
            <w:gridSpan w:val="2"/>
            <w:tcMar>
              <w:top w:w="30" w:type="dxa"/>
              <w:left w:w="20" w:type="dxa"/>
              <w:bottom w:w="30" w:type="dxa"/>
              <w:right w:w="0" w:type="dxa"/>
            </w:tcMar>
            <w:hideMark/>
          </w:tcPr>
          <w:p w:rsidR="00000000" w:rsidRDefault="0039054C">
            <w:pPr>
              <w:jc w:val="right"/>
              <w:rPr>
                <w:rFonts w:eastAsia="Times New Roman"/>
              </w:rPr>
            </w:pPr>
            <w:r>
              <w:rPr>
                <w:rFonts w:eastAsia="Times New Roman"/>
                <w:color w:val="000000"/>
                <w:sz w:val="20"/>
                <w:szCs w:val="20"/>
              </w:rPr>
              <w:t>(3)</w:t>
            </w:r>
          </w:p>
        </w:tc>
        <w:tc>
          <w:tcPr>
            <w:tcW w:w="0" w:type="auto"/>
            <w:tcMar>
              <w:top w:w="30" w:type="dxa"/>
              <w:left w:w="0" w:type="dxa"/>
              <w:bottom w:w="30" w:type="dxa"/>
              <w:right w:w="20" w:type="dxa"/>
            </w:tcMar>
            <w:hideMark/>
          </w:tcPr>
          <w:p w:rsidR="00000000" w:rsidRDefault="0039054C">
            <w:pPr>
              <w:jc w:val="right"/>
              <w:rPr>
                <w:rFonts w:eastAsia="Times New Roman"/>
              </w:rPr>
            </w:pPr>
          </w:p>
        </w:tc>
        <w:tc>
          <w:tcPr>
            <w:tcW w:w="0" w:type="auto"/>
            <w:gridSpan w:val="3"/>
            <w:tcMar>
              <w:top w:w="0" w:type="dxa"/>
              <w:left w:w="20" w:type="dxa"/>
              <w:bottom w:w="0" w:type="dxa"/>
              <w:right w:w="20" w:type="dxa"/>
            </w:tcMar>
            <w:vAlign w:val="center"/>
            <w:hideMark/>
          </w:tcPr>
          <w:p w:rsidR="00000000" w:rsidRDefault="0039054C">
            <w:pPr>
              <w:jc w:val="right"/>
              <w:rPr>
                <w:rFonts w:eastAsia="Times New Roman"/>
                <w:sz w:val="20"/>
                <w:szCs w:val="20"/>
              </w:rPr>
            </w:pPr>
          </w:p>
        </w:tc>
        <w:tc>
          <w:tcPr>
            <w:tcW w:w="0" w:type="auto"/>
            <w:gridSpan w:val="3"/>
            <w:tcMar>
              <w:top w:w="30" w:type="dxa"/>
              <w:left w:w="20" w:type="dxa"/>
              <w:bottom w:w="30" w:type="dxa"/>
              <w:right w:w="20" w:type="dxa"/>
            </w:tcMar>
            <w:hideMark/>
          </w:tcPr>
          <w:p w:rsidR="00000000" w:rsidRDefault="0039054C">
            <w:pPr>
              <w:divId w:val="738211015"/>
              <w:rPr>
                <w:rFonts w:eastAsia="Times New Roman"/>
              </w:rPr>
            </w:pPr>
            <w:hyperlink r:id="rId5" w:history="1">
              <w:r>
                <w:rPr>
                  <w:rStyle w:val="a3"/>
                  <w:rFonts w:eastAsia="Times New Roman"/>
                  <w:sz w:val="20"/>
                  <w:szCs w:val="20"/>
                </w:rPr>
                <w:t>(a) Restated Certificate of Incorporation of L3Harris Technologies, Inc. (1995), as amended, incorporated herein by reference to Exhibit 3(a) to t</w:t>
              </w:r>
              <w:r>
                <w:rPr>
                  <w:rStyle w:val="a3"/>
                  <w:rFonts w:eastAsia="Times New Roman"/>
                  <w:sz w:val="20"/>
                  <w:szCs w:val="20"/>
                </w:rPr>
                <w:t>he Company’s Quarterly Report on Form 10-Q filed with the SEC on May 7, 2020. (Commission File Number 1-3863)</w:t>
              </w:r>
            </w:hyperlink>
          </w:p>
          <w:p w:rsidR="00000000" w:rsidRDefault="0039054C">
            <w:pPr>
              <w:divId w:val="998462155"/>
              <w:rPr>
                <w:rFonts w:eastAsia="Times New Roman"/>
              </w:rPr>
            </w:pPr>
          </w:p>
        </w:tc>
      </w:tr>
      <w:tr w:rsidR="00000000">
        <w:trPr>
          <w:divId w:val="242884867"/>
        </w:trPr>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30" w:type="dxa"/>
              <w:left w:w="20" w:type="dxa"/>
              <w:bottom w:w="30" w:type="dxa"/>
              <w:right w:w="20" w:type="dxa"/>
            </w:tcMar>
            <w:hideMark/>
          </w:tcPr>
          <w:p w:rsidR="00000000" w:rsidRDefault="0039054C">
            <w:pPr>
              <w:divId w:val="1557666811"/>
              <w:rPr>
                <w:rFonts w:eastAsia="Times New Roman"/>
              </w:rPr>
            </w:pPr>
            <w:hyperlink r:id="rId6" w:history="1">
              <w:r>
                <w:rPr>
                  <w:rStyle w:val="a3"/>
                  <w:rFonts w:eastAsia="Times New Roman"/>
                  <w:sz w:val="20"/>
                  <w:szCs w:val="20"/>
                </w:rPr>
                <w:t>(b) Amended and Restated</w:t>
              </w:r>
              <w:r>
                <w:rPr>
                  <w:rStyle w:val="a3"/>
                  <w:rFonts w:eastAsia="Times New Roman"/>
                  <w:sz w:val="20"/>
                  <w:szCs w:val="20"/>
                </w:rPr>
                <w:t xml:space="preserve"> By-Laws of L3Harris Technologies, Inc., incorporated herein by reference to Exhibit 3.1 to the Company’s Current Report on Form 8-K filed with the SEC on April 7, 2020. (Commission File Number 1-3863)</w:t>
              </w:r>
            </w:hyperlink>
          </w:p>
          <w:p w:rsidR="00000000" w:rsidRDefault="0039054C">
            <w:pPr>
              <w:divId w:val="4290886"/>
              <w:rPr>
                <w:rFonts w:eastAsia="Times New Roman"/>
              </w:rPr>
            </w:pPr>
          </w:p>
        </w:tc>
      </w:tr>
      <w:tr w:rsidR="00000000">
        <w:trPr>
          <w:divId w:val="242884867"/>
        </w:trPr>
        <w:tc>
          <w:tcPr>
            <w:tcW w:w="0" w:type="auto"/>
            <w:gridSpan w:val="3"/>
            <w:tcMar>
              <w:top w:w="30" w:type="dxa"/>
              <w:left w:w="20" w:type="dxa"/>
              <w:bottom w:w="30" w:type="dxa"/>
              <w:right w:w="20" w:type="dxa"/>
            </w:tcMar>
            <w:hideMark/>
          </w:tcPr>
          <w:p w:rsidR="00000000" w:rsidRDefault="0039054C">
            <w:pPr>
              <w:jc w:val="right"/>
              <w:rPr>
                <w:rFonts w:eastAsia="Times New Roman"/>
              </w:rPr>
            </w:pPr>
            <w:r>
              <w:rPr>
                <w:rFonts w:eastAsia="Times New Roman"/>
                <w:color w:val="000000"/>
                <w:sz w:val="20"/>
                <w:szCs w:val="20"/>
              </w:rPr>
              <w:t>*(10.1)</w:t>
            </w:r>
          </w:p>
        </w:tc>
        <w:tc>
          <w:tcPr>
            <w:tcW w:w="0" w:type="auto"/>
            <w:gridSpan w:val="3"/>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tcMar>
              <w:top w:w="30" w:type="dxa"/>
              <w:left w:w="20" w:type="dxa"/>
              <w:bottom w:w="30" w:type="dxa"/>
              <w:right w:w="20" w:type="dxa"/>
            </w:tcMar>
            <w:hideMark/>
          </w:tcPr>
          <w:p w:rsidR="00000000" w:rsidRDefault="0039054C">
            <w:pPr>
              <w:divId w:val="788819373"/>
              <w:rPr>
                <w:rFonts w:eastAsia="Times New Roman"/>
              </w:rPr>
            </w:pPr>
            <w:hyperlink r:id="rId7" w:history="1">
              <w:r>
                <w:rPr>
                  <w:rStyle w:val="a3"/>
                  <w:rFonts w:eastAsia="Times New Roman"/>
                  <w:sz w:val="20"/>
                  <w:szCs w:val="20"/>
                </w:rPr>
                <w:t>L3Harris Retirement Savings Plan (Amended and Restated Effective January 1, 2021)</w:t>
              </w:r>
            </w:hyperlink>
          </w:p>
        </w:tc>
      </w:tr>
      <w:tr w:rsidR="00000000">
        <w:trPr>
          <w:divId w:val="242884867"/>
        </w:trPr>
        <w:tc>
          <w:tcPr>
            <w:tcW w:w="0" w:type="auto"/>
            <w:gridSpan w:val="3"/>
            <w:tcMar>
              <w:top w:w="30" w:type="dxa"/>
              <w:left w:w="20" w:type="dxa"/>
              <w:bottom w:w="30" w:type="dxa"/>
              <w:right w:w="20" w:type="dxa"/>
            </w:tcMar>
            <w:hideMark/>
          </w:tcPr>
          <w:p w:rsidR="00000000" w:rsidRDefault="0039054C">
            <w:pPr>
              <w:jc w:val="right"/>
              <w:rPr>
                <w:rFonts w:eastAsia="Times New Roman"/>
              </w:rPr>
            </w:pPr>
            <w:r>
              <w:rPr>
                <w:rFonts w:eastAsia="Times New Roman"/>
                <w:color w:val="000000"/>
                <w:sz w:val="20"/>
                <w:szCs w:val="20"/>
              </w:rPr>
              <w:t>*(10.2)</w:t>
            </w:r>
          </w:p>
        </w:tc>
        <w:tc>
          <w:tcPr>
            <w:tcW w:w="0" w:type="auto"/>
            <w:gridSpan w:val="3"/>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tcMar>
              <w:top w:w="30" w:type="dxa"/>
              <w:left w:w="20" w:type="dxa"/>
              <w:bottom w:w="30" w:type="dxa"/>
              <w:right w:w="20" w:type="dxa"/>
            </w:tcMar>
            <w:hideMark/>
          </w:tcPr>
          <w:p w:rsidR="00000000" w:rsidRDefault="0039054C">
            <w:pPr>
              <w:divId w:val="813792278"/>
              <w:rPr>
                <w:rFonts w:eastAsia="Times New Roman"/>
              </w:rPr>
            </w:pPr>
            <w:hyperlink r:id="rId8" w:history="1">
              <w:r>
                <w:rPr>
                  <w:rStyle w:val="a3"/>
                  <w:rFonts w:eastAsia="Times New Roman"/>
                  <w:sz w:val="20"/>
                  <w:szCs w:val="20"/>
                </w:rPr>
                <w:t>Amendment One to the L3Harris Retirement Savings Plan (Amended and Restated Effective January 1,</w:t>
              </w:r>
              <w:r>
                <w:rPr>
                  <w:rStyle w:val="a3"/>
                  <w:rFonts w:eastAsia="Times New Roman"/>
                  <w:sz w:val="20"/>
                  <w:szCs w:val="20"/>
                </w:rPr>
                <w:t xml:space="preserve"> 2021), dated April 5, 2021</w:t>
              </w:r>
            </w:hyperlink>
          </w:p>
        </w:tc>
      </w:tr>
      <w:tr w:rsidR="00000000">
        <w:trPr>
          <w:divId w:val="242884867"/>
        </w:trPr>
        <w:tc>
          <w:tcPr>
            <w:tcW w:w="0" w:type="auto"/>
            <w:gridSpan w:val="3"/>
            <w:tcMar>
              <w:top w:w="30" w:type="dxa"/>
              <w:left w:w="20" w:type="dxa"/>
              <w:bottom w:w="30" w:type="dxa"/>
              <w:right w:w="20" w:type="dxa"/>
            </w:tcMar>
            <w:hideMark/>
          </w:tcPr>
          <w:p w:rsidR="00000000" w:rsidRDefault="0039054C">
            <w:pPr>
              <w:jc w:val="right"/>
              <w:rPr>
                <w:rFonts w:eastAsia="Times New Roman"/>
              </w:rPr>
            </w:pPr>
            <w:r>
              <w:rPr>
                <w:rFonts w:eastAsia="Times New Roman"/>
                <w:color w:val="000000"/>
                <w:sz w:val="20"/>
                <w:szCs w:val="20"/>
              </w:rPr>
              <w:t>*(10.3)</w:t>
            </w:r>
          </w:p>
        </w:tc>
        <w:tc>
          <w:tcPr>
            <w:tcW w:w="0" w:type="auto"/>
            <w:gridSpan w:val="3"/>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tcMar>
              <w:top w:w="30" w:type="dxa"/>
              <w:left w:w="20" w:type="dxa"/>
              <w:bottom w:w="30" w:type="dxa"/>
              <w:right w:w="20" w:type="dxa"/>
            </w:tcMar>
            <w:hideMark/>
          </w:tcPr>
          <w:p w:rsidR="00000000" w:rsidRDefault="0039054C">
            <w:pPr>
              <w:divId w:val="341930316"/>
              <w:rPr>
                <w:rFonts w:eastAsia="Times New Roman"/>
              </w:rPr>
            </w:pPr>
            <w:hyperlink r:id="rId9" w:history="1">
              <w:r>
                <w:rPr>
                  <w:rStyle w:val="a3"/>
                  <w:rFonts w:eastAsia="Times New Roman"/>
                  <w:sz w:val="20"/>
                  <w:szCs w:val="20"/>
                </w:rPr>
                <w:t>Amendment Two to the L3Harris Retirement Savings Plan (Amended and Restated Effective January 1, 2021), dated April 5, 2021</w:t>
              </w:r>
            </w:hyperlink>
          </w:p>
        </w:tc>
      </w:tr>
      <w:tr w:rsidR="00000000">
        <w:trPr>
          <w:divId w:val="242884867"/>
        </w:trPr>
        <w:tc>
          <w:tcPr>
            <w:tcW w:w="0" w:type="auto"/>
            <w:gridSpan w:val="3"/>
            <w:tcMar>
              <w:top w:w="30" w:type="dxa"/>
              <w:left w:w="20" w:type="dxa"/>
              <w:bottom w:w="30" w:type="dxa"/>
              <w:right w:w="20" w:type="dxa"/>
            </w:tcMar>
            <w:hideMark/>
          </w:tcPr>
          <w:p w:rsidR="00000000" w:rsidRDefault="0039054C">
            <w:pPr>
              <w:jc w:val="right"/>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39054C">
            <w:pPr>
              <w:jc w:val="right"/>
              <w:rPr>
                <w:rFonts w:eastAsia="Times New Roman"/>
              </w:rPr>
            </w:pPr>
          </w:p>
        </w:tc>
        <w:tc>
          <w:tcPr>
            <w:tcW w:w="0" w:type="auto"/>
            <w:gridSpan w:val="3"/>
            <w:tcMar>
              <w:top w:w="30" w:type="dxa"/>
              <w:left w:w="20" w:type="dxa"/>
              <w:bottom w:w="30" w:type="dxa"/>
              <w:right w:w="20" w:type="dxa"/>
            </w:tcMar>
            <w:hideMark/>
          </w:tcPr>
          <w:p w:rsidR="00000000" w:rsidRDefault="0039054C">
            <w:pPr>
              <w:divId w:val="317345448"/>
              <w:rPr>
                <w:rFonts w:eastAsia="Times New Roman"/>
              </w:rPr>
            </w:pPr>
            <w:hyperlink r:id="rId10" w:history="1">
              <w:r>
                <w:rPr>
                  <w:rStyle w:val="a3"/>
                  <w:rFonts w:eastAsia="Times New Roman"/>
                  <w:sz w:val="20"/>
                  <w:szCs w:val="20"/>
                </w:rPr>
                <w:t>Amendment Number One to the L3 Harris Excess Retirement Savings Plan (Amended and Res</w:t>
              </w:r>
              <w:r>
                <w:rPr>
                  <w:rStyle w:val="a3"/>
                  <w:rFonts w:eastAsia="Times New Roman"/>
                  <w:sz w:val="20"/>
                  <w:szCs w:val="20"/>
                </w:rPr>
                <w:t>tated Effective January 1, 2021), dated December 14, 2020</w:t>
              </w:r>
            </w:hyperlink>
          </w:p>
        </w:tc>
      </w:tr>
      <w:tr w:rsidR="00000000">
        <w:trPr>
          <w:divId w:val="242884867"/>
        </w:trPr>
        <w:tc>
          <w:tcPr>
            <w:tcW w:w="0" w:type="auto"/>
            <w:gridSpan w:val="2"/>
            <w:tcMar>
              <w:top w:w="30" w:type="dxa"/>
              <w:left w:w="20" w:type="dxa"/>
              <w:bottom w:w="30" w:type="dxa"/>
              <w:right w:w="0" w:type="dxa"/>
            </w:tcMar>
            <w:hideMark/>
          </w:tcPr>
          <w:p w:rsidR="00000000" w:rsidRDefault="0039054C">
            <w:pPr>
              <w:jc w:val="right"/>
              <w:rPr>
                <w:rFonts w:eastAsia="Times New Roman"/>
              </w:rPr>
            </w:pPr>
            <w:r>
              <w:rPr>
                <w:rFonts w:eastAsia="Times New Roman"/>
                <w:color w:val="000000"/>
                <w:sz w:val="20"/>
                <w:szCs w:val="20"/>
              </w:rPr>
              <w:t>(15)</w:t>
            </w:r>
          </w:p>
        </w:tc>
        <w:tc>
          <w:tcPr>
            <w:tcW w:w="0" w:type="auto"/>
            <w:tcMar>
              <w:top w:w="30" w:type="dxa"/>
              <w:left w:w="0" w:type="dxa"/>
              <w:bottom w:w="30" w:type="dxa"/>
              <w:right w:w="20" w:type="dxa"/>
            </w:tcMar>
            <w:hideMark/>
          </w:tcPr>
          <w:p w:rsidR="00000000" w:rsidRDefault="0039054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divId w:val="799692534"/>
              <w:rPr>
                <w:rFonts w:eastAsia="Times New Roman"/>
              </w:rPr>
            </w:pPr>
            <w:hyperlink r:id="rId11" w:history="1">
              <w:r>
                <w:rPr>
                  <w:rStyle w:val="a3"/>
                  <w:rFonts w:eastAsia="Times New Roman"/>
                  <w:sz w:val="20"/>
                  <w:szCs w:val="20"/>
                </w:rPr>
                <w:t>Letter Regarding Unaudited Interim Financial Information</w:t>
              </w:r>
            </w:hyperlink>
          </w:p>
        </w:tc>
      </w:tr>
      <w:tr w:rsidR="00000000">
        <w:trPr>
          <w:divId w:val="242884867"/>
        </w:trPr>
        <w:tc>
          <w:tcPr>
            <w:tcW w:w="0" w:type="auto"/>
            <w:gridSpan w:val="2"/>
            <w:tcMar>
              <w:top w:w="30" w:type="dxa"/>
              <w:left w:w="20" w:type="dxa"/>
              <w:bottom w:w="30" w:type="dxa"/>
              <w:right w:w="0" w:type="dxa"/>
            </w:tcMar>
            <w:hideMark/>
          </w:tcPr>
          <w:p w:rsidR="00000000" w:rsidRDefault="0039054C">
            <w:pPr>
              <w:jc w:val="right"/>
              <w:rPr>
                <w:rFonts w:eastAsia="Times New Roman"/>
              </w:rPr>
            </w:pPr>
            <w:r>
              <w:rPr>
                <w:rFonts w:eastAsia="Times New Roman"/>
                <w:color w:val="000000"/>
                <w:sz w:val="20"/>
                <w:szCs w:val="20"/>
              </w:rPr>
              <w:t>(31.1)</w:t>
            </w:r>
          </w:p>
        </w:tc>
        <w:tc>
          <w:tcPr>
            <w:tcW w:w="0" w:type="auto"/>
            <w:tcMar>
              <w:top w:w="30" w:type="dxa"/>
              <w:left w:w="0" w:type="dxa"/>
              <w:bottom w:w="30" w:type="dxa"/>
              <w:right w:w="20" w:type="dxa"/>
            </w:tcMar>
            <w:hideMark/>
          </w:tcPr>
          <w:p w:rsidR="00000000" w:rsidRDefault="0039054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divId w:val="1177770548"/>
              <w:rPr>
                <w:rFonts w:eastAsia="Times New Roman"/>
              </w:rPr>
            </w:pPr>
            <w:hyperlink r:id="rId12" w:history="1">
              <w:r>
                <w:rPr>
                  <w:rStyle w:val="a3"/>
                  <w:rFonts w:eastAsia="Times New Roman"/>
                  <w:sz w:val="20"/>
                  <w:szCs w:val="20"/>
                </w:rPr>
                <w:t>Rule 13a-14(a)/15d-14(a) Certification of Chief Executiv</w:t>
              </w:r>
            </w:hyperlink>
            <w:hyperlink r:id="rId13" w:history="1">
              <w:r>
                <w:rPr>
                  <w:rStyle w:val="a3"/>
                  <w:rFonts w:eastAsia="Times New Roman"/>
                  <w:sz w:val="20"/>
                  <w:szCs w:val="20"/>
                </w:rPr>
                <w:t>e Officer</w:t>
              </w:r>
            </w:hyperlink>
          </w:p>
        </w:tc>
      </w:tr>
      <w:tr w:rsidR="00000000">
        <w:trPr>
          <w:divId w:val="242884867"/>
        </w:trPr>
        <w:tc>
          <w:tcPr>
            <w:tcW w:w="0" w:type="auto"/>
            <w:gridSpan w:val="2"/>
            <w:tcMar>
              <w:top w:w="30" w:type="dxa"/>
              <w:left w:w="20" w:type="dxa"/>
              <w:bottom w:w="30" w:type="dxa"/>
              <w:right w:w="0" w:type="dxa"/>
            </w:tcMar>
            <w:hideMark/>
          </w:tcPr>
          <w:p w:rsidR="00000000" w:rsidRDefault="0039054C">
            <w:pPr>
              <w:jc w:val="right"/>
              <w:rPr>
                <w:rFonts w:eastAsia="Times New Roman"/>
              </w:rPr>
            </w:pPr>
            <w:r>
              <w:rPr>
                <w:rFonts w:eastAsia="Times New Roman"/>
                <w:color w:val="000000"/>
                <w:sz w:val="20"/>
                <w:szCs w:val="20"/>
              </w:rPr>
              <w:t>(31.2)</w:t>
            </w:r>
          </w:p>
        </w:tc>
        <w:tc>
          <w:tcPr>
            <w:tcW w:w="0" w:type="auto"/>
            <w:tcMar>
              <w:top w:w="30" w:type="dxa"/>
              <w:left w:w="0" w:type="dxa"/>
              <w:bottom w:w="30" w:type="dxa"/>
              <w:right w:w="20" w:type="dxa"/>
            </w:tcMar>
            <w:hideMark/>
          </w:tcPr>
          <w:p w:rsidR="00000000" w:rsidRDefault="0039054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divId w:val="375350632"/>
              <w:rPr>
                <w:rFonts w:eastAsia="Times New Roman"/>
              </w:rPr>
            </w:pPr>
            <w:hyperlink r:id="rId14" w:history="1">
              <w:r>
                <w:rPr>
                  <w:rStyle w:val="a3"/>
                  <w:rFonts w:eastAsia="Times New Roman"/>
                  <w:sz w:val="20"/>
                  <w:szCs w:val="20"/>
                </w:rPr>
                <w:t>Rule 13a-14(a)/15d-14(a) Certification of Chief Fi</w:t>
              </w:r>
              <w:r>
                <w:rPr>
                  <w:rStyle w:val="a3"/>
                  <w:rFonts w:eastAsia="Times New Roman"/>
                  <w:sz w:val="20"/>
                  <w:szCs w:val="20"/>
                </w:rPr>
                <w:t>nancial Officer</w:t>
              </w:r>
            </w:hyperlink>
          </w:p>
        </w:tc>
      </w:tr>
      <w:tr w:rsidR="00000000">
        <w:trPr>
          <w:divId w:val="242884867"/>
        </w:trPr>
        <w:tc>
          <w:tcPr>
            <w:tcW w:w="0" w:type="auto"/>
            <w:gridSpan w:val="2"/>
            <w:tcMar>
              <w:top w:w="30" w:type="dxa"/>
              <w:left w:w="20" w:type="dxa"/>
              <w:bottom w:w="30" w:type="dxa"/>
              <w:right w:w="0" w:type="dxa"/>
            </w:tcMar>
            <w:hideMark/>
          </w:tcPr>
          <w:p w:rsidR="00000000" w:rsidRDefault="0039054C">
            <w:pPr>
              <w:jc w:val="right"/>
              <w:rPr>
                <w:rFonts w:eastAsia="Times New Roman"/>
              </w:rPr>
            </w:pPr>
            <w:r>
              <w:rPr>
                <w:rFonts w:eastAsia="Times New Roman"/>
                <w:color w:val="000000"/>
                <w:sz w:val="20"/>
                <w:szCs w:val="20"/>
              </w:rPr>
              <w:t>(32.1)</w:t>
            </w:r>
          </w:p>
        </w:tc>
        <w:tc>
          <w:tcPr>
            <w:tcW w:w="0" w:type="auto"/>
            <w:tcMar>
              <w:top w:w="30" w:type="dxa"/>
              <w:left w:w="0" w:type="dxa"/>
              <w:bottom w:w="30" w:type="dxa"/>
              <w:right w:w="20" w:type="dxa"/>
            </w:tcMar>
            <w:hideMark/>
          </w:tcPr>
          <w:p w:rsidR="00000000" w:rsidRDefault="0039054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divId w:val="1560943354"/>
              <w:rPr>
                <w:rFonts w:eastAsia="Times New Roman"/>
              </w:rPr>
            </w:pPr>
            <w:hyperlink r:id="rId15" w:history="1">
              <w:r>
                <w:rPr>
                  <w:rStyle w:val="a3"/>
                  <w:rFonts w:eastAsia="Times New Roman"/>
                  <w:sz w:val="20"/>
                  <w:szCs w:val="20"/>
                </w:rPr>
                <w:t>Section 1350 Certification of Chief Executive Officer</w:t>
              </w:r>
            </w:hyperlink>
          </w:p>
        </w:tc>
      </w:tr>
      <w:tr w:rsidR="00000000">
        <w:trPr>
          <w:divId w:val="242884867"/>
        </w:trPr>
        <w:tc>
          <w:tcPr>
            <w:tcW w:w="0" w:type="auto"/>
            <w:gridSpan w:val="2"/>
            <w:tcMar>
              <w:top w:w="30" w:type="dxa"/>
              <w:left w:w="20" w:type="dxa"/>
              <w:bottom w:w="30" w:type="dxa"/>
              <w:right w:w="0" w:type="dxa"/>
            </w:tcMar>
            <w:hideMark/>
          </w:tcPr>
          <w:p w:rsidR="00000000" w:rsidRDefault="0039054C">
            <w:pPr>
              <w:jc w:val="right"/>
              <w:rPr>
                <w:rFonts w:eastAsia="Times New Roman"/>
              </w:rPr>
            </w:pPr>
            <w:r>
              <w:rPr>
                <w:rFonts w:eastAsia="Times New Roman"/>
                <w:color w:val="000000"/>
                <w:sz w:val="20"/>
                <w:szCs w:val="20"/>
              </w:rPr>
              <w:t>(32.2)</w:t>
            </w:r>
          </w:p>
        </w:tc>
        <w:tc>
          <w:tcPr>
            <w:tcW w:w="0" w:type="auto"/>
            <w:tcMar>
              <w:top w:w="30" w:type="dxa"/>
              <w:left w:w="0" w:type="dxa"/>
              <w:bottom w:w="30" w:type="dxa"/>
              <w:right w:w="20" w:type="dxa"/>
            </w:tcMar>
            <w:hideMark/>
          </w:tcPr>
          <w:p w:rsidR="00000000" w:rsidRDefault="0039054C">
            <w:pPr>
              <w:jc w:val="right"/>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divId w:val="2081366032"/>
              <w:rPr>
                <w:rFonts w:eastAsia="Times New Roman"/>
              </w:rPr>
            </w:pPr>
            <w:hyperlink r:id="rId16" w:history="1">
              <w:r>
                <w:rPr>
                  <w:rStyle w:val="a3"/>
                  <w:rFonts w:eastAsia="Times New Roman"/>
                  <w:sz w:val="20"/>
                  <w:szCs w:val="20"/>
                </w:rPr>
                <w:t>Section 1350 Certification of Chief Financial Officer</w:t>
              </w:r>
            </w:hyperlink>
          </w:p>
        </w:tc>
      </w:tr>
      <w:tr w:rsidR="00000000">
        <w:trPr>
          <w:divId w:val="242884867"/>
        </w:trPr>
        <w:tc>
          <w:tcPr>
            <w:tcW w:w="0" w:type="auto"/>
            <w:gridSpan w:val="3"/>
            <w:tcMar>
              <w:top w:w="30" w:type="dxa"/>
              <w:left w:w="20" w:type="dxa"/>
              <w:bottom w:w="30" w:type="dxa"/>
              <w:right w:w="20" w:type="dxa"/>
            </w:tcMar>
            <w:hideMark/>
          </w:tcPr>
          <w:p w:rsidR="00000000" w:rsidRDefault="0039054C">
            <w:pPr>
              <w:jc w:val="right"/>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divId w:val="318850053"/>
              <w:rPr>
                <w:rFonts w:eastAsia="Times New Roman"/>
              </w:rPr>
            </w:pPr>
            <w:r>
              <w:rPr>
                <w:rFonts w:eastAsia="Times New Roman"/>
                <w:color w:val="000000"/>
                <w:sz w:val="20"/>
                <w:szCs w:val="20"/>
              </w:rPr>
              <w:t>The financial information from the Company’s Quarterly Report on Form 10-Q for the fiscal quarter ended April </w:t>
            </w:r>
            <w:r>
              <w:rPr>
                <w:rFonts w:eastAsia="Times New Roman"/>
                <w:color w:val="000000"/>
                <w:sz w:val="20"/>
                <w:szCs w:val="20"/>
              </w:rPr>
              <w:t xml:space="preserve">2, 2021 formatted in Inline XBRL (Extensible Business Reporting Language) includes: (i) the Condensed Consolidated Statement of Income, (ii) the Condensed Consolidated Statement of Comprehensive Income, (iii) the Condensed Consolidated Balance Sheet, (iv) </w:t>
            </w:r>
            <w:r>
              <w:rPr>
                <w:rFonts w:eastAsia="Times New Roman"/>
                <w:color w:val="000000"/>
                <w:sz w:val="20"/>
                <w:szCs w:val="20"/>
              </w:rPr>
              <w:t>the Condensed Consolidated Statement of Cash Flows, (v) the Condensed Consolidated Statement of Equity, and (vi) the Notes to the Condensed Consolidated Financial Statements.</w:t>
            </w:r>
          </w:p>
        </w:tc>
      </w:tr>
      <w:tr w:rsidR="00000000">
        <w:trPr>
          <w:divId w:val="242884867"/>
        </w:trPr>
        <w:tc>
          <w:tcPr>
            <w:tcW w:w="0" w:type="auto"/>
            <w:gridSpan w:val="3"/>
            <w:tcMar>
              <w:top w:w="30" w:type="dxa"/>
              <w:left w:w="20" w:type="dxa"/>
              <w:bottom w:w="30" w:type="dxa"/>
              <w:right w:w="20" w:type="dxa"/>
            </w:tcMar>
            <w:hideMark/>
          </w:tcPr>
          <w:p w:rsidR="00000000" w:rsidRDefault="0039054C">
            <w:pPr>
              <w:jc w:val="right"/>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 xml:space="preserve">Cover </w:t>
            </w:r>
            <w:r>
              <w:rPr>
                <w:rFonts w:eastAsia="Times New Roman"/>
                <w:color w:val="000000"/>
                <w:sz w:val="20"/>
                <w:szCs w:val="20"/>
              </w:rPr>
              <w:t>Page Interactive Data File formatted in Inline XBRL and contained in Exhibit 101.</w:t>
            </w:r>
          </w:p>
        </w:tc>
      </w:tr>
    </w:tbl>
    <w:p w:rsidR="00000000" w:rsidRDefault="0039054C">
      <w:pPr>
        <w:divId w:val="2031225724"/>
        <w:rPr>
          <w:rFonts w:eastAsia="Times New Roman"/>
        </w:rPr>
      </w:pPr>
      <w:r>
        <w:rPr>
          <w:rFonts w:eastAsia="Times New Roman"/>
          <w:color w:val="000000"/>
          <w:sz w:val="16"/>
          <w:szCs w:val="16"/>
        </w:rPr>
        <w:t>_______________</w:t>
      </w:r>
    </w:p>
    <w:p w:rsidR="00000000" w:rsidRDefault="0039054C">
      <w:pPr>
        <w:ind w:hanging="270"/>
        <w:divId w:val="653488707"/>
        <w:rPr>
          <w:rFonts w:eastAsia="Times New Roman"/>
        </w:rPr>
      </w:pPr>
      <w:r>
        <w:rPr>
          <w:rFonts w:eastAsia="Times New Roman"/>
          <w:color w:val="000000"/>
          <w:sz w:val="16"/>
          <w:szCs w:val="16"/>
        </w:rPr>
        <w:t>*    Management contract or compensatory plan or arrangement</w:t>
      </w:r>
    </w:p>
    <w:p w:rsidR="00000000" w:rsidRDefault="0039054C">
      <w:pPr>
        <w:jc w:val="both"/>
        <w:rPr>
          <w:rFonts w:eastAsia="Times New Roman"/>
        </w:rPr>
      </w:pPr>
    </w:p>
    <w:p w:rsidR="00000000" w:rsidRDefault="0039054C">
      <w:pPr>
        <w:ind w:firstLine="450"/>
        <w:jc w:val="center"/>
        <w:divId w:val="353070739"/>
        <w:rPr>
          <w:rFonts w:eastAsia="Times New Roman"/>
        </w:rPr>
      </w:pPr>
      <w:r>
        <w:rPr>
          <w:rFonts w:eastAsia="Times New Roman"/>
          <w:color w:val="000000"/>
          <w:sz w:val="20"/>
          <w:szCs w:val="20"/>
        </w:rPr>
        <w:t>41</w:t>
      </w:r>
    </w:p>
    <w:p w:rsidR="00000000" w:rsidRDefault="0039054C">
      <w:pPr>
        <w:rPr>
          <w:rFonts w:eastAsia="Times New Roman"/>
        </w:rPr>
      </w:pPr>
      <w:r>
        <w:rPr>
          <w:rFonts w:eastAsia="Times New Roman"/>
        </w:rPr>
        <w:pict>
          <v:rect id="_x0000_i1068" style="width:0;height:1.5pt" o:hralign="center" o:hrstd="t" o:hr="t" fillcolor="#a0a0a0" stroked="f"/>
        </w:pict>
      </w:r>
    </w:p>
    <w:p w:rsidR="00000000" w:rsidRDefault="0039054C">
      <w:pPr>
        <w:ind w:firstLine="450"/>
        <w:divId w:val="937904691"/>
        <w:rPr>
          <w:rFonts w:eastAsia="Times New Roman"/>
        </w:rPr>
      </w:pPr>
    </w:p>
    <w:p w:rsidR="00000000" w:rsidRDefault="0039054C">
      <w:pPr>
        <w:ind w:firstLine="450"/>
        <w:divId w:val="771701402"/>
        <w:rPr>
          <w:rFonts w:eastAsia="Times New Roman"/>
        </w:rPr>
      </w:pPr>
    </w:p>
    <w:p w:rsidR="00000000" w:rsidRDefault="0039054C">
      <w:pPr>
        <w:ind w:firstLine="450"/>
        <w:jc w:val="center"/>
        <w:divId w:val="346714753"/>
        <w:rPr>
          <w:rFonts w:eastAsia="Times New Roman"/>
        </w:rPr>
      </w:pPr>
      <w:r>
        <w:rPr>
          <w:rFonts w:eastAsia="Times New Roman"/>
          <w:b/>
          <w:bCs/>
          <w:color w:val="000000"/>
          <w:sz w:val="20"/>
          <w:szCs w:val="20"/>
        </w:rPr>
        <w:t>SIGNATURE</w:t>
      </w:r>
    </w:p>
    <w:p w:rsidR="00000000" w:rsidRDefault="0039054C">
      <w:pPr>
        <w:ind w:firstLine="450"/>
        <w:divId w:val="1759254550"/>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39054C">
      <w:pPr>
        <w:ind w:firstLine="450"/>
        <w:divId w:val="572466423"/>
        <w:rPr>
          <w:rFonts w:eastAsia="Times New Roman"/>
        </w:rPr>
      </w:pPr>
      <w:r>
        <w:rPr>
          <w:rFonts w:eastAsia="Times New Roman"/>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2257"/>
        <w:gridCol w:w="36"/>
        <w:gridCol w:w="36"/>
        <w:gridCol w:w="155"/>
        <w:gridCol w:w="36"/>
        <w:gridCol w:w="62"/>
        <w:gridCol w:w="275"/>
        <w:gridCol w:w="36"/>
        <w:gridCol w:w="62"/>
        <w:gridCol w:w="798"/>
        <w:gridCol w:w="36"/>
        <w:gridCol w:w="67"/>
        <w:gridCol w:w="283"/>
        <w:gridCol w:w="38"/>
        <w:gridCol w:w="36"/>
        <w:gridCol w:w="155"/>
        <w:gridCol w:w="36"/>
        <w:gridCol w:w="63"/>
        <w:gridCol w:w="3741"/>
        <w:gridCol w:w="36"/>
      </w:tblGrid>
      <w:tr w:rsidR="00000000">
        <w:trPr>
          <w:divId w:val="1474713290"/>
        </w:trPr>
        <w:tc>
          <w:tcPr>
            <w:tcW w:w="50" w:type="pct"/>
            <w:vAlign w:val="center"/>
            <w:hideMark/>
          </w:tcPr>
          <w:p w:rsidR="00000000" w:rsidRDefault="0039054C">
            <w:pPr>
              <w:ind w:firstLine="450"/>
              <w:rPr>
                <w:rFonts w:eastAsia="Times New Roman"/>
              </w:rPr>
            </w:pPr>
          </w:p>
        </w:tc>
        <w:tc>
          <w:tcPr>
            <w:tcW w:w="1370"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10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78"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493"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18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106"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c>
          <w:tcPr>
            <w:tcW w:w="50" w:type="pct"/>
            <w:vAlign w:val="center"/>
            <w:hideMark/>
          </w:tcPr>
          <w:p w:rsidR="00000000" w:rsidRDefault="0039054C">
            <w:pPr>
              <w:rPr>
                <w:rFonts w:eastAsia="Times New Roman"/>
                <w:sz w:val="20"/>
                <w:szCs w:val="20"/>
              </w:rPr>
            </w:pPr>
          </w:p>
        </w:tc>
        <w:tc>
          <w:tcPr>
            <w:tcW w:w="2262" w:type="pct"/>
            <w:vAlign w:val="center"/>
            <w:hideMark/>
          </w:tcPr>
          <w:p w:rsidR="00000000" w:rsidRDefault="0039054C">
            <w:pPr>
              <w:rPr>
                <w:rFonts w:eastAsia="Times New Roman"/>
                <w:sz w:val="20"/>
                <w:szCs w:val="20"/>
              </w:rPr>
            </w:pPr>
          </w:p>
        </w:tc>
        <w:tc>
          <w:tcPr>
            <w:tcW w:w="5" w:type="pct"/>
            <w:vAlign w:val="center"/>
            <w:hideMark/>
          </w:tcPr>
          <w:p w:rsidR="00000000" w:rsidRDefault="0039054C">
            <w:pPr>
              <w:rPr>
                <w:rFonts w:eastAsia="Times New Roman"/>
                <w:sz w:val="20"/>
                <w:szCs w:val="20"/>
              </w:rPr>
            </w:pPr>
          </w:p>
        </w:tc>
      </w:tr>
      <w:tr w:rsidR="00000000">
        <w:trPr>
          <w:divId w:val="1474713290"/>
          <w:trHeight w:val="30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74713290"/>
        </w:trPr>
        <w:tc>
          <w:tcPr>
            <w:tcW w:w="0" w:type="auto"/>
            <w:gridSpan w:val="3"/>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L3HARRIS TECHNOLOGIES, INC.</w:t>
            </w:r>
          </w:p>
        </w:tc>
      </w:tr>
      <w:tr w:rsidR="00000000">
        <w:trPr>
          <w:divId w:val="1474713290"/>
        </w:trPr>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(Registrant)</w:t>
            </w:r>
          </w:p>
        </w:tc>
      </w:tr>
      <w:tr w:rsidR="00000000">
        <w:trPr>
          <w:divId w:val="1474713290"/>
          <w:trHeight w:val="300"/>
        </w:trPr>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6"/>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39054C">
            <w:pPr>
              <w:rPr>
                <w:rFonts w:eastAsia="Times New Roman"/>
                <w:sz w:val="20"/>
                <w:szCs w:val="20"/>
              </w:rPr>
            </w:pPr>
          </w:p>
        </w:tc>
        <w:tc>
          <w:tcPr>
            <w:tcW w:w="0" w:type="auto"/>
            <w:gridSpan w:val="6"/>
            <w:tcMar>
              <w:top w:w="0" w:type="dxa"/>
              <w:left w:w="20" w:type="dxa"/>
              <w:bottom w:w="0" w:type="dxa"/>
              <w:right w:w="20" w:type="dxa"/>
            </w:tcMar>
            <w:vAlign w:val="center"/>
            <w:hideMark/>
          </w:tcPr>
          <w:p w:rsidR="00000000" w:rsidRDefault="0039054C">
            <w:pPr>
              <w:rPr>
                <w:rFonts w:eastAsia="Times New Roman"/>
                <w:sz w:val="20"/>
                <w:szCs w:val="20"/>
              </w:rPr>
            </w:pPr>
          </w:p>
        </w:tc>
      </w:tr>
      <w:tr w:rsidR="00000000">
        <w:trPr>
          <w:divId w:val="1474713290"/>
        </w:trPr>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Date: May 3, 2021</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/s/ Jesus Malave Jr.</w:t>
            </w:r>
          </w:p>
        </w:tc>
      </w:tr>
      <w:tr w:rsidR="00000000">
        <w:trPr>
          <w:divId w:val="1474713290"/>
        </w:trPr>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Jesus Malave Jr.</w:t>
            </w:r>
          </w:p>
        </w:tc>
      </w:tr>
      <w:tr w:rsidR="00000000">
        <w:trPr>
          <w:divId w:val="1474713290"/>
        </w:trPr>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hideMark/>
          </w:tcPr>
          <w:p w:rsidR="00000000" w:rsidRDefault="0039054C">
            <w:pPr>
              <w:rPr>
                <w:rFonts w:eastAsia="Times New Roman"/>
              </w:rPr>
            </w:pPr>
            <w:r>
              <w:rPr>
                <w:rFonts w:eastAsia="Times New Roman"/>
                <w:color w:val="000000"/>
                <w:sz w:val="20"/>
                <w:szCs w:val="20"/>
              </w:rPr>
              <w:t>Senior Vice President and Chief Financial Officer</w:t>
            </w:r>
          </w:p>
        </w:tc>
      </w:tr>
      <w:tr w:rsidR="00000000">
        <w:trPr>
          <w:divId w:val="1474713290"/>
        </w:trPr>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39054C">
            <w:pPr>
              <w:rPr>
                <w:rFonts w:eastAsia="Times New Roman"/>
              </w:rPr>
            </w:pP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39054C">
            <w:pPr>
              <w:rPr>
                <w:rFonts w:eastAsia="Times New Roman"/>
              </w:rPr>
            </w:pPr>
            <w:r>
              <w:rPr>
                <w:rFonts w:eastAsia="Times New Roman"/>
                <w:color w:val="000000"/>
                <w:sz w:val="20"/>
                <w:szCs w:val="20"/>
              </w:rPr>
              <w:t>(principal financial officer and duly authorized officer)</w:t>
            </w:r>
          </w:p>
        </w:tc>
      </w:tr>
    </w:tbl>
    <w:p w:rsidR="0039054C" w:rsidRDefault="0039054C">
      <w:pPr>
        <w:ind w:firstLine="450"/>
        <w:jc w:val="center"/>
        <w:divId w:val="680543567"/>
        <w:rPr>
          <w:rFonts w:eastAsia="Times New Roman"/>
        </w:rPr>
      </w:pPr>
      <w:r>
        <w:rPr>
          <w:rFonts w:eastAsia="Times New Roman"/>
          <w:color w:val="000000"/>
          <w:sz w:val="20"/>
          <w:szCs w:val="20"/>
        </w:rPr>
        <w:t>42</w:t>
      </w:r>
    </w:p>
    <w:sectPr w:rsidR="0039054C">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9054C"/>
    <w:rsid w:val="0039054C"/>
  </w:rsids>
  <m:mathPr>
    <m:mathFont m:val="Cambria Math"/>
    <m:brkBin m:val="before"/>
    <m:brkBinSub m:val="--"/>
    <m:smallFrac m:val="0"/>
    <m:dispDef/>
    <m:lMargin m:val="0"/>
    <m:rMargin m:val="0"/>
    <m:defJc m:val="centerGroup"/>
    <m:wrapIndent m:val="1440"/>
    <m:intLim m:val="subSup"/>
    <m:naryLim m:val="undOvr"/>
  </m:mathPr>
  <w:attachedSchema w:val="http://www.xbrl.org/inlineXBRL/transformation/2015-02-26"/>
  <w:attachedSchema w:val="http://www.w3.org/1999/xlink"/>
  <w:attachedSchema w:val="http://www.sec.gov/inlineXBRL/transformation/2015-08-31"/>
  <w:attachedSchema w:val="http://fasb.org/us-gaap/2020-01-31"/>
  <w:attachedSchema w:val="http://www.xbrl.org/2013/inlineXBRL"/>
  <w:attachedSchema w:val="http://xbrl.sec.gov/dei/2020-01-31"/>
  <w:attachedSchema w:val="http://www.xbrl.org/2003/iso4217"/>
  <w:attachedSchema w:val="http://xbrl.sec.gov/country/2020-01-31"/>
  <w:attachedSchema w:val="http://www.xbrl.org/2003/instance"/>
  <w:attachedSchema w:val="http://xbrl.org/2006/xbrldi"/>
  <w:attachedSchema w:val="http://harris.com/20210402"/>
  <w:attachedSchema w:val="http://www.xbrl.org/2003/linkbase"/>
  <w:attachedSchema w:val="http://fasb.org/srt/2020-01-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28">
      <w:marLeft w:val="0"/>
      <w:marRight w:val="0"/>
      <w:marTop w:val="100"/>
      <w:marBottom w:val="0"/>
      <w:divBdr>
        <w:top w:val="none" w:sz="0" w:space="0" w:color="auto"/>
        <w:left w:val="none" w:sz="0" w:space="0" w:color="auto"/>
        <w:bottom w:val="none" w:sz="0" w:space="0" w:color="auto"/>
        <w:right w:val="none" w:sz="0" w:space="0" w:color="auto"/>
      </w:divBdr>
    </w:div>
    <w:div w:id="6058636">
      <w:marLeft w:val="0"/>
      <w:marRight w:val="0"/>
      <w:marTop w:val="0"/>
      <w:marBottom w:val="0"/>
      <w:divBdr>
        <w:top w:val="none" w:sz="0" w:space="0" w:color="auto"/>
        <w:left w:val="none" w:sz="0" w:space="0" w:color="auto"/>
        <w:bottom w:val="none" w:sz="0" w:space="0" w:color="auto"/>
        <w:right w:val="none" w:sz="0" w:space="0" w:color="auto"/>
      </w:divBdr>
    </w:div>
    <w:div w:id="6715008">
      <w:marLeft w:val="0"/>
      <w:marRight w:val="0"/>
      <w:marTop w:val="180"/>
      <w:marBottom w:val="0"/>
      <w:divBdr>
        <w:top w:val="none" w:sz="0" w:space="0" w:color="auto"/>
        <w:left w:val="none" w:sz="0" w:space="0" w:color="auto"/>
        <w:bottom w:val="none" w:sz="0" w:space="0" w:color="auto"/>
        <w:right w:val="none" w:sz="0" w:space="0" w:color="auto"/>
      </w:divBdr>
    </w:div>
    <w:div w:id="7102733">
      <w:marLeft w:val="0"/>
      <w:marRight w:val="0"/>
      <w:marTop w:val="0"/>
      <w:marBottom w:val="0"/>
      <w:divBdr>
        <w:top w:val="none" w:sz="0" w:space="0" w:color="auto"/>
        <w:left w:val="none" w:sz="0" w:space="0" w:color="auto"/>
        <w:bottom w:val="none" w:sz="0" w:space="0" w:color="auto"/>
        <w:right w:val="none" w:sz="0" w:space="0" w:color="auto"/>
      </w:divBdr>
    </w:div>
    <w:div w:id="14769210">
      <w:marLeft w:val="0"/>
      <w:marRight w:val="0"/>
      <w:marTop w:val="100"/>
      <w:marBottom w:val="100"/>
      <w:divBdr>
        <w:top w:val="none" w:sz="0" w:space="0" w:color="auto"/>
        <w:left w:val="none" w:sz="0" w:space="0" w:color="auto"/>
        <w:bottom w:val="none" w:sz="0" w:space="0" w:color="auto"/>
        <w:right w:val="none" w:sz="0" w:space="0" w:color="auto"/>
      </w:divBdr>
      <w:divsChild>
        <w:div w:id="1250503704">
          <w:marLeft w:val="0"/>
          <w:marRight w:val="0"/>
          <w:marTop w:val="180"/>
          <w:marBottom w:val="0"/>
          <w:divBdr>
            <w:top w:val="none" w:sz="0" w:space="0" w:color="auto"/>
            <w:left w:val="none" w:sz="0" w:space="0" w:color="auto"/>
            <w:bottom w:val="none" w:sz="0" w:space="0" w:color="auto"/>
            <w:right w:val="none" w:sz="0" w:space="0" w:color="auto"/>
          </w:divBdr>
        </w:div>
      </w:divsChild>
    </w:div>
    <w:div w:id="15890369">
      <w:marLeft w:val="0"/>
      <w:marRight w:val="0"/>
      <w:marTop w:val="180"/>
      <w:marBottom w:val="0"/>
      <w:divBdr>
        <w:top w:val="none" w:sz="0" w:space="0" w:color="auto"/>
        <w:left w:val="none" w:sz="0" w:space="0" w:color="auto"/>
        <w:bottom w:val="none" w:sz="0" w:space="0" w:color="auto"/>
        <w:right w:val="none" w:sz="0" w:space="0" w:color="auto"/>
      </w:divBdr>
    </w:div>
    <w:div w:id="22902952">
      <w:marLeft w:val="0"/>
      <w:marRight w:val="0"/>
      <w:marTop w:val="0"/>
      <w:marBottom w:val="0"/>
      <w:divBdr>
        <w:top w:val="none" w:sz="0" w:space="0" w:color="auto"/>
        <w:left w:val="none" w:sz="0" w:space="0" w:color="auto"/>
        <w:bottom w:val="none" w:sz="0" w:space="0" w:color="auto"/>
        <w:right w:val="none" w:sz="0" w:space="0" w:color="auto"/>
      </w:divBdr>
      <w:divsChild>
        <w:div w:id="1439596363">
          <w:marLeft w:val="0"/>
          <w:marRight w:val="0"/>
          <w:marTop w:val="0"/>
          <w:marBottom w:val="0"/>
          <w:divBdr>
            <w:top w:val="none" w:sz="0" w:space="0" w:color="auto"/>
            <w:left w:val="none" w:sz="0" w:space="0" w:color="auto"/>
            <w:bottom w:val="none" w:sz="0" w:space="0" w:color="auto"/>
            <w:right w:val="none" w:sz="0" w:space="0" w:color="auto"/>
          </w:divBdr>
          <w:divsChild>
            <w:div w:id="19180494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212941">
      <w:marLeft w:val="0"/>
      <w:marRight w:val="0"/>
      <w:marTop w:val="0"/>
      <w:marBottom w:val="0"/>
      <w:divBdr>
        <w:top w:val="none" w:sz="0" w:space="0" w:color="auto"/>
        <w:left w:val="none" w:sz="0" w:space="0" w:color="auto"/>
        <w:bottom w:val="none" w:sz="0" w:space="0" w:color="auto"/>
        <w:right w:val="none" w:sz="0" w:space="0" w:color="auto"/>
      </w:divBdr>
      <w:divsChild>
        <w:div w:id="2144692535">
          <w:marLeft w:val="0"/>
          <w:marRight w:val="0"/>
          <w:marTop w:val="0"/>
          <w:marBottom w:val="0"/>
          <w:divBdr>
            <w:top w:val="none" w:sz="0" w:space="0" w:color="auto"/>
            <w:left w:val="none" w:sz="0" w:space="0" w:color="auto"/>
            <w:bottom w:val="none" w:sz="0" w:space="0" w:color="auto"/>
            <w:right w:val="none" w:sz="0" w:space="0" w:color="auto"/>
          </w:divBdr>
          <w:divsChild>
            <w:div w:id="20817075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4260223">
      <w:marLeft w:val="0"/>
      <w:marRight w:val="0"/>
      <w:marTop w:val="100"/>
      <w:marBottom w:val="100"/>
      <w:divBdr>
        <w:top w:val="none" w:sz="0" w:space="0" w:color="auto"/>
        <w:left w:val="none" w:sz="0" w:space="0" w:color="auto"/>
        <w:bottom w:val="none" w:sz="0" w:space="0" w:color="auto"/>
        <w:right w:val="none" w:sz="0" w:space="0" w:color="auto"/>
      </w:divBdr>
    </w:div>
    <w:div w:id="27030263">
      <w:marLeft w:val="0"/>
      <w:marRight w:val="0"/>
      <w:marTop w:val="100"/>
      <w:marBottom w:val="100"/>
      <w:divBdr>
        <w:top w:val="none" w:sz="0" w:space="0" w:color="auto"/>
        <w:left w:val="none" w:sz="0" w:space="0" w:color="auto"/>
        <w:bottom w:val="none" w:sz="0" w:space="0" w:color="auto"/>
        <w:right w:val="none" w:sz="0" w:space="0" w:color="auto"/>
      </w:divBdr>
    </w:div>
    <w:div w:id="35860418">
      <w:marLeft w:val="0"/>
      <w:marRight w:val="0"/>
      <w:marTop w:val="0"/>
      <w:marBottom w:val="0"/>
      <w:divBdr>
        <w:top w:val="none" w:sz="0" w:space="0" w:color="auto"/>
        <w:left w:val="none" w:sz="0" w:space="0" w:color="auto"/>
        <w:bottom w:val="none" w:sz="0" w:space="0" w:color="auto"/>
        <w:right w:val="none" w:sz="0" w:space="0" w:color="auto"/>
      </w:divBdr>
    </w:div>
    <w:div w:id="36248539">
      <w:marLeft w:val="0"/>
      <w:marRight w:val="0"/>
      <w:marTop w:val="100"/>
      <w:marBottom w:val="100"/>
      <w:divBdr>
        <w:top w:val="none" w:sz="0" w:space="0" w:color="auto"/>
        <w:left w:val="none" w:sz="0" w:space="0" w:color="auto"/>
        <w:bottom w:val="none" w:sz="0" w:space="0" w:color="auto"/>
        <w:right w:val="none" w:sz="0" w:space="0" w:color="auto"/>
      </w:divBdr>
    </w:div>
    <w:div w:id="40402715">
      <w:marLeft w:val="0"/>
      <w:marRight w:val="0"/>
      <w:marTop w:val="0"/>
      <w:marBottom w:val="0"/>
      <w:divBdr>
        <w:top w:val="none" w:sz="0" w:space="0" w:color="auto"/>
        <w:left w:val="none" w:sz="0" w:space="0" w:color="auto"/>
        <w:bottom w:val="none" w:sz="0" w:space="0" w:color="auto"/>
        <w:right w:val="none" w:sz="0" w:space="0" w:color="auto"/>
      </w:divBdr>
      <w:divsChild>
        <w:div w:id="583027057">
          <w:marLeft w:val="0"/>
          <w:marRight w:val="0"/>
          <w:marTop w:val="0"/>
          <w:marBottom w:val="0"/>
          <w:divBdr>
            <w:top w:val="none" w:sz="0" w:space="0" w:color="auto"/>
            <w:left w:val="none" w:sz="0" w:space="0" w:color="auto"/>
            <w:bottom w:val="none" w:sz="0" w:space="0" w:color="auto"/>
            <w:right w:val="none" w:sz="0" w:space="0" w:color="auto"/>
          </w:divBdr>
          <w:divsChild>
            <w:div w:id="20550365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2171725">
      <w:marLeft w:val="0"/>
      <w:marRight w:val="0"/>
      <w:marTop w:val="100"/>
      <w:marBottom w:val="100"/>
      <w:divBdr>
        <w:top w:val="none" w:sz="0" w:space="0" w:color="auto"/>
        <w:left w:val="none" w:sz="0" w:space="0" w:color="auto"/>
        <w:bottom w:val="none" w:sz="0" w:space="0" w:color="auto"/>
        <w:right w:val="none" w:sz="0" w:space="0" w:color="auto"/>
      </w:divBdr>
    </w:div>
    <w:div w:id="43215162">
      <w:marLeft w:val="0"/>
      <w:marRight w:val="0"/>
      <w:marTop w:val="180"/>
      <w:marBottom w:val="0"/>
      <w:divBdr>
        <w:top w:val="none" w:sz="0" w:space="0" w:color="auto"/>
        <w:left w:val="none" w:sz="0" w:space="0" w:color="auto"/>
        <w:bottom w:val="none" w:sz="0" w:space="0" w:color="auto"/>
        <w:right w:val="none" w:sz="0" w:space="0" w:color="auto"/>
      </w:divBdr>
    </w:div>
    <w:div w:id="49891450">
      <w:marLeft w:val="0"/>
      <w:marRight w:val="0"/>
      <w:marTop w:val="0"/>
      <w:marBottom w:val="0"/>
      <w:divBdr>
        <w:top w:val="none" w:sz="0" w:space="0" w:color="auto"/>
        <w:left w:val="none" w:sz="0" w:space="0" w:color="auto"/>
        <w:bottom w:val="none" w:sz="0" w:space="0" w:color="auto"/>
        <w:right w:val="none" w:sz="0" w:space="0" w:color="auto"/>
      </w:divBdr>
      <w:divsChild>
        <w:div w:id="32973052">
          <w:marLeft w:val="0"/>
          <w:marRight w:val="0"/>
          <w:marTop w:val="0"/>
          <w:marBottom w:val="0"/>
          <w:divBdr>
            <w:top w:val="none" w:sz="0" w:space="0" w:color="auto"/>
            <w:left w:val="none" w:sz="0" w:space="0" w:color="auto"/>
            <w:bottom w:val="none" w:sz="0" w:space="0" w:color="auto"/>
            <w:right w:val="none" w:sz="0" w:space="0" w:color="auto"/>
          </w:divBdr>
          <w:divsChild>
            <w:div w:id="6805435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9962948">
      <w:marLeft w:val="0"/>
      <w:marRight w:val="0"/>
      <w:marTop w:val="100"/>
      <w:marBottom w:val="100"/>
      <w:divBdr>
        <w:top w:val="none" w:sz="0" w:space="0" w:color="auto"/>
        <w:left w:val="none" w:sz="0" w:space="0" w:color="auto"/>
        <w:bottom w:val="none" w:sz="0" w:space="0" w:color="auto"/>
        <w:right w:val="none" w:sz="0" w:space="0" w:color="auto"/>
      </w:divBdr>
    </w:div>
    <w:div w:id="53167077">
      <w:marLeft w:val="0"/>
      <w:marRight w:val="0"/>
      <w:marTop w:val="100"/>
      <w:marBottom w:val="100"/>
      <w:divBdr>
        <w:top w:val="none" w:sz="0" w:space="0" w:color="auto"/>
        <w:left w:val="none" w:sz="0" w:space="0" w:color="auto"/>
        <w:bottom w:val="none" w:sz="0" w:space="0" w:color="auto"/>
        <w:right w:val="none" w:sz="0" w:space="0" w:color="auto"/>
      </w:divBdr>
      <w:divsChild>
        <w:div w:id="1099259617">
          <w:marLeft w:val="0"/>
          <w:marRight w:val="0"/>
          <w:marTop w:val="0"/>
          <w:marBottom w:val="0"/>
          <w:divBdr>
            <w:top w:val="none" w:sz="0" w:space="0" w:color="auto"/>
            <w:left w:val="none" w:sz="0" w:space="0" w:color="auto"/>
            <w:bottom w:val="none" w:sz="0" w:space="0" w:color="auto"/>
            <w:right w:val="none" w:sz="0" w:space="0" w:color="auto"/>
          </w:divBdr>
        </w:div>
      </w:divsChild>
    </w:div>
    <w:div w:id="53508978">
      <w:marLeft w:val="0"/>
      <w:marRight w:val="0"/>
      <w:marTop w:val="0"/>
      <w:marBottom w:val="0"/>
      <w:divBdr>
        <w:top w:val="none" w:sz="0" w:space="0" w:color="auto"/>
        <w:left w:val="none" w:sz="0" w:space="0" w:color="auto"/>
        <w:bottom w:val="none" w:sz="0" w:space="0" w:color="auto"/>
        <w:right w:val="none" w:sz="0" w:space="0" w:color="auto"/>
      </w:divBdr>
      <w:divsChild>
        <w:div w:id="247152484">
          <w:marLeft w:val="0"/>
          <w:marRight w:val="0"/>
          <w:marTop w:val="0"/>
          <w:marBottom w:val="0"/>
          <w:divBdr>
            <w:top w:val="none" w:sz="0" w:space="0" w:color="auto"/>
            <w:left w:val="none" w:sz="0" w:space="0" w:color="auto"/>
            <w:bottom w:val="none" w:sz="0" w:space="0" w:color="auto"/>
            <w:right w:val="none" w:sz="0" w:space="0" w:color="auto"/>
          </w:divBdr>
          <w:divsChild>
            <w:div w:id="11756102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3889837">
      <w:marLeft w:val="0"/>
      <w:marRight w:val="0"/>
      <w:marTop w:val="100"/>
      <w:marBottom w:val="100"/>
      <w:divBdr>
        <w:top w:val="none" w:sz="0" w:space="0" w:color="auto"/>
        <w:left w:val="none" w:sz="0" w:space="0" w:color="auto"/>
        <w:bottom w:val="none" w:sz="0" w:space="0" w:color="auto"/>
        <w:right w:val="none" w:sz="0" w:space="0" w:color="auto"/>
      </w:divBdr>
    </w:div>
    <w:div w:id="57753330">
      <w:marLeft w:val="0"/>
      <w:marRight w:val="0"/>
      <w:marTop w:val="180"/>
      <w:marBottom w:val="100"/>
      <w:divBdr>
        <w:top w:val="none" w:sz="0" w:space="0" w:color="auto"/>
        <w:left w:val="none" w:sz="0" w:space="0" w:color="auto"/>
        <w:bottom w:val="none" w:sz="0" w:space="0" w:color="auto"/>
        <w:right w:val="none" w:sz="0" w:space="0" w:color="auto"/>
      </w:divBdr>
    </w:div>
    <w:div w:id="65034657">
      <w:marLeft w:val="0"/>
      <w:marRight w:val="0"/>
      <w:marTop w:val="0"/>
      <w:marBottom w:val="0"/>
      <w:divBdr>
        <w:top w:val="none" w:sz="0" w:space="0" w:color="auto"/>
        <w:left w:val="none" w:sz="0" w:space="0" w:color="auto"/>
        <w:bottom w:val="none" w:sz="0" w:space="0" w:color="auto"/>
        <w:right w:val="none" w:sz="0" w:space="0" w:color="auto"/>
      </w:divBdr>
      <w:divsChild>
        <w:div w:id="473110575">
          <w:marLeft w:val="0"/>
          <w:marRight w:val="0"/>
          <w:marTop w:val="100"/>
          <w:marBottom w:val="100"/>
          <w:divBdr>
            <w:top w:val="none" w:sz="0" w:space="0" w:color="auto"/>
            <w:left w:val="none" w:sz="0" w:space="0" w:color="auto"/>
            <w:bottom w:val="none" w:sz="0" w:space="0" w:color="auto"/>
            <w:right w:val="none" w:sz="0" w:space="0" w:color="auto"/>
          </w:divBdr>
        </w:div>
        <w:div w:id="1432555171">
          <w:marLeft w:val="0"/>
          <w:marRight w:val="0"/>
          <w:marTop w:val="100"/>
          <w:marBottom w:val="100"/>
          <w:divBdr>
            <w:top w:val="none" w:sz="0" w:space="0" w:color="auto"/>
            <w:left w:val="none" w:sz="0" w:space="0" w:color="auto"/>
            <w:bottom w:val="none" w:sz="0" w:space="0" w:color="auto"/>
            <w:right w:val="none" w:sz="0" w:space="0" w:color="auto"/>
          </w:divBdr>
        </w:div>
      </w:divsChild>
    </w:div>
    <w:div w:id="65806019">
      <w:marLeft w:val="0"/>
      <w:marRight w:val="0"/>
      <w:marTop w:val="100"/>
      <w:marBottom w:val="100"/>
      <w:divBdr>
        <w:top w:val="none" w:sz="0" w:space="0" w:color="auto"/>
        <w:left w:val="none" w:sz="0" w:space="0" w:color="auto"/>
        <w:bottom w:val="none" w:sz="0" w:space="0" w:color="auto"/>
        <w:right w:val="none" w:sz="0" w:space="0" w:color="auto"/>
      </w:divBdr>
    </w:div>
    <w:div w:id="69888128">
      <w:marLeft w:val="0"/>
      <w:marRight w:val="0"/>
      <w:marTop w:val="0"/>
      <w:marBottom w:val="0"/>
      <w:divBdr>
        <w:top w:val="none" w:sz="0" w:space="0" w:color="auto"/>
        <w:left w:val="none" w:sz="0" w:space="0" w:color="auto"/>
        <w:bottom w:val="none" w:sz="0" w:space="0" w:color="auto"/>
        <w:right w:val="none" w:sz="0" w:space="0" w:color="auto"/>
      </w:divBdr>
    </w:div>
    <w:div w:id="71586383">
      <w:marLeft w:val="0"/>
      <w:marRight w:val="0"/>
      <w:marTop w:val="100"/>
      <w:marBottom w:val="100"/>
      <w:divBdr>
        <w:top w:val="none" w:sz="0" w:space="0" w:color="auto"/>
        <w:left w:val="none" w:sz="0" w:space="0" w:color="auto"/>
        <w:bottom w:val="none" w:sz="0" w:space="0" w:color="auto"/>
        <w:right w:val="none" w:sz="0" w:space="0" w:color="auto"/>
      </w:divBdr>
    </w:div>
    <w:div w:id="74671210">
      <w:marLeft w:val="0"/>
      <w:marRight w:val="0"/>
      <w:marTop w:val="0"/>
      <w:marBottom w:val="0"/>
      <w:divBdr>
        <w:top w:val="none" w:sz="0" w:space="0" w:color="auto"/>
        <w:left w:val="none" w:sz="0" w:space="0" w:color="auto"/>
        <w:bottom w:val="none" w:sz="0" w:space="0" w:color="auto"/>
        <w:right w:val="none" w:sz="0" w:space="0" w:color="auto"/>
      </w:divBdr>
    </w:div>
    <w:div w:id="80613854">
      <w:marLeft w:val="0"/>
      <w:marRight w:val="0"/>
      <w:marTop w:val="0"/>
      <w:marBottom w:val="0"/>
      <w:divBdr>
        <w:top w:val="none" w:sz="0" w:space="0" w:color="auto"/>
        <w:left w:val="none" w:sz="0" w:space="0" w:color="auto"/>
        <w:bottom w:val="none" w:sz="0" w:space="0" w:color="auto"/>
        <w:right w:val="none" w:sz="0" w:space="0" w:color="auto"/>
      </w:divBdr>
    </w:div>
    <w:div w:id="108666524">
      <w:marLeft w:val="0"/>
      <w:marRight w:val="0"/>
      <w:marTop w:val="90"/>
      <w:marBottom w:val="100"/>
      <w:divBdr>
        <w:top w:val="none" w:sz="0" w:space="0" w:color="auto"/>
        <w:left w:val="none" w:sz="0" w:space="0" w:color="auto"/>
        <w:bottom w:val="none" w:sz="0" w:space="0" w:color="auto"/>
        <w:right w:val="none" w:sz="0" w:space="0" w:color="auto"/>
      </w:divBdr>
    </w:div>
    <w:div w:id="108939385">
      <w:marLeft w:val="0"/>
      <w:marRight w:val="0"/>
      <w:marTop w:val="100"/>
      <w:marBottom w:val="0"/>
      <w:divBdr>
        <w:top w:val="none" w:sz="0" w:space="0" w:color="auto"/>
        <w:left w:val="none" w:sz="0" w:space="0" w:color="auto"/>
        <w:bottom w:val="none" w:sz="0" w:space="0" w:color="auto"/>
        <w:right w:val="none" w:sz="0" w:space="0" w:color="auto"/>
      </w:divBdr>
    </w:div>
    <w:div w:id="109210451">
      <w:marLeft w:val="0"/>
      <w:marRight w:val="0"/>
      <w:marTop w:val="180"/>
      <w:marBottom w:val="0"/>
      <w:divBdr>
        <w:top w:val="none" w:sz="0" w:space="0" w:color="auto"/>
        <w:left w:val="none" w:sz="0" w:space="0" w:color="auto"/>
        <w:bottom w:val="none" w:sz="0" w:space="0" w:color="auto"/>
        <w:right w:val="none" w:sz="0" w:space="0" w:color="auto"/>
      </w:divBdr>
    </w:div>
    <w:div w:id="112137674">
      <w:marLeft w:val="0"/>
      <w:marRight w:val="0"/>
      <w:marTop w:val="0"/>
      <w:marBottom w:val="0"/>
      <w:divBdr>
        <w:top w:val="none" w:sz="0" w:space="0" w:color="auto"/>
        <w:left w:val="none" w:sz="0" w:space="0" w:color="auto"/>
        <w:bottom w:val="none" w:sz="0" w:space="0" w:color="auto"/>
        <w:right w:val="none" w:sz="0" w:space="0" w:color="auto"/>
      </w:divBdr>
    </w:div>
    <w:div w:id="114257875">
      <w:marLeft w:val="0"/>
      <w:marRight w:val="0"/>
      <w:marTop w:val="180"/>
      <w:marBottom w:val="0"/>
      <w:divBdr>
        <w:top w:val="none" w:sz="0" w:space="0" w:color="auto"/>
        <w:left w:val="none" w:sz="0" w:space="0" w:color="auto"/>
        <w:bottom w:val="none" w:sz="0" w:space="0" w:color="auto"/>
        <w:right w:val="none" w:sz="0" w:space="0" w:color="auto"/>
      </w:divBdr>
    </w:div>
    <w:div w:id="134837642">
      <w:marLeft w:val="0"/>
      <w:marRight w:val="0"/>
      <w:marTop w:val="0"/>
      <w:marBottom w:val="0"/>
      <w:divBdr>
        <w:top w:val="none" w:sz="0" w:space="0" w:color="auto"/>
        <w:left w:val="none" w:sz="0" w:space="0" w:color="auto"/>
        <w:bottom w:val="none" w:sz="0" w:space="0" w:color="auto"/>
        <w:right w:val="none" w:sz="0" w:space="0" w:color="auto"/>
      </w:divBdr>
      <w:divsChild>
        <w:div w:id="1315140620">
          <w:marLeft w:val="0"/>
          <w:marRight w:val="0"/>
          <w:marTop w:val="100"/>
          <w:marBottom w:val="100"/>
          <w:divBdr>
            <w:top w:val="none" w:sz="0" w:space="0" w:color="auto"/>
            <w:left w:val="none" w:sz="0" w:space="0" w:color="auto"/>
            <w:bottom w:val="none" w:sz="0" w:space="0" w:color="auto"/>
            <w:right w:val="none" w:sz="0" w:space="0" w:color="auto"/>
          </w:divBdr>
        </w:div>
        <w:div w:id="588150192">
          <w:marLeft w:val="0"/>
          <w:marRight w:val="0"/>
          <w:marTop w:val="100"/>
          <w:marBottom w:val="100"/>
          <w:divBdr>
            <w:top w:val="none" w:sz="0" w:space="0" w:color="auto"/>
            <w:left w:val="none" w:sz="0" w:space="0" w:color="auto"/>
            <w:bottom w:val="none" w:sz="0" w:space="0" w:color="auto"/>
            <w:right w:val="none" w:sz="0" w:space="0" w:color="auto"/>
          </w:divBdr>
        </w:div>
      </w:divsChild>
    </w:div>
    <w:div w:id="144393530">
      <w:marLeft w:val="0"/>
      <w:marRight w:val="0"/>
      <w:marTop w:val="100"/>
      <w:marBottom w:val="100"/>
      <w:divBdr>
        <w:top w:val="none" w:sz="0" w:space="0" w:color="auto"/>
        <w:left w:val="none" w:sz="0" w:space="0" w:color="auto"/>
        <w:bottom w:val="none" w:sz="0" w:space="0" w:color="auto"/>
        <w:right w:val="none" w:sz="0" w:space="0" w:color="auto"/>
      </w:divBdr>
    </w:div>
    <w:div w:id="146021938">
      <w:marLeft w:val="0"/>
      <w:marRight w:val="0"/>
      <w:marTop w:val="0"/>
      <w:marBottom w:val="0"/>
      <w:divBdr>
        <w:top w:val="none" w:sz="0" w:space="0" w:color="auto"/>
        <w:left w:val="none" w:sz="0" w:space="0" w:color="auto"/>
        <w:bottom w:val="none" w:sz="0" w:space="0" w:color="auto"/>
        <w:right w:val="none" w:sz="0" w:space="0" w:color="auto"/>
      </w:divBdr>
    </w:div>
    <w:div w:id="146829746">
      <w:marLeft w:val="0"/>
      <w:marRight w:val="0"/>
      <w:marTop w:val="180"/>
      <w:marBottom w:val="0"/>
      <w:divBdr>
        <w:top w:val="none" w:sz="0" w:space="0" w:color="auto"/>
        <w:left w:val="none" w:sz="0" w:space="0" w:color="auto"/>
        <w:bottom w:val="none" w:sz="0" w:space="0" w:color="auto"/>
        <w:right w:val="none" w:sz="0" w:space="0" w:color="auto"/>
      </w:divBdr>
    </w:div>
    <w:div w:id="150681930">
      <w:marLeft w:val="0"/>
      <w:marRight w:val="0"/>
      <w:marTop w:val="100"/>
      <w:marBottom w:val="100"/>
      <w:divBdr>
        <w:top w:val="none" w:sz="0" w:space="0" w:color="auto"/>
        <w:left w:val="none" w:sz="0" w:space="0" w:color="auto"/>
        <w:bottom w:val="none" w:sz="0" w:space="0" w:color="auto"/>
        <w:right w:val="none" w:sz="0" w:space="0" w:color="auto"/>
      </w:divBdr>
    </w:div>
    <w:div w:id="151988649">
      <w:marLeft w:val="0"/>
      <w:marRight w:val="0"/>
      <w:marTop w:val="0"/>
      <w:marBottom w:val="0"/>
      <w:divBdr>
        <w:top w:val="none" w:sz="0" w:space="0" w:color="auto"/>
        <w:left w:val="none" w:sz="0" w:space="0" w:color="auto"/>
        <w:bottom w:val="none" w:sz="0" w:space="0" w:color="auto"/>
        <w:right w:val="none" w:sz="0" w:space="0" w:color="auto"/>
      </w:divBdr>
      <w:divsChild>
        <w:div w:id="1277060113">
          <w:marLeft w:val="0"/>
          <w:marRight w:val="0"/>
          <w:marTop w:val="0"/>
          <w:marBottom w:val="0"/>
          <w:divBdr>
            <w:top w:val="none" w:sz="0" w:space="0" w:color="auto"/>
            <w:left w:val="none" w:sz="0" w:space="0" w:color="auto"/>
            <w:bottom w:val="none" w:sz="0" w:space="0" w:color="auto"/>
            <w:right w:val="none" w:sz="0" w:space="0" w:color="auto"/>
          </w:divBdr>
          <w:divsChild>
            <w:div w:id="162688724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8545849">
      <w:marLeft w:val="0"/>
      <w:marRight w:val="0"/>
      <w:marTop w:val="0"/>
      <w:marBottom w:val="0"/>
      <w:divBdr>
        <w:top w:val="none" w:sz="0" w:space="0" w:color="auto"/>
        <w:left w:val="none" w:sz="0" w:space="0" w:color="auto"/>
        <w:bottom w:val="none" w:sz="0" w:space="0" w:color="auto"/>
        <w:right w:val="none" w:sz="0" w:space="0" w:color="auto"/>
      </w:divBdr>
      <w:divsChild>
        <w:div w:id="2092382700">
          <w:marLeft w:val="0"/>
          <w:marRight w:val="0"/>
          <w:marTop w:val="100"/>
          <w:marBottom w:val="100"/>
          <w:divBdr>
            <w:top w:val="none" w:sz="0" w:space="0" w:color="auto"/>
            <w:left w:val="none" w:sz="0" w:space="0" w:color="auto"/>
            <w:bottom w:val="none" w:sz="0" w:space="0" w:color="auto"/>
            <w:right w:val="none" w:sz="0" w:space="0" w:color="auto"/>
          </w:divBdr>
        </w:div>
        <w:div w:id="651759163">
          <w:marLeft w:val="0"/>
          <w:marRight w:val="0"/>
          <w:marTop w:val="100"/>
          <w:marBottom w:val="100"/>
          <w:divBdr>
            <w:top w:val="none" w:sz="0" w:space="0" w:color="auto"/>
            <w:left w:val="none" w:sz="0" w:space="0" w:color="auto"/>
            <w:bottom w:val="none" w:sz="0" w:space="0" w:color="auto"/>
            <w:right w:val="none" w:sz="0" w:space="0" w:color="auto"/>
          </w:divBdr>
        </w:div>
      </w:divsChild>
    </w:div>
    <w:div w:id="159396992">
      <w:marLeft w:val="0"/>
      <w:marRight w:val="0"/>
      <w:marTop w:val="100"/>
      <w:marBottom w:val="100"/>
      <w:divBdr>
        <w:top w:val="none" w:sz="0" w:space="0" w:color="auto"/>
        <w:left w:val="none" w:sz="0" w:space="0" w:color="auto"/>
        <w:bottom w:val="none" w:sz="0" w:space="0" w:color="auto"/>
        <w:right w:val="none" w:sz="0" w:space="0" w:color="auto"/>
      </w:divBdr>
    </w:div>
    <w:div w:id="167134815">
      <w:marLeft w:val="0"/>
      <w:marRight w:val="0"/>
      <w:marTop w:val="100"/>
      <w:marBottom w:val="100"/>
      <w:divBdr>
        <w:top w:val="none" w:sz="0" w:space="0" w:color="auto"/>
        <w:left w:val="none" w:sz="0" w:space="0" w:color="auto"/>
        <w:bottom w:val="none" w:sz="0" w:space="0" w:color="auto"/>
        <w:right w:val="none" w:sz="0" w:space="0" w:color="auto"/>
      </w:divBdr>
      <w:divsChild>
        <w:div w:id="429274876">
          <w:marLeft w:val="0"/>
          <w:marRight w:val="0"/>
          <w:marTop w:val="0"/>
          <w:marBottom w:val="0"/>
          <w:divBdr>
            <w:top w:val="none" w:sz="0" w:space="0" w:color="auto"/>
            <w:left w:val="none" w:sz="0" w:space="0" w:color="auto"/>
            <w:bottom w:val="none" w:sz="0" w:space="0" w:color="auto"/>
            <w:right w:val="none" w:sz="0" w:space="0" w:color="auto"/>
          </w:divBdr>
        </w:div>
        <w:div w:id="2146578108">
          <w:marLeft w:val="0"/>
          <w:marRight w:val="0"/>
          <w:marTop w:val="0"/>
          <w:marBottom w:val="0"/>
          <w:divBdr>
            <w:top w:val="none" w:sz="0" w:space="0" w:color="auto"/>
            <w:left w:val="none" w:sz="0" w:space="0" w:color="auto"/>
            <w:bottom w:val="none" w:sz="0" w:space="0" w:color="auto"/>
            <w:right w:val="none" w:sz="0" w:space="0" w:color="auto"/>
          </w:divBdr>
        </w:div>
        <w:div w:id="2132284966">
          <w:marLeft w:val="0"/>
          <w:marRight w:val="0"/>
          <w:marTop w:val="0"/>
          <w:marBottom w:val="0"/>
          <w:divBdr>
            <w:top w:val="none" w:sz="0" w:space="0" w:color="auto"/>
            <w:left w:val="none" w:sz="0" w:space="0" w:color="auto"/>
            <w:bottom w:val="none" w:sz="0" w:space="0" w:color="auto"/>
            <w:right w:val="none" w:sz="0" w:space="0" w:color="auto"/>
          </w:divBdr>
        </w:div>
        <w:div w:id="928585281">
          <w:marLeft w:val="0"/>
          <w:marRight w:val="0"/>
          <w:marTop w:val="0"/>
          <w:marBottom w:val="0"/>
          <w:divBdr>
            <w:top w:val="none" w:sz="0" w:space="0" w:color="auto"/>
            <w:left w:val="none" w:sz="0" w:space="0" w:color="auto"/>
            <w:bottom w:val="none" w:sz="0" w:space="0" w:color="auto"/>
            <w:right w:val="none" w:sz="0" w:space="0" w:color="auto"/>
          </w:divBdr>
        </w:div>
        <w:div w:id="1035429598">
          <w:marLeft w:val="0"/>
          <w:marRight w:val="0"/>
          <w:marTop w:val="0"/>
          <w:marBottom w:val="0"/>
          <w:divBdr>
            <w:top w:val="none" w:sz="0" w:space="0" w:color="auto"/>
            <w:left w:val="none" w:sz="0" w:space="0" w:color="auto"/>
            <w:bottom w:val="none" w:sz="0" w:space="0" w:color="auto"/>
            <w:right w:val="none" w:sz="0" w:space="0" w:color="auto"/>
          </w:divBdr>
        </w:div>
      </w:divsChild>
    </w:div>
    <w:div w:id="169951878">
      <w:marLeft w:val="0"/>
      <w:marRight w:val="0"/>
      <w:marTop w:val="0"/>
      <w:marBottom w:val="0"/>
      <w:divBdr>
        <w:top w:val="none" w:sz="0" w:space="0" w:color="auto"/>
        <w:left w:val="none" w:sz="0" w:space="0" w:color="auto"/>
        <w:bottom w:val="none" w:sz="0" w:space="0" w:color="auto"/>
        <w:right w:val="none" w:sz="0" w:space="0" w:color="auto"/>
      </w:divBdr>
      <w:divsChild>
        <w:div w:id="1211041293">
          <w:marLeft w:val="0"/>
          <w:marRight w:val="0"/>
          <w:marTop w:val="100"/>
          <w:marBottom w:val="100"/>
          <w:divBdr>
            <w:top w:val="none" w:sz="0" w:space="0" w:color="auto"/>
            <w:left w:val="none" w:sz="0" w:space="0" w:color="auto"/>
            <w:bottom w:val="none" w:sz="0" w:space="0" w:color="auto"/>
            <w:right w:val="none" w:sz="0" w:space="0" w:color="auto"/>
          </w:divBdr>
        </w:div>
        <w:div w:id="983662481">
          <w:marLeft w:val="0"/>
          <w:marRight w:val="0"/>
          <w:marTop w:val="100"/>
          <w:marBottom w:val="100"/>
          <w:divBdr>
            <w:top w:val="none" w:sz="0" w:space="0" w:color="auto"/>
            <w:left w:val="none" w:sz="0" w:space="0" w:color="auto"/>
            <w:bottom w:val="none" w:sz="0" w:space="0" w:color="auto"/>
            <w:right w:val="none" w:sz="0" w:space="0" w:color="auto"/>
          </w:divBdr>
        </w:div>
      </w:divsChild>
    </w:div>
    <w:div w:id="180513087">
      <w:marLeft w:val="0"/>
      <w:marRight w:val="0"/>
      <w:marTop w:val="100"/>
      <w:marBottom w:val="100"/>
      <w:divBdr>
        <w:top w:val="none" w:sz="0" w:space="0" w:color="auto"/>
        <w:left w:val="none" w:sz="0" w:space="0" w:color="auto"/>
        <w:bottom w:val="none" w:sz="0" w:space="0" w:color="auto"/>
        <w:right w:val="none" w:sz="0" w:space="0" w:color="auto"/>
      </w:divBdr>
    </w:div>
    <w:div w:id="182137217">
      <w:marLeft w:val="0"/>
      <w:marRight w:val="0"/>
      <w:marTop w:val="100"/>
      <w:marBottom w:val="100"/>
      <w:divBdr>
        <w:top w:val="none" w:sz="0" w:space="0" w:color="auto"/>
        <w:left w:val="none" w:sz="0" w:space="0" w:color="auto"/>
        <w:bottom w:val="none" w:sz="0" w:space="0" w:color="auto"/>
        <w:right w:val="none" w:sz="0" w:space="0" w:color="auto"/>
      </w:divBdr>
    </w:div>
    <w:div w:id="182330410">
      <w:marLeft w:val="0"/>
      <w:marRight w:val="0"/>
      <w:marTop w:val="100"/>
      <w:marBottom w:val="100"/>
      <w:divBdr>
        <w:top w:val="none" w:sz="0" w:space="0" w:color="auto"/>
        <w:left w:val="none" w:sz="0" w:space="0" w:color="auto"/>
        <w:bottom w:val="none" w:sz="0" w:space="0" w:color="auto"/>
        <w:right w:val="none" w:sz="0" w:space="0" w:color="auto"/>
      </w:divBdr>
    </w:div>
    <w:div w:id="185751528">
      <w:marLeft w:val="0"/>
      <w:marRight w:val="0"/>
      <w:marTop w:val="100"/>
      <w:marBottom w:val="100"/>
      <w:divBdr>
        <w:top w:val="none" w:sz="0" w:space="0" w:color="auto"/>
        <w:left w:val="none" w:sz="0" w:space="0" w:color="auto"/>
        <w:bottom w:val="none" w:sz="0" w:space="0" w:color="auto"/>
        <w:right w:val="none" w:sz="0" w:space="0" w:color="auto"/>
      </w:divBdr>
      <w:divsChild>
        <w:div w:id="119999436">
          <w:marLeft w:val="0"/>
          <w:marRight w:val="0"/>
          <w:marTop w:val="0"/>
          <w:marBottom w:val="0"/>
          <w:divBdr>
            <w:top w:val="none" w:sz="0" w:space="0" w:color="auto"/>
            <w:left w:val="none" w:sz="0" w:space="0" w:color="auto"/>
            <w:bottom w:val="none" w:sz="0" w:space="0" w:color="auto"/>
            <w:right w:val="none" w:sz="0" w:space="0" w:color="auto"/>
          </w:divBdr>
        </w:div>
      </w:divsChild>
    </w:div>
    <w:div w:id="189996263">
      <w:marLeft w:val="0"/>
      <w:marRight w:val="0"/>
      <w:marTop w:val="100"/>
      <w:marBottom w:val="100"/>
      <w:divBdr>
        <w:top w:val="none" w:sz="0" w:space="0" w:color="auto"/>
        <w:left w:val="none" w:sz="0" w:space="0" w:color="auto"/>
        <w:bottom w:val="none" w:sz="0" w:space="0" w:color="auto"/>
        <w:right w:val="none" w:sz="0" w:space="0" w:color="auto"/>
      </w:divBdr>
    </w:div>
    <w:div w:id="190075347">
      <w:marLeft w:val="0"/>
      <w:marRight w:val="0"/>
      <w:marTop w:val="0"/>
      <w:marBottom w:val="0"/>
      <w:divBdr>
        <w:top w:val="none" w:sz="0" w:space="0" w:color="auto"/>
        <w:left w:val="none" w:sz="0" w:space="0" w:color="auto"/>
        <w:bottom w:val="none" w:sz="0" w:space="0" w:color="auto"/>
        <w:right w:val="none" w:sz="0" w:space="0" w:color="auto"/>
      </w:divBdr>
      <w:divsChild>
        <w:div w:id="1976135246">
          <w:marLeft w:val="0"/>
          <w:marRight w:val="0"/>
          <w:marTop w:val="100"/>
          <w:marBottom w:val="100"/>
          <w:divBdr>
            <w:top w:val="none" w:sz="0" w:space="0" w:color="auto"/>
            <w:left w:val="none" w:sz="0" w:space="0" w:color="auto"/>
            <w:bottom w:val="none" w:sz="0" w:space="0" w:color="auto"/>
            <w:right w:val="none" w:sz="0" w:space="0" w:color="auto"/>
          </w:divBdr>
        </w:div>
        <w:div w:id="1367370413">
          <w:marLeft w:val="0"/>
          <w:marRight w:val="0"/>
          <w:marTop w:val="100"/>
          <w:marBottom w:val="100"/>
          <w:divBdr>
            <w:top w:val="none" w:sz="0" w:space="0" w:color="auto"/>
            <w:left w:val="none" w:sz="0" w:space="0" w:color="auto"/>
            <w:bottom w:val="none" w:sz="0" w:space="0" w:color="auto"/>
            <w:right w:val="none" w:sz="0" w:space="0" w:color="auto"/>
          </w:divBdr>
        </w:div>
      </w:divsChild>
    </w:div>
    <w:div w:id="193738285">
      <w:marLeft w:val="0"/>
      <w:marRight w:val="0"/>
      <w:marTop w:val="100"/>
      <w:marBottom w:val="100"/>
      <w:divBdr>
        <w:top w:val="none" w:sz="0" w:space="0" w:color="auto"/>
        <w:left w:val="none" w:sz="0" w:space="0" w:color="auto"/>
        <w:bottom w:val="none" w:sz="0" w:space="0" w:color="auto"/>
        <w:right w:val="none" w:sz="0" w:space="0" w:color="auto"/>
      </w:divBdr>
    </w:div>
    <w:div w:id="194126513">
      <w:marLeft w:val="0"/>
      <w:marRight w:val="0"/>
      <w:marTop w:val="100"/>
      <w:marBottom w:val="100"/>
      <w:divBdr>
        <w:top w:val="none" w:sz="0" w:space="0" w:color="auto"/>
        <w:left w:val="none" w:sz="0" w:space="0" w:color="auto"/>
        <w:bottom w:val="none" w:sz="0" w:space="0" w:color="auto"/>
        <w:right w:val="none" w:sz="0" w:space="0" w:color="auto"/>
      </w:divBdr>
    </w:div>
    <w:div w:id="197738072">
      <w:marLeft w:val="0"/>
      <w:marRight w:val="0"/>
      <w:marTop w:val="0"/>
      <w:marBottom w:val="0"/>
      <w:divBdr>
        <w:top w:val="none" w:sz="0" w:space="0" w:color="auto"/>
        <w:left w:val="none" w:sz="0" w:space="0" w:color="auto"/>
        <w:bottom w:val="none" w:sz="0" w:space="0" w:color="auto"/>
        <w:right w:val="none" w:sz="0" w:space="0" w:color="auto"/>
      </w:divBdr>
      <w:divsChild>
        <w:div w:id="1868061933">
          <w:marLeft w:val="0"/>
          <w:marRight w:val="0"/>
          <w:marTop w:val="100"/>
          <w:marBottom w:val="100"/>
          <w:divBdr>
            <w:top w:val="none" w:sz="0" w:space="0" w:color="auto"/>
            <w:left w:val="none" w:sz="0" w:space="0" w:color="auto"/>
            <w:bottom w:val="none" w:sz="0" w:space="0" w:color="auto"/>
            <w:right w:val="none" w:sz="0" w:space="0" w:color="auto"/>
          </w:divBdr>
        </w:div>
        <w:div w:id="29109582">
          <w:marLeft w:val="0"/>
          <w:marRight w:val="0"/>
          <w:marTop w:val="100"/>
          <w:marBottom w:val="100"/>
          <w:divBdr>
            <w:top w:val="none" w:sz="0" w:space="0" w:color="auto"/>
            <w:left w:val="none" w:sz="0" w:space="0" w:color="auto"/>
            <w:bottom w:val="none" w:sz="0" w:space="0" w:color="auto"/>
            <w:right w:val="none" w:sz="0" w:space="0" w:color="auto"/>
          </w:divBdr>
        </w:div>
      </w:divsChild>
    </w:div>
    <w:div w:id="198443687">
      <w:marLeft w:val="0"/>
      <w:marRight w:val="0"/>
      <w:marTop w:val="0"/>
      <w:marBottom w:val="0"/>
      <w:divBdr>
        <w:top w:val="none" w:sz="0" w:space="0" w:color="auto"/>
        <w:left w:val="none" w:sz="0" w:space="0" w:color="auto"/>
        <w:bottom w:val="none" w:sz="0" w:space="0" w:color="auto"/>
        <w:right w:val="none" w:sz="0" w:space="0" w:color="auto"/>
      </w:divBdr>
    </w:div>
    <w:div w:id="203100092">
      <w:marLeft w:val="0"/>
      <w:marRight w:val="0"/>
      <w:marTop w:val="0"/>
      <w:marBottom w:val="0"/>
      <w:divBdr>
        <w:top w:val="none" w:sz="0" w:space="0" w:color="auto"/>
        <w:left w:val="none" w:sz="0" w:space="0" w:color="auto"/>
        <w:bottom w:val="none" w:sz="0" w:space="0" w:color="auto"/>
        <w:right w:val="none" w:sz="0" w:space="0" w:color="auto"/>
      </w:divBdr>
    </w:div>
    <w:div w:id="206994388">
      <w:marLeft w:val="0"/>
      <w:marRight w:val="0"/>
      <w:marTop w:val="180"/>
      <w:marBottom w:val="100"/>
      <w:divBdr>
        <w:top w:val="none" w:sz="0" w:space="0" w:color="auto"/>
        <w:left w:val="none" w:sz="0" w:space="0" w:color="auto"/>
        <w:bottom w:val="none" w:sz="0" w:space="0" w:color="auto"/>
        <w:right w:val="none" w:sz="0" w:space="0" w:color="auto"/>
      </w:divBdr>
    </w:div>
    <w:div w:id="207226798">
      <w:marLeft w:val="0"/>
      <w:marRight w:val="0"/>
      <w:marTop w:val="100"/>
      <w:marBottom w:val="100"/>
      <w:divBdr>
        <w:top w:val="none" w:sz="0" w:space="0" w:color="auto"/>
        <w:left w:val="none" w:sz="0" w:space="0" w:color="auto"/>
        <w:bottom w:val="none" w:sz="0" w:space="0" w:color="auto"/>
        <w:right w:val="none" w:sz="0" w:space="0" w:color="auto"/>
      </w:divBdr>
    </w:div>
    <w:div w:id="217514956">
      <w:marLeft w:val="0"/>
      <w:marRight w:val="0"/>
      <w:marTop w:val="100"/>
      <w:marBottom w:val="100"/>
      <w:divBdr>
        <w:top w:val="none" w:sz="0" w:space="0" w:color="auto"/>
        <w:left w:val="none" w:sz="0" w:space="0" w:color="auto"/>
        <w:bottom w:val="none" w:sz="0" w:space="0" w:color="auto"/>
        <w:right w:val="none" w:sz="0" w:space="0" w:color="auto"/>
      </w:divBdr>
    </w:div>
    <w:div w:id="217740945">
      <w:marLeft w:val="0"/>
      <w:marRight w:val="0"/>
      <w:marTop w:val="100"/>
      <w:marBottom w:val="100"/>
      <w:divBdr>
        <w:top w:val="none" w:sz="0" w:space="0" w:color="auto"/>
        <w:left w:val="none" w:sz="0" w:space="0" w:color="auto"/>
        <w:bottom w:val="none" w:sz="0" w:space="0" w:color="auto"/>
        <w:right w:val="none" w:sz="0" w:space="0" w:color="auto"/>
      </w:divBdr>
    </w:div>
    <w:div w:id="224874728">
      <w:marLeft w:val="0"/>
      <w:marRight w:val="0"/>
      <w:marTop w:val="0"/>
      <w:marBottom w:val="0"/>
      <w:divBdr>
        <w:top w:val="none" w:sz="0" w:space="0" w:color="auto"/>
        <w:left w:val="none" w:sz="0" w:space="0" w:color="auto"/>
        <w:bottom w:val="none" w:sz="0" w:space="0" w:color="auto"/>
        <w:right w:val="none" w:sz="0" w:space="0" w:color="auto"/>
      </w:divBdr>
      <w:divsChild>
        <w:div w:id="1134252855">
          <w:marLeft w:val="0"/>
          <w:marRight w:val="0"/>
          <w:marTop w:val="100"/>
          <w:marBottom w:val="100"/>
          <w:divBdr>
            <w:top w:val="none" w:sz="0" w:space="0" w:color="auto"/>
            <w:left w:val="none" w:sz="0" w:space="0" w:color="auto"/>
            <w:bottom w:val="none" w:sz="0" w:space="0" w:color="auto"/>
            <w:right w:val="none" w:sz="0" w:space="0" w:color="auto"/>
          </w:divBdr>
        </w:div>
        <w:div w:id="186255780">
          <w:marLeft w:val="0"/>
          <w:marRight w:val="0"/>
          <w:marTop w:val="100"/>
          <w:marBottom w:val="100"/>
          <w:divBdr>
            <w:top w:val="none" w:sz="0" w:space="0" w:color="auto"/>
            <w:left w:val="none" w:sz="0" w:space="0" w:color="auto"/>
            <w:bottom w:val="none" w:sz="0" w:space="0" w:color="auto"/>
            <w:right w:val="none" w:sz="0" w:space="0" w:color="auto"/>
          </w:divBdr>
        </w:div>
        <w:div w:id="1576746180">
          <w:marLeft w:val="0"/>
          <w:marRight w:val="0"/>
          <w:marTop w:val="100"/>
          <w:marBottom w:val="100"/>
          <w:divBdr>
            <w:top w:val="none" w:sz="0" w:space="0" w:color="auto"/>
            <w:left w:val="none" w:sz="0" w:space="0" w:color="auto"/>
            <w:bottom w:val="none" w:sz="0" w:space="0" w:color="auto"/>
            <w:right w:val="none" w:sz="0" w:space="0" w:color="auto"/>
          </w:divBdr>
        </w:div>
        <w:div w:id="1114667560">
          <w:marLeft w:val="0"/>
          <w:marRight w:val="0"/>
          <w:marTop w:val="100"/>
          <w:marBottom w:val="100"/>
          <w:divBdr>
            <w:top w:val="none" w:sz="0" w:space="0" w:color="auto"/>
            <w:left w:val="none" w:sz="0" w:space="0" w:color="auto"/>
            <w:bottom w:val="none" w:sz="0" w:space="0" w:color="auto"/>
            <w:right w:val="none" w:sz="0" w:space="0" w:color="auto"/>
          </w:divBdr>
        </w:div>
      </w:divsChild>
    </w:div>
    <w:div w:id="237062730">
      <w:marLeft w:val="0"/>
      <w:marRight w:val="0"/>
      <w:marTop w:val="0"/>
      <w:marBottom w:val="0"/>
      <w:divBdr>
        <w:top w:val="none" w:sz="0" w:space="0" w:color="auto"/>
        <w:left w:val="none" w:sz="0" w:space="0" w:color="auto"/>
        <w:bottom w:val="none" w:sz="0" w:space="0" w:color="auto"/>
        <w:right w:val="none" w:sz="0" w:space="0" w:color="auto"/>
      </w:divBdr>
      <w:divsChild>
        <w:div w:id="783227212">
          <w:marLeft w:val="0"/>
          <w:marRight w:val="0"/>
          <w:marTop w:val="0"/>
          <w:marBottom w:val="0"/>
          <w:divBdr>
            <w:top w:val="none" w:sz="0" w:space="0" w:color="auto"/>
            <w:left w:val="none" w:sz="0" w:space="0" w:color="auto"/>
            <w:bottom w:val="none" w:sz="0" w:space="0" w:color="auto"/>
            <w:right w:val="none" w:sz="0" w:space="0" w:color="auto"/>
          </w:divBdr>
          <w:divsChild>
            <w:div w:id="79876424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37254297">
      <w:marLeft w:val="0"/>
      <w:marRight w:val="0"/>
      <w:marTop w:val="100"/>
      <w:marBottom w:val="100"/>
      <w:divBdr>
        <w:top w:val="none" w:sz="0" w:space="0" w:color="auto"/>
        <w:left w:val="none" w:sz="0" w:space="0" w:color="auto"/>
        <w:bottom w:val="none" w:sz="0" w:space="0" w:color="auto"/>
        <w:right w:val="none" w:sz="0" w:space="0" w:color="auto"/>
      </w:divBdr>
    </w:div>
    <w:div w:id="242884867">
      <w:marLeft w:val="0"/>
      <w:marRight w:val="0"/>
      <w:marTop w:val="100"/>
      <w:marBottom w:val="100"/>
      <w:divBdr>
        <w:top w:val="none" w:sz="0" w:space="0" w:color="auto"/>
        <w:left w:val="none" w:sz="0" w:space="0" w:color="auto"/>
        <w:bottom w:val="none" w:sz="0" w:space="0" w:color="auto"/>
        <w:right w:val="none" w:sz="0" w:space="0" w:color="auto"/>
      </w:divBdr>
      <w:divsChild>
        <w:div w:id="738211015">
          <w:marLeft w:val="0"/>
          <w:marRight w:val="0"/>
          <w:marTop w:val="0"/>
          <w:marBottom w:val="0"/>
          <w:divBdr>
            <w:top w:val="none" w:sz="0" w:space="0" w:color="auto"/>
            <w:left w:val="none" w:sz="0" w:space="0" w:color="auto"/>
            <w:bottom w:val="none" w:sz="0" w:space="0" w:color="auto"/>
            <w:right w:val="none" w:sz="0" w:space="0" w:color="auto"/>
          </w:divBdr>
        </w:div>
        <w:div w:id="998462155">
          <w:marLeft w:val="0"/>
          <w:marRight w:val="0"/>
          <w:marTop w:val="0"/>
          <w:marBottom w:val="0"/>
          <w:divBdr>
            <w:top w:val="none" w:sz="0" w:space="0" w:color="auto"/>
            <w:left w:val="none" w:sz="0" w:space="0" w:color="auto"/>
            <w:bottom w:val="none" w:sz="0" w:space="0" w:color="auto"/>
            <w:right w:val="none" w:sz="0" w:space="0" w:color="auto"/>
          </w:divBdr>
        </w:div>
        <w:div w:id="1557666811">
          <w:marLeft w:val="0"/>
          <w:marRight w:val="0"/>
          <w:marTop w:val="0"/>
          <w:marBottom w:val="0"/>
          <w:divBdr>
            <w:top w:val="none" w:sz="0" w:space="0" w:color="auto"/>
            <w:left w:val="none" w:sz="0" w:space="0" w:color="auto"/>
            <w:bottom w:val="none" w:sz="0" w:space="0" w:color="auto"/>
            <w:right w:val="none" w:sz="0" w:space="0" w:color="auto"/>
          </w:divBdr>
        </w:div>
        <w:div w:id="4290886">
          <w:marLeft w:val="0"/>
          <w:marRight w:val="0"/>
          <w:marTop w:val="0"/>
          <w:marBottom w:val="0"/>
          <w:divBdr>
            <w:top w:val="none" w:sz="0" w:space="0" w:color="auto"/>
            <w:left w:val="none" w:sz="0" w:space="0" w:color="auto"/>
            <w:bottom w:val="none" w:sz="0" w:space="0" w:color="auto"/>
            <w:right w:val="none" w:sz="0" w:space="0" w:color="auto"/>
          </w:divBdr>
        </w:div>
        <w:div w:id="788819373">
          <w:marLeft w:val="0"/>
          <w:marRight w:val="0"/>
          <w:marTop w:val="0"/>
          <w:marBottom w:val="0"/>
          <w:divBdr>
            <w:top w:val="none" w:sz="0" w:space="0" w:color="auto"/>
            <w:left w:val="none" w:sz="0" w:space="0" w:color="auto"/>
            <w:bottom w:val="none" w:sz="0" w:space="0" w:color="auto"/>
            <w:right w:val="none" w:sz="0" w:space="0" w:color="auto"/>
          </w:divBdr>
        </w:div>
        <w:div w:id="813792278">
          <w:marLeft w:val="0"/>
          <w:marRight w:val="0"/>
          <w:marTop w:val="0"/>
          <w:marBottom w:val="0"/>
          <w:divBdr>
            <w:top w:val="none" w:sz="0" w:space="0" w:color="auto"/>
            <w:left w:val="none" w:sz="0" w:space="0" w:color="auto"/>
            <w:bottom w:val="none" w:sz="0" w:space="0" w:color="auto"/>
            <w:right w:val="none" w:sz="0" w:space="0" w:color="auto"/>
          </w:divBdr>
        </w:div>
        <w:div w:id="341930316">
          <w:marLeft w:val="0"/>
          <w:marRight w:val="0"/>
          <w:marTop w:val="0"/>
          <w:marBottom w:val="0"/>
          <w:divBdr>
            <w:top w:val="none" w:sz="0" w:space="0" w:color="auto"/>
            <w:left w:val="none" w:sz="0" w:space="0" w:color="auto"/>
            <w:bottom w:val="none" w:sz="0" w:space="0" w:color="auto"/>
            <w:right w:val="none" w:sz="0" w:space="0" w:color="auto"/>
          </w:divBdr>
        </w:div>
        <w:div w:id="317345448">
          <w:marLeft w:val="0"/>
          <w:marRight w:val="0"/>
          <w:marTop w:val="0"/>
          <w:marBottom w:val="0"/>
          <w:divBdr>
            <w:top w:val="none" w:sz="0" w:space="0" w:color="auto"/>
            <w:left w:val="none" w:sz="0" w:space="0" w:color="auto"/>
            <w:bottom w:val="none" w:sz="0" w:space="0" w:color="auto"/>
            <w:right w:val="none" w:sz="0" w:space="0" w:color="auto"/>
          </w:divBdr>
        </w:div>
        <w:div w:id="799692534">
          <w:marLeft w:val="0"/>
          <w:marRight w:val="0"/>
          <w:marTop w:val="0"/>
          <w:marBottom w:val="0"/>
          <w:divBdr>
            <w:top w:val="none" w:sz="0" w:space="0" w:color="auto"/>
            <w:left w:val="none" w:sz="0" w:space="0" w:color="auto"/>
            <w:bottom w:val="none" w:sz="0" w:space="0" w:color="auto"/>
            <w:right w:val="none" w:sz="0" w:space="0" w:color="auto"/>
          </w:divBdr>
        </w:div>
        <w:div w:id="1177770548">
          <w:marLeft w:val="0"/>
          <w:marRight w:val="0"/>
          <w:marTop w:val="0"/>
          <w:marBottom w:val="0"/>
          <w:divBdr>
            <w:top w:val="none" w:sz="0" w:space="0" w:color="auto"/>
            <w:left w:val="none" w:sz="0" w:space="0" w:color="auto"/>
            <w:bottom w:val="none" w:sz="0" w:space="0" w:color="auto"/>
            <w:right w:val="none" w:sz="0" w:space="0" w:color="auto"/>
          </w:divBdr>
        </w:div>
        <w:div w:id="375350632">
          <w:marLeft w:val="0"/>
          <w:marRight w:val="0"/>
          <w:marTop w:val="0"/>
          <w:marBottom w:val="0"/>
          <w:divBdr>
            <w:top w:val="none" w:sz="0" w:space="0" w:color="auto"/>
            <w:left w:val="none" w:sz="0" w:space="0" w:color="auto"/>
            <w:bottom w:val="none" w:sz="0" w:space="0" w:color="auto"/>
            <w:right w:val="none" w:sz="0" w:space="0" w:color="auto"/>
          </w:divBdr>
        </w:div>
        <w:div w:id="1560943354">
          <w:marLeft w:val="0"/>
          <w:marRight w:val="0"/>
          <w:marTop w:val="0"/>
          <w:marBottom w:val="0"/>
          <w:divBdr>
            <w:top w:val="none" w:sz="0" w:space="0" w:color="auto"/>
            <w:left w:val="none" w:sz="0" w:space="0" w:color="auto"/>
            <w:bottom w:val="none" w:sz="0" w:space="0" w:color="auto"/>
            <w:right w:val="none" w:sz="0" w:space="0" w:color="auto"/>
          </w:divBdr>
        </w:div>
        <w:div w:id="2081366032">
          <w:marLeft w:val="0"/>
          <w:marRight w:val="0"/>
          <w:marTop w:val="0"/>
          <w:marBottom w:val="0"/>
          <w:divBdr>
            <w:top w:val="none" w:sz="0" w:space="0" w:color="auto"/>
            <w:left w:val="none" w:sz="0" w:space="0" w:color="auto"/>
            <w:bottom w:val="none" w:sz="0" w:space="0" w:color="auto"/>
            <w:right w:val="none" w:sz="0" w:space="0" w:color="auto"/>
          </w:divBdr>
        </w:div>
        <w:div w:id="318850053">
          <w:marLeft w:val="0"/>
          <w:marRight w:val="0"/>
          <w:marTop w:val="0"/>
          <w:marBottom w:val="0"/>
          <w:divBdr>
            <w:top w:val="none" w:sz="0" w:space="0" w:color="auto"/>
            <w:left w:val="none" w:sz="0" w:space="0" w:color="auto"/>
            <w:bottom w:val="none" w:sz="0" w:space="0" w:color="auto"/>
            <w:right w:val="none" w:sz="0" w:space="0" w:color="auto"/>
          </w:divBdr>
        </w:div>
      </w:divsChild>
    </w:div>
    <w:div w:id="248126121">
      <w:marLeft w:val="0"/>
      <w:marRight w:val="0"/>
      <w:marTop w:val="100"/>
      <w:marBottom w:val="100"/>
      <w:divBdr>
        <w:top w:val="none" w:sz="0" w:space="0" w:color="auto"/>
        <w:left w:val="none" w:sz="0" w:space="0" w:color="auto"/>
        <w:bottom w:val="none" w:sz="0" w:space="0" w:color="auto"/>
        <w:right w:val="none" w:sz="0" w:space="0" w:color="auto"/>
      </w:divBdr>
    </w:div>
    <w:div w:id="260916008">
      <w:marLeft w:val="0"/>
      <w:marRight w:val="0"/>
      <w:marTop w:val="0"/>
      <w:marBottom w:val="0"/>
      <w:divBdr>
        <w:top w:val="none" w:sz="0" w:space="0" w:color="auto"/>
        <w:left w:val="none" w:sz="0" w:space="0" w:color="auto"/>
        <w:bottom w:val="none" w:sz="0" w:space="0" w:color="auto"/>
        <w:right w:val="none" w:sz="0" w:space="0" w:color="auto"/>
      </w:divBdr>
      <w:divsChild>
        <w:div w:id="2004777739">
          <w:marLeft w:val="0"/>
          <w:marRight w:val="0"/>
          <w:marTop w:val="0"/>
          <w:marBottom w:val="0"/>
          <w:divBdr>
            <w:top w:val="none" w:sz="0" w:space="0" w:color="auto"/>
            <w:left w:val="none" w:sz="0" w:space="0" w:color="auto"/>
            <w:bottom w:val="none" w:sz="0" w:space="0" w:color="auto"/>
            <w:right w:val="none" w:sz="0" w:space="0" w:color="auto"/>
          </w:divBdr>
          <w:divsChild>
            <w:div w:id="8952361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62685976">
      <w:marLeft w:val="0"/>
      <w:marRight w:val="0"/>
      <w:marTop w:val="0"/>
      <w:marBottom w:val="0"/>
      <w:divBdr>
        <w:top w:val="none" w:sz="0" w:space="0" w:color="auto"/>
        <w:left w:val="none" w:sz="0" w:space="0" w:color="auto"/>
        <w:bottom w:val="none" w:sz="0" w:space="0" w:color="auto"/>
        <w:right w:val="none" w:sz="0" w:space="0" w:color="auto"/>
      </w:divBdr>
      <w:divsChild>
        <w:div w:id="1339625399">
          <w:marLeft w:val="0"/>
          <w:marRight w:val="0"/>
          <w:marTop w:val="100"/>
          <w:marBottom w:val="100"/>
          <w:divBdr>
            <w:top w:val="none" w:sz="0" w:space="0" w:color="auto"/>
            <w:left w:val="none" w:sz="0" w:space="0" w:color="auto"/>
            <w:bottom w:val="none" w:sz="0" w:space="0" w:color="auto"/>
            <w:right w:val="none" w:sz="0" w:space="0" w:color="auto"/>
          </w:divBdr>
        </w:div>
        <w:div w:id="1906211435">
          <w:marLeft w:val="0"/>
          <w:marRight w:val="0"/>
          <w:marTop w:val="100"/>
          <w:marBottom w:val="100"/>
          <w:divBdr>
            <w:top w:val="none" w:sz="0" w:space="0" w:color="auto"/>
            <w:left w:val="none" w:sz="0" w:space="0" w:color="auto"/>
            <w:bottom w:val="none" w:sz="0" w:space="0" w:color="auto"/>
            <w:right w:val="none" w:sz="0" w:space="0" w:color="auto"/>
          </w:divBdr>
        </w:div>
      </w:divsChild>
    </w:div>
    <w:div w:id="264073821">
      <w:marLeft w:val="0"/>
      <w:marRight w:val="0"/>
      <w:marTop w:val="100"/>
      <w:marBottom w:val="100"/>
      <w:divBdr>
        <w:top w:val="none" w:sz="0" w:space="0" w:color="auto"/>
        <w:left w:val="none" w:sz="0" w:space="0" w:color="auto"/>
        <w:bottom w:val="none" w:sz="0" w:space="0" w:color="auto"/>
        <w:right w:val="none" w:sz="0" w:space="0" w:color="auto"/>
      </w:divBdr>
    </w:div>
    <w:div w:id="266542913">
      <w:marLeft w:val="0"/>
      <w:marRight w:val="0"/>
      <w:marTop w:val="100"/>
      <w:marBottom w:val="100"/>
      <w:divBdr>
        <w:top w:val="none" w:sz="0" w:space="0" w:color="auto"/>
        <w:left w:val="none" w:sz="0" w:space="0" w:color="auto"/>
        <w:bottom w:val="none" w:sz="0" w:space="0" w:color="auto"/>
        <w:right w:val="none" w:sz="0" w:space="0" w:color="auto"/>
      </w:divBdr>
    </w:div>
    <w:div w:id="269361646">
      <w:marLeft w:val="0"/>
      <w:marRight w:val="0"/>
      <w:marTop w:val="100"/>
      <w:marBottom w:val="100"/>
      <w:divBdr>
        <w:top w:val="none" w:sz="0" w:space="0" w:color="auto"/>
        <w:left w:val="none" w:sz="0" w:space="0" w:color="auto"/>
        <w:bottom w:val="none" w:sz="0" w:space="0" w:color="auto"/>
        <w:right w:val="none" w:sz="0" w:space="0" w:color="auto"/>
      </w:divBdr>
    </w:div>
    <w:div w:id="278999496">
      <w:marLeft w:val="0"/>
      <w:marRight w:val="0"/>
      <w:marTop w:val="0"/>
      <w:marBottom w:val="0"/>
      <w:divBdr>
        <w:top w:val="none" w:sz="0" w:space="0" w:color="auto"/>
        <w:left w:val="none" w:sz="0" w:space="0" w:color="auto"/>
        <w:bottom w:val="none" w:sz="0" w:space="0" w:color="auto"/>
        <w:right w:val="none" w:sz="0" w:space="0" w:color="auto"/>
      </w:divBdr>
    </w:div>
    <w:div w:id="282464270">
      <w:marLeft w:val="0"/>
      <w:marRight w:val="0"/>
      <w:marTop w:val="100"/>
      <w:marBottom w:val="100"/>
      <w:divBdr>
        <w:top w:val="none" w:sz="0" w:space="0" w:color="auto"/>
        <w:left w:val="none" w:sz="0" w:space="0" w:color="auto"/>
        <w:bottom w:val="none" w:sz="0" w:space="0" w:color="auto"/>
        <w:right w:val="none" w:sz="0" w:space="0" w:color="auto"/>
      </w:divBdr>
    </w:div>
    <w:div w:id="283578136">
      <w:marLeft w:val="0"/>
      <w:marRight w:val="0"/>
      <w:marTop w:val="100"/>
      <w:marBottom w:val="100"/>
      <w:divBdr>
        <w:top w:val="none" w:sz="0" w:space="0" w:color="auto"/>
        <w:left w:val="none" w:sz="0" w:space="0" w:color="auto"/>
        <w:bottom w:val="none" w:sz="0" w:space="0" w:color="auto"/>
        <w:right w:val="none" w:sz="0" w:space="0" w:color="auto"/>
      </w:divBdr>
    </w:div>
    <w:div w:id="291906551">
      <w:marLeft w:val="0"/>
      <w:marRight w:val="0"/>
      <w:marTop w:val="0"/>
      <w:marBottom w:val="0"/>
      <w:divBdr>
        <w:top w:val="none" w:sz="0" w:space="0" w:color="auto"/>
        <w:left w:val="none" w:sz="0" w:space="0" w:color="auto"/>
        <w:bottom w:val="none" w:sz="0" w:space="0" w:color="auto"/>
        <w:right w:val="none" w:sz="0" w:space="0" w:color="auto"/>
      </w:divBdr>
    </w:div>
    <w:div w:id="293095815">
      <w:marLeft w:val="0"/>
      <w:marRight w:val="0"/>
      <w:marTop w:val="100"/>
      <w:marBottom w:val="100"/>
      <w:divBdr>
        <w:top w:val="none" w:sz="0" w:space="0" w:color="auto"/>
        <w:left w:val="none" w:sz="0" w:space="0" w:color="auto"/>
        <w:bottom w:val="none" w:sz="0" w:space="0" w:color="auto"/>
        <w:right w:val="none" w:sz="0" w:space="0" w:color="auto"/>
      </w:divBdr>
    </w:div>
    <w:div w:id="301692502">
      <w:marLeft w:val="0"/>
      <w:marRight w:val="0"/>
      <w:marTop w:val="0"/>
      <w:marBottom w:val="0"/>
      <w:divBdr>
        <w:top w:val="none" w:sz="0" w:space="0" w:color="auto"/>
        <w:left w:val="none" w:sz="0" w:space="0" w:color="auto"/>
        <w:bottom w:val="none" w:sz="0" w:space="0" w:color="auto"/>
        <w:right w:val="none" w:sz="0" w:space="0" w:color="auto"/>
      </w:divBdr>
      <w:divsChild>
        <w:div w:id="446242681">
          <w:marLeft w:val="0"/>
          <w:marRight w:val="0"/>
          <w:marTop w:val="100"/>
          <w:marBottom w:val="100"/>
          <w:divBdr>
            <w:top w:val="none" w:sz="0" w:space="0" w:color="auto"/>
            <w:left w:val="none" w:sz="0" w:space="0" w:color="auto"/>
            <w:bottom w:val="none" w:sz="0" w:space="0" w:color="auto"/>
            <w:right w:val="none" w:sz="0" w:space="0" w:color="auto"/>
          </w:divBdr>
        </w:div>
        <w:div w:id="1830634805">
          <w:marLeft w:val="0"/>
          <w:marRight w:val="0"/>
          <w:marTop w:val="100"/>
          <w:marBottom w:val="100"/>
          <w:divBdr>
            <w:top w:val="none" w:sz="0" w:space="0" w:color="auto"/>
            <w:left w:val="none" w:sz="0" w:space="0" w:color="auto"/>
            <w:bottom w:val="none" w:sz="0" w:space="0" w:color="auto"/>
            <w:right w:val="none" w:sz="0" w:space="0" w:color="auto"/>
          </w:divBdr>
        </w:div>
      </w:divsChild>
    </w:div>
    <w:div w:id="301882975">
      <w:marLeft w:val="0"/>
      <w:marRight w:val="0"/>
      <w:marTop w:val="0"/>
      <w:marBottom w:val="0"/>
      <w:divBdr>
        <w:top w:val="none" w:sz="0" w:space="0" w:color="auto"/>
        <w:left w:val="none" w:sz="0" w:space="0" w:color="auto"/>
        <w:bottom w:val="none" w:sz="0" w:space="0" w:color="auto"/>
        <w:right w:val="none" w:sz="0" w:space="0" w:color="auto"/>
      </w:divBdr>
    </w:div>
    <w:div w:id="305553197">
      <w:marLeft w:val="0"/>
      <w:marRight w:val="0"/>
      <w:marTop w:val="180"/>
      <w:marBottom w:val="100"/>
      <w:divBdr>
        <w:top w:val="none" w:sz="0" w:space="0" w:color="auto"/>
        <w:left w:val="none" w:sz="0" w:space="0" w:color="auto"/>
        <w:bottom w:val="none" w:sz="0" w:space="0" w:color="auto"/>
        <w:right w:val="none" w:sz="0" w:space="0" w:color="auto"/>
      </w:divBdr>
    </w:div>
    <w:div w:id="307512119">
      <w:marLeft w:val="0"/>
      <w:marRight w:val="0"/>
      <w:marTop w:val="180"/>
      <w:marBottom w:val="0"/>
      <w:divBdr>
        <w:top w:val="none" w:sz="0" w:space="0" w:color="auto"/>
        <w:left w:val="none" w:sz="0" w:space="0" w:color="auto"/>
        <w:bottom w:val="none" w:sz="0" w:space="0" w:color="auto"/>
        <w:right w:val="none" w:sz="0" w:space="0" w:color="auto"/>
      </w:divBdr>
    </w:div>
    <w:div w:id="313997268">
      <w:marLeft w:val="0"/>
      <w:marRight w:val="0"/>
      <w:marTop w:val="100"/>
      <w:marBottom w:val="100"/>
      <w:divBdr>
        <w:top w:val="none" w:sz="0" w:space="0" w:color="auto"/>
        <w:left w:val="none" w:sz="0" w:space="0" w:color="auto"/>
        <w:bottom w:val="none" w:sz="0" w:space="0" w:color="auto"/>
        <w:right w:val="none" w:sz="0" w:space="0" w:color="auto"/>
      </w:divBdr>
    </w:div>
    <w:div w:id="315183347">
      <w:marLeft w:val="0"/>
      <w:marRight w:val="0"/>
      <w:marTop w:val="0"/>
      <w:marBottom w:val="0"/>
      <w:divBdr>
        <w:top w:val="none" w:sz="0" w:space="0" w:color="auto"/>
        <w:left w:val="none" w:sz="0" w:space="0" w:color="auto"/>
        <w:bottom w:val="none" w:sz="0" w:space="0" w:color="auto"/>
        <w:right w:val="none" w:sz="0" w:space="0" w:color="auto"/>
      </w:divBdr>
      <w:divsChild>
        <w:div w:id="1528443087">
          <w:marLeft w:val="0"/>
          <w:marRight w:val="0"/>
          <w:marTop w:val="0"/>
          <w:marBottom w:val="0"/>
          <w:divBdr>
            <w:top w:val="none" w:sz="0" w:space="0" w:color="auto"/>
            <w:left w:val="none" w:sz="0" w:space="0" w:color="auto"/>
            <w:bottom w:val="none" w:sz="0" w:space="0" w:color="auto"/>
            <w:right w:val="none" w:sz="0" w:space="0" w:color="auto"/>
          </w:divBdr>
          <w:divsChild>
            <w:div w:id="213779107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17268253">
      <w:marLeft w:val="0"/>
      <w:marRight w:val="0"/>
      <w:marTop w:val="180"/>
      <w:marBottom w:val="0"/>
      <w:divBdr>
        <w:top w:val="none" w:sz="0" w:space="0" w:color="auto"/>
        <w:left w:val="none" w:sz="0" w:space="0" w:color="auto"/>
        <w:bottom w:val="none" w:sz="0" w:space="0" w:color="auto"/>
        <w:right w:val="none" w:sz="0" w:space="0" w:color="auto"/>
      </w:divBdr>
    </w:div>
    <w:div w:id="322709819">
      <w:marLeft w:val="0"/>
      <w:marRight w:val="0"/>
      <w:marTop w:val="100"/>
      <w:marBottom w:val="100"/>
      <w:divBdr>
        <w:top w:val="none" w:sz="0" w:space="0" w:color="auto"/>
        <w:left w:val="none" w:sz="0" w:space="0" w:color="auto"/>
        <w:bottom w:val="none" w:sz="0" w:space="0" w:color="auto"/>
        <w:right w:val="none" w:sz="0" w:space="0" w:color="auto"/>
      </w:divBdr>
    </w:div>
    <w:div w:id="328484067">
      <w:marLeft w:val="0"/>
      <w:marRight w:val="0"/>
      <w:marTop w:val="180"/>
      <w:marBottom w:val="100"/>
      <w:divBdr>
        <w:top w:val="none" w:sz="0" w:space="0" w:color="auto"/>
        <w:left w:val="none" w:sz="0" w:space="0" w:color="auto"/>
        <w:bottom w:val="none" w:sz="0" w:space="0" w:color="auto"/>
        <w:right w:val="none" w:sz="0" w:space="0" w:color="auto"/>
      </w:divBdr>
    </w:div>
    <w:div w:id="330332951">
      <w:marLeft w:val="0"/>
      <w:marRight w:val="0"/>
      <w:marTop w:val="100"/>
      <w:marBottom w:val="100"/>
      <w:divBdr>
        <w:top w:val="none" w:sz="0" w:space="0" w:color="auto"/>
        <w:left w:val="none" w:sz="0" w:space="0" w:color="auto"/>
        <w:bottom w:val="none" w:sz="0" w:space="0" w:color="auto"/>
        <w:right w:val="none" w:sz="0" w:space="0" w:color="auto"/>
      </w:divBdr>
    </w:div>
    <w:div w:id="334497460">
      <w:marLeft w:val="0"/>
      <w:marRight w:val="0"/>
      <w:marTop w:val="100"/>
      <w:marBottom w:val="100"/>
      <w:divBdr>
        <w:top w:val="none" w:sz="0" w:space="0" w:color="auto"/>
        <w:left w:val="none" w:sz="0" w:space="0" w:color="auto"/>
        <w:bottom w:val="none" w:sz="0" w:space="0" w:color="auto"/>
        <w:right w:val="none" w:sz="0" w:space="0" w:color="auto"/>
      </w:divBdr>
    </w:div>
    <w:div w:id="335116875">
      <w:marLeft w:val="0"/>
      <w:marRight w:val="0"/>
      <w:marTop w:val="180"/>
      <w:marBottom w:val="0"/>
      <w:divBdr>
        <w:top w:val="none" w:sz="0" w:space="0" w:color="auto"/>
        <w:left w:val="none" w:sz="0" w:space="0" w:color="auto"/>
        <w:bottom w:val="none" w:sz="0" w:space="0" w:color="auto"/>
        <w:right w:val="none" w:sz="0" w:space="0" w:color="auto"/>
      </w:divBdr>
    </w:div>
    <w:div w:id="336008832">
      <w:marLeft w:val="0"/>
      <w:marRight w:val="0"/>
      <w:marTop w:val="100"/>
      <w:marBottom w:val="100"/>
      <w:divBdr>
        <w:top w:val="none" w:sz="0" w:space="0" w:color="auto"/>
        <w:left w:val="none" w:sz="0" w:space="0" w:color="auto"/>
        <w:bottom w:val="none" w:sz="0" w:space="0" w:color="auto"/>
        <w:right w:val="none" w:sz="0" w:space="0" w:color="auto"/>
      </w:divBdr>
      <w:divsChild>
        <w:div w:id="1524975278">
          <w:marLeft w:val="0"/>
          <w:marRight w:val="0"/>
          <w:marTop w:val="0"/>
          <w:marBottom w:val="0"/>
          <w:divBdr>
            <w:top w:val="none" w:sz="0" w:space="0" w:color="auto"/>
            <w:left w:val="none" w:sz="0" w:space="0" w:color="auto"/>
            <w:bottom w:val="none" w:sz="0" w:space="0" w:color="auto"/>
            <w:right w:val="none" w:sz="0" w:space="0" w:color="auto"/>
          </w:divBdr>
        </w:div>
      </w:divsChild>
    </w:div>
    <w:div w:id="338386080">
      <w:marLeft w:val="0"/>
      <w:marRight w:val="0"/>
      <w:marTop w:val="100"/>
      <w:marBottom w:val="100"/>
      <w:divBdr>
        <w:top w:val="none" w:sz="0" w:space="0" w:color="auto"/>
        <w:left w:val="none" w:sz="0" w:space="0" w:color="auto"/>
        <w:bottom w:val="none" w:sz="0" w:space="0" w:color="auto"/>
        <w:right w:val="none" w:sz="0" w:space="0" w:color="auto"/>
      </w:divBdr>
      <w:divsChild>
        <w:div w:id="2130467850">
          <w:marLeft w:val="0"/>
          <w:marRight w:val="0"/>
          <w:marTop w:val="0"/>
          <w:marBottom w:val="0"/>
          <w:divBdr>
            <w:top w:val="none" w:sz="0" w:space="0" w:color="auto"/>
            <w:left w:val="none" w:sz="0" w:space="0" w:color="auto"/>
            <w:bottom w:val="none" w:sz="0" w:space="0" w:color="auto"/>
            <w:right w:val="none" w:sz="0" w:space="0" w:color="auto"/>
          </w:divBdr>
        </w:div>
      </w:divsChild>
    </w:div>
    <w:div w:id="341131734">
      <w:marLeft w:val="0"/>
      <w:marRight w:val="0"/>
      <w:marTop w:val="180"/>
      <w:marBottom w:val="0"/>
      <w:divBdr>
        <w:top w:val="none" w:sz="0" w:space="0" w:color="auto"/>
        <w:left w:val="none" w:sz="0" w:space="0" w:color="auto"/>
        <w:bottom w:val="none" w:sz="0" w:space="0" w:color="auto"/>
        <w:right w:val="none" w:sz="0" w:space="0" w:color="auto"/>
      </w:divBdr>
    </w:div>
    <w:div w:id="341905855">
      <w:marLeft w:val="0"/>
      <w:marRight w:val="0"/>
      <w:marTop w:val="0"/>
      <w:marBottom w:val="0"/>
      <w:divBdr>
        <w:top w:val="none" w:sz="0" w:space="0" w:color="auto"/>
        <w:left w:val="none" w:sz="0" w:space="0" w:color="auto"/>
        <w:bottom w:val="none" w:sz="0" w:space="0" w:color="auto"/>
        <w:right w:val="none" w:sz="0" w:space="0" w:color="auto"/>
      </w:divBdr>
    </w:div>
    <w:div w:id="342323919">
      <w:marLeft w:val="0"/>
      <w:marRight w:val="0"/>
      <w:marTop w:val="0"/>
      <w:marBottom w:val="0"/>
      <w:divBdr>
        <w:top w:val="none" w:sz="0" w:space="0" w:color="auto"/>
        <w:left w:val="none" w:sz="0" w:space="0" w:color="auto"/>
        <w:bottom w:val="none" w:sz="0" w:space="0" w:color="auto"/>
        <w:right w:val="none" w:sz="0" w:space="0" w:color="auto"/>
      </w:divBdr>
    </w:div>
    <w:div w:id="342628417">
      <w:marLeft w:val="0"/>
      <w:marRight w:val="0"/>
      <w:marTop w:val="0"/>
      <w:marBottom w:val="0"/>
      <w:divBdr>
        <w:top w:val="none" w:sz="0" w:space="0" w:color="auto"/>
        <w:left w:val="none" w:sz="0" w:space="0" w:color="auto"/>
        <w:bottom w:val="none" w:sz="0" w:space="0" w:color="auto"/>
        <w:right w:val="none" w:sz="0" w:space="0" w:color="auto"/>
      </w:divBdr>
    </w:div>
    <w:div w:id="346714753">
      <w:marLeft w:val="0"/>
      <w:marRight w:val="0"/>
      <w:marTop w:val="100"/>
      <w:marBottom w:val="100"/>
      <w:divBdr>
        <w:top w:val="none" w:sz="0" w:space="0" w:color="auto"/>
        <w:left w:val="none" w:sz="0" w:space="0" w:color="auto"/>
        <w:bottom w:val="none" w:sz="0" w:space="0" w:color="auto"/>
        <w:right w:val="none" w:sz="0" w:space="0" w:color="auto"/>
      </w:divBdr>
    </w:div>
    <w:div w:id="365910657">
      <w:marLeft w:val="0"/>
      <w:marRight w:val="0"/>
      <w:marTop w:val="180"/>
      <w:marBottom w:val="100"/>
      <w:divBdr>
        <w:top w:val="none" w:sz="0" w:space="0" w:color="auto"/>
        <w:left w:val="none" w:sz="0" w:space="0" w:color="auto"/>
        <w:bottom w:val="none" w:sz="0" w:space="0" w:color="auto"/>
        <w:right w:val="none" w:sz="0" w:space="0" w:color="auto"/>
      </w:divBdr>
    </w:div>
    <w:div w:id="373232541">
      <w:marLeft w:val="0"/>
      <w:marRight w:val="0"/>
      <w:marTop w:val="190"/>
      <w:marBottom w:val="100"/>
      <w:divBdr>
        <w:top w:val="none" w:sz="0" w:space="0" w:color="auto"/>
        <w:left w:val="none" w:sz="0" w:space="0" w:color="auto"/>
        <w:bottom w:val="none" w:sz="0" w:space="0" w:color="auto"/>
        <w:right w:val="none" w:sz="0" w:space="0" w:color="auto"/>
      </w:divBdr>
      <w:divsChild>
        <w:div w:id="1562207497">
          <w:marLeft w:val="0"/>
          <w:marRight w:val="0"/>
          <w:marTop w:val="0"/>
          <w:marBottom w:val="0"/>
          <w:divBdr>
            <w:top w:val="none" w:sz="0" w:space="0" w:color="auto"/>
            <w:left w:val="none" w:sz="0" w:space="0" w:color="auto"/>
            <w:bottom w:val="none" w:sz="0" w:space="0" w:color="auto"/>
            <w:right w:val="none" w:sz="0" w:space="0" w:color="auto"/>
          </w:divBdr>
        </w:div>
      </w:divsChild>
    </w:div>
    <w:div w:id="374163533">
      <w:marLeft w:val="0"/>
      <w:marRight w:val="0"/>
      <w:marTop w:val="100"/>
      <w:marBottom w:val="0"/>
      <w:divBdr>
        <w:top w:val="none" w:sz="0" w:space="0" w:color="auto"/>
        <w:left w:val="none" w:sz="0" w:space="0" w:color="auto"/>
        <w:bottom w:val="none" w:sz="0" w:space="0" w:color="auto"/>
        <w:right w:val="none" w:sz="0" w:space="0" w:color="auto"/>
      </w:divBdr>
    </w:div>
    <w:div w:id="381248596">
      <w:marLeft w:val="0"/>
      <w:marRight w:val="0"/>
      <w:marTop w:val="180"/>
      <w:marBottom w:val="0"/>
      <w:divBdr>
        <w:top w:val="none" w:sz="0" w:space="0" w:color="auto"/>
        <w:left w:val="none" w:sz="0" w:space="0" w:color="auto"/>
        <w:bottom w:val="none" w:sz="0" w:space="0" w:color="auto"/>
        <w:right w:val="none" w:sz="0" w:space="0" w:color="auto"/>
      </w:divBdr>
    </w:div>
    <w:div w:id="384642241">
      <w:marLeft w:val="0"/>
      <w:marRight w:val="0"/>
      <w:marTop w:val="100"/>
      <w:marBottom w:val="0"/>
      <w:divBdr>
        <w:top w:val="none" w:sz="0" w:space="0" w:color="auto"/>
        <w:left w:val="none" w:sz="0" w:space="0" w:color="auto"/>
        <w:bottom w:val="none" w:sz="0" w:space="0" w:color="auto"/>
        <w:right w:val="none" w:sz="0" w:space="0" w:color="auto"/>
      </w:divBdr>
    </w:div>
    <w:div w:id="389428820">
      <w:marLeft w:val="0"/>
      <w:marRight w:val="0"/>
      <w:marTop w:val="0"/>
      <w:marBottom w:val="0"/>
      <w:divBdr>
        <w:top w:val="none" w:sz="0" w:space="0" w:color="auto"/>
        <w:left w:val="none" w:sz="0" w:space="0" w:color="auto"/>
        <w:bottom w:val="none" w:sz="0" w:space="0" w:color="auto"/>
        <w:right w:val="none" w:sz="0" w:space="0" w:color="auto"/>
      </w:divBdr>
    </w:div>
    <w:div w:id="390231554">
      <w:marLeft w:val="0"/>
      <w:marRight w:val="0"/>
      <w:marTop w:val="180"/>
      <w:marBottom w:val="0"/>
      <w:divBdr>
        <w:top w:val="none" w:sz="0" w:space="0" w:color="auto"/>
        <w:left w:val="none" w:sz="0" w:space="0" w:color="auto"/>
        <w:bottom w:val="none" w:sz="0" w:space="0" w:color="auto"/>
        <w:right w:val="none" w:sz="0" w:space="0" w:color="auto"/>
      </w:divBdr>
    </w:div>
    <w:div w:id="398022784">
      <w:marLeft w:val="0"/>
      <w:marRight w:val="0"/>
      <w:marTop w:val="100"/>
      <w:marBottom w:val="100"/>
      <w:divBdr>
        <w:top w:val="none" w:sz="0" w:space="0" w:color="auto"/>
        <w:left w:val="none" w:sz="0" w:space="0" w:color="auto"/>
        <w:bottom w:val="none" w:sz="0" w:space="0" w:color="auto"/>
        <w:right w:val="none" w:sz="0" w:space="0" w:color="auto"/>
      </w:divBdr>
    </w:div>
    <w:div w:id="400443788">
      <w:marLeft w:val="0"/>
      <w:marRight w:val="0"/>
      <w:marTop w:val="0"/>
      <w:marBottom w:val="0"/>
      <w:divBdr>
        <w:top w:val="none" w:sz="0" w:space="0" w:color="auto"/>
        <w:left w:val="none" w:sz="0" w:space="0" w:color="auto"/>
        <w:bottom w:val="none" w:sz="0" w:space="0" w:color="auto"/>
        <w:right w:val="none" w:sz="0" w:space="0" w:color="auto"/>
      </w:divBdr>
    </w:div>
    <w:div w:id="403719688">
      <w:marLeft w:val="0"/>
      <w:marRight w:val="0"/>
      <w:marTop w:val="0"/>
      <w:marBottom w:val="0"/>
      <w:divBdr>
        <w:top w:val="none" w:sz="0" w:space="0" w:color="auto"/>
        <w:left w:val="none" w:sz="0" w:space="0" w:color="auto"/>
        <w:bottom w:val="none" w:sz="0" w:space="0" w:color="auto"/>
        <w:right w:val="none" w:sz="0" w:space="0" w:color="auto"/>
      </w:divBdr>
    </w:div>
    <w:div w:id="404643363">
      <w:marLeft w:val="0"/>
      <w:marRight w:val="0"/>
      <w:marTop w:val="180"/>
      <w:marBottom w:val="0"/>
      <w:divBdr>
        <w:top w:val="none" w:sz="0" w:space="0" w:color="auto"/>
        <w:left w:val="none" w:sz="0" w:space="0" w:color="auto"/>
        <w:bottom w:val="none" w:sz="0" w:space="0" w:color="auto"/>
        <w:right w:val="none" w:sz="0" w:space="0" w:color="auto"/>
      </w:divBdr>
    </w:div>
    <w:div w:id="408233575">
      <w:marLeft w:val="0"/>
      <w:marRight w:val="0"/>
      <w:marTop w:val="100"/>
      <w:marBottom w:val="100"/>
      <w:divBdr>
        <w:top w:val="none" w:sz="0" w:space="0" w:color="auto"/>
        <w:left w:val="none" w:sz="0" w:space="0" w:color="auto"/>
        <w:bottom w:val="none" w:sz="0" w:space="0" w:color="auto"/>
        <w:right w:val="none" w:sz="0" w:space="0" w:color="auto"/>
      </w:divBdr>
    </w:div>
    <w:div w:id="408311932">
      <w:marLeft w:val="0"/>
      <w:marRight w:val="0"/>
      <w:marTop w:val="0"/>
      <w:marBottom w:val="0"/>
      <w:divBdr>
        <w:top w:val="none" w:sz="0" w:space="0" w:color="auto"/>
        <w:left w:val="none" w:sz="0" w:space="0" w:color="auto"/>
        <w:bottom w:val="none" w:sz="0" w:space="0" w:color="auto"/>
        <w:right w:val="none" w:sz="0" w:space="0" w:color="auto"/>
      </w:divBdr>
      <w:divsChild>
        <w:div w:id="1348948354">
          <w:marLeft w:val="0"/>
          <w:marRight w:val="0"/>
          <w:marTop w:val="0"/>
          <w:marBottom w:val="0"/>
          <w:divBdr>
            <w:top w:val="none" w:sz="0" w:space="0" w:color="auto"/>
            <w:left w:val="none" w:sz="0" w:space="0" w:color="auto"/>
            <w:bottom w:val="none" w:sz="0" w:space="0" w:color="auto"/>
            <w:right w:val="none" w:sz="0" w:space="0" w:color="auto"/>
          </w:divBdr>
          <w:divsChild>
            <w:div w:id="145748621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11315771">
      <w:marLeft w:val="0"/>
      <w:marRight w:val="0"/>
      <w:marTop w:val="0"/>
      <w:marBottom w:val="0"/>
      <w:divBdr>
        <w:top w:val="none" w:sz="0" w:space="0" w:color="auto"/>
        <w:left w:val="none" w:sz="0" w:space="0" w:color="auto"/>
        <w:bottom w:val="none" w:sz="0" w:space="0" w:color="auto"/>
        <w:right w:val="none" w:sz="0" w:space="0" w:color="auto"/>
      </w:divBdr>
    </w:div>
    <w:div w:id="411779951">
      <w:marLeft w:val="0"/>
      <w:marRight w:val="0"/>
      <w:marTop w:val="100"/>
      <w:marBottom w:val="100"/>
      <w:divBdr>
        <w:top w:val="none" w:sz="0" w:space="0" w:color="auto"/>
        <w:left w:val="none" w:sz="0" w:space="0" w:color="auto"/>
        <w:bottom w:val="none" w:sz="0" w:space="0" w:color="auto"/>
        <w:right w:val="none" w:sz="0" w:space="0" w:color="auto"/>
      </w:divBdr>
    </w:div>
    <w:div w:id="412245775">
      <w:marLeft w:val="0"/>
      <w:marRight w:val="0"/>
      <w:marTop w:val="180"/>
      <w:marBottom w:val="0"/>
      <w:divBdr>
        <w:top w:val="none" w:sz="0" w:space="0" w:color="auto"/>
        <w:left w:val="none" w:sz="0" w:space="0" w:color="auto"/>
        <w:bottom w:val="none" w:sz="0" w:space="0" w:color="auto"/>
        <w:right w:val="none" w:sz="0" w:space="0" w:color="auto"/>
      </w:divBdr>
    </w:div>
    <w:div w:id="414978482">
      <w:marLeft w:val="0"/>
      <w:marRight w:val="0"/>
      <w:marTop w:val="100"/>
      <w:marBottom w:val="100"/>
      <w:divBdr>
        <w:top w:val="none" w:sz="0" w:space="0" w:color="auto"/>
        <w:left w:val="none" w:sz="0" w:space="0" w:color="auto"/>
        <w:bottom w:val="none" w:sz="0" w:space="0" w:color="auto"/>
        <w:right w:val="none" w:sz="0" w:space="0" w:color="auto"/>
      </w:divBdr>
    </w:div>
    <w:div w:id="417484964">
      <w:marLeft w:val="0"/>
      <w:marRight w:val="0"/>
      <w:marTop w:val="0"/>
      <w:marBottom w:val="0"/>
      <w:divBdr>
        <w:top w:val="none" w:sz="0" w:space="0" w:color="auto"/>
        <w:left w:val="none" w:sz="0" w:space="0" w:color="auto"/>
        <w:bottom w:val="none" w:sz="0" w:space="0" w:color="auto"/>
        <w:right w:val="none" w:sz="0" w:space="0" w:color="auto"/>
      </w:divBdr>
    </w:div>
    <w:div w:id="421336053">
      <w:marLeft w:val="0"/>
      <w:marRight w:val="0"/>
      <w:marTop w:val="0"/>
      <w:marBottom w:val="0"/>
      <w:divBdr>
        <w:top w:val="none" w:sz="0" w:space="0" w:color="auto"/>
        <w:left w:val="none" w:sz="0" w:space="0" w:color="auto"/>
        <w:bottom w:val="none" w:sz="0" w:space="0" w:color="auto"/>
        <w:right w:val="none" w:sz="0" w:space="0" w:color="auto"/>
      </w:divBdr>
      <w:divsChild>
        <w:div w:id="880940853">
          <w:marLeft w:val="0"/>
          <w:marRight w:val="0"/>
          <w:marTop w:val="100"/>
          <w:marBottom w:val="100"/>
          <w:divBdr>
            <w:top w:val="none" w:sz="0" w:space="0" w:color="auto"/>
            <w:left w:val="none" w:sz="0" w:space="0" w:color="auto"/>
            <w:bottom w:val="none" w:sz="0" w:space="0" w:color="auto"/>
            <w:right w:val="none" w:sz="0" w:space="0" w:color="auto"/>
          </w:divBdr>
        </w:div>
        <w:div w:id="1394694014">
          <w:marLeft w:val="0"/>
          <w:marRight w:val="0"/>
          <w:marTop w:val="100"/>
          <w:marBottom w:val="100"/>
          <w:divBdr>
            <w:top w:val="none" w:sz="0" w:space="0" w:color="auto"/>
            <w:left w:val="none" w:sz="0" w:space="0" w:color="auto"/>
            <w:bottom w:val="none" w:sz="0" w:space="0" w:color="auto"/>
            <w:right w:val="none" w:sz="0" w:space="0" w:color="auto"/>
          </w:divBdr>
        </w:div>
      </w:divsChild>
    </w:div>
    <w:div w:id="422149213">
      <w:marLeft w:val="0"/>
      <w:marRight w:val="0"/>
      <w:marTop w:val="100"/>
      <w:marBottom w:val="100"/>
      <w:divBdr>
        <w:top w:val="none" w:sz="0" w:space="0" w:color="auto"/>
        <w:left w:val="none" w:sz="0" w:space="0" w:color="auto"/>
        <w:bottom w:val="none" w:sz="0" w:space="0" w:color="auto"/>
        <w:right w:val="none" w:sz="0" w:space="0" w:color="auto"/>
      </w:divBdr>
      <w:divsChild>
        <w:div w:id="1835953152">
          <w:marLeft w:val="0"/>
          <w:marRight w:val="0"/>
          <w:marTop w:val="0"/>
          <w:marBottom w:val="0"/>
          <w:divBdr>
            <w:top w:val="none" w:sz="0" w:space="0" w:color="auto"/>
            <w:left w:val="none" w:sz="0" w:space="0" w:color="auto"/>
            <w:bottom w:val="none" w:sz="0" w:space="0" w:color="auto"/>
            <w:right w:val="none" w:sz="0" w:space="0" w:color="auto"/>
          </w:divBdr>
        </w:div>
      </w:divsChild>
    </w:div>
    <w:div w:id="428622600">
      <w:marLeft w:val="0"/>
      <w:marRight w:val="0"/>
      <w:marTop w:val="100"/>
      <w:marBottom w:val="100"/>
      <w:divBdr>
        <w:top w:val="none" w:sz="0" w:space="0" w:color="auto"/>
        <w:left w:val="none" w:sz="0" w:space="0" w:color="auto"/>
        <w:bottom w:val="none" w:sz="0" w:space="0" w:color="auto"/>
        <w:right w:val="none" w:sz="0" w:space="0" w:color="auto"/>
      </w:divBdr>
    </w:div>
    <w:div w:id="438262307">
      <w:marLeft w:val="0"/>
      <w:marRight w:val="0"/>
      <w:marTop w:val="100"/>
      <w:marBottom w:val="100"/>
      <w:divBdr>
        <w:top w:val="none" w:sz="0" w:space="0" w:color="auto"/>
        <w:left w:val="none" w:sz="0" w:space="0" w:color="auto"/>
        <w:bottom w:val="none" w:sz="0" w:space="0" w:color="auto"/>
        <w:right w:val="none" w:sz="0" w:space="0" w:color="auto"/>
      </w:divBdr>
    </w:div>
    <w:div w:id="446050679">
      <w:marLeft w:val="0"/>
      <w:marRight w:val="0"/>
      <w:marTop w:val="0"/>
      <w:marBottom w:val="0"/>
      <w:divBdr>
        <w:top w:val="none" w:sz="0" w:space="0" w:color="auto"/>
        <w:left w:val="none" w:sz="0" w:space="0" w:color="auto"/>
        <w:bottom w:val="none" w:sz="0" w:space="0" w:color="auto"/>
        <w:right w:val="none" w:sz="0" w:space="0" w:color="auto"/>
      </w:divBdr>
    </w:div>
    <w:div w:id="446244443">
      <w:marLeft w:val="0"/>
      <w:marRight w:val="0"/>
      <w:marTop w:val="0"/>
      <w:marBottom w:val="0"/>
      <w:divBdr>
        <w:top w:val="none" w:sz="0" w:space="0" w:color="auto"/>
        <w:left w:val="none" w:sz="0" w:space="0" w:color="auto"/>
        <w:bottom w:val="none" w:sz="0" w:space="0" w:color="auto"/>
        <w:right w:val="none" w:sz="0" w:space="0" w:color="auto"/>
      </w:divBdr>
    </w:div>
    <w:div w:id="449931059">
      <w:marLeft w:val="0"/>
      <w:marRight w:val="0"/>
      <w:marTop w:val="100"/>
      <w:marBottom w:val="100"/>
      <w:divBdr>
        <w:top w:val="none" w:sz="0" w:space="0" w:color="auto"/>
        <w:left w:val="none" w:sz="0" w:space="0" w:color="auto"/>
        <w:bottom w:val="none" w:sz="0" w:space="0" w:color="auto"/>
        <w:right w:val="none" w:sz="0" w:space="0" w:color="auto"/>
      </w:divBdr>
    </w:div>
    <w:div w:id="461925090">
      <w:marLeft w:val="0"/>
      <w:marRight w:val="0"/>
      <w:marTop w:val="180"/>
      <w:marBottom w:val="100"/>
      <w:divBdr>
        <w:top w:val="none" w:sz="0" w:space="0" w:color="auto"/>
        <w:left w:val="none" w:sz="0" w:space="0" w:color="auto"/>
        <w:bottom w:val="none" w:sz="0" w:space="0" w:color="auto"/>
        <w:right w:val="none" w:sz="0" w:space="0" w:color="auto"/>
      </w:divBdr>
    </w:div>
    <w:div w:id="467287248">
      <w:marLeft w:val="0"/>
      <w:marRight w:val="0"/>
      <w:marTop w:val="180"/>
      <w:marBottom w:val="0"/>
      <w:divBdr>
        <w:top w:val="none" w:sz="0" w:space="0" w:color="auto"/>
        <w:left w:val="none" w:sz="0" w:space="0" w:color="auto"/>
        <w:bottom w:val="none" w:sz="0" w:space="0" w:color="auto"/>
        <w:right w:val="none" w:sz="0" w:space="0" w:color="auto"/>
      </w:divBdr>
    </w:div>
    <w:div w:id="472676687">
      <w:marLeft w:val="0"/>
      <w:marRight w:val="0"/>
      <w:marTop w:val="0"/>
      <w:marBottom w:val="0"/>
      <w:divBdr>
        <w:top w:val="none" w:sz="0" w:space="0" w:color="auto"/>
        <w:left w:val="none" w:sz="0" w:space="0" w:color="auto"/>
        <w:bottom w:val="none" w:sz="0" w:space="0" w:color="auto"/>
        <w:right w:val="none" w:sz="0" w:space="0" w:color="auto"/>
      </w:divBdr>
    </w:div>
    <w:div w:id="474300434">
      <w:marLeft w:val="0"/>
      <w:marRight w:val="0"/>
      <w:marTop w:val="0"/>
      <w:marBottom w:val="0"/>
      <w:divBdr>
        <w:top w:val="none" w:sz="0" w:space="0" w:color="auto"/>
        <w:left w:val="none" w:sz="0" w:space="0" w:color="auto"/>
        <w:bottom w:val="none" w:sz="0" w:space="0" w:color="auto"/>
        <w:right w:val="none" w:sz="0" w:space="0" w:color="auto"/>
      </w:divBdr>
      <w:divsChild>
        <w:div w:id="2129545156">
          <w:marLeft w:val="0"/>
          <w:marRight w:val="0"/>
          <w:marTop w:val="100"/>
          <w:marBottom w:val="100"/>
          <w:divBdr>
            <w:top w:val="none" w:sz="0" w:space="0" w:color="auto"/>
            <w:left w:val="none" w:sz="0" w:space="0" w:color="auto"/>
            <w:bottom w:val="none" w:sz="0" w:space="0" w:color="auto"/>
            <w:right w:val="none" w:sz="0" w:space="0" w:color="auto"/>
          </w:divBdr>
        </w:div>
        <w:div w:id="1352755268">
          <w:marLeft w:val="0"/>
          <w:marRight w:val="0"/>
          <w:marTop w:val="100"/>
          <w:marBottom w:val="100"/>
          <w:divBdr>
            <w:top w:val="none" w:sz="0" w:space="0" w:color="auto"/>
            <w:left w:val="none" w:sz="0" w:space="0" w:color="auto"/>
            <w:bottom w:val="none" w:sz="0" w:space="0" w:color="auto"/>
            <w:right w:val="none" w:sz="0" w:space="0" w:color="auto"/>
          </w:divBdr>
        </w:div>
      </w:divsChild>
    </w:div>
    <w:div w:id="478235245">
      <w:marLeft w:val="0"/>
      <w:marRight w:val="0"/>
      <w:marTop w:val="180"/>
      <w:marBottom w:val="0"/>
      <w:divBdr>
        <w:top w:val="none" w:sz="0" w:space="0" w:color="auto"/>
        <w:left w:val="none" w:sz="0" w:space="0" w:color="auto"/>
        <w:bottom w:val="none" w:sz="0" w:space="0" w:color="auto"/>
        <w:right w:val="none" w:sz="0" w:space="0" w:color="auto"/>
      </w:divBdr>
    </w:div>
    <w:div w:id="496850914">
      <w:marLeft w:val="0"/>
      <w:marRight w:val="0"/>
      <w:marTop w:val="0"/>
      <w:marBottom w:val="0"/>
      <w:divBdr>
        <w:top w:val="none" w:sz="0" w:space="0" w:color="auto"/>
        <w:left w:val="none" w:sz="0" w:space="0" w:color="auto"/>
        <w:bottom w:val="none" w:sz="0" w:space="0" w:color="auto"/>
        <w:right w:val="none" w:sz="0" w:space="0" w:color="auto"/>
      </w:divBdr>
    </w:div>
    <w:div w:id="508713073">
      <w:marLeft w:val="0"/>
      <w:marRight w:val="0"/>
      <w:marTop w:val="100"/>
      <w:marBottom w:val="100"/>
      <w:divBdr>
        <w:top w:val="none" w:sz="0" w:space="0" w:color="auto"/>
        <w:left w:val="none" w:sz="0" w:space="0" w:color="auto"/>
        <w:bottom w:val="none" w:sz="0" w:space="0" w:color="auto"/>
        <w:right w:val="none" w:sz="0" w:space="0" w:color="auto"/>
      </w:divBdr>
    </w:div>
    <w:div w:id="513768813">
      <w:marLeft w:val="0"/>
      <w:marRight w:val="0"/>
      <w:marTop w:val="0"/>
      <w:marBottom w:val="0"/>
      <w:divBdr>
        <w:top w:val="none" w:sz="0" w:space="0" w:color="auto"/>
        <w:left w:val="none" w:sz="0" w:space="0" w:color="auto"/>
        <w:bottom w:val="none" w:sz="0" w:space="0" w:color="auto"/>
        <w:right w:val="none" w:sz="0" w:space="0" w:color="auto"/>
      </w:divBdr>
    </w:div>
    <w:div w:id="519897580">
      <w:marLeft w:val="0"/>
      <w:marRight w:val="0"/>
      <w:marTop w:val="100"/>
      <w:marBottom w:val="100"/>
      <w:divBdr>
        <w:top w:val="none" w:sz="0" w:space="0" w:color="auto"/>
        <w:left w:val="none" w:sz="0" w:space="0" w:color="auto"/>
        <w:bottom w:val="none" w:sz="0" w:space="0" w:color="auto"/>
        <w:right w:val="none" w:sz="0" w:space="0" w:color="auto"/>
      </w:divBdr>
    </w:div>
    <w:div w:id="522208100">
      <w:marLeft w:val="0"/>
      <w:marRight w:val="0"/>
      <w:marTop w:val="100"/>
      <w:marBottom w:val="100"/>
      <w:divBdr>
        <w:top w:val="none" w:sz="0" w:space="0" w:color="auto"/>
        <w:left w:val="none" w:sz="0" w:space="0" w:color="auto"/>
        <w:bottom w:val="none" w:sz="0" w:space="0" w:color="auto"/>
        <w:right w:val="none" w:sz="0" w:space="0" w:color="auto"/>
      </w:divBdr>
    </w:div>
    <w:div w:id="523397909">
      <w:marLeft w:val="0"/>
      <w:marRight w:val="0"/>
      <w:marTop w:val="100"/>
      <w:marBottom w:val="100"/>
      <w:divBdr>
        <w:top w:val="none" w:sz="0" w:space="0" w:color="auto"/>
        <w:left w:val="none" w:sz="0" w:space="0" w:color="auto"/>
        <w:bottom w:val="none" w:sz="0" w:space="0" w:color="auto"/>
        <w:right w:val="none" w:sz="0" w:space="0" w:color="auto"/>
      </w:divBdr>
    </w:div>
    <w:div w:id="526408738">
      <w:marLeft w:val="0"/>
      <w:marRight w:val="0"/>
      <w:marTop w:val="180"/>
      <w:marBottom w:val="0"/>
      <w:divBdr>
        <w:top w:val="none" w:sz="0" w:space="0" w:color="auto"/>
        <w:left w:val="none" w:sz="0" w:space="0" w:color="auto"/>
        <w:bottom w:val="none" w:sz="0" w:space="0" w:color="auto"/>
        <w:right w:val="none" w:sz="0" w:space="0" w:color="auto"/>
      </w:divBdr>
    </w:div>
    <w:div w:id="528879043">
      <w:marLeft w:val="0"/>
      <w:marRight w:val="0"/>
      <w:marTop w:val="0"/>
      <w:marBottom w:val="0"/>
      <w:divBdr>
        <w:top w:val="none" w:sz="0" w:space="0" w:color="auto"/>
        <w:left w:val="none" w:sz="0" w:space="0" w:color="auto"/>
        <w:bottom w:val="none" w:sz="0" w:space="0" w:color="auto"/>
        <w:right w:val="none" w:sz="0" w:space="0" w:color="auto"/>
      </w:divBdr>
      <w:divsChild>
        <w:div w:id="326712394">
          <w:marLeft w:val="0"/>
          <w:marRight w:val="0"/>
          <w:marTop w:val="100"/>
          <w:marBottom w:val="100"/>
          <w:divBdr>
            <w:top w:val="none" w:sz="0" w:space="0" w:color="auto"/>
            <w:left w:val="none" w:sz="0" w:space="0" w:color="auto"/>
            <w:bottom w:val="none" w:sz="0" w:space="0" w:color="auto"/>
            <w:right w:val="none" w:sz="0" w:space="0" w:color="auto"/>
          </w:divBdr>
        </w:div>
        <w:div w:id="1869875421">
          <w:marLeft w:val="0"/>
          <w:marRight w:val="0"/>
          <w:marTop w:val="100"/>
          <w:marBottom w:val="100"/>
          <w:divBdr>
            <w:top w:val="none" w:sz="0" w:space="0" w:color="auto"/>
            <w:left w:val="none" w:sz="0" w:space="0" w:color="auto"/>
            <w:bottom w:val="none" w:sz="0" w:space="0" w:color="auto"/>
            <w:right w:val="none" w:sz="0" w:space="0" w:color="auto"/>
          </w:divBdr>
        </w:div>
      </w:divsChild>
    </w:div>
    <w:div w:id="535775102">
      <w:marLeft w:val="0"/>
      <w:marRight w:val="0"/>
      <w:marTop w:val="100"/>
      <w:marBottom w:val="100"/>
      <w:divBdr>
        <w:top w:val="none" w:sz="0" w:space="0" w:color="auto"/>
        <w:left w:val="none" w:sz="0" w:space="0" w:color="auto"/>
        <w:bottom w:val="none" w:sz="0" w:space="0" w:color="auto"/>
        <w:right w:val="none" w:sz="0" w:space="0" w:color="auto"/>
      </w:divBdr>
    </w:div>
    <w:div w:id="536700154">
      <w:marLeft w:val="0"/>
      <w:marRight w:val="0"/>
      <w:marTop w:val="100"/>
      <w:marBottom w:val="100"/>
      <w:divBdr>
        <w:top w:val="none" w:sz="0" w:space="0" w:color="auto"/>
        <w:left w:val="none" w:sz="0" w:space="0" w:color="auto"/>
        <w:bottom w:val="none" w:sz="0" w:space="0" w:color="auto"/>
        <w:right w:val="none" w:sz="0" w:space="0" w:color="auto"/>
      </w:divBdr>
    </w:div>
    <w:div w:id="542525360">
      <w:marLeft w:val="0"/>
      <w:marRight w:val="0"/>
      <w:marTop w:val="100"/>
      <w:marBottom w:val="0"/>
      <w:divBdr>
        <w:top w:val="none" w:sz="0" w:space="0" w:color="auto"/>
        <w:left w:val="none" w:sz="0" w:space="0" w:color="auto"/>
        <w:bottom w:val="none" w:sz="0" w:space="0" w:color="auto"/>
        <w:right w:val="none" w:sz="0" w:space="0" w:color="auto"/>
      </w:divBdr>
    </w:div>
    <w:div w:id="544296629">
      <w:marLeft w:val="0"/>
      <w:marRight w:val="0"/>
      <w:marTop w:val="100"/>
      <w:marBottom w:val="100"/>
      <w:divBdr>
        <w:top w:val="none" w:sz="0" w:space="0" w:color="auto"/>
        <w:left w:val="none" w:sz="0" w:space="0" w:color="auto"/>
        <w:bottom w:val="none" w:sz="0" w:space="0" w:color="auto"/>
        <w:right w:val="none" w:sz="0" w:space="0" w:color="auto"/>
      </w:divBdr>
    </w:div>
    <w:div w:id="549264725">
      <w:marLeft w:val="0"/>
      <w:marRight w:val="0"/>
      <w:marTop w:val="0"/>
      <w:marBottom w:val="0"/>
      <w:divBdr>
        <w:top w:val="none" w:sz="0" w:space="0" w:color="auto"/>
        <w:left w:val="none" w:sz="0" w:space="0" w:color="auto"/>
        <w:bottom w:val="none" w:sz="0" w:space="0" w:color="auto"/>
        <w:right w:val="none" w:sz="0" w:space="0" w:color="auto"/>
      </w:divBdr>
    </w:div>
    <w:div w:id="550503038">
      <w:marLeft w:val="0"/>
      <w:marRight w:val="0"/>
      <w:marTop w:val="100"/>
      <w:marBottom w:val="100"/>
      <w:divBdr>
        <w:top w:val="none" w:sz="0" w:space="0" w:color="auto"/>
        <w:left w:val="none" w:sz="0" w:space="0" w:color="auto"/>
        <w:bottom w:val="none" w:sz="0" w:space="0" w:color="auto"/>
        <w:right w:val="none" w:sz="0" w:space="0" w:color="auto"/>
      </w:divBdr>
    </w:div>
    <w:div w:id="553081953">
      <w:marLeft w:val="0"/>
      <w:marRight w:val="0"/>
      <w:marTop w:val="0"/>
      <w:marBottom w:val="0"/>
      <w:divBdr>
        <w:top w:val="none" w:sz="0" w:space="0" w:color="auto"/>
        <w:left w:val="none" w:sz="0" w:space="0" w:color="auto"/>
        <w:bottom w:val="none" w:sz="0" w:space="0" w:color="auto"/>
        <w:right w:val="none" w:sz="0" w:space="0" w:color="auto"/>
      </w:divBdr>
    </w:div>
    <w:div w:id="554199979">
      <w:marLeft w:val="0"/>
      <w:marRight w:val="0"/>
      <w:marTop w:val="180"/>
      <w:marBottom w:val="0"/>
      <w:divBdr>
        <w:top w:val="none" w:sz="0" w:space="0" w:color="auto"/>
        <w:left w:val="none" w:sz="0" w:space="0" w:color="auto"/>
        <w:bottom w:val="none" w:sz="0" w:space="0" w:color="auto"/>
        <w:right w:val="none" w:sz="0" w:space="0" w:color="auto"/>
      </w:divBdr>
    </w:div>
    <w:div w:id="554240588">
      <w:marLeft w:val="0"/>
      <w:marRight w:val="0"/>
      <w:marTop w:val="180"/>
      <w:marBottom w:val="0"/>
      <w:divBdr>
        <w:top w:val="none" w:sz="0" w:space="0" w:color="auto"/>
        <w:left w:val="none" w:sz="0" w:space="0" w:color="auto"/>
        <w:bottom w:val="none" w:sz="0" w:space="0" w:color="auto"/>
        <w:right w:val="none" w:sz="0" w:space="0" w:color="auto"/>
      </w:divBdr>
    </w:div>
    <w:div w:id="559289897">
      <w:marLeft w:val="0"/>
      <w:marRight w:val="0"/>
      <w:marTop w:val="0"/>
      <w:marBottom w:val="0"/>
      <w:divBdr>
        <w:top w:val="none" w:sz="0" w:space="0" w:color="auto"/>
        <w:left w:val="none" w:sz="0" w:space="0" w:color="auto"/>
        <w:bottom w:val="none" w:sz="0" w:space="0" w:color="auto"/>
        <w:right w:val="none" w:sz="0" w:space="0" w:color="auto"/>
      </w:divBdr>
    </w:div>
    <w:div w:id="569729586">
      <w:marLeft w:val="0"/>
      <w:marRight w:val="0"/>
      <w:marTop w:val="180"/>
      <w:marBottom w:val="100"/>
      <w:divBdr>
        <w:top w:val="none" w:sz="0" w:space="0" w:color="auto"/>
        <w:left w:val="none" w:sz="0" w:space="0" w:color="auto"/>
        <w:bottom w:val="none" w:sz="0" w:space="0" w:color="auto"/>
        <w:right w:val="none" w:sz="0" w:space="0" w:color="auto"/>
      </w:divBdr>
    </w:div>
    <w:div w:id="572466423">
      <w:marLeft w:val="0"/>
      <w:marRight w:val="0"/>
      <w:marTop w:val="100"/>
      <w:marBottom w:val="100"/>
      <w:divBdr>
        <w:top w:val="none" w:sz="0" w:space="0" w:color="auto"/>
        <w:left w:val="none" w:sz="0" w:space="0" w:color="auto"/>
        <w:bottom w:val="none" w:sz="0" w:space="0" w:color="auto"/>
        <w:right w:val="none" w:sz="0" w:space="0" w:color="auto"/>
      </w:divBdr>
    </w:div>
    <w:div w:id="573584987">
      <w:marLeft w:val="0"/>
      <w:marRight w:val="0"/>
      <w:marTop w:val="100"/>
      <w:marBottom w:val="100"/>
      <w:divBdr>
        <w:top w:val="none" w:sz="0" w:space="0" w:color="auto"/>
        <w:left w:val="none" w:sz="0" w:space="0" w:color="auto"/>
        <w:bottom w:val="none" w:sz="0" w:space="0" w:color="auto"/>
        <w:right w:val="none" w:sz="0" w:space="0" w:color="auto"/>
      </w:divBdr>
    </w:div>
    <w:div w:id="574247806">
      <w:marLeft w:val="0"/>
      <w:marRight w:val="0"/>
      <w:marTop w:val="0"/>
      <w:marBottom w:val="0"/>
      <w:divBdr>
        <w:top w:val="none" w:sz="0" w:space="0" w:color="auto"/>
        <w:left w:val="none" w:sz="0" w:space="0" w:color="auto"/>
        <w:bottom w:val="none" w:sz="0" w:space="0" w:color="auto"/>
        <w:right w:val="none" w:sz="0" w:space="0" w:color="auto"/>
      </w:divBdr>
    </w:div>
    <w:div w:id="574969706">
      <w:marLeft w:val="0"/>
      <w:marRight w:val="0"/>
      <w:marTop w:val="100"/>
      <w:marBottom w:val="100"/>
      <w:divBdr>
        <w:top w:val="none" w:sz="0" w:space="0" w:color="auto"/>
        <w:left w:val="none" w:sz="0" w:space="0" w:color="auto"/>
        <w:bottom w:val="none" w:sz="0" w:space="0" w:color="auto"/>
        <w:right w:val="none" w:sz="0" w:space="0" w:color="auto"/>
      </w:divBdr>
    </w:div>
    <w:div w:id="575552388">
      <w:marLeft w:val="0"/>
      <w:marRight w:val="0"/>
      <w:marTop w:val="100"/>
      <w:marBottom w:val="100"/>
      <w:divBdr>
        <w:top w:val="none" w:sz="0" w:space="0" w:color="auto"/>
        <w:left w:val="none" w:sz="0" w:space="0" w:color="auto"/>
        <w:bottom w:val="none" w:sz="0" w:space="0" w:color="auto"/>
        <w:right w:val="none" w:sz="0" w:space="0" w:color="auto"/>
      </w:divBdr>
    </w:div>
    <w:div w:id="581448675">
      <w:marLeft w:val="0"/>
      <w:marRight w:val="0"/>
      <w:marTop w:val="0"/>
      <w:marBottom w:val="0"/>
      <w:divBdr>
        <w:top w:val="none" w:sz="0" w:space="0" w:color="auto"/>
        <w:left w:val="none" w:sz="0" w:space="0" w:color="auto"/>
        <w:bottom w:val="none" w:sz="0" w:space="0" w:color="auto"/>
        <w:right w:val="none" w:sz="0" w:space="0" w:color="auto"/>
      </w:divBdr>
      <w:divsChild>
        <w:div w:id="326978526">
          <w:marLeft w:val="0"/>
          <w:marRight w:val="0"/>
          <w:marTop w:val="0"/>
          <w:marBottom w:val="0"/>
          <w:divBdr>
            <w:top w:val="none" w:sz="0" w:space="0" w:color="auto"/>
            <w:left w:val="none" w:sz="0" w:space="0" w:color="auto"/>
            <w:bottom w:val="none" w:sz="0" w:space="0" w:color="auto"/>
            <w:right w:val="none" w:sz="0" w:space="0" w:color="auto"/>
          </w:divBdr>
          <w:divsChild>
            <w:div w:id="6275162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82952254">
      <w:marLeft w:val="0"/>
      <w:marRight w:val="0"/>
      <w:marTop w:val="180"/>
      <w:marBottom w:val="0"/>
      <w:divBdr>
        <w:top w:val="none" w:sz="0" w:space="0" w:color="auto"/>
        <w:left w:val="none" w:sz="0" w:space="0" w:color="auto"/>
        <w:bottom w:val="none" w:sz="0" w:space="0" w:color="auto"/>
        <w:right w:val="none" w:sz="0" w:space="0" w:color="auto"/>
      </w:divBdr>
    </w:div>
    <w:div w:id="584263296">
      <w:marLeft w:val="0"/>
      <w:marRight w:val="0"/>
      <w:marTop w:val="0"/>
      <w:marBottom w:val="0"/>
      <w:divBdr>
        <w:top w:val="none" w:sz="0" w:space="0" w:color="auto"/>
        <w:left w:val="none" w:sz="0" w:space="0" w:color="auto"/>
        <w:bottom w:val="none" w:sz="0" w:space="0" w:color="auto"/>
        <w:right w:val="none" w:sz="0" w:space="0" w:color="auto"/>
      </w:divBdr>
    </w:div>
    <w:div w:id="592011237">
      <w:marLeft w:val="0"/>
      <w:marRight w:val="0"/>
      <w:marTop w:val="100"/>
      <w:marBottom w:val="0"/>
      <w:divBdr>
        <w:top w:val="none" w:sz="0" w:space="0" w:color="auto"/>
        <w:left w:val="none" w:sz="0" w:space="0" w:color="auto"/>
        <w:bottom w:val="none" w:sz="0" w:space="0" w:color="auto"/>
        <w:right w:val="none" w:sz="0" w:space="0" w:color="auto"/>
      </w:divBdr>
    </w:div>
    <w:div w:id="592712734">
      <w:marLeft w:val="0"/>
      <w:marRight w:val="0"/>
      <w:marTop w:val="100"/>
      <w:marBottom w:val="0"/>
      <w:divBdr>
        <w:top w:val="none" w:sz="0" w:space="0" w:color="auto"/>
        <w:left w:val="none" w:sz="0" w:space="0" w:color="auto"/>
        <w:bottom w:val="none" w:sz="0" w:space="0" w:color="auto"/>
        <w:right w:val="none" w:sz="0" w:space="0" w:color="auto"/>
      </w:divBdr>
    </w:div>
    <w:div w:id="593512300">
      <w:marLeft w:val="0"/>
      <w:marRight w:val="0"/>
      <w:marTop w:val="180"/>
      <w:marBottom w:val="0"/>
      <w:divBdr>
        <w:top w:val="none" w:sz="0" w:space="0" w:color="auto"/>
        <w:left w:val="none" w:sz="0" w:space="0" w:color="auto"/>
        <w:bottom w:val="none" w:sz="0" w:space="0" w:color="auto"/>
        <w:right w:val="none" w:sz="0" w:space="0" w:color="auto"/>
      </w:divBdr>
    </w:div>
    <w:div w:id="597830266">
      <w:marLeft w:val="0"/>
      <w:marRight w:val="0"/>
      <w:marTop w:val="0"/>
      <w:marBottom w:val="0"/>
      <w:divBdr>
        <w:top w:val="none" w:sz="0" w:space="0" w:color="auto"/>
        <w:left w:val="none" w:sz="0" w:space="0" w:color="auto"/>
        <w:bottom w:val="none" w:sz="0" w:space="0" w:color="auto"/>
        <w:right w:val="none" w:sz="0" w:space="0" w:color="auto"/>
      </w:divBdr>
    </w:div>
    <w:div w:id="597981488">
      <w:marLeft w:val="0"/>
      <w:marRight w:val="0"/>
      <w:marTop w:val="0"/>
      <w:marBottom w:val="0"/>
      <w:divBdr>
        <w:top w:val="none" w:sz="0" w:space="0" w:color="auto"/>
        <w:left w:val="none" w:sz="0" w:space="0" w:color="auto"/>
        <w:bottom w:val="none" w:sz="0" w:space="0" w:color="auto"/>
        <w:right w:val="none" w:sz="0" w:space="0" w:color="auto"/>
      </w:divBdr>
    </w:div>
    <w:div w:id="599483953">
      <w:marLeft w:val="0"/>
      <w:marRight w:val="0"/>
      <w:marTop w:val="100"/>
      <w:marBottom w:val="100"/>
      <w:divBdr>
        <w:top w:val="none" w:sz="0" w:space="0" w:color="auto"/>
        <w:left w:val="none" w:sz="0" w:space="0" w:color="auto"/>
        <w:bottom w:val="none" w:sz="0" w:space="0" w:color="auto"/>
        <w:right w:val="none" w:sz="0" w:space="0" w:color="auto"/>
      </w:divBdr>
    </w:div>
    <w:div w:id="603270957">
      <w:marLeft w:val="0"/>
      <w:marRight w:val="0"/>
      <w:marTop w:val="0"/>
      <w:marBottom w:val="0"/>
      <w:divBdr>
        <w:top w:val="none" w:sz="0" w:space="0" w:color="auto"/>
        <w:left w:val="none" w:sz="0" w:space="0" w:color="auto"/>
        <w:bottom w:val="none" w:sz="0" w:space="0" w:color="auto"/>
        <w:right w:val="none" w:sz="0" w:space="0" w:color="auto"/>
      </w:divBdr>
    </w:div>
    <w:div w:id="606229357">
      <w:marLeft w:val="0"/>
      <w:marRight w:val="0"/>
      <w:marTop w:val="0"/>
      <w:marBottom w:val="0"/>
      <w:divBdr>
        <w:top w:val="none" w:sz="0" w:space="0" w:color="auto"/>
        <w:left w:val="none" w:sz="0" w:space="0" w:color="auto"/>
        <w:bottom w:val="none" w:sz="0" w:space="0" w:color="auto"/>
        <w:right w:val="none" w:sz="0" w:space="0" w:color="auto"/>
      </w:divBdr>
      <w:divsChild>
        <w:div w:id="2120639703">
          <w:marLeft w:val="0"/>
          <w:marRight w:val="0"/>
          <w:marTop w:val="100"/>
          <w:marBottom w:val="100"/>
          <w:divBdr>
            <w:top w:val="none" w:sz="0" w:space="0" w:color="auto"/>
            <w:left w:val="none" w:sz="0" w:space="0" w:color="auto"/>
            <w:bottom w:val="none" w:sz="0" w:space="0" w:color="auto"/>
            <w:right w:val="none" w:sz="0" w:space="0" w:color="auto"/>
          </w:divBdr>
        </w:div>
        <w:div w:id="804739363">
          <w:marLeft w:val="0"/>
          <w:marRight w:val="0"/>
          <w:marTop w:val="100"/>
          <w:marBottom w:val="100"/>
          <w:divBdr>
            <w:top w:val="none" w:sz="0" w:space="0" w:color="auto"/>
            <w:left w:val="none" w:sz="0" w:space="0" w:color="auto"/>
            <w:bottom w:val="none" w:sz="0" w:space="0" w:color="auto"/>
            <w:right w:val="none" w:sz="0" w:space="0" w:color="auto"/>
          </w:divBdr>
        </w:div>
      </w:divsChild>
    </w:div>
    <w:div w:id="614097895">
      <w:marLeft w:val="0"/>
      <w:marRight w:val="0"/>
      <w:marTop w:val="180"/>
      <w:marBottom w:val="0"/>
      <w:divBdr>
        <w:top w:val="none" w:sz="0" w:space="0" w:color="auto"/>
        <w:left w:val="none" w:sz="0" w:space="0" w:color="auto"/>
        <w:bottom w:val="none" w:sz="0" w:space="0" w:color="auto"/>
        <w:right w:val="none" w:sz="0" w:space="0" w:color="auto"/>
      </w:divBdr>
    </w:div>
    <w:div w:id="619803363">
      <w:marLeft w:val="0"/>
      <w:marRight w:val="0"/>
      <w:marTop w:val="0"/>
      <w:marBottom w:val="0"/>
      <w:divBdr>
        <w:top w:val="none" w:sz="0" w:space="0" w:color="auto"/>
        <w:left w:val="none" w:sz="0" w:space="0" w:color="auto"/>
        <w:bottom w:val="none" w:sz="0" w:space="0" w:color="auto"/>
        <w:right w:val="none" w:sz="0" w:space="0" w:color="auto"/>
      </w:divBdr>
      <w:divsChild>
        <w:div w:id="1127550571">
          <w:marLeft w:val="0"/>
          <w:marRight w:val="0"/>
          <w:marTop w:val="100"/>
          <w:marBottom w:val="100"/>
          <w:divBdr>
            <w:top w:val="none" w:sz="0" w:space="0" w:color="auto"/>
            <w:left w:val="none" w:sz="0" w:space="0" w:color="auto"/>
            <w:bottom w:val="none" w:sz="0" w:space="0" w:color="auto"/>
            <w:right w:val="none" w:sz="0" w:space="0" w:color="auto"/>
          </w:divBdr>
        </w:div>
        <w:div w:id="1009715255">
          <w:marLeft w:val="0"/>
          <w:marRight w:val="0"/>
          <w:marTop w:val="100"/>
          <w:marBottom w:val="100"/>
          <w:divBdr>
            <w:top w:val="none" w:sz="0" w:space="0" w:color="auto"/>
            <w:left w:val="none" w:sz="0" w:space="0" w:color="auto"/>
            <w:bottom w:val="none" w:sz="0" w:space="0" w:color="auto"/>
            <w:right w:val="none" w:sz="0" w:space="0" w:color="auto"/>
          </w:divBdr>
        </w:div>
      </w:divsChild>
    </w:div>
    <w:div w:id="629282561">
      <w:marLeft w:val="0"/>
      <w:marRight w:val="0"/>
      <w:marTop w:val="0"/>
      <w:marBottom w:val="0"/>
      <w:divBdr>
        <w:top w:val="none" w:sz="0" w:space="0" w:color="auto"/>
        <w:left w:val="none" w:sz="0" w:space="0" w:color="auto"/>
        <w:bottom w:val="none" w:sz="0" w:space="0" w:color="auto"/>
        <w:right w:val="none" w:sz="0" w:space="0" w:color="auto"/>
      </w:divBdr>
      <w:divsChild>
        <w:div w:id="34434090">
          <w:marLeft w:val="0"/>
          <w:marRight w:val="0"/>
          <w:marTop w:val="100"/>
          <w:marBottom w:val="100"/>
          <w:divBdr>
            <w:top w:val="none" w:sz="0" w:space="0" w:color="auto"/>
            <w:left w:val="none" w:sz="0" w:space="0" w:color="auto"/>
            <w:bottom w:val="none" w:sz="0" w:space="0" w:color="auto"/>
            <w:right w:val="none" w:sz="0" w:space="0" w:color="auto"/>
          </w:divBdr>
        </w:div>
        <w:div w:id="826825505">
          <w:marLeft w:val="0"/>
          <w:marRight w:val="0"/>
          <w:marTop w:val="100"/>
          <w:marBottom w:val="100"/>
          <w:divBdr>
            <w:top w:val="none" w:sz="0" w:space="0" w:color="auto"/>
            <w:left w:val="none" w:sz="0" w:space="0" w:color="auto"/>
            <w:bottom w:val="none" w:sz="0" w:space="0" w:color="auto"/>
            <w:right w:val="none" w:sz="0" w:space="0" w:color="auto"/>
          </w:divBdr>
        </w:div>
      </w:divsChild>
    </w:div>
    <w:div w:id="630939498">
      <w:marLeft w:val="0"/>
      <w:marRight w:val="0"/>
      <w:marTop w:val="100"/>
      <w:marBottom w:val="100"/>
      <w:divBdr>
        <w:top w:val="none" w:sz="0" w:space="0" w:color="auto"/>
        <w:left w:val="none" w:sz="0" w:space="0" w:color="auto"/>
        <w:bottom w:val="none" w:sz="0" w:space="0" w:color="auto"/>
        <w:right w:val="none" w:sz="0" w:space="0" w:color="auto"/>
      </w:divBdr>
    </w:div>
    <w:div w:id="633215173">
      <w:marLeft w:val="0"/>
      <w:marRight w:val="0"/>
      <w:marTop w:val="180"/>
      <w:marBottom w:val="100"/>
      <w:divBdr>
        <w:top w:val="none" w:sz="0" w:space="0" w:color="auto"/>
        <w:left w:val="none" w:sz="0" w:space="0" w:color="auto"/>
        <w:bottom w:val="none" w:sz="0" w:space="0" w:color="auto"/>
        <w:right w:val="none" w:sz="0" w:space="0" w:color="auto"/>
      </w:divBdr>
    </w:div>
    <w:div w:id="639959369">
      <w:marLeft w:val="0"/>
      <w:marRight w:val="0"/>
      <w:marTop w:val="180"/>
      <w:marBottom w:val="0"/>
      <w:divBdr>
        <w:top w:val="none" w:sz="0" w:space="0" w:color="auto"/>
        <w:left w:val="none" w:sz="0" w:space="0" w:color="auto"/>
        <w:bottom w:val="none" w:sz="0" w:space="0" w:color="auto"/>
        <w:right w:val="none" w:sz="0" w:space="0" w:color="auto"/>
      </w:divBdr>
    </w:div>
    <w:div w:id="649359129">
      <w:marLeft w:val="0"/>
      <w:marRight w:val="0"/>
      <w:marTop w:val="180"/>
      <w:marBottom w:val="0"/>
      <w:divBdr>
        <w:top w:val="none" w:sz="0" w:space="0" w:color="auto"/>
        <w:left w:val="none" w:sz="0" w:space="0" w:color="auto"/>
        <w:bottom w:val="none" w:sz="0" w:space="0" w:color="auto"/>
        <w:right w:val="none" w:sz="0" w:space="0" w:color="auto"/>
      </w:divBdr>
    </w:div>
    <w:div w:id="649554427">
      <w:marLeft w:val="0"/>
      <w:marRight w:val="0"/>
      <w:marTop w:val="100"/>
      <w:marBottom w:val="100"/>
      <w:divBdr>
        <w:top w:val="none" w:sz="0" w:space="0" w:color="auto"/>
        <w:left w:val="none" w:sz="0" w:space="0" w:color="auto"/>
        <w:bottom w:val="none" w:sz="0" w:space="0" w:color="auto"/>
        <w:right w:val="none" w:sz="0" w:space="0" w:color="auto"/>
      </w:divBdr>
    </w:div>
    <w:div w:id="650135867">
      <w:marLeft w:val="0"/>
      <w:marRight w:val="0"/>
      <w:marTop w:val="180"/>
      <w:marBottom w:val="100"/>
      <w:divBdr>
        <w:top w:val="none" w:sz="0" w:space="0" w:color="auto"/>
        <w:left w:val="none" w:sz="0" w:space="0" w:color="auto"/>
        <w:bottom w:val="none" w:sz="0" w:space="0" w:color="auto"/>
        <w:right w:val="none" w:sz="0" w:space="0" w:color="auto"/>
      </w:divBdr>
    </w:div>
    <w:div w:id="653412309">
      <w:marLeft w:val="0"/>
      <w:marRight w:val="0"/>
      <w:marTop w:val="0"/>
      <w:marBottom w:val="0"/>
      <w:divBdr>
        <w:top w:val="none" w:sz="0" w:space="0" w:color="auto"/>
        <w:left w:val="none" w:sz="0" w:space="0" w:color="auto"/>
        <w:bottom w:val="none" w:sz="0" w:space="0" w:color="auto"/>
        <w:right w:val="none" w:sz="0" w:space="0" w:color="auto"/>
      </w:divBdr>
      <w:divsChild>
        <w:div w:id="2110345688">
          <w:marLeft w:val="0"/>
          <w:marRight w:val="0"/>
          <w:marTop w:val="100"/>
          <w:marBottom w:val="100"/>
          <w:divBdr>
            <w:top w:val="none" w:sz="0" w:space="0" w:color="auto"/>
            <w:left w:val="none" w:sz="0" w:space="0" w:color="auto"/>
            <w:bottom w:val="none" w:sz="0" w:space="0" w:color="auto"/>
            <w:right w:val="none" w:sz="0" w:space="0" w:color="auto"/>
          </w:divBdr>
        </w:div>
        <w:div w:id="2072577432">
          <w:marLeft w:val="0"/>
          <w:marRight w:val="0"/>
          <w:marTop w:val="100"/>
          <w:marBottom w:val="100"/>
          <w:divBdr>
            <w:top w:val="none" w:sz="0" w:space="0" w:color="auto"/>
            <w:left w:val="none" w:sz="0" w:space="0" w:color="auto"/>
            <w:bottom w:val="none" w:sz="0" w:space="0" w:color="auto"/>
            <w:right w:val="none" w:sz="0" w:space="0" w:color="auto"/>
          </w:divBdr>
        </w:div>
      </w:divsChild>
    </w:div>
    <w:div w:id="653488707">
      <w:marLeft w:val="0"/>
      <w:marRight w:val="0"/>
      <w:marTop w:val="0"/>
      <w:marBottom w:val="0"/>
      <w:divBdr>
        <w:top w:val="none" w:sz="0" w:space="0" w:color="auto"/>
        <w:left w:val="none" w:sz="0" w:space="0" w:color="auto"/>
        <w:bottom w:val="none" w:sz="0" w:space="0" w:color="auto"/>
        <w:right w:val="none" w:sz="0" w:space="0" w:color="auto"/>
      </w:divBdr>
    </w:div>
    <w:div w:id="658118863">
      <w:marLeft w:val="0"/>
      <w:marRight w:val="0"/>
      <w:marTop w:val="180"/>
      <w:marBottom w:val="0"/>
      <w:divBdr>
        <w:top w:val="none" w:sz="0" w:space="0" w:color="auto"/>
        <w:left w:val="none" w:sz="0" w:space="0" w:color="auto"/>
        <w:bottom w:val="none" w:sz="0" w:space="0" w:color="auto"/>
        <w:right w:val="none" w:sz="0" w:space="0" w:color="auto"/>
      </w:divBdr>
    </w:div>
    <w:div w:id="659193488">
      <w:marLeft w:val="0"/>
      <w:marRight w:val="0"/>
      <w:marTop w:val="100"/>
      <w:marBottom w:val="100"/>
      <w:divBdr>
        <w:top w:val="none" w:sz="0" w:space="0" w:color="auto"/>
        <w:left w:val="none" w:sz="0" w:space="0" w:color="auto"/>
        <w:bottom w:val="none" w:sz="0" w:space="0" w:color="auto"/>
        <w:right w:val="none" w:sz="0" w:space="0" w:color="auto"/>
      </w:divBdr>
    </w:div>
    <w:div w:id="662583768">
      <w:marLeft w:val="0"/>
      <w:marRight w:val="0"/>
      <w:marTop w:val="0"/>
      <w:marBottom w:val="0"/>
      <w:divBdr>
        <w:top w:val="none" w:sz="0" w:space="0" w:color="auto"/>
        <w:left w:val="none" w:sz="0" w:space="0" w:color="auto"/>
        <w:bottom w:val="none" w:sz="0" w:space="0" w:color="auto"/>
        <w:right w:val="none" w:sz="0" w:space="0" w:color="auto"/>
      </w:divBdr>
    </w:div>
    <w:div w:id="666833703">
      <w:marLeft w:val="0"/>
      <w:marRight w:val="0"/>
      <w:marTop w:val="100"/>
      <w:marBottom w:val="100"/>
      <w:divBdr>
        <w:top w:val="none" w:sz="0" w:space="0" w:color="auto"/>
        <w:left w:val="none" w:sz="0" w:space="0" w:color="auto"/>
        <w:bottom w:val="none" w:sz="0" w:space="0" w:color="auto"/>
        <w:right w:val="none" w:sz="0" w:space="0" w:color="auto"/>
      </w:divBdr>
    </w:div>
    <w:div w:id="670570045">
      <w:marLeft w:val="0"/>
      <w:marRight w:val="0"/>
      <w:marTop w:val="0"/>
      <w:marBottom w:val="0"/>
      <w:divBdr>
        <w:top w:val="none" w:sz="0" w:space="0" w:color="auto"/>
        <w:left w:val="none" w:sz="0" w:space="0" w:color="auto"/>
        <w:bottom w:val="none" w:sz="0" w:space="0" w:color="auto"/>
        <w:right w:val="none" w:sz="0" w:space="0" w:color="auto"/>
      </w:divBdr>
    </w:div>
    <w:div w:id="675032965">
      <w:marLeft w:val="0"/>
      <w:marRight w:val="0"/>
      <w:marTop w:val="180"/>
      <w:marBottom w:val="100"/>
      <w:divBdr>
        <w:top w:val="none" w:sz="0" w:space="0" w:color="auto"/>
        <w:left w:val="none" w:sz="0" w:space="0" w:color="auto"/>
        <w:bottom w:val="none" w:sz="0" w:space="0" w:color="auto"/>
        <w:right w:val="none" w:sz="0" w:space="0" w:color="auto"/>
      </w:divBdr>
    </w:div>
    <w:div w:id="675808490">
      <w:marLeft w:val="0"/>
      <w:marRight w:val="0"/>
      <w:marTop w:val="0"/>
      <w:marBottom w:val="0"/>
      <w:divBdr>
        <w:top w:val="none" w:sz="0" w:space="0" w:color="auto"/>
        <w:left w:val="none" w:sz="0" w:space="0" w:color="auto"/>
        <w:bottom w:val="none" w:sz="0" w:space="0" w:color="auto"/>
        <w:right w:val="none" w:sz="0" w:space="0" w:color="auto"/>
      </w:divBdr>
    </w:div>
    <w:div w:id="676425432">
      <w:marLeft w:val="0"/>
      <w:marRight w:val="0"/>
      <w:marTop w:val="0"/>
      <w:marBottom w:val="0"/>
      <w:divBdr>
        <w:top w:val="none" w:sz="0" w:space="0" w:color="auto"/>
        <w:left w:val="none" w:sz="0" w:space="0" w:color="auto"/>
        <w:bottom w:val="none" w:sz="0" w:space="0" w:color="auto"/>
        <w:right w:val="none" w:sz="0" w:space="0" w:color="auto"/>
      </w:divBdr>
    </w:div>
    <w:div w:id="677392685">
      <w:marLeft w:val="0"/>
      <w:marRight w:val="0"/>
      <w:marTop w:val="180"/>
      <w:marBottom w:val="0"/>
      <w:divBdr>
        <w:top w:val="none" w:sz="0" w:space="0" w:color="auto"/>
        <w:left w:val="none" w:sz="0" w:space="0" w:color="auto"/>
        <w:bottom w:val="none" w:sz="0" w:space="0" w:color="auto"/>
        <w:right w:val="none" w:sz="0" w:space="0" w:color="auto"/>
      </w:divBdr>
    </w:div>
    <w:div w:id="680204767">
      <w:marLeft w:val="0"/>
      <w:marRight w:val="0"/>
      <w:marTop w:val="0"/>
      <w:marBottom w:val="0"/>
      <w:divBdr>
        <w:top w:val="none" w:sz="0" w:space="0" w:color="auto"/>
        <w:left w:val="none" w:sz="0" w:space="0" w:color="auto"/>
        <w:bottom w:val="none" w:sz="0" w:space="0" w:color="auto"/>
        <w:right w:val="none" w:sz="0" w:space="0" w:color="auto"/>
      </w:divBdr>
      <w:divsChild>
        <w:div w:id="241524200">
          <w:marLeft w:val="0"/>
          <w:marRight w:val="0"/>
          <w:marTop w:val="100"/>
          <w:marBottom w:val="100"/>
          <w:divBdr>
            <w:top w:val="none" w:sz="0" w:space="0" w:color="auto"/>
            <w:left w:val="none" w:sz="0" w:space="0" w:color="auto"/>
            <w:bottom w:val="none" w:sz="0" w:space="0" w:color="auto"/>
            <w:right w:val="none" w:sz="0" w:space="0" w:color="auto"/>
          </w:divBdr>
        </w:div>
        <w:div w:id="744182460">
          <w:marLeft w:val="0"/>
          <w:marRight w:val="0"/>
          <w:marTop w:val="100"/>
          <w:marBottom w:val="100"/>
          <w:divBdr>
            <w:top w:val="none" w:sz="0" w:space="0" w:color="auto"/>
            <w:left w:val="none" w:sz="0" w:space="0" w:color="auto"/>
            <w:bottom w:val="none" w:sz="0" w:space="0" w:color="auto"/>
            <w:right w:val="none" w:sz="0" w:space="0" w:color="auto"/>
          </w:divBdr>
        </w:div>
      </w:divsChild>
    </w:div>
    <w:div w:id="682628687">
      <w:marLeft w:val="0"/>
      <w:marRight w:val="0"/>
      <w:marTop w:val="0"/>
      <w:marBottom w:val="0"/>
      <w:divBdr>
        <w:top w:val="none" w:sz="0" w:space="0" w:color="auto"/>
        <w:left w:val="none" w:sz="0" w:space="0" w:color="auto"/>
        <w:bottom w:val="none" w:sz="0" w:space="0" w:color="auto"/>
        <w:right w:val="none" w:sz="0" w:space="0" w:color="auto"/>
      </w:divBdr>
      <w:divsChild>
        <w:div w:id="918561299">
          <w:marLeft w:val="0"/>
          <w:marRight w:val="0"/>
          <w:marTop w:val="100"/>
          <w:marBottom w:val="100"/>
          <w:divBdr>
            <w:top w:val="none" w:sz="0" w:space="0" w:color="auto"/>
            <w:left w:val="none" w:sz="0" w:space="0" w:color="auto"/>
            <w:bottom w:val="none" w:sz="0" w:space="0" w:color="auto"/>
            <w:right w:val="none" w:sz="0" w:space="0" w:color="auto"/>
          </w:divBdr>
        </w:div>
        <w:div w:id="1218860356">
          <w:marLeft w:val="0"/>
          <w:marRight w:val="0"/>
          <w:marTop w:val="100"/>
          <w:marBottom w:val="100"/>
          <w:divBdr>
            <w:top w:val="none" w:sz="0" w:space="0" w:color="auto"/>
            <w:left w:val="none" w:sz="0" w:space="0" w:color="auto"/>
            <w:bottom w:val="none" w:sz="0" w:space="0" w:color="auto"/>
            <w:right w:val="none" w:sz="0" w:space="0" w:color="auto"/>
          </w:divBdr>
        </w:div>
      </w:divsChild>
    </w:div>
    <w:div w:id="684670311">
      <w:marLeft w:val="0"/>
      <w:marRight w:val="0"/>
      <w:marTop w:val="100"/>
      <w:marBottom w:val="100"/>
      <w:divBdr>
        <w:top w:val="none" w:sz="0" w:space="0" w:color="auto"/>
        <w:left w:val="none" w:sz="0" w:space="0" w:color="auto"/>
        <w:bottom w:val="none" w:sz="0" w:space="0" w:color="auto"/>
        <w:right w:val="none" w:sz="0" w:space="0" w:color="auto"/>
      </w:divBdr>
    </w:div>
    <w:div w:id="691304582">
      <w:marLeft w:val="0"/>
      <w:marRight w:val="0"/>
      <w:marTop w:val="0"/>
      <w:marBottom w:val="0"/>
      <w:divBdr>
        <w:top w:val="none" w:sz="0" w:space="0" w:color="auto"/>
        <w:left w:val="none" w:sz="0" w:space="0" w:color="auto"/>
        <w:bottom w:val="none" w:sz="0" w:space="0" w:color="auto"/>
        <w:right w:val="none" w:sz="0" w:space="0" w:color="auto"/>
      </w:divBdr>
      <w:divsChild>
        <w:div w:id="1909420982">
          <w:marLeft w:val="0"/>
          <w:marRight w:val="0"/>
          <w:marTop w:val="0"/>
          <w:marBottom w:val="0"/>
          <w:divBdr>
            <w:top w:val="none" w:sz="0" w:space="0" w:color="auto"/>
            <w:left w:val="none" w:sz="0" w:space="0" w:color="auto"/>
            <w:bottom w:val="none" w:sz="0" w:space="0" w:color="auto"/>
            <w:right w:val="none" w:sz="0" w:space="0" w:color="auto"/>
          </w:divBdr>
          <w:divsChild>
            <w:div w:id="4743752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95421761">
      <w:marLeft w:val="0"/>
      <w:marRight w:val="0"/>
      <w:marTop w:val="100"/>
      <w:marBottom w:val="0"/>
      <w:divBdr>
        <w:top w:val="none" w:sz="0" w:space="0" w:color="auto"/>
        <w:left w:val="none" w:sz="0" w:space="0" w:color="auto"/>
        <w:bottom w:val="none" w:sz="0" w:space="0" w:color="auto"/>
        <w:right w:val="none" w:sz="0" w:space="0" w:color="auto"/>
      </w:divBdr>
    </w:div>
    <w:div w:id="696857011">
      <w:marLeft w:val="0"/>
      <w:marRight w:val="0"/>
      <w:marTop w:val="0"/>
      <w:marBottom w:val="0"/>
      <w:divBdr>
        <w:top w:val="none" w:sz="0" w:space="0" w:color="auto"/>
        <w:left w:val="none" w:sz="0" w:space="0" w:color="auto"/>
        <w:bottom w:val="none" w:sz="0" w:space="0" w:color="auto"/>
        <w:right w:val="none" w:sz="0" w:space="0" w:color="auto"/>
      </w:divBdr>
    </w:div>
    <w:div w:id="702365728">
      <w:marLeft w:val="0"/>
      <w:marRight w:val="0"/>
      <w:marTop w:val="0"/>
      <w:marBottom w:val="0"/>
      <w:divBdr>
        <w:top w:val="none" w:sz="0" w:space="0" w:color="auto"/>
        <w:left w:val="none" w:sz="0" w:space="0" w:color="auto"/>
        <w:bottom w:val="none" w:sz="0" w:space="0" w:color="auto"/>
        <w:right w:val="none" w:sz="0" w:space="0" w:color="auto"/>
      </w:divBdr>
    </w:div>
    <w:div w:id="712465037">
      <w:marLeft w:val="0"/>
      <w:marRight w:val="0"/>
      <w:marTop w:val="0"/>
      <w:marBottom w:val="0"/>
      <w:divBdr>
        <w:top w:val="none" w:sz="0" w:space="0" w:color="auto"/>
        <w:left w:val="none" w:sz="0" w:space="0" w:color="auto"/>
        <w:bottom w:val="none" w:sz="0" w:space="0" w:color="auto"/>
        <w:right w:val="none" w:sz="0" w:space="0" w:color="auto"/>
      </w:divBdr>
    </w:div>
    <w:div w:id="716389869">
      <w:marLeft w:val="0"/>
      <w:marRight w:val="0"/>
      <w:marTop w:val="100"/>
      <w:marBottom w:val="100"/>
      <w:divBdr>
        <w:top w:val="none" w:sz="0" w:space="0" w:color="auto"/>
        <w:left w:val="none" w:sz="0" w:space="0" w:color="auto"/>
        <w:bottom w:val="none" w:sz="0" w:space="0" w:color="auto"/>
        <w:right w:val="none" w:sz="0" w:space="0" w:color="auto"/>
      </w:divBdr>
    </w:div>
    <w:div w:id="717242614">
      <w:marLeft w:val="0"/>
      <w:marRight w:val="0"/>
      <w:marTop w:val="0"/>
      <w:marBottom w:val="0"/>
      <w:divBdr>
        <w:top w:val="none" w:sz="0" w:space="0" w:color="auto"/>
        <w:left w:val="none" w:sz="0" w:space="0" w:color="auto"/>
        <w:bottom w:val="none" w:sz="0" w:space="0" w:color="auto"/>
        <w:right w:val="none" w:sz="0" w:space="0" w:color="auto"/>
      </w:divBdr>
    </w:div>
    <w:div w:id="721487604">
      <w:marLeft w:val="0"/>
      <w:marRight w:val="0"/>
      <w:marTop w:val="0"/>
      <w:marBottom w:val="0"/>
      <w:divBdr>
        <w:top w:val="none" w:sz="0" w:space="0" w:color="auto"/>
        <w:left w:val="none" w:sz="0" w:space="0" w:color="auto"/>
        <w:bottom w:val="none" w:sz="0" w:space="0" w:color="auto"/>
        <w:right w:val="none" w:sz="0" w:space="0" w:color="auto"/>
      </w:divBdr>
    </w:div>
    <w:div w:id="724261740">
      <w:marLeft w:val="0"/>
      <w:marRight w:val="0"/>
      <w:marTop w:val="0"/>
      <w:marBottom w:val="0"/>
      <w:divBdr>
        <w:top w:val="none" w:sz="0" w:space="0" w:color="auto"/>
        <w:left w:val="none" w:sz="0" w:space="0" w:color="auto"/>
        <w:bottom w:val="none" w:sz="0" w:space="0" w:color="auto"/>
        <w:right w:val="none" w:sz="0" w:space="0" w:color="auto"/>
      </w:divBdr>
    </w:div>
    <w:div w:id="726957509">
      <w:marLeft w:val="0"/>
      <w:marRight w:val="0"/>
      <w:marTop w:val="100"/>
      <w:marBottom w:val="100"/>
      <w:divBdr>
        <w:top w:val="none" w:sz="0" w:space="0" w:color="auto"/>
        <w:left w:val="none" w:sz="0" w:space="0" w:color="auto"/>
        <w:bottom w:val="none" w:sz="0" w:space="0" w:color="auto"/>
        <w:right w:val="none" w:sz="0" w:space="0" w:color="auto"/>
      </w:divBdr>
    </w:div>
    <w:div w:id="731807188">
      <w:marLeft w:val="0"/>
      <w:marRight w:val="0"/>
      <w:marTop w:val="0"/>
      <w:marBottom w:val="0"/>
      <w:divBdr>
        <w:top w:val="none" w:sz="0" w:space="0" w:color="auto"/>
        <w:left w:val="none" w:sz="0" w:space="0" w:color="auto"/>
        <w:bottom w:val="none" w:sz="0" w:space="0" w:color="auto"/>
        <w:right w:val="none" w:sz="0" w:space="0" w:color="auto"/>
      </w:divBdr>
    </w:div>
    <w:div w:id="733696491">
      <w:marLeft w:val="0"/>
      <w:marRight w:val="0"/>
      <w:marTop w:val="180"/>
      <w:marBottom w:val="0"/>
      <w:divBdr>
        <w:top w:val="none" w:sz="0" w:space="0" w:color="auto"/>
        <w:left w:val="none" w:sz="0" w:space="0" w:color="auto"/>
        <w:bottom w:val="none" w:sz="0" w:space="0" w:color="auto"/>
        <w:right w:val="none" w:sz="0" w:space="0" w:color="auto"/>
      </w:divBdr>
    </w:div>
    <w:div w:id="736560518">
      <w:marLeft w:val="0"/>
      <w:marRight w:val="0"/>
      <w:marTop w:val="180"/>
      <w:marBottom w:val="100"/>
      <w:divBdr>
        <w:top w:val="none" w:sz="0" w:space="0" w:color="auto"/>
        <w:left w:val="none" w:sz="0" w:space="0" w:color="auto"/>
        <w:bottom w:val="none" w:sz="0" w:space="0" w:color="auto"/>
        <w:right w:val="none" w:sz="0" w:space="0" w:color="auto"/>
      </w:divBdr>
    </w:div>
    <w:div w:id="737172474">
      <w:marLeft w:val="0"/>
      <w:marRight w:val="0"/>
      <w:marTop w:val="180"/>
      <w:marBottom w:val="0"/>
      <w:divBdr>
        <w:top w:val="none" w:sz="0" w:space="0" w:color="auto"/>
        <w:left w:val="none" w:sz="0" w:space="0" w:color="auto"/>
        <w:bottom w:val="none" w:sz="0" w:space="0" w:color="auto"/>
        <w:right w:val="none" w:sz="0" w:space="0" w:color="auto"/>
      </w:divBdr>
    </w:div>
    <w:div w:id="739710881">
      <w:marLeft w:val="0"/>
      <w:marRight w:val="0"/>
      <w:marTop w:val="100"/>
      <w:marBottom w:val="100"/>
      <w:divBdr>
        <w:top w:val="none" w:sz="0" w:space="0" w:color="auto"/>
        <w:left w:val="none" w:sz="0" w:space="0" w:color="auto"/>
        <w:bottom w:val="none" w:sz="0" w:space="0" w:color="auto"/>
        <w:right w:val="none" w:sz="0" w:space="0" w:color="auto"/>
      </w:divBdr>
    </w:div>
    <w:div w:id="740834119">
      <w:marLeft w:val="0"/>
      <w:marRight w:val="0"/>
      <w:marTop w:val="180"/>
      <w:marBottom w:val="0"/>
      <w:divBdr>
        <w:top w:val="none" w:sz="0" w:space="0" w:color="auto"/>
        <w:left w:val="none" w:sz="0" w:space="0" w:color="auto"/>
        <w:bottom w:val="none" w:sz="0" w:space="0" w:color="auto"/>
        <w:right w:val="none" w:sz="0" w:space="0" w:color="auto"/>
      </w:divBdr>
    </w:div>
    <w:div w:id="741561201">
      <w:marLeft w:val="0"/>
      <w:marRight w:val="0"/>
      <w:marTop w:val="180"/>
      <w:marBottom w:val="0"/>
      <w:divBdr>
        <w:top w:val="none" w:sz="0" w:space="0" w:color="auto"/>
        <w:left w:val="none" w:sz="0" w:space="0" w:color="auto"/>
        <w:bottom w:val="none" w:sz="0" w:space="0" w:color="auto"/>
        <w:right w:val="none" w:sz="0" w:space="0" w:color="auto"/>
      </w:divBdr>
    </w:div>
    <w:div w:id="744761357">
      <w:marLeft w:val="0"/>
      <w:marRight w:val="0"/>
      <w:marTop w:val="0"/>
      <w:marBottom w:val="0"/>
      <w:divBdr>
        <w:top w:val="none" w:sz="0" w:space="0" w:color="auto"/>
        <w:left w:val="none" w:sz="0" w:space="0" w:color="auto"/>
        <w:bottom w:val="none" w:sz="0" w:space="0" w:color="auto"/>
        <w:right w:val="none" w:sz="0" w:space="0" w:color="auto"/>
      </w:divBdr>
    </w:div>
    <w:div w:id="749153428">
      <w:marLeft w:val="0"/>
      <w:marRight w:val="0"/>
      <w:marTop w:val="180"/>
      <w:marBottom w:val="100"/>
      <w:divBdr>
        <w:top w:val="none" w:sz="0" w:space="0" w:color="auto"/>
        <w:left w:val="none" w:sz="0" w:space="0" w:color="auto"/>
        <w:bottom w:val="none" w:sz="0" w:space="0" w:color="auto"/>
        <w:right w:val="none" w:sz="0" w:space="0" w:color="auto"/>
      </w:divBdr>
    </w:div>
    <w:div w:id="751969520">
      <w:marLeft w:val="0"/>
      <w:marRight w:val="0"/>
      <w:marTop w:val="0"/>
      <w:marBottom w:val="0"/>
      <w:divBdr>
        <w:top w:val="none" w:sz="0" w:space="0" w:color="auto"/>
        <w:left w:val="none" w:sz="0" w:space="0" w:color="auto"/>
        <w:bottom w:val="none" w:sz="0" w:space="0" w:color="auto"/>
        <w:right w:val="none" w:sz="0" w:space="0" w:color="auto"/>
      </w:divBdr>
    </w:div>
    <w:div w:id="756632069">
      <w:marLeft w:val="0"/>
      <w:marRight w:val="0"/>
      <w:marTop w:val="100"/>
      <w:marBottom w:val="100"/>
      <w:divBdr>
        <w:top w:val="none" w:sz="0" w:space="0" w:color="auto"/>
        <w:left w:val="none" w:sz="0" w:space="0" w:color="auto"/>
        <w:bottom w:val="none" w:sz="0" w:space="0" w:color="auto"/>
        <w:right w:val="none" w:sz="0" w:space="0" w:color="auto"/>
      </w:divBdr>
    </w:div>
    <w:div w:id="758019404">
      <w:marLeft w:val="0"/>
      <w:marRight w:val="0"/>
      <w:marTop w:val="180"/>
      <w:marBottom w:val="0"/>
      <w:divBdr>
        <w:top w:val="none" w:sz="0" w:space="0" w:color="auto"/>
        <w:left w:val="none" w:sz="0" w:space="0" w:color="auto"/>
        <w:bottom w:val="none" w:sz="0" w:space="0" w:color="auto"/>
        <w:right w:val="none" w:sz="0" w:space="0" w:color="auto"/>
      </w:divBdr>
    </w:div>
    <w:div w:id="769205157">
      <w:marLeft w:val="0"/>
      <w:marRight w:val="0"/>
      <w:marTop w:val="0"/>
      <w:marBottom w:val="0"/>
      <w:divBdr>
        <w:top w:val="none" w:sz="0" w:space="0" w:color="auto"/>
        <w:left w:val="none" w:sz="0" w:space="0" w:color="auto"/>
        <w:bottom w:val="none" w:sz="0" w:space="0" w:color="auto"/>
        <w:right w:val="none" w:sz="0" w:space="0" w:color="auto"/>
      </w:divBdr>
      <w:divsChild>
        <w:div w:id="2134665767">
          <w:marLeft w:val="0"/>
          <w:marRight w:val="0"/>
          <w:marTop w:val="100"/>
          <w:marBottom w:val="100"/>
          <w:divBdr>
            <w:top w:val="none" w:sz="0" w:space="0" w:color="auto"/>
            <w:left w:val="none" w:sz="0" w:space="0" w:color="auto"/>
            <w:bottom w:val="none" w:sz="0" w:space="0" w:color="auto"/>
            <w:right w:val="none" w:sz="0" w:space="0" w:color="auto"/>
          </w:divBdr>
        </w:div>
        <w:div w:id="2027978232">
          <w:marLeft w:val="0"/>
          <w:marRight w:val="0"/>
          <w:marTop w:val="100"/>
          <w:marBottom w:val="100"/>
          <w:divBdr>
            <w:top w:val="none" w:sz="0" w:space="0" w:color="auto"/>
            <w:left w:val="none" w:sz="0" w:space="0" w:color="auto"/>
            <w:bottom w:val="none" w:sz="0" w:space="0" w:color="auto"/>
            <w:right w:val="none" w:sz="0" w:space="0" w:color="auto"/>
          </w:divBdr>
        </w:div>
      </w:divsChild>
    </w:div>
    <w:div w:id="770585934">
      <w:marLeft w:val="0"/>
      <w:marRight w:val="0"/>
      <w:marTop w:val="0"/>
      <w:marBottom w:val="0"/>
      <w:divBdr>
        <w:top w:val="none" w:sz="0" w:space="0" w:color="auto"/>
        <w:left w:val="none" w:sz="0" w:space="0" w:color="auto"/>
        <w:bottom w:val="none" w:sz="0" w:space="0" w:color="auto"/>
        <w:right w:val="none" w:sz="0" w:space="0" w:color="auto"/>
      </w:divBdr>
    </w:div>
    <w:div w:id="774861238">
      <w:marLeft w:val="0"/>
      <w:marRight w:val="0"/>
      <w:marTop w:val="180"/>
      <w:marBottom w:val="0"/>
      <w:divBdr>
        <w:top w:val="none" w:sz="0" w:space="0" w:color="auto"/>
        <w:left w:val="none" w:sz="0" w:space="0" w:color="auto"/>
        <w:bottom w:val="none" w:sz="0" w:space="0" w:color="auto"/>
        <w:right w:val="none" w:sz="0" w:space="0" w:color="auto"/>
      </w:divBdr>
    </w:div>
    <w:div w:id="776368454">
      <w:marLeft w:val="0"/>
      <w:marRight w:val="0"/>
      <w:marTop w:val="100"/>
      <w:marBottom w:val="0"/>
      <w:divBdr>
        <w:top w:val="none" w:sz="0" w:space="0" w:color="auto"/>
        <w:left w:val="none" w:sz="0" w:space="0" w:color="auto"/>
        <w:bottom w:val="none" w:sz="0" w:space="0" w:color="auto"/>
        <w:right w:val="none" w:sz="0" w:space="0" w:color="auto"/>
      </w:divBdr>
    </w:div>
    <w:div w:id="776411949">
      <w:marLeft w:val="0"/>
      <w:marRight w:val="0"/>
      <w:marTop w:val="0"/>
      <w:marBottom w:val="0"/>
      <w:divBdr>
        <w:top w:val="none" w:sz="0" w:space="0" w:color="auto"/>
        <w:left w:val="none" w:sz="0" w:space="0" w:color="auto"/>
        <w:bottom w:val="none" w:sz="0" w:space="0" w:color="auto"/>
        <w:right w:val="none" w:sz="0" w:space="0" w:color="auto"/>
      </w:divBdr>
    </w:div>
    <w:div w:id="778453019">
      <w:marLeft w:val="0"/>
      <w:marRight w:val="0"/>
      <w:marTop w:val="180"/>
      <w:marBottom w:val="0"/>
      <w:divBdr>
        <w:top w:val="none" w:sz="0" w:space="0" w:color="auto"/>
        <w:left w:val="none" w:sz="0" w:space="0" w:color="auto"/>
        <w:bottom w:val="none" w:sz="0" w:space="0" w:color="auto"/>
        <w:right w:val="none" w:sz="0" w:space="0" w:color="auto"/>
      </w:divBdr>
    </w:div>
    <w:div w:id="788547555">
      <w:marLeft w:val="0"/>
      <w:marRight w:val="0"/>
      <w:marTop w:val="200"/>
      <w:marBottom w:val="100"/>
      <w:divBdr>
        <w:top w:val="none" w:sz="0" w:space="0" w:color="auto"/>
        <w:left w:val="none" w:sz="0" w:space="0" w:color="auto"/>
        <w:bottom w:val="none" w:sz="0" w:space="0" w:color="auto"/>
        <w:right w:val="none" w:sz="0" w:space="0" w:color="auto"/>
      </w:divBdr>
    </w:div>
    <w:div w:id="789006548">
      <w:marLeft w:val="0"/>
      <w:marRight w:val="0"/>
      <w:marTop w:val="180"/>
      <w:marBottom w:val="100"/>
      <w:divBdr>
        <w:top w:val="none" w:sz="0" w:space="0" w:color="auto"/>
        <w:left w:val="none" w:sz="0" w:space="0" w:color="auto"/>
        <w:bottom w:val="none" w:sz="0" w:space="0" w:color="auto"/>
        <w:right w:val="none" w:sz="0" w:space="0" w:color="auto"/>
      </w:divBdr>
    </w:div>
    <w:div w:id="792986895">
      <w:marLeft w:val="0"/>
      <w:marRight w:val="0"/>
      <w:marTop w:val="0"/>
      <w:marBottom w:val="0"/>
      <w:divBdr>
        <w:top w:val="none" w:sz="0" w:space="0" w:color="auto"/>
        <w:left w:val="none" w:sz="0" w:space="0" w:color="auto"/>
        <w:bottom w:val="none" w:sz="0" w:space="0" w:color="auto"/>
        <w:right w:val="none" w:sz="0" w:space="0" w:color="auto"/>
      </w:divBdr>
    </w:div>
    <w:div w:id="813520615">
      <w:marLeft w:val="0"/>
      <w:marRight w:val="0"/>
      <w:marTop w:val="0"/>
      <w:marBottom w:val="0"/>
      <w:divBdr>
        <w:top w:val="none" w:sz="0" w:space="0" w:color="auto"/>
        <w:left w:val="none" w:sz="0" w:space="0" w:color="auto"/>
        <w:bottom w:val="none" w:sz="0" w:space="0" w:color="auto"/>
        <w:right w:val="none" w:sz="0" w:space="0" w:color="auto"/>
      </w:divBdr>
    </w:div>
    <w:div w:id="814906161">
      <w:marLeft w:val="0"/>
      <w:marRight w:val="0"/>
      <w:marTop w:val="180"/>
      <w:marBottom w:val="0"/>
      <w:divBdr>
        <w:top w:val="none" w:sz="0" w:space="0" w:color="auto"/>
        <w:left w:val="none" w:sz="0" w:space="0" w:color="auto"/>
        <w:bottom w:val="none" w:sz="0" w:space="0" w:color="auto"/>
        <w:right w:val="none" w:sz="0" w:space="0" w:color="auto"/>
      </w:divBdr>
    </w:div>
    <w:div w:id="815103537">
      <w:marLeft w:val="0"/>
      <w:marRight w:val="0"/>
      <w:marTop w:val="0"/>
      <w:marBottom w:val="0"/>
      <w:divBdr>
        <w:top w:val="none" w:sz="0" w:space="0" w:color="auto"/>
        <w:left w:val="none" w:sz="0" w:space="0" w:color="auto"/>
        <w:bottom w:val="none" w:sz="0" w:space="0" w:color="auto"/>
        <w:right w:val="none" w:sz="0" w:space="0" w:color="auto"/>
      </w:divBdr>
      <w:divsChild>
        <w:div w:id="1160074975">
          <w:marLeft w:val="0"/>
          <w:marRight w:val="0"/>
          <w:marTop w:val="100"/>
          <w:marBottom w:val="100"/>
          <w:divBdr>
            <w:top w:val="none" w:sz="0" w:space="0" w:color="auto"/>
            <w:left w:val="none" w:sz="0" w:space="0" w:color="auto"/>
            <w:bottom w:val="none" w:sz="0" w:space="0" w:color="auto"/>
            <w:right w:val="none" w:sz="0" w:space="0" w:color="auto"/>
          </w:divBdr>
        </w:div>
        <w:div w:id="1460414301">
          <w:marLeft w:val="0"/>
          <w:marRight w:val="0"/>
          <w:marTop w:val="100"/>
          <w:marBottom w:val="100"/>
          <w:divBdr>
            <w:top w:val="none" w:sz="0" w:space="0" w:color="auto"/>
            <w:left w:val="none" w:sz="0" w:space="0" w:color="auto"/>
            <w:bottom w:val="none" w:sz="0" w:space="0" w:color="auto"/>
            <w:right w:val="none" w:sz="0" w:space="0" w:color="auto"/>
          </w:divBdr>
        </w:div>
      </w:divsChild>
    </w:div>
    <w:div w:id="815226334">
      <w:marLeft w:val="0"/>
      <w:marRight w:val="0"/>
      <w:marTop w:val="180"/>
      <w:marBottom w:val="0"/>
      <w:divBdr>
        <w:top w:val="none" w:sz="0" w:space="0" w:color="auto"/>
        <w:left w:val="none" w:sz="0" w:space="0" w:color="auto"/>
        <w:bottom w:val="none" w:sz="0" w:space="0" w:color="auto"/>
        <w:right w:val="none" w:sz="0" w:space="0" w:color="auto"/>
      </w:divBdr>
    </w:div>
    <w:div w:id="821897683">
      <w:marLeft w:val="0"/>
      <w:marRight w:val="0"/>
      <w:marTop w:val="0"/>
      <w:marBottom w:val="0"/>
      <w:divBdr>
        <w:top w:val="none" w:sz="0" w:space="0" w:color="auto"/>
        <w:left w:val="none" w:sz="0" w:space="0" w:color="auto"/>
        <w:bottom w:val="none" w:sz="0" w:space="0" w:color="auto"/>
        <w:right w:val="none" w:sz="0" w:space="0" w:color="auto"/>
      </w:divBdr>
      <w:divsChild>
        <w:div w:id="937904691">
          <w:marLeft w:val="0"/>
          <w:marRight w:val="0"/>
          <w:marTop w:val="100"/>
          <w:marBottom w:val="100"/>
          <w:divBdr>
            <w:top w:val="none" w:sz="0" w:space="0" w:color="auto"/>
            <w:left w:val="none" w:sz="0" w:space="0" w:color="auto"/>
            <w:bottom w:val="none" w:sz="0" w:space="0" w:color="auto"/>
            <w:right w:val="none" w:sz="0" w:space="0" w:color="auto"/>
          </w:divBdr>
        </w:div>
        <w:div w:id="771701402">
          <w:marLeft w:val="0"/>
          <w:marRight w:val="0"/>
          <w:marTop w:val="100"/>
          <w:marBottom w:val="100"/>
          <w:divBdr>
            <w:top w:val="none" w:sz="0" w:space="0" w:color="auto"/>
            <w:left w:val="none" w:sz="0" w:space="0" w:color="auto"/>
            <w:bottom w:val="none" w:sz="0" w:space="0" w:color="auto"/>
            <w:right w:val="none" w:sz="0" w:space="0" w:color="auto"/>
          </w:divBdr>
        </w:div>
      </w:divsChild>
    </w:div>
    <w:div w:id="824391796">
      <w:marLeft w:val="0"/>
      <w:marRight w:val="0"/>
      <w:marTop w:val="100"/>
      <w:marBottom w:val="100"/>
      <w:divBdr>
        <w:top w:val="none" w:sz="0" w:space="0" w:color="auto"/>
        <w:left w:val="none" w:sz="0" w:space="0" w:color="auto"/>
        <w:bottom w:val="none" w:sz="0" w:space="0" w:color="auto"/>
        <w:right w:val="none" w:sz="0" w:space="0" w:color="auto"/>
      </w:divBdr>
    </w:div>
    <w:div w:id="832571405">
      <w:marLeft w:val="0"/>
      <w:marRight w:val="0"/>
      <w:marTop w:val="0"/>
      <w:marBottom w:val="0"/>
      <w:divBdr>
        <w:top w:val="none" w:sz="0" w:space="0" w:color="auto"/>
        <w:left w:val="none" w:sz="0" w:space="0" w:color="auto"/>
        <w:bottom w:val="none" w:sz="0" w:space="0" w:color="auto"/>
        <w:right w:val="none" w:sz="0" w:space="0" w:color="auto"/>
      </w:divBdr>
      <w:divsChild>
        <w:div w:id="1507788204">
          <w:marLeft w:val="0"/>
          <w:marRight w:val="0"/>
          <w:marTop w:val="100"/>
          <w:marBottom w:val="100"/>
          <w:divBdr>
            <w:top w:val="none" w:sz="0" w:space="0" w:color="auto"/>
            <w:left w:val="none" w:sz="0" w:space="0" w:color="auto"/>
            <w:bottom w:val="none" w:sz="0" w:space="0" w:color="auto"/>
            <w:right w:val="none" w:sz="0" w:space="0" w:color="auto"/>
          </w:divBdr>
        </w:div>
        <w:div w:id="444277647">
          <w:marLeft w:val="0"/>
          <w:marRight w:val="0"/>
          <w:marTop w:val="100"/>
          <w:marBottom w:val="100"/>
          <w:divBdr>
            <w:top w:val="none" w:sz="0" w:space="0" w:color="auto"/>
            <w:left w:val="none" w:sz="0" w:space="0" w:color="auto"/>
            <w:bottom w:val="none" w:sz="0" w:space="0" w:color="auto"/>
            <w:right w:val="none" w:sz="0" w:space="0" w:color="auto"/>
          </w:divBdr>
        </w:div>
      </w:divsChild>
    </w:div>
    <w:div w:id="837696878">
      <w:marLeft w:val="0"/>
      <w:marRight w:val="0"/>
      <w:marTop w:val="100"/>
      <w:marBottom w:val="100"/>
      <w:divBdr>
        <w:top w:val="none" w:sz="0" w:space="0" w:color="auto"/>
        <w:left w:val="none" w:sz="0" w:space="0" w:color="auto"/>
        <w:bottom w:val="none" w:sz="0" w:space="0" w:color="auto"/>
        <w:right w:val="none" w:sz="0" w:space="0" w:color="auto"/>
      </w:divBdr>
    </w:div>
    <w:div w:id="838235196">
      <w:marLeft w:val="0"/>
      <w:marRight w:val="0"/>
      <w:marTop w:val="100"/>
      <w:marBottom w:val="100"/>
      <w:divBdr>
        <w:top w:val="none" w:sz="0" w:space="0" w:color="auto"/>
        <w:left w:val="none" w:sz="0" w:space="0" w:color="auto"/>
        <w:bottom w:val="none" w:sz="0" w:space="0" w:color="auto"/>
        <w:right w:val="none" w:sz="0" w:space="0" w:color="auto"/>
      </w:divBdr>
    </w:div>
    <w:div w:id="841093232">
      <w:marLeft w:val="0"/>
      <w:marRight w:val="0"/>
      <w:marTop w:val="100"/>
      <w:marBottom w:val="100"/>
      <w:divBdr>
        <w:top w:val="none" w:sz="0" w:space="0" w:color="auto"/>
        <w:left w:val="none" w:sz="0" w:space="0" w:color="auto"/>
        <w:bottom w:val="none" w:sz="0" w:space="0" w:color="auto"/>
        <w:right w:val="none" w:sz="0" w:space="0" w:color="auto"/>
      </w:divBdr>
    </w:div>
    <w:div w:id="845901082">
      <w:marLeft w:val="0"/>
      <w:marRight w:val="0"/>
      <w:marTop w:val="180"/>
      <w:marBottom w:val="0"/>
      <w:divBdr>
        <w:top w:val="none" w:sz="0" w:space="0" w:color="auto"/>
        <w:left w:val="none" w:sz="0" w:space="0" w:color="auto"/>
        <w:bottom w:val="none" w:sz="0" w:space="0" w:color="auto"/>
        <w:right w:val="none" w:sz="0" w:space="0" w:color="auto"/>
      </w:divBdr>
    </w:div>
    <w:div w:id="846018807">
      <w:marLeft w:val="0"/>
      <w:marRight w:val="0"/>
      <w:marTop w:val="100"/>
      <w:marBottom w:val="100"/>
      <w:divBdr>
        <w:top w:val="none" w:sz="0" w:space="0" w:color="auto"/>
        <w:left w:val="none" w:sz="0" w:space="0" w:color="auto"/>
        <w:bottom w:val="none" w:sz="0" w:space="0" w:color="auto"/>
        <w:right w:val="none" w:sz="0" w:space="0" w:color="auto"/>
      </w:divBdr>
      <w:divsChild>
        <w:div w:id="546070446">
          <w:marLeft w:val="0"/>
          <w:marRight w:val="0"/>
          <w:marTop w:val="0"/>
          <w:marBottom w:val="0"/>
          <w:divBdr>
            <w:top w:val="none" w:sz="0" w:space="0" w:color="auto"/>
            <w:left w:val="none" w:sz="0" w:space="0" w:color="auto"/>
            <w:bottom w:val="none" w:sz="0" w:space="0" w:color="auto"/>
            <w:right w:val="none" w:sz="0" w:space="0" w:color="auto"/>
          </w:divBdr>
        </w:div>
      </w:divsChild>
    </w:div>
    <w:div w:id="847712241">
      <w:marLeft w:val="0"/>
      <w:marRight w:val="0"/>
      <w:marTop w:val="0"/>
      <w:marBottom w:val="0"/>
      <w:divBdr>
        <w:top w:val="none" w:sz="0" w:space="0" w:color="auto"/>
        <w:left w:val="none" w:sz="0" w:space="0" w:color="auto"/>
        <w:bottom w:val="none" w:sz="0" w:space="0" w:color="auto"/>
        <w:right w:val="none" w:sz="0" w:space="0" w:color="auto"/>
      </w:divBdr>
    </w:div>
    <w:div w:id="849566641">
      <w:marLeft w:val="0"/>
      <w:marRight w:val="0"/>
      <w:marTop w:val="100"/>
      <w:marBottom w:val="100"/>
      <w:divBdr>
        <w:top w:val="none" w:sz="0" w:space="0" w:color="auto"/>
        <w:left w:val="none" w:sz="0" w:space="0" w:color="auto"/>
        <w:bottom w:val="none" w:sz="0" w:space="0" w:color="auto"/>
        <w:right w:val="none" w:sz="0" w:space="0" w:color="auto"/>
      </w:divBdr>
      <w:divsChild>
        <w:div w:id="1079328271">
          <w:marLeft w:val="0"/>
          <w:marRight w:val="0"/>
          <w:marTop w:val="0"/>
          <w:marBottom w:val="0"/>
          <w:divBdr>
            <w:top w:val="none" w:sz="0" w:space="0" w:color="auto"/>
            <w:left w:val="none" w:sz="0" w:space="0" w:color="auto"/>
            <w:bottom w:val="none" w:sz="0" w:space="0" w:color="auto"/>
            <w:right w:val="none" w:sz="0" w:space="0" w:color="auto"/>
          </w:divBdr>
        </w:div>
      </w:divsChild>
    </w:div>
    <w:div w:id="855266688">
      <w:marLeft w:val="0"/>
      <w:marRight w:val="0"/>
      <w:marTop w:val="100"/>
      <w:marBottom w:val="100"/>
      <w:divBdr>
        <w:top w:val="none" w:sz="0" w:space="0" w:color="auto"/>
        <w:left w:val="none" w:sz="0" w:space="0" w:color="auto"/>
        <w:bottom w:val="none" w:sz="0" w:space="0" w:color="auto"/>
        <w:right w:val="none" w:sz="0" w:space="0" w:color="auto"/>
      </w:divBdr>
    </w:div>
    <w:div w:id="857428509">
      <w:marLeft w:val="0"/>
      <w:marRight w:val="0"/>
      <w:marTop w:val="100"/>
      <w:marBottom w:val="100"/>
      <w:divBdr>
        <w:top w:val="none" w:sz="0" w:space="0" w:color="auto"/>
        <w:left w:val="none" w:sz="0" w:space="0" w:color="auto"/>
        <w:bottom w:val="none" w:sz="0" w:space="0" w:color="auto"/>
        <w:right w:val="none" w:sz="0" w:space="0" w:color="auto"/>
      </w:divBdr>
    </w:div>
    <w:div w:id="861169048">
      <w:marLeft w:val="0"/>
      <w:marRight w:val="0"/>
      <w:marTop w:val="0"/>
      <w:marBottom w:val="0"/>
      <w:divBdr>
        <w:top w:val="none" w:sz="0" w:space="0" w:color="auto"/>
        <w:left w:val="none" w:sz="0" w:space="0" w:color="auto"/>
        <w:bottom w:val="none" w:sz="0" w:space="0" w:color="auto"/>
        <w:right w:val="none" w:sz="0" w:space="0" w:color="auto"/>
      </w:divBdr>
    </w:div>
    <w:div w:id="862061170">
      <w:marLeft w:val="0"/>
      <w:marRight w:val="0"/>
      <w:marTop w:val="0"/>
      <w:marBottom w:val="0"/>
      <w:divBdr>
        <w:top w:val="none" w:sz="0" w:space="0" w:color="auto"/>
        <w:left w:val="none" w:sz="0" w:space="0" w:color="auto"/>
        <w:bottom w:val="none" w:sz="0" w:space="0" w:color="auto"/>
        <w:right w:val="none" w:sz="0" w:space="0" w:color="auto"/>
      </w:divBdr>
    </w:div>
    <w:div w:id="862982736">
      <w:marLeft w:val="0"/>
      <w:marRight w:val="0"/>
      <w:marTop w:val="100"/>
      <w:marBottom w:val="100"/>
      <w:divBdr>
        <w:top w:val="none" w:sz="0" w:space="0" w:color="auto"/>
        <w:left w:val="none" w:sz="0" w:space="0" w:color="auto"/>
        <w:bottom w:val="none" w:sz="0" w:space="0" w:color="auto"/>
        <w:right w:val="none" w:sz="0" w:space="0" w:color="auto"/>
      </w:divBdr>
    </w:div>
    <w:div w:id="877620511">
      <w:marLeft w:val="0"/>
      <w:marRight w:val="0"/>
      <w:marTop w:val="0"/>
      <w:marBottom w:val="0"/>
      <w:divBdr>
        <w:top w:val="none" w:sz="0" w:space="0" w:color="auto"/>
        <w:left w:val="none" w:sz="0" w:space="0" w:color="auto"/>
        <w:bottom w:val="none" w:sz="0" w:space="0" w:color="auto"/>
        <w:right w:val="none" w:sz="0" w:space="0" w:color="auto"/>
      </w:divBdr>
      <w:divsChild>
        <w:div w:id="768355412">
          <w:marLeft w:val="0"/>
          <w:marRight w:val="0"/>
          <w:marTop w:val="0"/>
          <w:marBottom w:val="0"/>
          <w:divBdr>
            <w:top w:val="none" w:sz="0" w:space="0" w:color="auto"/>
            <w:left w:val="none" w:sz="0" w:space="0" w:color="auto"/>
            <w:bottom w:val="none" w:sz="0" w:space="0" w:color="auto"/>
            <w:right w:val="none" w:sz="0" w:space="0" w:color="auto"/>
          </w:divBdr>
          <w:divsChild>
            <w:div w:id="167484494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81944438">
      <w:marLeft w:val="0"/>
      <w:marRight w:val="0"/>
      <w:marTop w:val="0"/>
      <w:marBottom w:val="0"/>
      <w:divBdr>
        <w:top w:val="none" w:sz="0" w:space="0" w:color="auto"/>
        <w:left w:val="none" w:sz="0" w:space="0" w:color="auto"/>
        <w:bottom w:val="none" w:sz="0" w:space="0" w:color="auto"/>
        <w:right w:val="none" w:sz="0" w:space="0" w:color="auto"/>
      </w:divBdr>
    </w:div>
    <w:div w:id="882906690">
      <w:marLeft w:val="0"/>
      <w:marRight w:val="0"/>
      <w:marTop w:val="0"/>
      <w:marBottom w:val="0"/>
      <w:divBdr>
        <w:top w:val="none" w:sz="0" w:space="0" w:color="auto"/>
        <w:left w:val="none" w:sz="0" w:space="0" w:color="auto"/>
        <w:bottom w:val="none" w:sz="0" w:space="0" w:color="auto"/>
        <w:right w:val="none" w:sz="0" w:space="0" w:color="auto"/>
      </w:divBdr>
    </w:div>
    <w:div w:id="889852057">
      <w:marLeft w:val="0"/>
      <w:marRight w:val="0"/>
      <w:marTop w:val="100"/>
      <w:marBottom w:val="100"/>
      <w:divBdr>
        <w:top w:val="none" w:sz="0" w:space="0" w:color="auto"/>
        <w:left w:val="none" w:sz="0" w:space="0" w:color="auto"/>
        <w:bottom w:val="none" w:sz="0" w:space="0" w:color="auto"/>
        <w:right w:val="none" w:sz="0" w:space="0" w:color="auto"/>
      </w:divBdr>
    </w:div>
    <w:div w:id="891233215">
      <w:marLeft w:val="0"/>
      <w:marRight w:val="0"/>
      <w:marTop w:val="180"/>
      <w:marBottom w:val="100"/>
      <w:divBdr>
        <w:top w:val="none" w:sz="0" w:space="0" w:color="auto"/>
        <w:left w:val="none" w:sz="0" w:space="0" w:color="auto"/>
        <w:bottom w:val="none" w:sz="0" w:space="0" w:color="auto"/>
        <w:right w:val="none" w:sz="0" w:space="0" w:color="auto"/>
      </w:divBdr>
    </w:div>
    <w:div w:id="891893318">
      <w:marLeft w:val="0"/>
      <w:marRight w:val="0"/>
      <w:marTop w:val="100"/>
      <w:marBottom w:val="0"/>
      <w:divBdr>
        <w:top w:val="none" w:sz="0" w:space="0" w:color="auto"/>
        <w:left w:val="none" w:sz="0" w:space="0" w:color="auto"/>
        <w:bottom w:val="none" w:sz="0" w:space="0" w:color="auto"/>
        <w:right w:val="none" w:sz="0" w:space="0" w:color="auto"/>
      </w:divBdr>
    </w:div>
    <w:div w:id="894900628">
      <w:marLeft w:val="0"/>
      <w:marRight w:val="0"/>
      <w:marTop w:val="0"/>
      <w:marBottom w:val="0"/>
      <w:divBdr>
        <w:top w:val="none" w:sz="0" w:space="0" w:color="auto"/>
        <w:left w:val="none" w:sz="0" w:space="0" w:color="auto"/>
        <w:bottom w:val="none" w:sz="0" w:space="0" w:color="auto"/>
        <w:right w:val="none" w:sz="0" w:space="0" w:color="auto"/>
      </w:divBdr>
      <w:divsChild>
        <w:div w:id="1489201032">
          <w:marLeft w:val="0"/>
          <w:marRight w:val="0"/>
          <w:marTop w:val="100"/>
          <w:marBottom w:val="100"/>
          <w:divBdr>
            <w:top w:val="none" w:sz="0" w:space="0" w:color="auto"/>
            <w:left w:val="none" w:sz="0" w:space="0" w:color="auto"/>
            <w:bottom w:val="none" w:sz="0" w:space="0" w:color="auto"/>
            <w:right w:val="none" w:sz="0" w:space="0" w:color="auto"/>
          </w:divBdr>
        </w:div>
        <w:div w:id="1892688806">
          <w:marLeft w:val="0"/>
          <w:marRight w:val="0"/>
          <w:marTop w:val="100"/>
          <w:marBottom w:val="100"/>
          <w:divBdr>
            <w:top w:val="none" w:sz="0" w:space="0" w:color="auto"/>
            <w:left w:val="none" w:sz="0" w:space="0" w:color="auto"/>
            <w:bottom w:val="none" w:sz="0" w:space="0" w:color="auto"/>
            <w:right w:val="none" w:sz="0" w:space="0" w:color="auto"/>
          </w:divBdr>
        </w:div>
      </w:divsChild>
    </w:div>
    <w:div w:id="900484450">
      <w:marLeft w:val="0"/>
      <w:marRight w:val="0"/>
      <w:marTop w:val="180"/>
      <w:marBottom w:val="0"/>
      <w:divBdr>
        <w:top w:val="none" w:sz="0" w:space="0" w:color="auto"/>
        <w:left w:val="none" w:sz="0" w:space="0" w:color="auto"/>
        <w:bottom w:val="none" w:sz="0" w:space="0" w:color="auto"/>
        <w:right w:val="none" w:sz="0" w:space="0" w:color="auto"/>
      </w:divBdr>
    </w:div>
    <w:div w:id="902059301">
      <w:marLeft w:val="0"/>
      <w:marRight w:val="0"/>
      <w:marTop w:val="180"/>
      <w:marBottom w:val="0"/>
      <w:divBdr>
        <w:top w:val="none" w:sz="0" w:space="0" w:color="auto"/>
        <w:left w:val="none" w:sz="0" w:space="0" w:color="auto"/>
        <w:bottom w:val="none" w:sz="0" w:space="0" w:color="auto"/>
        <w:right w:val="none" w:sz="0" w:space="0" w:color="auto"/>
      </w:divBdr>
    </w:div>
    <w:div w:id="903371563">
      <w:marLeft w:val="0"/>
      <w:marRight w:val="0"/>
      <w:marTop w:val="0"/>
      <w:marBottom w:val="0"/>
      <w:divBdr>
        <w:top w:val="none" w:sz="0" w:space="0" w:color="auto"/>
        <w:left w:val="none" w:sz="0" w:space="0" w:color="auto"/>
        <w:bottom w:val="none" w:sz="0" w:space="0" w:color="auto"/>
        <w:right w:val="none" w:sz="0" w:space="0" w:color="auto"/>
      </w:divBdr>
      <w:divsChild>
        <w:div w:id="1009483714">
          <w:marLeft w:val="0"/>
          <w:marRight w:val="0"/>
          <w:marTop w:val="100"/>
          <w:marBottom w:val="100"/>
          <w:divBdr>
            <w:top w:val="none" w:sz="0" w:space="0" w:color="auto"/>
            <w:left w:val="none" w:sz="0" w:space="0" w:color="auto"/>
            <w:bottom w:val="none" w:sz="0" w:space="0" w:color="auto"/>
            <w:right w:val="none" w:sz="0" w:space="0" w:color="auto"/>
          </w:divBdr>
        </w:div>
        <w:div w:id="1792437487">
          <w:marLeft w:val="0"/>
          <w:marRight w:val="0"/>
          <w:marTop w:val="100"/>
          <w:marBottom w:val="100"/>
          <w:divBdr>
            <w:top w:val="none" w:sz="0" w:space="0" w:color="auto"/>
            <w:left w:val="none" w:sz="0" w:space="0" w:color="auto"/>
            <w:bottom w:val="none" w:sz="0" w:space="0" w:color="auto"/>
            <w:right w:val="none" w:sz="0" w:space="0" w:color="auto"/>
          </w:divBdr>
        </w:div>
      </w:divsChild>
    </w:div>
    <w:div w:id="905607537">
      <w:marLeft w:val="0"/>
      <w:marRight w:val="0"/>
      <w:marTop w:val="0"/>
      <w:marBottom w:val="0"/>
      <w:divBdr>
        <w:top w:val="none" w:sz="0" w:space="0" w:color="auto"/>
        <w:left w:val="none" w:sz="0" w:space="0" w:color="auto"/>
        <w:bottom w:val="none" w:sz="0" w:space="0" w:color="auto"/>
        <w:right w:val="none" w:sz="0" w:space="0" w:color="auto"/>
      </w:divBdr>
      <w:divsChild>
        <w:div w:id="298997641">
          <w:marLeft w:val="0"/>
          <w:marRight w:val="0"/>
          <w:marTop w:val="0"/>
          <w:marBottom w:val="0"/>
          <w:divBdr>
            <w:top w:val="none" w:sz="0" w:space="0" w:color="auto"/>
            <w:left w:val="none" w:sz="0" w:space="0" w:color="auto"/>
            <w:bottom w:val="none" w:sz="0" w:space="0" w:color="auto"/>
            <w:right w:val="none" w:sz="0" w:space="0" w:color="auto"/>
          </w:divBdr>
          <w:divsChild>
            <w:div w:id="99098680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09464677">
      <w:marLeft w:val="0"/>
      <w:marRight w:val="0"/>
      <w:marTop w:val="0"/>
      <w:marBottom w:val="0"/>
      <w:divBdr>
        <w:top w:val="none" w:sz="0" w:space="0" w:color="auto"/>
        <w:left w:val="none" w:sz="0" w:space="0" w:color="auto"/>
        <w:bottom w:val="none" w:sz="0" w:space="0" w:color="auto"/>
        <w:right w:val="none" w:sz="0" w:space="0" w:color="auto"/>
      </w:divBdr>
    </w:div>
    <w:div w:id="910694751">
      <w:marLeft w:val="0"/>
      <w:marRight w:val="0"/>
      <w:marTop w:val="100"/>
      <w:marBottom w:val="160"/>
      <w:divBdr>
        <w:top w:val="none" w:sz="0" w:space="0" w:color="auto"/>
        <w:left w:val="none" w:sz="0" w:space="0" w:color="auto"/>
        <w:bottom w:val="none" w:sz="0" w:space="0" w:color="auto"/>
        <w:right w:val="none" w:sz="0" w:space="0" w:color="auto"/>
      </w:divBdr>
    </w:div>
    <w:div w:id="911547532">
      <w:marLeft w:val="0"/>
      <w:marRight w:val="0"/>
      <w:marTop w:val="100"/>
      <w:marBottom w:val="0"/>
      <w:divBdr>
        <w:top w:val="none" w:sz="0" w:space="0" w:color="auto"/>
        <w:left w:val="none" w:sz="0" w:space="0" w:color="auto"/>
        <w:bottom w:val="none" w:sz="0" w:space="0" w:color="auto"/>
        <w:right w:val="none" w:sz="0" w:space="0" w:color="auto"/>
      </w:divBdr>
    </w:div>
    <w:div w:id="917594405">
      <w:marLeft w:val="0"/>
      <w:marRight w:val="0"/>
      <w:marTop w:val="100"/>
      <w:marBottom w:val="100"/>
      <w:divBdr>
        <w:top w:val="none" w:sz="0" w:space="0" w:color="auto"/>
        <w:left w:val="none" w:sz="0" w:space="0" w:color="auto"/>
        <w:bottom w:val="none" w:sz="0" w:space="0" w:color="auto"/>
        <w:right w:val="none" w:sz="0" w:space="0" w:color="auto"/>
      </w:divBdr>
    </w:div>
    <w:div w:id="919172540">
      <w:marLeft w:val="0"/>
      <w:marRight w:val="0"/>
      <w:marTop w:val="100"/>
      <w:marBottom w:val="0"/>
      <w:divBdr>
        <w:top w:val="none" w:sz="0" w:space="0" w:color="auto"/>
        <w:left w:val="none" w:sz="0" w:space="0" w:color="auto"/>
        <w:bottom w:val="none" w:sz="0" w:space="0" w:color="auto"/>
        <w:right w:val="none" w:sz="0" w:space="0" w:color="auto"/>
      </w:divBdr>
    </w:div>
    <w:div w:id="921181771">
      <w:marLeft w:val="0"/>
      <w:marRight w:val="0"/>
      <w:marTop w:val="0"/>
      <w:marBottom w:val="0"/>
      <w:divBdr>
        <w:top w:val="none" w:sz="0" w:space="0" w:color="auto"/>
        <w:left w:val="none" w:sz="0" w:space="0" w:color="auto"/>
        <w:bottom w:val="none" w:sz="0" w:space="0" w:color="auto"/>
        <w:right w:val="none" w:sz="0" w:space="0" w:color="auto"/>
      </w:divBdr>
      <w:divsChild>
        <w:div w:id="1704675183">
          <w:marLeft w:val="0"/>
          <w:marRight w:val="0"/>
          <w:marTop w:val="100"/>
          <w:marBottom w:val="100"/>
          <w:divBdr>
            <w:top w:val="none" w:sz="0" w:space="0" w:color="auto"/>
            <w:left w:val="none" w:sz="0" w:space="0" w:color="auto"/>
            <w:bottom w:val="none" w:sz="0" w:space="0" w:color="auto"/>
            <w:right w:val="none" w:sz="0" w:space="0" w:color="auto"/>
          </w:divBdr>
        </w:div>
        <w:div w:id="2104110715">
          <w:marLeft w:val="0"/>
          <w:marRight w:val="0"/>
          <w:marTop w:val="100"/>
          <w:marBottom w:val="100"/>
          <w:divBdr>
            <w:top w:val="none" w:sz="0" w:space="0" w:color="auto"/>
            <w:left w:val="none" w:sz="0" w:space="0" w:color="auto"/>
            <w:bottom w:val="none" w:sz="0" w:space="0" w:color="auto"/>
            <w:right w:val="none" w:sz="0" w:space="0" w:color="auto"/>
          </w:divBdr>
        </w:div>
      </w:divsChild>
    </w:div>
    <w:div w:id="928272256">
      <w:marLeft w:val="0"/>
      <w:marRight w:val="0"/>
      <w:marTop w:val="100"/>
      <w:marBottom w:val="100"/>
      <w:divBdr>
        <w:top w:val="none" w:sz="0" w:space="0" w:color="auto"/>
        <w:left w:val="none" w:sz="0" w:space="0" w:color="auto"/>
        <w:bottom w:val="none" w:sz="0" w:space="0" w:color="auto"/>
        <w:right w:val="none" w:sz="0" w:space="0" w:color="auto"/>
      </w:divBdr>
    </w:div>
    <w:div w:id="928318849">
      <w:marLeft w:val="0"/>
      <w:marRight w:val="0"/>
      <w:marTop w:val="0"/>
      <w:marBottom w:val="0"/>
      <w:divBdr>
        <w:top w:val="none" w:sz="0" w:space="0" w:color="auto"/>
        <w:left w:val="none" w:sz="0" w:space="0" w:color="auto"/>
        <w:bottom w:val="none" w:sz="0" w:space="0" w:color="auto"/>
        <w:right w:val="none" w:sz="0" w:space="0" w:color="auto"/>
      </w:divBdr>
    </w:div>
    <w:div w:id="934047961">
      <w:marLeft w:val="0"/>
      <w:marRight w:val="0"/>
      <w:marTop w:val="0"/>
      <w:marBottom w:val="0"/>
      <w:divBdr>
        <w:top w:val="none" w:sz="0" w:space="0" w:color="auto"/>
        <w:left w:val="none" w:sz="0" w:space="0" w:color="auto"/>
        <w:bottom w:val="none" w:sz="0" w:space="0" w:color="auto"/>
        <w:right w:val="none" w:sz="0" w:space="0" w:color="auto"/>
      </w:divBdr>
      <w:divsChild>
        <w:div w:id="443577770">
          <w:marLeft w:val="0"/>
          <w:marRight w:val="0"/>
          <w:marTop w:val="0"/>
          <w:marBottom w:val="0"/>
          <w:divBdr>
            <w:top w:val="none" w:sz="0" w:space="0" w:color="auto"/>
            <w:left w:val="none" w:sz="0" w:space="0" w:color="auto"/>
            <w:bottom w:val="none" w:sz="0" w:space="0" w:color="auto"/>
            <w:right w:val="none" w:sz="0" w:space="0" w:color="auto"/>
          </w:divBdr>
          <w:divsChild>
            <w:div w:id="12731996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37566985">
      <w:marLeft w:val="0"/>
      <w:marRight w:val="0"/>
      <w:marTop w:val="180"/>
      <w:marBottom w:val="0"/>
      <w:divBdr>
        <w:top w:val="none" w:sz="0" w:space="0" w:color="auto"/>
        <w:left w:val="none" w:sz="0" w:space="0" w:color="auto"/>
        <w:bottom w:val="none" w:sz="0" w:space="0" w:color="auto"/>
        <w:right w:val="none" w:sz="0" w:space="0" w:color="auto"/>
      </w:divBdr>
    </w:div>
    <w:div w:id="939484997">
      <w:marLeft w:val="0"/>
      <w:marRight w:val="0"/>
      <w:marTop w:val="0"/>
      <w:marBottom w:val="0"/>
      <w:divBdr>
        <w:top w:val="none" w:sz="0" w:space="0" w:color="auto"/>
        <w:left w:val="none" w:sz="0" w:space="0" w:color="auto"/>
        <w:bottom w:val="none" w:sz="0" w:space="0" w:color="auto"/>
        <w:right w:val="none" w:sz="0" w:space="0" w:color="auto"/>
      </w:divBdr>
      <w:divsChild>
        <w:div w:id="183983382">
          <w:marLeft w:val="0"/>
          <w:marRight w:val="0"/>
          <w:marTop w:val="0"/>
          <w:marBottom w:val="0"/>
          <w:divBdr>
            <w:top w:val="none" w:sz="0" w:space="0" w:color="auto"/>
            <w:left w:val="none" w:sz="0" w:space="0" w:color="auto"/>
            <w:bottom w:val="none" w:sz="0" w:space="0" w:color="auto"/>
            <w:right w:val="none" w:sz="0" w:space="0" w:color="auto"/>
          </w:divBdr>
          <w:divsChild>
            <w:div w:id="106483399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39488890">
      <w:marLeft w:val="0"/>
      <w:marRight w:val="0"/>
      <w:marTop w:val="100"/>
      <w:marBottom w:val="0"/>
      <w:divBdr>
        <w:top w:val="none" w:sz="0" w:space="0" w:color="auto"/>
        <w:left w:val="none" w:sz="0" w:space="0" w:color="auto"/>
        <w:bottom w:val="none" w:sz="0" w:space="0" w:color="auto"/>
        <w:right w:val="none" w:sz="0" w:space="0" w:color="auto"/>
      </w:divBdr>
    </w:div>
    <w:div w:id="947854900">
      <w:marLeft w:val="0"/>
      <w:marRight w:val="0"/>
      <w:marTop w:val="100"/>
      <w:marBottom w:val="100"/>
      <w:divBdr>
        <w:top w:val="none" w:sz="0" w:space="0" w:color="auto"/>
        <w:left w:val="none" w:sz="0" w:space="0" w:color="auto"/>
        <w:bottom w:val="none" w:sz="0" w:space="0" w:color="auto"/>
        <w:right w:val="none" w:sz="0" w:space="0" w:color="auto"/>
      </w:divBdr>
    </w:div>
    <w:div w:id="948510368">
      <w:marLeft w:val="0"/>
      <w:marRight w:val="0"/>
      <w:marTop w:val="0"/>
      <w:marBottom w:val="0"/>
      <w:divBdr>
        <w:top w:val="none" w:sz="0" w:space="0" w:color="auto"/>
        <w:left w:val="none" w:sz="0" w:space="0" w:color="auto"/>
        <w:bottom w:val="none" w:sz="0" w:space="0" w:color="auto"/>
        <w:right w:val="none" w:sz="0" w:space="0" w:color="auto"/>
      </w:divBdr>
      <w:divsChild>
        <w:div w:id="874927295">
          <w:marLeft w:val="0"/>
          <w:marRight w:val="0"/>
          <w:marTop w:val="0"/>
          <w:marBottom w:val="0"/>
          <w:divBdr>
            <w:top w:val="none" w:sz="0" w:space="0" w:color="auto"/>
            <w:left w:val="none" w:sz="0" w:space="0" w:color="auto"/>
            <w:bottom w:val="none" w:sz="0" w:space="0" w:color="auto"/>
            <w:right w:val="none" w:sz="0" w:space="0" w:color="auto"/>
          </w:divBdr>
          <w:divsChild>
            <w:div w:id="5034671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52400371">
      <w:marLeft w:val="0"/>
      <w:marRight w:val="0"/>
      <w:marTop w:val="100"/>
      <w:marBottom w:val="100"/>
      <w:divBdr>
        <w:top w:val="none" w:sz="0" w:space="0" w:color="auto"/>
        <w:left w:val="none" w:sz="0" w:space="0" w:color="auto"/>
        <w:bottom w:val="none" w:sz="0" w:space="0" w:color="auto"/>
        <w:right w:val="none" w:sz="0" w:space="0" w:color="auto"/>
      </w:divBdr>
    </w:div>
    <w:div w:id="952901715">
      <w:marLeft w:val="0"/>
      <w:marRight w:val="0"/>
      <w:marTop w:val="0"/>
      <w:marBottom w:val="0"/>
      <w:divBdr>
        <w:top w:val="none" w:sz="0" w:space="0" w:color="auto"/>
        <w:left w:val="none" w:sz="0" w:space="0" w:color="auto"/>
        <w:bottom w:val="none" w:sz="0" w:space="0" w:color="auto"/>
        <w:right w:val="none" w:sz="0" w:space="0" w:color="auto"/>
      </w:divBdr>
    </w:div>
    <w:div w:id="954557959">
      <w:marLeft w:val="0"/>
      <w:marRight w:val="0"/>
      <w:marTop w:val="100"/>
      <w:marBottom w:val="100"/>
      <w:divBdr>
        <w:top w:val="none" w:sz="0" w:space="0" w:color="auto"/>
        <w:left w:val="none" w:sz="0" w:space="0" w:color="auto"/>
        <w:bottom w:val="none" w:sz="0" w:space="0" w:color="auto"/>
        <w:right w:val="none" w:sz="0" w:space="0" w:color="auto"/>
      </w:divBdr>
    </w:div>
    <w:div w:id="957108620">
      <w:marLeft w:val="0"/>
      <w:marRight w:val="0"/>
      <w:marTop w:val="100"/>
      <w:marBottom w:val="100"/>
      <w:divBdr>
        <w:top w:val="none" w:sz="0" w:space="0" w:color="auto"/>
        <w:left w:val="none" w:sz="0" w:space="0" w:color="auto"/>
        <w:bottom w:val="none" w:sz="0" w:space="0" w:color="auto"/>
        <w:right w:val="none" w:sz="0" w:space="0" w:color="auto"/>
      </w:divBdr>
    </w:div>
    <w:div w:id="957570831">
      <w:marLeft w:val="0"/>
      <w:marRight w:val="0"/>
      <w:marTop w:val="180"/>
      <w:marBottom w:val="100"/>
      <w:divBdr>
        <w:top w:val="none" w:sz="0" w:space="0" w:color="auto"/>
        <w:left w:val="none" w:sz="0" w:space="0" w:color="auto"/>
        <w:bottom w:val="none" w:sz="0" w:space="0" w:color="auto"/>
        <w:right w:val="none" w:sz="0" w:space="0" w:color="auto"/>
      </w:divBdr>
    </w:div>
    <w:div w:id="960378621">
      <w:marLeft w:val="0"/>
      <w:marRight w:val="0"/>
      <w:marTop w:val="0"/>
      <w:marBottom w:val="0"/>
      <w:divBdr>
        <w:top w:val="none" w:sz="0" w:space="0" w:color="auto"/>
        <w:left w:val="none" w:sz="0" w:space="0" w:color="auto"/>
        <w:bottom w:val="none" w:sz="0" w:space="0" w:color="auto"/>
        <w:right w:val="none" w:sz="0" w:space="0" w:color="auto"/>
      </w:divBdr>
    </w:div>
    <w:div w:id="963267337">
      <w:marLeft w:val="0"/>
      <w:marRight w:val="0"/>
      <w:marTop w:val="100"/>
      <w:marBottom w:val="100"/>
      <w:divBdr>
        <w:top w:val="none" w:sz="0" w:space="0" w:color="auto"/>
        <w:left w:val="none" w:sz="0" w:space="0" w:color="auto"/>
        <w:bottom w:val="none" w:sz="0" w:space="0" w:color="auto"/>
        <w:right w:val="none" w:sz="0" w:space="0" w:color="auto"/>
      </w:divBdr>
    </w:div>
    <w:div w:id="965700017">
      <w:marLeft w:val="0"/>
      <w:marRight w:val="0"/>
      <w:marTop w:val="0"/>
      <w:marBottom w:val="0"/>
      <w:divBdr>
        <w:top w:val="none" w:sz="0" w:space="0" w:color="auto"/>
        <w:left w:val="none" w:sz="0" w:space="0" w:color="auto"/>
        <w:bottom w:val="none" w:sz="0" w:space="0" w:color="auto"/>
        <w:right w:val="none" w:sz="0" w:space="0" w:color="auto"/>
      </w:divBdr>
      <w:divsChild>
        <w:div w:id="903637822">
          <w:marLeft w:val="0"/>
          <w:marRight w:val="0"/>
          <w:marTop w:val="100"/>
          <w:marBottom w:val="100"/>
          <w:divBdr>
            <w:top w:val="none" w:sz="0" w:space="0" w:color="auto"/>
            <w:left w:val="none" w:sz="0" w:space="0" w:color="auto"/>
            <w:bottom w:val="none" w:sz="0" w:space="0" w:color="auto"/>
            <w:right w:val="none" w:sz="0" w:space="0" w:color="auto"/>
          </w:divBdr>
        </w:div>
        <w:div w:id="1639147128">
          <w:marLeft w:val="0"/>
          <w:marRight w:val="0"/>
          <w:marTop w:val="100"/>
          <w:marBottom w:val="100"/>
          <w:divBdr>
            <w:top w:val="none" w:sz="0" w:space="0" w:color="auto"/>
            <w:left w:val="none" w:sz="0" w:space="0" w:color="auto"/>
            <w:bottom w:val="none" w:sz="0" w:space="0" w:color="auto"/>
            <w:right w:val="none" w:sz="0" w:space="0" w:color="auto"/>
          </w:divBdr>
        </w:div>
      </w:divsChild>
    </w:div>
    <w:div w:id="967508803">
      <w:marLeft w:val="0"/>
      <w:marRight w:val="0"/>
      <w:marTop w:val="100"/>
      <w:marBottom w:val="100"/>
      <w:divBdr>
        <w:top w:val="none" w:sz="0" w:space="0" w:color="auto"/>
        <w:left w:val="none" w:sz="0" w:space="0" w:color="auto"/>
        <w:bottom w:val="none" w:sz="0" w:space="0" w:color="auto"/>
        <w:right w:val="none" w:sz="0" w:space="0" w:color="auto"/>
      </w:divBdr>
    </w:div>
    <w:div w:id="969475490">
      <w:marLeft w:val="0"/>
      <w:marRight w:val="0"/>
      <w:marTop w:val="180"/>
      <w:marBottom w:val="100"/>
      <w:divBdr>
        <w:top w:val="none" w:sz="0" w:space="0" w:color="auto"/>
        <w:left w:val="none" w:sz="0" w:space="0" w:color="auto"/>
        <w:bottom w:val="none" w:sz="0" w:space="0" w:color="auto"/>
        <w:right w:val="none" w:sz="0" w:space="0" w:color="auto"/>
      </w:divBdr>
    </w:div>
    <w:div w:id="970480176">
      <w:marLeft w:val="0"/>
      <w:marRight w:val="0"/>
      <w:marTop w:val="100"/>
      <w:marBottom w:val="160"/>
      <w:divBdr>
        <w:top w:val="none" w:sz="0" w:space="0" w:color="auto"/>
        <w:left w:val="none" w:sz="0" w:space="0" w:color="auto"/>
        <w:bottom w:val="none" w:sz="0" w:space="0" w:color="auto"/>
        <w:right w:val="none" w:sz="0" w:space="0" w:color="auto"/>
      </w:divBdr>
    </w:div>
    <w:div w:id="971714006">
      <w:marLeft w:val="0"/>
      <w:marRight w:val="0"/>
      <w:marTop w:val="180"/>
      <w:marBottom w:val="0"/>
      <w:divBdr>
        <w:top w:val="none" w:sz="0" w:space="0" w:color="auto"/>
        <w:left w:val="none" w:sz="0" w:space="0" w:color="auto"/>
        <w:bottom w:val="none" w:sz="0" w:space="0" w:color="auto"/>
        <w:right w:val="none" w:sz="0" w:space="0" w:color="auto"/>
      </w:divBdr>
    </w:div>
    <w:div w:id="974339315">
      <w:marLeft w:val="0"/>
      <w:marRight w:val="0"/>
      <w:marTop w:val="100"/>
      <w:marBottom w:val="100"/>
      <w:divBdr>
        <w:top w:val="none" w:sz="0" w:space="0" w:color="auto"/>
        <w:left w:val="none" w:sz="0" w:space="0" w:color="auto"/>
        <w:bottom w:val="none" w:sz="0" w:space="0" w:color="auto"/>
        <w:right w:val="none" w:sz="0" w:space="0" w:color="auto"/>
      </w:divBdr>
    </w:div>
    <w:div w:id="974482597">
      <w:marLeft w:val="0"/>
      <w:marRight w:val="0"/>
      <w:marTop w:val="100"/>
      <w:marBottom w:val="100"/>
      <w:divBdr>
        <w:top w:val="none" w:sz="0" w:space="0" w:color="auto"/>
        <w:left w:val="none" w:sz="0" w:space="0" w:color="auto"/>
        <w:bottom w:val="none" w:sz="0" w:space="0" w:color="auto"/>
        <w:right w:val="none" w:sz="0" w:space="0" w:color="auto"/>
      </w:divBdr>
      <w:divsChild>
        <w:div w:id="1000039909">
          <w:marLeft w:val="0"/>
          <w:marRight w:val="0"/>
          <w:marTop w:val="0"/>
          <w:marBottom w:val="0"/>
          <w:divBdr>
            <w:top w:val="none" w:sz="0" w:space="0" w:color="auto"/>
            <w:left w:val="none" w:sz="0" w:space="0" w:color="auto"/>
            <w:bottom w:val="none" w:sz="0" w:space="0" w:color="auto"/>
            <w:right w:val="none" w:sz="0" w:space="0" w:color="auto"/>
          </w:divBdr>
        </w:div>
        <w:div w:id="733702124">
          <w:marLeft w:val="0"/>
          <w:marRight w:val="0"/>
          <w:marTop w:val="0"/>
          <w:marBottom w:val="0"/>
          <w:divBdr>
            <w:top w:val="none" w:sz="0" w:space="0" w:color="auto"/>
            <w:left w:val="none" w:sz="0" w:space="0" w:color="auto"/>
            <w:bottom w:val="none" w:sz="0" w:space="0" w:color="auto"/>
            <w:right w:val="none" w:sz="0" w:space="0" w:color="auto"/>
          </w:divBdr>
        </w:div>
        <w:div w:id="1979339976">
          <w:marLeft w:val="0"/>
          <w:marRight w:val="0"/>
          <w:marTop w:val="0"/>
          <w:marBottom w:val="0"/>
          <w:divBdr>
            <w:top w:val="none" w:sz="0" w:space="0" w:color="auto"/>
            <w:left w:val="none" w:sz="0" w:space="0" w:color="auto"/>
            <w:bottom w:val="none" w:sz="0" w:space="0" w:color="auto"/>
            <w:right w:val="none" w:sz="0" w:space="0" w:color="auto"/>
          </w:divBdr>
        </w:div>
        <w:div w:id="276985915">
          <w:marLeft w:val="0"/>
          <w:marRight w:val="0"/>
          <w:marTop w:val="0"/>
          <w:marBottom w:val="0"/>
          <w:divBdr>
            <w:top w:val="none" w:sz="0" w:space="0" w:color="auto"/>
            <w:left w:val="none" w:sz="0" w:space="0" w:color="auto"/>
            <w:bottom w:val="none" w:sz="0" w:space="0" w:color="auto"/>
            <w:right w:val="none" w:sz="0" w:space="0" w:color="auto"/>
          </w:divBdr>
        </w:div>
        <w:div w:id="539166408">
          <w:marLeft w:val="0"/>
          <w:marRight w:val="0"/>
          <w:marTop w:val="0"/>
          <w:marBottom w:val="0"/>
          <w:divBdr>
            <w:top w:val="none" w:sz="0" w:space="0" w:color="auto"/>
            <w:left w:val="none" w:sz="0" w:space="0" w:color="auto"/>
            <w:bottom w:val="none" w:sz="0" w:space="0" w:color="auto"/>
            <w:right w:val="none" w:sz="0" w:space="0" w:color="auto"/>
          </w:divBdr>
        </w:div>
        <w:div w:id="674767847">
          <w:marLeft w:val="0"/>
          <w:marRight w:val="0"/>
          <w:marTop w:val="0"/>
          <w:marBottom w:val="0"/>
          <w:divBdr>
            <w:top w:val="none" w:sz="0" w:space="0" w:color="auto"/>
            <w:left w:val="none" w:sz="0" w:space="0" w:color="auto"/>
            <w:bottom w:val="none" w:sz="0" w:space="0" w:color="auto"/>
            <w:right w:val="none" w:sz="0" w:space="0" w:color="auto"/>
          </w:divBdr>
        </w:div>
      </w:divsChild>
    </w:div>
    <w:div w:id="974526589">
      <w:marLeft w:val="0"/>
      <w:marRight w:val="0"/>
      <w:marTop w:val="0"/>
      <w:marBottom w:val="0"/>
      <w:divBdr>
        <w:top w:val="none" w:sz="0" w:space="0" w:color="auto"/>
        <w:left w:val="none" w:sz="0" w:space="0" w:color="auto"/>
        <w:bottom w:val="none" w:sz="0" w:space="0" w:color="auto"/>
        <w:right w:val="none" w:sz="0" w:space="0" w:color="auto"/>
      </w:divBdr>
      <w:divsChild>
        <w:div w:id="1213687256">
          <w:marLeft w:val="0"/>
          <w:marRight w:val="0"/>
          <w:marTop w:val="0"/>
          <w:marBottom w:val="0"/>
          <w:divBdr>
            <w:top w:val="none" w:sz="0" w:space="0" w:color="auto"/>
            <w:left w:val="none" w:sz="0" w:space="0" w:color="auto"/>
            <w:bottom w:val="none" w:sz="0" w:space="0" w:color="auto"/>
            <w:right w:val="none" w:sz="0" w:space="0" w:color="auto"/>
          </w:divBdr>
          <w:divsChild>
            <w:div w:id="141243490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76107571">
      <w:marLeft w:val="0"/>
      <w:marRight w:val="0"/>
      <w:marTop w:val="0"/>
      <w:marBottom w:val="0"/>
      <w:divBdr>
        <w:top w:val="none" w:sz="0" w:space="0" w:color="auto"/>
        <w:left w:val="none" w:sz="0" w:space="0" w:color="auto"/>
        <w:bottom w:val="none" w:sz="0" w:space="0" w:color="auto"/>
        <w:right w:val="none" w:sz="0" w:space="0" w:color="auto"/>
      </w:divBdr>
    </w:div>
    <w:div w:id="976763204">
      <w:marLeft w:val="0"/>
      <w:marRight w:val="0"/>
      <w:marTop w:val="0"/>
      <w:marBottom w:val="0"/>
      <w:divBdr>
        <w:top w:val="none" w:sz="0" w:space="0" w:color="auto"/>
        <w:left w:val="none" w:sz="0" w:space="0" w:color="auto"/>
        <w:bottom w:val="none" w:sz="0" w:space="0" w:color="auto"/>
        <w:right w:val="none" w:sz="0" w:space="0" w:color="auto"/>
      </w:divBdr>
      <w:divsChild>
        <w:div w:id="940070472">
          <w:marLeft w:val="0"/>
          <w:marRight w:val="0"/>
          <w:marTop w:val="0"/>
          <w:marBottom w:val="0"/>
          <w:divBdr>
            <w:top w:val="none" w:sz="0" w:space="0" w:color="auto"/>
            <w:left w:val="none" w:sz="0" w:space="0" w:color="auto"/>
            <w:bottom w:val="none" w:sz="0" w:space="0" w:color="auto"/>
            <w:right w:val="none" w:sz="0" w:space="0" w:color="auto"/>
          </w:divBdr>
          <w:divsChild>
            <w:div w:id="17653015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77995135">
      <w:marLeft w:val="0"/>
      <w:marRight w:val="0"/>
      <w:marTop w:val="0"/>
      <w:marBottom w:val="0"/>
      <w:divBdr>
        <w:top w:val="none" w:sz="0" w:space="0" w:color="auto"/>
        <w:left w:val="none" w:sz="0" w:space="0" w:color="auto"/>
        <w:bottom w:val="none" w:sz="0" w:space="0" w:color="auto"/>
        <w:right w:val="none" w:sz="0" w:space="0" w:color="auto"/>
      </w:divBdr>
      <w:divsChild>
        <w:div w:id="264768853">
          <w:marLeft w:val="0"/>
          <w:marRight w:val="0"/>
          <w:marTop w:val="100"/>
          <w:marBottom w:val="100"/>
          <w:divBdr>
            <w:top w:val="none" w:sz="0" w:space="0" w:color="auto"/>
            <w:left w:val="none" w:sz="0" w:space="0" w:color="auto"/>
            <w:bottom w:val="none" w:sz="0" w:space="0" w:color="auto"/>
            <w:right w:val="none" w:sz="0" w:space="0" w:color="auto"/>
          </w:divBdr>
        </w:div>
        <w:div w:id="2086220328">
          <w:marLeft w:val="0"/>
          <w:marRight w:val="0"/>
          <w:marTop w:val="100"/>
          <w:marBottom w:val="100"/>
          <w:divBdr>
            <w:top w:val="none" w:sz="0" w:space="0" w:color="auto"/>
            <w:left w:val="none" w:sz="0" w:space="0" w:color="auto"/>
            <w:bottom w:val="none" w:sz="0" w:space="0" w:color="auto"/>
            <w:right w:val="none" w:sz="0" w:space="0" w:color="auto"/>
          </w:divBdr>
        </w:div>
      </w:divsChild>
    </w:div>
    <w:div w:id="986058525">
      <w:marLeft w:val="0"/>
      <w:marRight w:val="0"/>
      <w:marTop w:val="0"/>
      <w:marBottom w:val="0"/>
      <w:divBdr>
        <w:top w:val="none" w:sz="0" w:space="0" w:color="auto"/>
        <w:left w:val="none" w:sz="0" w:space="0" w:color="auto"/>
        <w:bottom w:val="none" w:sz="0" w:space="0" w:color="auto"/>
        <w:right w:val="none" w:sz="0" w:space="0" w:color="auto"/>
      </w:divBdr>
    </w:div>
    <w:div w:id="987169063">
      <w:marLeft w:val="0"/>
      <w:marRight w:val="0"/>
      <w:marTop w:val="100"/>
      <w:marBottom w:val="0"/>
      <w:divBdr>
        <w:top w:val="none" w:sz="0" w:space="0" w:color="auto"/>
        <w:left w:val="none" w:sz="0" w:space="0" w:color="auto"/>
        <w:bottom w:val="none" w:sz="0" w:space="0" w:color="auto"/>
        <w:right w:val="none" w:sz="0" w:space="0" w:color="auto"/>
      </w:divBdr>
    </w:div>
    <w:div w:id="990256308">
      <w:marLeft w:val="0"/>
      <w:marRight w:val="0"/>
      <w:marTop w:val="0"/>
      <w:marBottom w:val="0"/>
      <w:divBdr>
        <w:top w:val="none" w:sz="0" w:space="0" w:color="auto"/>
        <w:left w:val="none" w:sz="0" w:space="0" w:color="auto"/>
        <w:bottom w:val="none" w:sz="0" w:space="0" w:color="auto"/>
        <w:right w:val="none" w:sz="0" w:space="0" w:color="auto"/>
      </w:divBdr>
    </w:div>
    <w:div w:id="1001741890">
      <w:marLeft w:val="0"/>
      <w:marRight w:val="0"/>
      <w:marTop w:val="160"/>
      <w:marBottom w:val="100"/>
      <w:divBdr>
        <w:top w:val="none" w:sz="0" w:space="0" w:color="auto"/>
        <w:left w:val="none" w:sz="0" w:space="0" w:color="auto"/>
        <w:bottom w:val="none" w:sz="0" w:space="0" w:color="auto"/>
        <w:right w:val="none" w:sz="0" w:space="0" w:color="auto"/>
      </w:divBdr>
      <w:divsChild>
        <w:div w:id="1912931156">
          <w:marLeft w:val="0"/>
          <w:marRight w:val="0"/>
          <w:marTop w:val="0"/>
          <w:marBottom w:val="0"/>
          <w:divBdr>
            <w:top w:val="none" w:sz="0" w:space="0" w:color="auto"/>
            <w:left w:val="none" w:sz="0" w:space="0" w:color="auto"/>
            <w:bottom w:val="none" w:sz="0" w:space="0" w:color="auto"/>
            <w:right w:val="none" w:sz="0" w:space="0" w:color="auto"/>
          </w:divBdr>
        </w:div>
      </w:divsChild>
    </w:div>
    <w:div w:id="1002660760">
      <w:marLeft w:val="0"/>
      <w:marRight w:val="0"/>
      <w:marTop w:val="100"/>
      <w:marBottom w:val="100"/>
      <w:divBdr>
        <w:top w:val="none" w:sz="0" w:space="0" w:color="auto"/>
        <w:left w:val="none" w:sz="0" w:space="0" w:color="auto"/>
        <w:bottom w:val="none" w:sz="0" w:space="0" w:color="auto"/>
        <w:right w:val="none" w:sz="0" w:space="0" w:color="auto"/>
      </w:divBdr>
    </w:div>
    <w:div w:id="1006009538">
      <w:marLeft w:val="0"/>
      <w:marRight w:val="0"/>
      <w:marTop w:val="0"/>
      <w:marBottom w:val="0"/>
      <w:divBdr>
        <w:top w:val="none" w:sz="0" w:space="0" w:color="auto"/>
        <w:left w:val="none" w:sz="0" w:space="0" w:color="auto"/>
        <w:bottom w:val="none" w:sz="0" w:space="0" w:color="auto"/>
        <w:right w:val="none" w:sz="0" w:space="0" w:color="auto"/>
      </w:divBdr>
    </w:div>
    <w:div w:id="1007827637">
      <w:marLeft w:val="0"/>
      <w:marRight w:val="0"/>
      <w:marTop w:val="100"/>
      <w:marBottom w:val="100"/>
      <w:divBdr>
        <w:top w:val="none" w:sz="0" w:space="0" w:color="auto"/>
        <w:left w:val="none" w:sz="0" w:space="0" w:color="auto"/>
        <w:bottom w:val="none" w:sz="0" w:space="0" w:color="auto"/>
        <w:right w:val="none" w:sz="0" w:space="0" w:color="auto"/>
      </w:divBdr>
    </w:div>
    <w:div w:id="1013872475">
      <w:marLeft w:val="0"/>
      <w:marRight w:val="0"/>
      <w:marTop w:val="100"/>
      <w:marBottom w:val="100"/>
      <w:divBdr>
        <w:top w:val="none" w:sz="0" w:space="0" w:color="auto"/>
        <w:left w:val="none" w:sz="0" w:space="0" w:color="auto"/>
        <w:bottom w:val="none" w:sz="0" w:space="0" w:color="auto"/>
        <w:right w:val="none" w:sz="0" w:space="0" w:color="auto"/>
      </w:divBdr>
    </w:div>
    <w:div w:id="1015808480">
      <w:marLeft w:val="0"/>
      <w:marRight w:val="0"/>
      <w:marTop w:val="180"/>
      <w:marBottom w:val="0"/>
      <w:divBdr>
        <w:top w:val="none" w:sz="0" w:space="0" w:color="auto"/>
        <w:left w:val="none" w:sz="0" w:space="0" w:color="auto"/>
        <w:bottom w:val="none" w:sz="0" w:space="0" w:color="auto"/>
        <w:right w:val="none" w:sz="0" w:space="0" w:color="auto"/>
      </w:divBdr>
    </w:div>
    <w:div w:id="1025592660">
      <w:marLeft w:val="0"/>
      <w:marRight w:val="0"/>
      <w:marTop w:val="0"/>
      <w:marBottom w:val="0"/>
      <w:divBdr>
        <w:top w:val="none" w:sz="0" w:space="0" w:color="auto"/>
        <w:left w:val="none" w:sz="0" w:space="0" w:color="auto"/>
        <w:bottom w:val="none" w:sz="0" w:space="0" w:color="auto"/>
        <w:right w:val="none" w:sz="0" w:space="0" w:color="auto"/>
      </w:divBdr>
    </w:div>
    <w:div w:id="1028606373">
      <w:marLeft w:val="0"/>
      <w:marRight w:val="0"/>
      <w:marTop w:val="180"/>
      <w:marBottom w:val="0"/>
      <w:divBdr>
        <w:top w:val="none" w:sz="0" w:space="0" w:color="auto"/>
        <w:left w:val="none" w:sz="0" w:space="0" w:color="auto"/>
        <w:bottom w:val="none" w:sz="0" w:space="0" w:color="auto"/>
        <w:right w:val="none" w:sz="0" w:space="0" w:color="auto"/>
      </w:divBdr>
    </w:div>
    <w:div w:id="1028801484">
      <w:marLeft w:val="0"/>
      <w:marRight w:val="0"/>
      <w:marTop w:val="100"/>
      <w:marBottom w:val="100"/>
      <w:divBdr>
        <w:top w:val="none" w:sz="0" w:space="0" w:color="auto"/>
        <w:left w:val="none" w:sz="0" w:space="0" w:color="auto"/>
        <w:bottom w:val="none" w:sz="0" w:space="0" w:color="auto"/>
        <w:right w:val="none" w:sz="0" w:space="0" w:color="auto"/>
      </w:divBdr>
    </w:div>
    <w:div w:id="1029450352">
      <w:marLeft w:val="0"/>
      <w:marRight w:val="0"/>
      <w:marTop w:val="100"/>
      <w:marBottom w:val="100"/>
      <w:divBdr>
        <w:top w:val="none" w:sz="0" w:space="0" w:color="auto"/>
        <w:left w:val="none" w:sz="0" w:space="0" w:color="auto"/>
        <w:bottom w:val="none" w:sz="0" w:space="0" w:color="auto"/>
        <w:right w:val="none" w:sz="0" w:space="0" w:color="auto"/>
      </w:divBdr>
    </w:div>
    <w:div w:id="1031808184">
      <w:marLeft w:val="0"/>
      <w:marRight w:val="0"/>
      <w:marTop w:val="0"/>
      <w:marBottom w:val="0"/>
      <w:divBdr>
        <w:top w:val="none" w:sz="0" w:space="0" w:color="auto"/>
        <w:left w:val="none" w:sz="0" w:space="0" w:color="auto"/>
        <w:bottom w:val="none" w:sz="0" w:space="0" w:color="auto"/>
        <w:right w:val="none" w:sz="0" w:space="0" w:color="auto"/>
      </w:divBdr>
    </w:div>
    <w:div w:id="1035696018">
      <w:marLeft w:val="0"/>
      <w:marRight w:val="0"/>
      <w:marTop w:val="0"/>
      <w:marBottom w:val="0"/>
      <w:divBdr>
        <w:top w:val="none" w:sz="0" w:space="0" w:color="auto"/>
        <w:left w:val="none" w:sz="0" w:space="0" w:color="auto"/>
        <w:bottom w:val="none" w:sz="0" w:space="0" w:color="auto"/>
        <w:right w:val="none" w:sz="0" w:space="0" w:color="auto"/>
      </w:divBdr>
      <w:divsChild>
        <w:div w:id="307053514">
          <w:marLeft w:val="0"/>
          <w:marRight w:val="0"/>
          <w:marTop w:val="0"/>
          <w:marBottom w:val="0"/>
          <w:divBdr>
            <w:top w:val="none" w:sz="0" w:space="0" w:color="auto"/>
            <w:left w:val="none" w:sz="0" w:space="0" w:color="auto"/>
            <w:bottom w:val="none" w:sz="0" w:space="0" w:color="auto"/>
            <w:right w:val="none" w:sz="0" w:space="0" w:color="auto"/>
          </w:divBdr>
          <w:divsChild>
            <w:div w:id="6368385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41593460">
      <w:marLeft w:val="0"/>
      <w:marRight w:val="0"/>
      <w:marTop w:val="100"/>
      <w:marBottom w:val="100"/>
      <w:divBdr>
        <w:top w:val="none" w:sz="0" w:space="0" w:color="auto"/>
        <w:left w:val="none" w:sz="0" w:space="0" w:color="auto"/>
        <w:bottom w:val="none" w:sz="0" w:space="0" w:color="auto"/>
        <w:right w:val="none" w:sz="0" w:space="0" w:color="auto"/>
      </w:divBdr>
    </w:div>
    <w:div w:id="1047989953">
      <w:marLeft w:val="0"/>
      <w:marRight w:val="0"/>
      <w:marTop w:val="180"/>
      <w:marBottom w:val="0"/>
      <w:divBdr>
        <w:top w:val="none" w:sz="0" w:space="0" w:color="auto"/>
        <w:left w:val="none" w:sz="0" w:space="0" w:color="auto"/>
        <w:bottom w:val="none" w:sz="0" w:space="0" w:color="auto"/>
        <w:right w:val="none" w:sz="0" w:space="0" w:color="auto"/>
      </w:divBdr>
    </w:div>
    <w:div w:id="1050766539">
      <w:marLeft w:val="0"/>
      <w:marRight w:val="0"/>
      <w:marTop w:val="100"/>
      <w:marBottom w:val="100"/>
      <w:divBdr>
        <w:top w:val="none" w:sz="0" w:space="0" w:color="auto"/>
        <w:left w:val="none" w:sz="0" w:space="0" w:color="auto"/>
        <w:bottom w:val="none" w:sz="0" w:space="0" w:color="auto"/>
        <w:right w:val="none" w:sz="0" w:space="0" w:color="auto"/>
      </w:divBdr>
    </w:div>
    <w:div w:id="1055197429">
      <w:marLeft w:val="0"/>
      <w:marRight w:val="0"/>
      <w:marTop w:val="100"/>
      <w:marBottom w:val="100"/>
      <w:divBdr>
        <w:top w:val="none" w:sz="0" w:space="0" w:color="auto"/>
        <w:left w:val="none" w:sz="0" w:space="0" w:color="auto"/>
        <w:bottom w:val="none" w:sz="0" w:space="0" w:color="auto"/>
        <w:right w:val="none" w:sz="0" w:space="0" w:color="auto"/>
      </w:divBdr>
      <w:divsChild>
        <w:div w:id="1452822703">
          <w:marLeft w:val="0"/>
          <w:marRight w:val="0"/>
          <w:marTop w:val="0"/>
          <w:marBottom w:val="0"/>
          <w:divBdr>
            <w:top w:val="none" w:sz="0" w:space="0" w:color="auto"/>
            <w:left w:val="none" w:sz="0" w:space="0" w:color="auto"/>
            <w:bottom w:val="none" w:sz="0" w:space="0" w:color="auto"/>
            <w:right w:val="none" w:sz="0" w:space="0" w:color="auto"/>
          </w:divBdr>
        </w:div>
        <w:div w:id="1969967087">
          <w:marLeft w:val="0"/>
          <w:marRight w:val="0"/>
          <w:marTop w:val="0"/>
          <w:marBottom w:val="0"/>
          <w:divBdr>
            <w:top w:val="none" w:sz="0" w:space="0" w:color="auto"/>
            <w:left w:val="none" w:sz="0" w:space="0" w:color="auto"/>
            <w:bottom w:val="none" w:sz="0" w:space="0" w:color="auto"/>
            <w:right w:val="none" w:sz="0" w:space="0" w:color="auto"/>
          </w:divBdr>
        </w:div>
      </w:divsChild>
    </w:div>
    <w:div w:id="1056200753">
      <w:marLeft w:val="0"/>
      <w:marRight w:val="0"/>
      <w:marTop w:val="100"/>
      <w:marBottom w:val="100"/>
      <w:divBdr>
        <w:top w:val="none" w:sz="0" w:space="0" w:color="auto"/>
        <w:left w:val="none" w:sz="0" w:space="0" w:color="auto"/>
        <w:bottom w:val="none" w:sz="0" w:space="0" w:color="auto"/>
        <w:right w:val="none" w:sz="0" w:space="0" w:color="auto"/>
      </w:divBdr>
    </w:div>
    <w:div w:id="1059017596">
      <w:marLeft w:val="0"/>
      <w:marRight w:val="0"/>
      <w:marTop w:val="60"/>
      <w:marBottom w:val="0"/>
      <w:divBdr>
        <w:top w:val="none" w:sz="0" w:space="0" w:color="auto"/>
        <w:left w:val="none" w:sz="0" w:space="0" w:color="auto"/>
        <w:bottom w:val="none" w:sz="0" w:space="0" w:color="auto"/>
        <w:right w:val="none" w:sz="0" w:space="0" w:color="auto"/>
      </w:divBdr>
    </w:div>
    <w:div w:id="1078207482">
      <w:marLeft w:val="0"/>
      <w:marRight w:val="0"/>
      <w:marTop w:val="180"/>
      <w:marBottom w:val="0"/>
      <w:divBdr>
        <w:top w:val="none" w:sz="0" w:space="0" w:color="auto"/>
        <w:left w:val="none" w:sz="0" w:space="0" w:color="auto"/>
        <w:bottom w:val="none" w:sz="0" w:space="0" w:color="auto"/>
        <w:right w:val="none" w:sz="0" w:space="0" w:color="auto"/>
      </w:divBdr>
    </w:div>
    <w:div w:id="1079057899">
      <w:marLeft w:val="0"/>
      <w:marRight w:val="0"/>
      <w:marTop w:val="180"/>
      <w:marBottom w:val="100"/>
      <w:divBdr>
        <w:top w:val="none" w:sz="0" w:space="0" w:color="auto"/>
        <w:left w:val="none" w:sz="0" w:space="0" w:color="auto"/>
        <w:bottom w:val="none" w:sz="0" w:space="0" w:color="auto"/>
        <w:right w:val="none" w:sz="0" w:space="0" w:color="auto"/>
      </w:divBdr>
      <w:divsChild>
        <w:div w:id="1954632214">
          <w:marLeft w:val="0"/>
          <w:marRight w:val="0"/>
          <w:marTop w:val="0"/>
          <w:marBottom w:val="0"/>
          <w:divBdr>
            <w:top w:val="none" w:sz="0" w:space="0" w:color="auto"/>
            <w:left w:val="none" w:sz="0" w:space="0" w:color="auto"/>
            <w:bottom w:val="none" w:sz="0" w:space="0" w:color="auto"/>
            <w:right w:val="none" w:sz="0" w:space="0" w:color="auto"/>
          </w:divBdr>
        </w:div>
        <w:div w:id="1018040333">
          <w:marLeft w:val="0"/>
          <w:marRight w:val="0"/>
          <w:marTop w:val="0"/>
          <w:marBottom w:val="0"/>
          <w:divBdr>
            <w:top w:val="none" w:sz="0" w:space="0" w:color="auto"/>
            <w:left w:val="none" w:sz="0" w:space="0" w:color="auto"/>
            <w:bottom w:val="none" w:sz="0" w:space="0" w:color="auto"/>
            <w:right w:val="none" w:sz="0" w:space="0" w:color="auto"/>
          </w:divBdr>
        </w:div>
      </w:divsChild>
    </w:div>
    <w:div w:id="1081366034">
      <w:marLeft w:val="0"/>
      <w:marRight w:val="0"/>
      <w:marTop w:val="100"/>
      <w:marBottom w:val="100"/>
      <w:divBdr>
        <w:top w:val="none" w:sz="0" w:space="0" w:color="auto"/>
        <w:left w:val="none" w:sz="0" w:space="0" w:color="auto"/>
        <w:bottom w:val="none" w:sz="0" w:space="0" w:color="auto"/>
        <w:right w:val="none" w:sz="0" w:space="0" w:color="auto"/>
      </w:divBdr>
    </w:div>
    <w:div w:id="1083183183">
      <w:marLeft w:val="0"/>
      <w:marRight w:val="0"/>
      <w:marTop w:val="180"/>
      <w:marBottom w:val="0"/>
      <w:divBdr>
        <w:top w:val="none" w:sz="0" w:space="0" w:color="auto"/>
        <w:left w:val="none" w:sz="0" w:space="0" w:color="auto"/>
        <w:bottom w:val="none" w:sz="0" w:space="0" w:color="auto"/>
        <w:right w:val="none" w:sz="0" w:space="0" w:color="auto"/>
      </w:divBdr>
    </w:div>
    <w:div w:id="1087072627">
      <w:marLeft w:val="0"/>
      <w:marRight w:val="0"/>
      <w:marTop w:val="100"/>
      <w:marBottom w:val="100"/>
      <w:divBdr>
        <w:top w:val="none" w:sz="0" w:space="0" w:color="auto"/>
        <w:left w:val="none" w:sz="0" w:space="0" w:color="auto"/>
        <w:bottom w:val="none" w:sz="0" w:space="0" w:color="auto"/>
        <w:right w:val="none" w:sz="0" w:space="0" w:color="auto"/>
      </w:divBdr>
    </w:div>
    <w:div w:id="1087726683">
      <w:marLeft w:val="0"/>
      <w:marRight w:val="0"/>
      <w:marTop w:val="0"/>
      <w:marBottom w:val="0"/>
      <w:divBdr>
        <w:top w:val="none" w:sz="0" w:space="0" w:color="auto"/>
        <w:left w:val="none" w:sz="0" w:space="0" w:color="auto"/>
        <w:bottom w:val="none" w:sz="0" w:space="0" w:color="auto"/>
        <w:right w:val="none" w:sz="0" w:space="0" w:color="auto"/>
      </w:divBdr>
    </w:div>
    <w:div w:id="1090809231">
      <w:marLeft w:val="0"/>
      <w:marRight w:val="0"/>
      <w:marTop w:val="0"/>
      <w:marBottom w:val="0"/>
      <w:divBdr>
        <w:top w:val="none" w:sz="0" w:space="0" w:color="auto"/>
        <w:left w:val="none" w:sz="0" w:space="0" w:color="auto"/>
        <w:bottom w:val="none" w:sz="0" w:space="0" w:color="auto"/>
        <w:right w:val="none" w:sz="0" w:space="0" w:color="auto"/>
      </w:divBdr>
      <w:divsChild>
        <w:div w:id="1980451530">
          <w:marLeft w:val="0"/>
          <w:marRight w:val="0"/>
          <w:marTop w:val="0"/>
          <w:marBottom w:val="0"/>
          <w:divBdr>
            <w:top w:val="none" w:sz="0" w:space="0" w:color="auto"/>
            <w:left w:val="none" w:sz="0" w:space="0" w:color="auto"/>
            <w:bottom w:val="none" w:sz="0" w:space="0" w:color="auto"/>
            <w:right w:val="none" w:sz="0" w:space="0" w:color="auto"/>
          </w:divBdr>
          <w:divsChild>
            <w:div w:id="2991199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91198866">
      <w:marLeft w:val="0"/>
      <w:marRight w:val="0"/>
      <w:marTop w:val="180"/>
      <w:marBottom w:val="0"/>
      <w:divBdr>
        <w:top w:val="none" w:sz="0" w:space="0" w:color="auto"/>
        <w:left w:val="none" w:sz="0" w:space="0" w:color="auto"/>
        <w:bottom w:val="none" w:sz="0" w:space="0" w:color="auto"/>
        <w:right w:val="none" w:sz="0" w:space="0" w:color="auto"/>
      </w:divBdr>
    </w:div>
    <w:div w:id="1092778100">
      <w:marLeft w:val="0"/>
      <w:marRight w:val="0"/>
      <w:marTop w:val="100"/>
      <w:marBottom w:val="0"/>
      <w:divBdr>
        <w:top w:val="none" w:sz="0" w:space="0" w:color="auto"/>
        <w:left w:val="none" w:sz="0" w:space="0" w:color="auto"/>
        <w:bottom w:val="none" w:sz="0" w:space="0" w:color="auto"/>
        <w:right w:val="none" w:sz="0" w:space="0" w:color="auto"/>
      </w:divBdr>
    </w:div>
    <w:div w:id="1095593877">
      <w:marLeft w:val="0"/>
      <w:marRight w:val="0"/>
      <w:marTop w:val="0"/>
      <w:marBottom w:val="0"/>
      <w:divBdr>
        <w:top w:val="none" w:sz="0" w:space="0" w:color="auto"/>
        <w:left w:val="none" w:sz="0" w:space="0" w:color="auto"/>
        <w:bottom w:val="none" w:sz="0" w:space="0" w:color="auto"/>
        <w:right w:val="none" w:sz="0" w:space="0" w:color="auto"/>
      </w:divBdr>
    </w:div>
    <w:div w:id="1096749350">
      <w:marLeft w:val="0"/>
      <w:marRight w:val="0"/>
      <w:marTop w:val="180"/>
      <w:marBottom w:val="120"/>
      <w:divBdr>
        <w:top w:val="none" w:sz="0" w:space="0" w:color="auto"/>
        <w:left w:val="none" w:sz="0" w:space="0" w:color="auto"/>
        <w:bottom w:val="none" w:sz="0" w:space="0" w:color="auto"/>
        <w:right w:val="none" w:sz="0" w:space="0" w:color="auto"/>
      </w:divBdr>
    </w:div>
    <w:div w:id="1098136463">
      <w:marLeft w:val="0"/>
      <w:marRight w:val="0"/>
      <w:marTop w:val="100"/>
      <w:marBottom w:val="100"/>
      <w:divBdr>
        <w:top w:val="none" w:sz="0" w:space="0" w:color="auto"/>
        <w:left w:val="none" w:sz="0" w:space="0" w:color="auto"/>
        <w:bottom w:val="none" w:sz="0" w:space="0" w:color="auto"/>
        <w:right w:val="none" w:sz="0" w:space="0" w:color="auto"/>
      </w:divBdr>
    </w:div>
    <w:div w:id="1103722519">
      <w:marLeft w:val="0"/>
      <w:marRight w:val="0"/>
      <w:marTop w:val="100"/>
      <w:marBottom w:val="100"/>
      <w:divBdr>
        <w:top w:val="none" w:sz="0" w:space="0" w:color="auto"/>
        <w:left w:val="none" w:sz="0" w:space="0" w:color="auto"/>
        <w:bottom w:val="none" w:sz="0" w:space="0" w:color="auto"/>
        <w:right w:val="none" w:sz="0" w:space="0" w:color="auto"/>
      </w:divBdr>
    </w:div>
    <w:div w:id="1110512236">
      <w:marLeft w:val="0"/>
      <w:marRight w:val="0"/>
      <w:marTop w:val="100"/>
      <w:marBottom w:val="0"/>
      <w:divBdr>
        <w:top w:val="none" w:sz="0" w:space="0" w:color="auto"/>
        <w:left w:val="none" w:sz="0" w:space="0" w:color="auto"/>
        <w:bottom w:val="none" w:sz="0" w:space="0" w:color="auto"/>
        <w:right w:val="none" w:sz="0" w:space="0" w:color="auto"/>
      </w:divBdr>
    </w:div>
    <w:div w:id="1117405341">
      <w:marLeft w:val="0"/>
      <w:marRight w:val="0"/>
      <w:marTop w:val="100"/>
      <w:marBottom w:val="100"/>
      <w:divBdr>
        <w:top w:val="none" w:sz="0" w:space="0" w:color="auto"/>
        <w:left w:val="none" w:sz="0" w:space="0" w:color="auto"/>
        <w:bottom w:val="none" w:sz="0" w:space="0" w:color="auto"/>
        <w:right w:val="none" w:sz="0" w:space="0" w:color="auto"/>
      </w:divBdr>
    </w:div>
    <w:div w:id="1132747455">
      <w:marLeft w:val="0"/>
      <w:marRight w:val="0"/>
      <w:marTop w:val="100"/>
      <w:marBottom w:val="100"/>
      <w:divBdr>
        <w:top w:val="none" w:sz="0" w:space="0" w:color="auto"/>
        <w:left w:val="none" w:sz="0" w:space="0" w:color="auto"/>
        <w:bottom w:val="none" w:sz="0" w:space="0" w:color="auto"/>
        <w:right w:val="none" w:sz="0" w:space="0" w:color="auto"/>
      </w:divBdr>
    </w:div>
    <w:div w:id="1133250555">
      <w:marLeft w:val="0"/>
      <w:marRight w:val="0"/>
      <w:marTop w:val="180"/>
      <w:marBottom w:val="100"/>
      <w:divBdr>
        <w:top w:val="none" w:sz="0" w:space="0" w:color="auto"/>
        <w:left w:val="none" w:sz="0" w:space="0" w:color="auto"/>
        <w:bottom w:val="none" w:sz="0" w:space="0" w:color="auto"/>
        <w:right w:val="none" w:sz="0" w:space="0" w:color="auto"/>
      </w:divBdr>
    </w:div>
    <w:div w:id="1133862824">
      <w:marLeft w:val="0"/>
      <w:marRight w:val="0"/>
      <w:marTop w:val="180"/>
      <w:marBottom w:val="0"/>
      <w:divBdr>
        <w:top w:val="none" w:sz="0" w:space="0" w:color="auto"/>
        <w:left w:val="none" w:sz="0" w:space="0" w:color="auto"/>
        <w:bottom w:val="none" w:sz="0" w:space="0" w:color="auto"/>
        <w:right w:val="none" w:sz="0" w:space="0" w:color="auto"/>
      </w:divBdr>
    </w:div>
    <w:div w:id="1138110904">
      <w:marLeft w:val="0"/>
      <w:marRight w:val="0"/>
      <w:marTop w:val="100"/>
      <w:marBottom w:val="0"/>
      <w:divBdr>
        <w:top w:val="none" w:sz="0" w:space="0" w:color="auto"/>
        <w:left w:val="none" w:sz="0" w:space="0" w:color="auto"/>
        <w:bottom w:val="none" w:sz="0" w:space="0" w:color="auto"/>
        <w:right w:val="none" w:sz="0" w:space="0" w:color="auto"/>
      </w:divBdr>
    </w:div>
    <w:div w:id="1143159408">
      <w:marLeft w:val="0"/>
      <w:marRight w:val="0"/>
      <w:marTop w:val="0"/>
      <w:marBottom w:val="0"/>
      <w:divBdr>
        <w:top w:val="none" w:sz="0" w:space="0" w:color="auto"/>
        <w:left w:val="none" w:sz="0" w:space="0" w:color="auto"/>
        <w:bottom w:val="none" w:sz="0" w:space="0" w:color="auto"/>
        <w:right w:val="none" w:sz="0" w:space="0" w:color="auto"/>
      </w:divBdr>
    </w:div>
    <w:div w:id="1148672996">
      <w:marLeft w:val="0"/>
      <w:marRight w:val="0"/>
      <w:marTop w:val="100"/>
      <w:marBottom w:val="0"/>
      <w:divBdr>
        <w:top w:val="none" w:sz="0" w:space="0" w:color="auto"/>
        <w:left w:val="none" w:sz="0" w:space="0" w:color="auto"/>
        <w:bottom w:val="none" w:sz="0" w:space="0" w:color="auto"/>
        <w:right w:val="none" w:sz="0" w:space="0" w:color="auto"/>
      </w:divBdr>
    </w:div>
    <w:div w:id="1149713003">
      <w:marLeft w:val="0"/>
      <w:marRight w:val="0"/>
      <w:marTop w:val="0"/>
      <w:marBottom w:val="0"/>
      <w:divBdr>
        <w:top w:val="none" w:sz="0" w:space="0" w:color="auto"/>
        <w:left w:val="none" w:sz="0" w:space="0" w:color="auto"/>
        <w:bottom w:val="none" w:sz="0" w:space="0" w:color="auto"/>
        <w:right w:val="none" w:sz="0" w:space="0" w:color="auto"/>
      </w:divBdr>
    </w:div>
    <w:div w:id="1151630013">
      <w:marLeft w:val="0"/>
      <w:marRight w:val="0"/>
      <w:marTop w:val="180"/>
      <w:marBottom w:val="0"/>
      <w:divBdr>
        <w:top w:val="none" w:sz="0" w:space="0" w:color="auto"/>
        <w:left w:val="none" w:sz="0" w:space="0" w:color="auto"/>
        <w:bottom w:val="none" w:sz="0" w:space="0" w:color="auto"/>
        <w:right w:val="none" w:sz="0" w:space="0" w:color="auto"/>
      </w:divBdr>
    </w:div>
    <w:div w:id="1152677716">
      <w:marLeft w:val="0"/>
      <w:marRight w:val="0"/>
      <w:marTop w:val="0"/>
      <w:marBottom w:val="0"/>
      <w:divBdr>
        <w:top w:val="none" w:sz="0" w:space="0" w:color="auto"/>
        <w:left w:val="none" w:sz="0" w:space="0" w:color="auto"/>
        <w:bottom w:val="none" w:sz="0" w:space="0" w:color="auto"/>
        <w:right w:val="none" w:sz="0" w:space="0" w:color="auto"/>
      </w:divBdr>
      <w:divsChild>
        <w:div w:id="2127772708">
          <w:marLeft w:val="0"/>
          <w:marRight w:val="0"/>
          <w:marTop w:val="0"/>
          <w:marBottom w:val="0"/>
          <w:divBdr>
            <w:top w:val="none" w:sz="0" w:space="0" w:color="auto"/>
            <w:left w:val="none" w:sz="0" w:space="0" w:color="auto"/>
            <w:bottom w:val="none" w:sz="0" w:space="0" w:color="auto"/>
            <w:right w:val="none" w:sz="0" w:space="0" w:color="auto"/>
          </w:divBdr>
          <w:divsChild>
            <w:div w:id="9451191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4179917">
      <w:marLeft w:val="0"/>
      <w:marRight w:val="0"/>
      <w:marTop w:val="180"/>
      <w:marBottom w:val="100"/>
      <w:divBdr>
        <w:top w:val="none" w:sz="0" w:space="0" w:color="auto"/>
        <w:left w:val="none" w:sz="0" w:space="0" w:color="auto"/>
        <w:bottom w:val="none" w:sz="0" w:space="0" w:color="auto"/>
        <w:right w:val="none" w:sz="0" w:space="0" w:color="auto"/>
      </w:divBdr>
    </w:div>
    <w:div w:id="1155148007">
      <w:marLeft w:val="0"/>
      <w:marRight w:val="0"/>
      <w:marTop w:val="100"/>
      <w:marBottom w:val="100"/>
      <w:divBdr>
        <w:top w:val="none" w:sz="0" w:space="0" w:color="auto"/>
        <w:left w:val="none" w:sz="0" w:space="0" w:color="auto"/>
        <w:bottom w:val="none" w:sz="0" w:space="0" w:color="auto"/>
        <w:right w:val="none" w:sz="0" w:space="0" w:color="auto"/>
      </w:divBdr>
    </w:div>
    <w:div w:id="1155535398">
      <w:marLeft w:val="0"/>
      <w:marRight w:val="0"/>
      <w:marTop w:val="180"/>
      <w:marBottom w:val="0"/>
      <w:divBdr>
        <w:top w:val="none" w:sz="0" w:space="0" w:color="auto"/>
        <w:left w:val="none" w:sz="0" w:space="0" w:color="auto"/>
        <w:bottom w:val="none" w:sz="0" w:space="0" w:color="auto"/>
        <w:right w:val="none" w:sz="0" w:space="0" w:color="auto"/>
      </w:divBdr>
    </w:div>
    <w:div w:id="1162739878">
      <w:marLeft w:val="0"/>
      <w:marRight w:val="0"/>
      <w:marTop w:val="100"/>
      <w:marBottom w:val="100"/>
      <w:divBdr>
        <w:top w:val="none" w:sz="0" w:space="0" w:color="auto"/>
        <w:left w:val="none" w:sz="0" w:space="0" w:color="auto"/>
        <w:bottom w:val="none" w:sz="0" w:space="0" w:color="auto"/>
        <w:right w:val="none" w:sz="0" w:space="0" w:color="auto"/>
      </w:divBdr>
    </w:div>
    <w:div w:id="1171069755">
      <w:marLeft w:val="0"/>
      <w:marRight w:val="0"/>
      <w:marTop w:val="0"/>
      <w:marBottom w:val="0"/>
      <w:divBdr>
        <w:top w:val="none" w:sz="0" w:space="0" w:color="auto"/>
        <w:left w:val="none" w:sz="0" w:space="0" w:color="auto"/>
        <w:bottom w:val="none" w:sz="0" w:space="0" w:color="auto"/>
        <w:right w:val="none" w:sz="0" w:space="0" w:color="auto"/>
      </w:divBdr>
    </w:div>
    <w:div w:id="1174996573">
      <w:marLeft w:val="0"/>
      <w:marRight w:val="0"/>
      <w:marTop w:val="0"/>
      <w:marBottom w:val="0"/>
      <w:divBdr>
        <w:top w:val="none" w:sz="0" w:space="0" w:color="auto"/>
        <w:left w:val="none" w:sz="0" w:space="0" w:color="auto"/>
        <w:bottom w:val="none" w:sz="0" w:space="0" w:color="auto"/>
        <w:right w:val="none" w:sz="0" w:space="0" w:color="auto"/>
      </w:divBdr>
    </w:div>
    <w:div w:id="1175461149">
      <w:marLeft w:val="0"/>
      <w:marRight w:val="0"/>
      <w:marTop w:val="0"/>
      <w:marBottom w:val="0"/>
      <w:divBdr>
        <w:top w:val="none" w:sz="0" w:space="0" w:color="auto"/>
        <w:left w:val="none" w:sz="0" w:space="0" w:color="auto"/>
        <w:bottom w:val="none" w:sz="0" w:space="0" w:color="auto"/>
        <w:right w:val="none" w:sz="0" w:space="0" w:color="auto"/>
      </w:divBdr>
    </w:div>
    <w:div w:id="1176647552">
      <w:marLeft w:val="0"/>
      <w:marRight w:val="0"/>
      <w:marTop w:val="0"/>
      <w:marBottom w:val="0"/>
      <w:divBdr>
        <w:top w:val="none" w:sz="0" w:space="0" w:color="auto"/>
        <w:left w:val="none" w:sz="0" w:space="0" w:color="auto"/>
        <w:bottom w:val="none" w:sz="0" w:space="0" w:color="auto"/>
        <w:right w:val="none" w:sz="0" w:space="0" w:color="auto"/>
      </w:divBdr>
      <w:divsChild>
        <w:div w:id="763842621">
          <w:marLeft w:val="0"/>
          <w:marRight w:val="0"/>
          <w:marTop w:val="0"/>
          <w:marBottom w:val="0"/>
          <w:divBdr>
            <w:top w:val="none" w:sz="0" w:space="0" w:color="auto"/>
            <w:left w:val="none" w:sz="0" w:space="0" w:color="auto"/>
            <w:bottom w:val="none" w:sz="0" w:space="0" w:color="auto"/>
            <w:right w:val="none" w:sz="0" w:space="0" w:color="auto"/>
          </w:divBdr>
          <w:divsChild>
            <w:div w:id="9141706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9658651">
      <w:marLeft w:val="0"/>
      <w:marRight w:val="0"/>
      <w:marTop w:val="0"/>
      <w:marBottom w:val="0"/>
      <w:divBdr>
        <w:top w:val="none" w:sz="0" w:space="0" w:color="auto"/>
        <w:left w:val="none" w:sz="0" w:space="0" w:color="auto"/>
        <w:bottom w:val="none" w:sz="0" w:space="0" w:color="auto"/>
        <w:right w:val="none" w:sz="0" w:space="0" w:color="auto"/>
      </w:divBdr>
    </w:div>
    <w:div w:id="1181745983">
      <w:marLeft w:val="0"/>
      <w:marRight w:val="0"/>
      <w:marTop w:val="100"/>
      <w:marBottom w:val="100"/>
      <w:divBdr>
        <w:top w:val="none" w:sz="0" w:space="0" w:color="auto"/>
        <w:left w:val="none" w:sz="0" w:space="0" w:color="auto"/>
        <w:bottom w:val="none" w:sz="0" w:space="0" w:color="auto"/>
        <w:right w:val="none" w:sz="0" w:space="0" w:color="auto"/>
      </w:divBdr>
    </w:div>
    <w:div w:id="1182476415">
      <w:marLeft w:val="0"/>
      <w:marRight w:val="0"/>
      <w:marTop w:val="0"/>
      <w:marBottom w:val="0"/>
      <w:divBdr>
        <w:top w:val="none" w:sz="0" w:space="0" w:color="auto"/>
        <w:left w:val="none" w:sz="0" w:space="0" w:color="auto"/>
        <w:bottom w:val="none" w:sz="0" w:space="0" w:color="auto"/>
        <w:right w:val="none" w:sz="0" w:space="0" w:color="auto"/>
      </w:divBdr>
    </w:div>
    <w:div w:id="1186139885">
      <w:marLeft w:val="0"/>
      <w:marRight w:val="0"/>
      <w:marTop w:val="100"/>
      <w:marBottom w:val="100"/>
      <w:divBdr>
        <w:top w:val="none" w:sz="0" w:space="0" w:color="auto"/>
        <w:left w:val="none" w:sz="0" w:space="0" w:color="auto"/>
        <w:bottom w:val="none" w:sz="0" w:space="0" w:color="auto"/>
        <w:right w:val="none" w:sz="0" w:space="0" w:color="auto"/>
      </w:divBdr>
    </w:div>
    <w:div w:id="1192383472">
      <w:marLeft w:val="0"/>
      <w:marRight w:val="0"/>
      <w:marTop w:val="100"/>
      <w:marBottom w:val="100"/>
      <w:divBdr>
        <w:top w:val="none" w:sz="0" w:space="0" w:color="auto"/>
        <w:left w:val="none" w:sz="0" w:space="0" w:color="auto"/>
        <w:bottom w:val="none" w:sz="0" w:space="0" w:color="auto"/>
        <w:right w:val="none" w:sz="0" w:space="0" w:color="auto"/>
      </w:divBdr>
    </w:div>
    <w:div w:id="1194535331">
      <w:marLeft w:val="0"/>
      <w:marRight w:val="0"/>
      <w:marTop w:val="100"/>
      <w:marBottom w:val="100"/>
      <w:divBdr>
        <w:top w:val="none" w:sz="0" w:space="0" w:color="auto"/>
        <w:left w:val="none" w:sz="0" w:space="0" w:color="auto"/>
        <w:bottom w:val="none" w:sz="0" w:space="0" w:color="auto"/>
        <w:right w:val="none" w:sz="0" w:space="0" w:color="auto"/>
      </w:divBdr>
    </w:div>
    <w:div w:id="1197111598">
      <w:marLeft w:val="0"/>
      <w:marRight w:val="0"/>
      <w:marTop w:val="180"/>
      <w:marBottom w:val="0"/>
      <w:divBdr>
        <w:top w:val="none" w:sz="0" w:space="0" w:color="auto"/>
        <w:left w:val="none" w:sz="0" w:space="0" w:color="auto"/>
        <w:bottom w:val="none" w:sz="0" w:space="0" w:color="auto"/>
        <w:right w:val="none" w:sz="0" w:space="0" w:color="auto"/>
      </w:divBdr>
    </w:div>
    <w:div w:id="1197503204">
      <w:marLeft w:val="0"/>
      <w:marRight w:val="0"/>
      <w:marTop w:val="100"/>
      <w:marBottom w:val="100"/>
      <w:divBdr>
        <w:top w:val="none" w:sz="0" w:space="0" w:color="auto"/>
        <w:left w:val="none" w:sz="0" w:space="0" w:color="auto"/>
        <w:bottom w:val="none" w:sz="0" w:space="0" w:color="auto"/>
        <w:right w:val="none" w:sz="0" w:space="0" w:color="auto"/>
      </w:divBdr>
    </w:div>
    <w:div w:id="1199396842">
      <w:marLeft w:val="0"/>
      <w:marRight w:val="0"/>
      <w:marTop w:val="100"/>
      <w:marBottom w:val="120"/>
      <w:divBdr>
        <w:top w:val="none" w:sz="0" w:space="0" w:color="auto"/>
        <w:left w:val="none" w:sz="0" w:space="0" w:color="auto"/>
        <w:bottom w:val="none" w:sz="0" w:space="0" w:color="auto"/>
        <w:right w:val="none" w:sz="0" w:space="0" w:color="auto"/>
      </w:divBdr>
    </w:div>
    <w:div w:id="1202283539">
      <w:marLeft w:val="0"/>
      <w:marRight w:val="0"/>
      <w:marTop w:val="100"/>
      <w:marBottom w:val="100"/>
      <w:divBdr>
        <w:top w:val="none" w:sz="0" w:space="0" w:color="auto"/>
        <w:left w:val="none" w:sz="0" w:space="0" w:color="auto"/>
        <w:bottom w:val="none" w:sz="0" w:space="0" w:color="auto"/>
        <w:right w:val="none" w:sz="0" w:space="0" w:color="auto"/>
      </w:divBdr>
    </w:div>
    <w:div w:id="1202479631">
      <w:marLeft w:val="0"/>
      <w:marRight w:val="0"/>
      <w:marTop w:val="0"/>
      <w:marBottom w:val="0"/>
      <w:divBdr>
        <w:top w:val="none" w:sz="0" w:space="0" w:color="auto"/>
        <w:left w:val="none" w:sz="0" w:space="0" w:color="auto"/>
        <w:bottom w:val="none" w:sz="0" w:space="0" w:color="auto"/>
        <w:right w:val="none" w:sz="0" w:space="0" w:color="auto"/>
      </w:divBdr>
      <w:divsChild>
        <w:div w:id="990327917">
          <w:marLeft w:val="0"/>
          <w:marRight w:val="0"/>
          <w:marTop w:val="0"/>
          <w:marBottom w:val="0"/>
          <w:divBdr>
            <w:top w:val="none" w:sz="0" w:space="0" w:color="auto"/>
            <w:left w:val="none" w:sz="0" w:space="0" w:color="auto"/>
            <w:bottom w:val="none" w:sz="0" w:space="0" w:color="auto"/>
            <w:right w:val="none" w:sz="0" w:space="0" w:color="auto"/>
          </w:divBdr>
          <w:divsChild>
            <w:div w:id="8696056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06068387">
      <w:marLeft w:val="0"/>
      <w:marRight w:val="0"/>
      <w:marTop w:val="0"/>
      <w:marBottom w:val="0"/>
      <w:divBdr>
        <w:top w:val="none" w:sz="0" w:space="0" w:color="auto"/>
        <w:left w:val="none" w:sz="0" w:space="0" w:color="auto"/>
        <w:bottom w:val="none" w:sz="0" w:space="0" w:color="auto"/>
        <w:right w:val="none" w:sz="0" w:space="0" w:color="auto"/>
      </w:divBdr>
    </w:div>
    <w:div w:id="1214004837">
      <w:marLeft w:val="0"/>
      <w:marRight w:val="0"/>
      <w:marTop w:val="0"/>
      <w:marBottom w:val="0"/>
      <w:divBdr>
        <w:top w:val="none" w:sz="0" w:space="0" w:color="auto"/>
        <w:left w:val="none" w:sz="0" w:space="0" w:color="auto"/>
        <w:bottom w:val="none" w:sz="0" w:space="0" w:color="auto"/>
        <w:right w:val="none" w:sz="0" w:space="0" w:color="auto"/>
      </w:divBdr>
    </w:div>
    <w:div w:id="1220166587">
      <w:marLeft w:val="0"/>
      <w:marRight w:val="0"/>
      <w:marTop w:val="0"/>
      <w:marBottom w:val="0"/>
      <w:divBdr>
        <w:top w:val="none" w:sz="0" w:space="0" w:color="auto"/>
        <w:left w:val="none" w:sz="0" w:space="0" w:color="auto"/>
        <w:bottom w:val="none" w:sz="0" w:space="0" w:color="auto"/>
        <w:right w:val="none" w:sz="0" w:space="0" w:color="auto"/>
      </w:divBdr>
    </w:div>
    <w:div w:id="1230534598">
      <w:marLeft w:val="0"/>
      <w:marRight w:val="0"/>
      <w:marTop w:val="0"/>
      <w:marBottom w:val="0"/>
      <w:divBdr>
        <w:top w:val="none" w:sz="0" w:space="0" w:color="auto"/>
        <w:left w:val="none" w:sz="0" w:space="0" w:color="auto"/>
        <w:bottom w:val="none" w:sz="0" w:space="0" w:color="auto"/>
        <w:right w:val="none" w:sz="0" w:space="0" w:color="auto"/>
      </w:divBdr>
    </w:div>
    <w:div w:id="1233153581">
      <w:marLeft w:val="0"/>
      <w:marRight w:val="0"/>
      <w:marTop w:val="100"/>
      <w:marBottom w:val="100"/>
      <w:divBdr>
        <w:top w:val="none" w:sz="0" w:space="0" w:color="auto"/>
        <w:left w:val="none" w:sz="0" w:space="0" w:color="auto"/>
        <w:bottom w:val="none" w:sz="0" w:space="0" w:color="auto"/>
        <w:right w:val="none" w:sz="0" w:space="0" w:color="auto"/>
      </w:divBdr>
    </w:div>
    <w:div w:id="1234195363">
      <w:marLeft w:val="0"/>
      <w:marRight w:val="0"/>
      <w:marTop w:val="0"/>
      <w:marBottom w:val="0"/>
      <w:divBdr>
        <w:top w:val="none" w:sz="0" w:space="0" w:color="auto"/>
        <w:left w:val="none" w:sz="0" w:space="0" w:color="auto"/>
        <w:bottom w:val="none" w:sz="0" w:space="0" w:color="auto"/>
        <w:right w:val="none" w:sz="0" w:space="0" w:color="auto"/>
      </w:divBdr>
    </w:div>
    <w:div w:id="1235431843">
      <w:marLeft w:val="0"/>
      <w:marRight w:val="0"/>
      <w:marTop w:val="100"/>
      <w:marBottom w:val="100"/>
      <w:divBdr>
        <w:top w:val="none" w:sz="0" w:space="0" w:color="auto"/>
        <w:left w:val="none" w:sz="0" w:space="0" w:color="auto"/>
        <w:bottom w:val="none" w:sz="0" w:space="0" w:color="auto"/>
        <w:right w:val="none" w:sz="0" w:space="0" w:color="auto"/>
      </w:divBdr>
    </w:div>
    <w:div w:id="1243444660">
      <w:marLeft w:val="0"/>
      <w:marRight w:val="0"/>
      <w:marTop w:val="100"/>
      <w:marBottom w:val="100"/>
      <w:divBdr>
        <w:top w:val="none" w:sz="0" w:space="0" w:color="auto"/>
        <w:left w:val="none" w:sz="0" w:space="0" w:color="auto"/>
        <w:bottom w:val="none" w:sz="0" w:space="0" w:color="auto"/>
        <w:right w:val="none" w:sz="0" w:space="0" w:color="auto"/>
      </w:divBdr>
    </w:div>
    <w:div w:id="1246109046">
      <w:marLeft w:val="0"/>
      <w:marRight w:val="0"/>
      <w:marTop w:val="100"/>
      <w:marBottom w:val="100"/>
      <w:divBdr>
        <w:top w:val="none" w:sz="0" w:space="0" w:color="auto"/>
        <w:left w:val="none" w:sz="0" w:space="0" w:color="auto"/>
        <w:bottom w:val="none" w:sz="0" w:space="0" w:color="auto"/>
        <w:right w:val="none" w:sz="0" w:space="0" w:color="auto"/>
      </w:divBdr>
    </w:div>
    <w:div w:id="1249390694">
      <w:marLeft w:val="0"/>
      <w:marRight w:val="0"/>
      <w:marTop w:val="0"/>
      <w:marBottom w:val="0"/>
      <w:divBdr>
        <w:top w:val="none" w:sz="0" w:space="0" w:color="auto"/>
        <w:left w:val="none" w:sz="0" w:space="0" w:color="auto"/>
        <w:bottom w:val="none" w:sz="0" w:space="0" w:color="auto"/>
        <w:right w:val="none" w:sz="0" w:space="0" w:color="auto"/>
      </w:divBdr>
      <w:divsChild>
        <w:div w:id="620957782">
          <w:marLeft w:val="0"/>
          <w:marRight w:val="0"/>
          <w:marTop w:val="0"/>
          <w:marBottom w:val="0"/>
          <w:divBdr>
            <w:top w:val="none" w:sz="0" w:space="0" w:color="auto"/>
            <w:left w:val="none" w:sz="0" w:space="0" w:color="auto"/>
            <w:bottom w:val="none" w:sz="0" w:space="0" w:color="auto"/>
            <w:right w:val="none" w:sz="0" w:space="0" w:color="auto"/>
          </w:divBdr>
          <w:divsChild>
            <w:div w:id="13440150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56093286">
      <w:marLeft w:val="0"/>
      <w:marRight w:val="0"/>
      <w:marTop w:val="180"/>
      <w:marBottom w:val="100"/>
      <w:divBdr>
        <w:top w:val="none" w:sz="0" w:space="0" w:color="auto"/>
        <w:left w:val="none" w:sz="0" w:space="0" w:color="auto"/>
        <w:bottom w:val="none" w:sz="0" w:space="0" w:color="auto"/>
        <w:right w:val="none" w:sz="0" w:space="0" w:color="auto"/>
      </w:divBdr>
    </w:div>
    <w:div w:id="1265504143">
      <w:marLeft w:val="0"/>
      <w:marRight w:val="0"/>
      <w:marTop w:val="100"/>
      <w:marBottom w:val="100"/>
      <w:divBdr>
        <w:top w:val="none" w:sz="0" w:space="0" w:color="auto"/>
        <w:left w:val="none" w:sz="0" w:space="0" w:color="auto"/>
        <w:bottom w:val="none" w:sz="0" w:space="0" w:color="auto"/>
        <w:right w:val="none" w:sz="0" w:space="0" w:color="auto"/>
      </w:divBdr>
    </w:div>
    <w:div w:id="1273897899">
      <w:marLeft w:val="0"/>
      <w:marRight w:val="0"/>
      <w:marTop w:val="0"/>
      <w:marBottom w:val="0"/>
      <w:divBdr>
        <w:top w:val="none" w:sz="0" w:space="0" w:color="auto"/>
        <w:left w:val="none" w:sz="0" w:space="0" w:color="auto"/>
        <w:bottom w:val="none" w:sz="0" w:space="0" w:color="auto"/>
        <w:right w:val="none" w:sz="0" w:space="0" w:color="auto"/>
      </w:divBdr>
    </w:div>
    <w:div w:id="1275942303">
      <w:marLeft w:val="0"/>
      <w:marRight w:val="0"/>
      <w:marTop w:val="180"/>
      <w:marBottom w:val="100"/>
      <w:divBdr>
        <w:top w:val="none" w:sz="0" w:space="0" w:color="auto"/>
        <w:left w:val="none" w:sz="0" w:space="0" w:color="auto"/>
        <w:bottom w:val="none" w:sz="0" w:space="0" w:color="auto"/>
        <w:right w:val="none" w:sz="0" w:space="0" w:color="auto"/>
      </w:divBdr>
    </w:div>
    <w:div w:id="1286691429">
      <w:marLeft w:val="0"/>
      <w:marRight w:val="0"/>
      <w:marTop w:val="0"/>
      <w:marBottom w:val="0"/>
      <w:divBdr>
        <w:top w:val="none" w:sz="0" w:space="0" w:color="auto"/>
        <w:left w:val="none" w:sz="0" w:space="0" w:color="auto"/>
        <w:bottom w:val="none" w:sz="0" w:space="0" w:color="auto"/>
        <w:right w:val="none" w:sz="0" w:space="0" w:color="auto"/>
      </w:divBdr>
      <w:divsChild>
        <w:div w:id="786237447">
          <w:marLeft w:val="0"/>
          <w:marRight w:val="0"/>
          <w:marTop w:val="100"/>
          <w:marBottom w:val="100"/>
          <w:divBdr>
            <w:top w:val="none" w:sz="0" w:space="0" w:color="auto"/>
            <w:left w:val="none" w:sz="0" w:space="0" w:color="auto"/>
            <w:bottom w:val="none" w:sz="0" w:space="0" w:color="auto"/>
            <w:right w:val="none" w:sz="0" w:space="0" w:color="auto"/>
          </w:divBdr>
        </w:div>
        <w:div w:id="1980769945">
          <w:marLeft w:val="0"/>
          <w:marRight w:val="0"/>
          <w:marTop w:val="100"/>
          <w:marBottom w:val="100"/>
          <w:divBdr>
            <w:top w:val="none" w:sz="0" w:space="0" w:color="auto"/>
            <w:left w:val="none" w:sz="0" w:space="0" w:color="auto"/>
            <w:bottom w:val="none" w:sz="0" w:space="0" w:color="auto"/>
            <w:right w:val="none" w:sz="0" w:space="0" w:color="auto"/>
          </w:divBdr>
        </w:div>
      </w:divsChild>
    </w:div>
    <w:div w:id="1291133080">
      <w:marLeft w:val="0"/>
      <w:marRight w:val="0"/>
      <w:marTop w:val="180"/>
      <w:marBottom w:val="0"/>
      <w:divBdr>
        <w:top w:val="none" w:sz="0" w:space="0" w:color="auto"/>
        <w:left w:val="none" w:sz="0" w:space="0" w:color="auto"/>
        <w:bottom w:val="none" w:sz="0" w:space="0" w:color="auto"/>
        <w:right w:val="none" w:sz="0" w:space="0" w:color="auto"/>
      </w:divBdr>
    </w:div>
    <w:div w:id="1294336686">
      <w:marLeft w:val="0"/>
      <w:marRight w:val="0"/>
      <w:marTop w:val="0"/>
      <w:marBottom w:val="0"/>
      <w:divBdr>
        <w:top w:val="none" w:sz="0" w:space="0" w:color="auto"/>
        <w:left w:val="none" w:sz="0" w:space="0" w:color="auto"/>
        <w:bottom w:val="none" w:sz="0" w:space="0" w:color="auto"/>
        <w:right w:val="none" w:sz="0" w:space="0" w:color="auto"/>
      </w:divBdr>
      <w:divsChild>
        <w:div w:id="989862886">
          <w:marLeft w:val="0"/>
          <w:marRight w:val="0"/>
          <w:marTop w:val="0"/>
          <w:marBottom w:val="0"/>
          <w:divBdr>
            <w:top w:val="none" w:sz="0" w:space="0" w:color="auto"/>
            <w:left w:val="none" w:sz="0" w:space="0" w:color="auto"/>
            <w:bottom w:val="none" w:sz="0" w:space="0" w:color="auto"/>
            <w:right w:val="none" w:sz="0" w:space="0" w:color="auto"/>
          </w:divBdr>
          <w:divsChild>
            <w:div w:id="8599705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94487268">
      <w:marLeft w:val="0"/>
      <w:marRight w:val="0"/>
      <w:marTop w:val="180"/>
      <w:marBottom w:val="0"/>
      <w:divBdr>
        <w:top w:val="none" w:sz="0" w:space="0" w:color="auto"/>
        <w:left w:val="none" w:sz="0" w:space="0" w:color="auto"/>
        <w:bottom w:val="none" w:sz="0" w:space="0" w:color="auto"/>
        <w:right w:val="none" w:sz="0" w:space="0" w:color="auto"/>
      </w:divBdr>
    </w:div>
    <w:div w:id="1294554843">
      <w:marLeft w:val="0"/>
      <w:marRight w:val="0"/>
      <w:marTop w:val="0"/>
      <w:marBottom w:val="0"/>
      <w:divBdr>
        <w:top w:val="none" w:sz="0" w:space="0" w:color="auto"/>
        <w:left w:val="none" w:sz="0" w:space="0" w:color="auto"/>
        <w:bottom w:val="none" w:sz="0" w:space="0" w:color="auto"/>
        <w:right w:val="none" w:sz="0" w:space="0" w:color="auto"/>
      </w:divBdr>
    </w:div>
    <w:div w:id="1294557151">
      <w:marLeft w:val="0"/>
      <w:marRight w:val="0"/>
      <w:marTop w:val="100"/>
      <w:marBottom w:val="100"/>
      <w:divBdr>
        <w:top w:val="none" w:sz="0" w:space="0" w:color="auto"/>
        <w:left w:val="none" w:sz="0" w:space="0" w:color="auto"/>
        <w:bottom w:val="none" w:sz="0" w:space="0" w:color="auto"/>
        <w:right w:val="none" w:sz="0" w:space="0" w:color="auto"/>
      </w:divBdr>
    </w:div>
    <w:div w:id="1294798129">
      <w:marLeft w:val="0"/>
      <w:marRight w:val="0"/>
      <w:marTop w:val="100"/>
      <w:marBottom w:val="100"/>
      <w:divBdr>
        <w:top w:val="none" w:sz="0" w:space="0" w:color="auto"/>
        <w:left w:val="none" w:sz="0" w:space="0" w:color="auto"/>
        <w:bottom w:val="none" w:sz="0" w:space="0" w:color="auto"/>
        <w:right w:val="none" w:sz="0" w:space="0" w:color="auto"/>
      </w:divBdr>
      <w:divsChild>
        <w:div w:id="1397556415">
          <w:marLeft w:val="0"/>
          <w:marRight w:val="0"/>
          <w:marTop w:val="0"/>
          <w:marBottom w:val="0"/>
          <w:divBdr>
            <w:top w:val="none" w:sz="0" w:space="0" w:color="auto"/>
            <w:left w:val="none" w:sz="0" w:space="0" w:color="auto"/>
            <w:bottom w:val="none" w:sz="0" w:space="0" w:color="auto"/>
            <w:right w:val="none" w:sz="0" w:space="0" w:color="auto"/>
          </w:divBdr>
        </w:div>
      </w:divsChild>
    </w:div>
    <w:div w:id="1302539113">
      <w:marLeft w:val="0"/>
      <w:marRight w:val="0"/>
      <w:marTop w:val="90"/>
      <w:marBottom w:val="90"/>
      <w:divBdr>
        <w:top w:val="none" w:sz="0" w:space="0" w:color="auto"/>
        <w:left w:val="none" w:sz="0" w:space="0" w:color="auto"/>
        <w:bottom w:val="none" w:sz="0" w:space="0" w:color="auto"/>
        <w:right w:val="none" w:sz="0" w:space="0" w:color="auto"/>
      </w:divBdr>
      <w:divsChild>
        <w:div w:id="1621647095">
          <w:marLeft w:val="0"/>
          <w:marRight w:val="0"/>
          <w:marTop w:val="0"/>
          <w:marBottom w:val="0"/>
          <w:divBdr>
            <w:top w:val="none" w:sz="0" w:space="0" w:color="auto"/>
            <w:left w:val="none" w:sz="0" w:space="0" w:color="auto"/>
            <w:bottom w:val="none" w:sz="0" w:space="0" w:color="auto"/>
            <w:right w:val="none" w:sz="0" w:space="0" w:color="auto"/>
          </w:divBdr>
        </w:div>
      </w:divsChild>
    </w:div>
    <w:div w:id="1303581544">
      <w:marLeft w:val="0"/>
      <w:marRight w:val="0"/>
      <w:marTop w:val="100"/>
      <w:marBottom w:val="0"/>
      <w:divBdr>
        <w:top w:val="none" w:sz="0" w:space="0" w:color="auto"/>
        <w:left w:val="none" w:sz="0" w:space="0" w:color="auto"/>
        <w:bottom w:val="none" w:sz="0" w:space="0" w:color="auto"/>
        <w:right w:val="none" w:sz="0" w:space="0" w:color="auto"/>
      </w:divBdr>
    </w:div>
    <w:div w:id="1314214803">
      <w:marLeft w:val="0"/>
      <w:marRight w:val="0"/>
      <w:marTop w:val="100"/>
      <w:marBottom w:val="100"/>
      <w:divBdr>
        <w:top w:val="none" w:sz="0" w:space="0" w:color="auto"/>
        <w:left w:val="none" w:sz="0" w:space="0" w:color="auto"/>
        <w:bottom w:val="none" w:sz="0" w:space="0" w:color="auto"/>
        <w:right w:val="none" w:sz="0" w:space="0" w:color="auto"/>
      </w:divBdr>
    </w:div>
    <w:div w:id="1318995943">
      <w:marLeft w:val="0"/>
      <w:marRight w:val="0"/>
      <w:marTop w:val="0"/>
      <w:marBottom w:val="0"/>
      <w:divBdr>
        <w:top w:val="none" w:sz="0" w:space="0" w:color="auto"/>
        <w:left w:val="none" w:sz="0" w:space="0" w:color="auto"/>
        <w:bottom w:val="none" w:sz="0" w:space="0" w:color="auto"/>
        <w:right w:val="none" w:sz="0" w:space="0" w:color="auto"/>
      </w:divBdr>
    </w:div>
    <w:div w:id="1319264804">
      <w:marLeft w:val="0"/>
      <w:marRight w:val="0"/>
      <w:marTop w:val="180"/>
      <w:marBottom w:val="100"/>
      <w:divBdr>
        <w:top w:val="none" w:sz="0" w:space="0" w:color="auto"/>
        <w:left w:val="none" w:sz="0" w:space="0" w:color="auto"/>
        <w:bottom w:val="none" w:sz="0" w:space="0" w:color="auto"/>
        <w:right w:val="none" w:sz="0" w:space="0" w:color="auto"/>
      </w:divBdr>
    </w:div>
    <w:div w:id="1322074671">
      <w:marLeft w:val="0"/>
      <w:marRight w:val="0"/>
      <w:marTop w:val="180"/>
      <w:marBottom w:val="0"/>
      <w:divBdr>
        <w:top w:val="none" w:sz="0" w:space="0" w:color="auto"/>
        <w:left w:val="none" w:sz="0" w:space="0" w:color="auto"/>
        <w:bottom w:val="none" w:sz="0" w:space="0" w:color="auto"/>
        <w:right w:val="none" w:sz="0" w:space="0" w:color="auto"/>
      </w:divBdr>
    </w:div>
    <w:div w:id="1326514356">
      <w:marLeft w:val="0"/>
      <w:marRight w:val="0"/>
      <w:marTop w:val="0"/>
      <w:marBottom w:val="0"/>
      <w:divBdr>
        <w:top w:val="none" w:sz="0" w:space="0" w:color="auto"/>
        <w:left w:val="none" w:sz="0" w:space="0" w:color="auto"/>
        <w:bottom w:val="none" w:sz="0" w:space="0" w:color="auto"/>
        <w:right w:val="none" w:sz="0" w:space="0" w:color="auto"/>
      </w:divBdr>
      <w:divsChild>
        <w:div w:id="437599835">
          <w:marLeft w:val="0"/>
          <w:marRight w:val="0"/>
          <w:marTop w:val="100"/>
          <w:marBottom w:val="100"/>
          <w:divBdr>
            <w:top w:val="none" w:sz="0" w:space="0" w:color="auto"/>
            <w:left w:val="none" w:sz="0" w:space="0" w:color="auto"/>
            <w:bottom w:val="none" w:sz="0" w:space="0" w:color="auto"/>
            <w:right w:val="none" w:sz="0" w:space="0" w:color="auto"/>
          </w:divBdr>
        </w:div>
        <w:div w:id="1214780436">
          <w:marLeft w:val="0"/>
          <w:marRight w:val="0"/>
          <w:marTop w:val="100"/>
          <w:marBottom w:val="100"/>
          <w:divBdr>
            <w:top w:val="none" w:sz="0" w:space="0" w:color="auto"/>
            <w:left w:val="none" w:sz="0" w:space="0" w:color="auto"/>
            <w:bottom w:val="none" w:sz="0" w:space="0" w:color="auto"/>
            <w:right w:val="none" w:sz="0" w:space="0" w:color="auto"/>
          </w:divBdr>
        </w:div>
      </w:divsChild>
    </w:div>
    <w:div w:id="1327126709">
      <w:marLeft w:val="0"/>
      <w:marRight w:val="0"/>
      <w:marTop w:val="0"/>
      <w:marBottom w:val="0"/>
      <w:divBdr>
        <w:top w:val="none" w:sz="0" w:space="0" w:color="auto"/>
        <w:left w:val="none" w:sz="0" w:space="0" w:color="auto"/>
        <w:bottom w:val="none" w:sz="0" w:space="0" w:color="auto"/>
        <w:right w:val="none" w:sz="0" w:space="0" w:color="auto"/>
      </w:divBdr>
    </w:div>
    <w:div w:id="1334991896">
      <w:marLeft w:val="0"/>
      <w:marRight w:val="0"/>
      <w:marTop w:val="180"/>
      <w:marBottom w:val="0"/>
      <w:divBdr>
        <w:top w:val="none" w:sz="0" w:space="0" w:color="auto"/>
        <w:left w:val="none" w:sz="0" w:space="0" w:color="auto"/>
        <w:bottom w:val="none" w:sz="0" w:space="0" w:color="auto"/>
        <w:right w:val="none" w:sz="0" w:space="0" w:color="auto"/>
      </w:divBdr>
    </w:div>
    <w:div w:id="1337539348">
      <w:marLeft w:val="0"/>
      <w:marRight w:val="0"/>
      <w:marTop w:val="100"/>
      <w:marBottom w:val="100"/>
      <w:divBdr>
        <w:top w:val="none" w:sz="0" w:space="0" w:color="auto"/>
        <w:left w:val="none" w:sz="0" w:space="0" w:color="auto"/>
        <w:bottom w:val="none" w:sz="0" w:space="0" w:color="auto"/>
        <w:right w:val="none" w:sz="0" w:space="0" w:color="auto"/>
      </w:divBdr>
    </w:div>
    <w:div w:id="1340307292">
      <w:marLeft w:val="0"/>
      <w:marRight w:val="0"/>
      <w:marTop w:val="180"/>
      <w:marBottom w:val="0"/>
      <w:divBdr>
        <w:top w:val="none" w:sz="0" w:space="0" w:color="auto"/>
        <w:left w:val="none" w:sz="0" w:space="0" w:color="auto"/>
        <w:bottom w:val="none" w:sz="0" w:space="0" w:color="auto"/>
        <w:right w:val="none" w:sz="0" w:space="0" w:color="auto"/>
      </w:divBdr>
    </w:div>
    <w:div w:id="1345279933">
      <w:marLeft w:val="0"/>
      <w:marRight w:val="0"/>
      <w:marTop w:val="180"/>
      <w:marBottom w:val="0"/>
      <w:divBdr>
        <w:top w:val="none" w:sz="0" w:space="0" w:color="auto"/>
        <w:left w:val="none" w:sz="0" w:space="0" w:color="auto"/>
        <w:bottom w:val="none" w:sz="0" w:space="0" w:color="auto"/>
        <w:right w:val="none" w:sz="0" w:space="0" w:color="auto"/>
      </w:divBdr>
    </w:div>
    <w:div w:id="1345740151">
      <w:marLeft w:val="0"/>
      <w:marRight w:val="0"/>
      <w:marTop w:val="100"/>
      <w:marBottom w:val="100"/>
      <w:divBdr>
        <w:top w:val="none" w:sz="0" w:space="0" w:color="auto"/>
        <w:left w:val="none" w:sz="0" w:space="0" w:color="auto"/>
        <w:bottom w:val="none" w:sz="0" w:space="0" w:color="auto"/>
        <w:right w:val="none" w:sz="0" w:space="0" w:color="auto"/>
      </w:divBdr>
    </w:div>
    <w:div w:id="1348600389">
      <w:marLeft w:val="0"/>
      <w:marRight w:val="0"/>
      <w:marTop w:val="100"/>
      <w:marBottom w:val="100"/>
      <w:divBdr>
        <w:top w:val="none" w:sz="0" w:space="0" w:color="auto"/>
        <w:left w:val="none" w:sz="0" w:space="0" w:color="auto"/>
        <w:bottom w:val="none" w:sz="0" w:space="0" w:color="auto"/>
        <w:right w:val="none" w:sz="0" w:space="0" w:color="auto"/>
      </w:divBdr>
    </w:div>
    <w:div w:id="1357929004">
      <w:marLeft w:val="0"/>
      <w:marRight w:val="0"/>
      <w:marTop w:val="100"/>
      <w:marBottom w:val="100"/>
      <w:divBdr>
        <w:top w:val="none" w:sz="0" w:space="0" w:color="auto"/>
        <w:left w:val="none" w:sz="0" w:space="0" w:color="auto"/>
        <w:bottom w:val="none" w:sz="0" w:space="0" w:color="auto"/>
        <w:right w:val="none" w:sz="0" w:space="0" w:color="auto"/>
      </w:divBdr>
    </w:div>
    <w:div w:id="1360862246">
      <w:marLeft w:val="0"/>
      <w:marRight w:val="0"/>
      <w:marTop w:val="0"/>
      <w:marBottom w:val="0"/>
      <w:divBdr>
        <w:top w:val="none" w:sz="0" w:space="0" w:color="auto"/>
        <w:left w:val="none" w:sz="0" w:space="0" w:color="auto"/>
        <w:bottom w:val="none" w:sz="0" w:space="0" w:color="auto"/>
        <w:right w:val="none" w:sz="0" w:space="0" w:color="auto"/>
      </w:divBdr>
      <w:divsChild>
        <w:div w:id="2037075090">
          <w:marLeft w:val="0"/>
          <w:marRight w:val="0"/>
          <w:marTop w:val="100"/>
          <w:marBottom w:val="100"/>
          <w:divBdr>
            <w:top w:val="none" w:sz="0" w:space="0" w:color="auto"/>
            <w:left w:val="none" w:sz="0" w:space="0" w:color="auto"/>
            <w:bottom w:val="none" w:sz="0" w:space="0" w:color="auto"/>
            <w:right w:val="none" w:sz="0" w:space="0" w:color="auto"/>
          </w:divBdr>
        </w:div>
        <w:div w:id="510531724">
          <w:marLeft w:val="0"/>
          <w:marRight w:val="0"/>
          <w:marTop w:val="100"/>
          <w:marBottom w:val="100"/>
          <w:divBdr>
            <w:top w:val="none" w:sz="0" w:space="0" w:color="auto"/>
            <w:left w:val="none" w:sz="0" w:space="0" w:color="auto"/>
            <w:bottom w:val="none" w:sz="0" w:space="0" w:color="auto"/>
            <w:right w:val="none" w:sz="0" w:space="0" w:color="auto"/>
          </w:divBdr>
        </w:div>
      </w:divsChild>
    </w:div>
    <w:div w:id="1362049784">
      <w:marLeft w:val="0"/>
      <w:marRight w:val="0"/>
      <w:marTop w:val="100"/>
      <w:marBottom w:val="100"/>
      <w:divBdr>
        <w:top w:val="none" w:sz="0" w:space="0" w:color="auto"/>
        <w:left w:val="none" w:sz="0" w:space="0" w:color="auto"/>
        <w:bottom w:val="none" w:sz="0" w:space="0" w:color="auto"/>
        <w:right w:val="none" w:sz="0" w:space="0" w:color="auto"/>
      </w:divBdr>
    </w:div>
    <w:div w:id="1362899065">
      <w:marLeft w:val="0"/>
      <w:marRight w:val="0"/>
      <w:marTop w:val="180"/>
      <w:marBottom w:val="0"/>
      <w:divBdr>
        <w:top w:val="none" w:sz="0" w:space="0" w:color="auto"/>
        <w:left w:val="none" w:sz="0" w:space="0" w:color="auto"/>
        <w:bottom w:val="none" w:sz="0" w:space="0" w:color="auto"/>
        <w:right w:val="none" w:sz="0" w:space="0" w:color="auto"/>
      </w:divBdr>
    </w:div>
    <w:div w:id="1365979478">
      <w:marLeft w:val="0"/>
      <w:marRight w:val="0"/>
      <w:marTop w:val="100"/>
      <w:marBottom w:val="100"/>
      <w:divBdr>
        <w:top w:val="none" w:sz="0" w:space="0" w:color="auto"/>
        <w:left w:val="none" w:sz="0" w:space="0" w:color="auto"/>
        <w:bottom w:val="none" w:sz="0" w:space="0" w:color="auto"/>
        <w:right w:val="none" w:sz="0" w:space="0" w:color="auto"/>
      </w:divBdr>
    </w:div>
    <w:div w:id="1367637222">
      <w:marLeft w:val="0"/>
      <w:marRight w:val="0"/>
      <w:marTop w:val="100"/>
      <w:marBottom w:val="100"/>
      <w:divBdr>
        <w:top w:val="none" w:sz="0" w:space="0" w:color="auto"/>
        <w:left w:val="none" w:sz="0" w:space="0" w:color="auto"/>
        <w:bottom w:val="none" w:sz="0" w:space="0" w:color="auto"/>
        <w:right w:val="none" w:sz="0" w:space="0" w:color="auto"/>
      </w:divBdr>
    </w:div>
    <w:div w:id="1368141827">
      <w:marLeft w:val="0"/>
      <w:marRight w:val="0"/>
      <w:marTop w:val="0"/>
      <w:marBottom w:val="0"/>
      <w:divBdr>
        <w:top w:val="none" w:sz="0" w:space="0" w:color="auto"/>
        <w:left w:val="none" w:sz="0" w:space="0" w:color="auto"/>
        <w:bottom w:val="none" w:sz="0" w:space="0" w:color="auto"/>
        <w:right w:val="none" w:sz="0" w:space="0" w:color="auto"/>
      </w:divBdr>
    </w:div>
    <w:div w:id="1371613780">
      <w:marLeft w:val="0"/>
      <w:marRight w:val="0"/>
      <w:marTop w:val="0"/>
      <w:marBottom w:val="0"/>
      <w:divBdr>
        <w:top w:val="none" w:sz="0" w:space="0" w:color="auto"/>
        <w:left w:val="none" w:sz="0" w:space="0" w:color="auto"/>
        <w:bottom w:val="none" w:sz="0" w:space="0" w:color="auto"/>
        <w:right w:val="none" w:sz="0" w:space="0" w:color="auto"/>
      </w:divBdr>
    </w:div>
    <w:div w:id="1371763792">
      <w:marLeft w:val="0"/>
      <w:marRight w:val="0"/>
      <w:marTop w:val="0"/>
      <w:marBottom w:val="0"/>
      <w:divBdr>
        <w:top w:val="none" w:sz="0" w:space="0" w:color="auto"/>
        <w:left w:val="none" w:sz="0" w:space="0" w:color="auto"/>
        <w:bottom w:val="none" w:sz="0" w:space="0" w:color="auto"/>
        <w:right w:val="none" w:sz="0" w:space="0" w:color="auto"/>
      </w:divBdr>
      <w:divsChild>
        <w:div w:id="430202366">
          <w:marLeft w:val="0"/>
          <w:marRight w:val="0"/>
          <w:marTop w:val="100"/>
          <w:marBottom w:val="100"/>
          <w:divBdr>
            <w:top w:val="none" w:sz="0" w:space="0" w:color="auto"/>
            <w:left w:val="none" w:sz="0" w:space="0" w:color="auto"/>
            <w:bottom w:val="none" w:sz="0" w:space="0" w:color="auto"/>
            <w:right w:val="none" w:sz="0" w:space="0" w:color="auto"/>
          </w:divBdr>
        </w:div>
        <w:div w:id="1905143239">
          <w:marLeft w:val="0"/>
          <w:marRight w:val="0"/>
          <w:marTop w:val="100"/>
          <w:marBottom w:val="100"/>
          <w:divBdr>
            <w:top w:val="none" w:sz="0" w:space="0" w:color="auto"/>
            <w:left w:val="none" w:sz="0" w:space="0" w:color="auto"/>
            <w:bottom w:val="none" w:sz="0" w:space="0" w:color="auto"/>
            <w:right w:val="none" w:sz="0" w:space="0" w:color="auto"/>
          </w:divBdr>
        </w:div>
      </w:divsChild>
    </w:div>
    <w:div w:id="1377971427">
      <w:marLeft w:val="0"/>
      <w:marRight w:val="0"/>
      <w:marTop w:val="100"/>
      <w:marBottom w:val="160"/>
      <w:divBdr>
        <w:top w:val="none" w:sz="0" w:space="0" w:color="auto"/>
        <w:left w:val="none" w:sz="0" w:space="0" w:color="auto"/>
        <w:bottom w:val="none" w:sz="0" w:space="0" w:color="auto"/>
        <w:right w:val="none" w:sz="0" w:space="0" w:color="auto"/>
      </w:divBdr>
    </w:div>
    <w:div w:id="1381127088">
      <w:marLeft w:val="0"/>
      <w:marRight w:val="0"/>
      <w:marTop w:val="180"/>
      <w:marBottom w:val="0"/>
      <w:divBdr>
        <w:top w:val="none" w:sz="0" w:space="0" w:color="auto"/>
        <w:left w:val="none" w:sz="0" w:space="0" w:color="auto"/>
        <w:bottom w:val="none" w:sz="0" w:space="0" w:color="auto"/>
        <w:right w:val="none" w:sz="0" w:space="0" w:color="auto"/>
      </w:divBdr>
    </w:div>
    <w:div w:id="1388990256">
      <w:marLeft w:val="0"/>
      <w:marRight w:val="0"/>
      <w:marTop w:val="100"/>
      <w:marBottom w:val="100"/>
      <w:divBdr>
        <w:top w:val="none" w:sz="0" w:space="0" w:color="auto"/>
        <w:left w:val="none" w:sz="0" w:space="0" w:color="auto"/>
        <w:bottom w:val="none" w:sz="0" w:space="0" w:color="auto"/>
        <w:right w:val="none" w:sz="0" w:space="0" w:color="auto"/>
      </w:divBdr>
    </w:div>
    <w:div w:id="1391803119">
      <w:marLeft w:val="0"/>
      <w:marRight w:val="0"/>
      <w:marTop w:val="0"/>
      <w:marBottom w:val="0"/>
      <w:divBdr>
        <w:top w:val="none" w:sz="0" w:space="0" w:color="auto"/>
        <w:left w:val="none" w:sz="0" w:space="0" w:color="auto"/>
        <w:bottom w:val="none" w:sz="0" w:space="0" w:color="auto"/>
        <w:right w:val="none" w:sz="0" w:space="0" w:color="auto"/>
      </w:divBdr>
    </w:div>
    <w:div w:id="1392195425">
      <w:marLeft w:val="0"/>
      <w:marRight w:val="0"/>
      <w:marTop w:val="0"/>
      <w:marBottom w:val="0"/>
      <w:divBdr>
        <w:top w:val="none" w:sz="0" w:space="0" w:color="auto"/>
        <w:left w:val="none" w:sz="0" w:space="0" w:color="auto"/>
        <w:bottom w:val="none" w:sz="0" w:space="0" w:color="auto"/>
        <w:right w:val="none" w:sz="0" w:space="0" w:color="auto"/>
      </w:divBdr>
    </w:div>
    <w:div w:id="1392968788">
      <w:marLeft w:val="0"/>
      <w:marRight w:val="0"/>
      <w:marTop w:val="180"/>
      <w:marBottom w:val="100"/>
      <w:divBdr>
        <w:top w:val="none" w:sz="0" w:space="0" w:color="auto"/>
        <w:left w:val="none" w:sz="0" w:space="0" w:color="auto"/>
        <w:bottom w:val="none" w:sz="0" w:space="0" w:color="auto"/>
        <w:right w:val="none" w:sz="0" w:space="0" w:color="auto"/>
      </w:divBdr>
    </w:div>
    <w:div w:id="1400978793">
      <w:marLeft w:val="0"/>
      <w:marRight w:val="0"/>
      <w:marTop w:val="0"/>
      <w:marBottom w:val="0"/>
      <w:divBdr>
        <w:top w:val="none" w:sz="0" w:space="0" w:color="auto"/>
        <w:left w:val="none" w:sz="0" w:space="0" w:color="auto"/>
        <w:bottom w:val="none" w:sz="0" w:space="0" w:color="auto"/>
        <w:right w:val="none" w:sz="0" w:space="0" w:color="auto"/>
      </w:divBdr>
      <w:divsChild>
        <w:div w:id="981811413">
          <w:marLeft w:val="0"/>
          <w:marRight w:val="0"/>
          <w:marTop w:val="0"/>
          <w:marBottom w:val="0"/>
          <w:divBdr>
            <w:top w:val="none" w:sz="0" w:space="0" w:color="auto"/>
            <w:left w:val="none" w:sz="0" w:space="0" w:color="auto"/>
            <w:bottom w:val="none" w:sz="0" w:space="0" w:color="auto"/>
            <w:right w:val="none" w:sz="0" w:space="0" w:color="auto"/>
          </w:divBdr>
          <w:divsChild>
            <w:div w:id="15390797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02825077">
      <w:marLeft w:val="0"/>
      <w:marRight w:val="0"/>
      <w:marTop w:val="0"/>
      <w:marBottom w:val="0"/>
      <w:divBdr>
        <w:top w:val="none" w:sz="0" w:space="0" w:color="auto"/>
        <w:left w:val="none" w:sz="0" w:space="0" w:color="auto"/>
        <w:bottom w:val="none" w:sz="0" w:space="0" w:color="auto"/>
        <w:right w:val="none" w:sz="0" w:space="0" w:color="auto"/>
      </w:divBdr>
      <w:divsChild>
        <w:div w:id="1423380013">
          <w:marLeft w:val="0"/>
          <w:marRight w:val="0"/>
          <w:marTop w:val="0"/>
          <w:marBottom w:val="0"/>
          <w:divBdr>
            <w:top w:val="none" w:sz="0" w:space="0" w:color="auto"/>
            <w:left w:val="none" w:sz="0" w:space="0" w:color="auto"/>
            <w:bottom w:val="none" w:sz="0" w:space="0" w:color="auto"/>
            <w:right w:val="none" w:sz="0" w:space="0" w:color="auto"/>
          </w:divBdr>
          <w:divsChild>
            <w:div w:id="204309621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12392931">
      <w:marLeft w:val="0"/>
      <w:marRight w:val="0"/>
      <w:marTop w:val="100"/>
      <w:marBottom w:val="100"/>
      <w:divBdr>
        <w:top w:val="none" w:sz="0" w:space="0" w:color="auto"/>
        <w:left w:val="none" w:sz="0" w:space="0" w:color="auto"/>
        <w:bottom w:val="none" w:sz="0" w:space="0" w:color="auto"/>
        <w:right w:val="none" w:sz="0" w:space="0" w:color="auto"/>
      </w:divBdr>
    </w:div>
    <w:div w:id="1412893139">
      <w:marLeft w:val="0"/>
      <w:marRight w:val="0"/>
      <w:marTop w:val="100"/>
      <w:marBottom w:val="100"/>
      <w:divBdr>
        <w:top w:val="none" w:sz="0" w:space="0" w:color="auto"/>
        <w:left w:val="none" w:sz="0" w:space="0" w:color="auto"/>
        <w:bottom w:val="none" w:sz="0" w:space="0" w:color="auto"/>
        <w:right w:val="none" w:sz="0" w:space="0" w:color="auto"/>
      </w:divBdr>
    </w:div>
    <w:div w:id="1421411813">
      <w:marLeft w:val="0"/>
      <w:marRight w:val="0"/>
      <w:marTop w:val="0"/>
      <w:marBottom w:val="0"/>
      <w:divBdr>
        <w:top w:val="none" w:sz="0" w:space="0" w:color="auto"/>
        <w:left w:val="none" w:sz="0" w:space="0" w:color="auto"/>
        <w:bottom w:val="none" w:sz="0" w:space="0" w:color="auto"/>
        <w:right w:val="none" w:sz="0" w:space="0" w:color="auto"/>
      </w:divBdr>
    </w:div>
    <w:div w:id="1430663472">
      <w:marLeft w:val="0"/>
      <w:marRight w:val="0"/>
      <w:marTop w:val="180"/>
      <w:marBottom w:val="0"/>
      <w:divBdr>
        <w:top w:val="none" w:sz="0" w:space="0" w:color="auto"/>
        <w:left w:val="none" w:sz="0" w:space="0" w:color="auto"/>
        <w:bottom w:val="none" w:sz="0" w:space="0" w:color="auto"/>
        <w:right w:val="none" w:sz="0" w:space="0" w:color="auto"/>
      </w:divBdr>
    </w:div>
    <w:div w:id="1438715763">
      <w:marLeft w:val="0"/>
      <w:marRight w:val="0"/>
      <w:marTop w:val="0"/>
      <w:marBottom w:val="0"/>
      <w:divBdr>
        <w:top w:val="none" w:sz="0" w:space="0" w:color="auto"/>
        <w:left w:val="none" w:sz="0" w:space="0" w:color="auto"/>
        <w:bottom w:val="none" w:sz="0" w:space="0" w:color="auto"/>
        <w:right w:val="none" w:sz="0" w:space="0" w:color="auto"/>
      </w:divBdr>
      <w:divsChild>
        <w:div w:id="1680236477">
          <w:marLeft w:val="0"/>
          <w:marRight w:val="0"/>
          <w:marTop w:val="100"/>
          <w:marBottom w:val="100"/>
          <w:divBdr>
            <w:top w:val="none" w:sz="0" w:space="0" w:color="auto"/>
            <w:left w:val="none" w:sz="0" w:space="0" w:color="auto"/>
            <w:bottom w:val="none" w:sz="0" w:space="0" w:color="auto"/>
            <w:right w:val="none" w:sz="0" w:space="0" w:color="auto"/>
          </w:divBdr>
        </w:div>
        <w:div w:id="2003585014">
          <w:marLeft w:val="0"/>
          <w:marRight w:val="0"/>
          <w:marTop w:val="100"/>
          <w:marBottom w:val="100"/>
          <w:divBdr>
            <w:top w:val="none" w:sz="0" w:space="0" w:color="auto"/>
            <w:left w:val="none" w:sz="0" w:space="0" w:color="auto"/>
            <w:bottom w:val="none" w:sz="0" w:space="0" w:color="auto"/>
            <w:right w:val="none" w:sz="0" w:space="0" w:color="auto"/>
          </w:divBdr>
        </w:div>
      </w:divsChild>
    </w:div>
    <w:div w:id="1442991992">
      <w:marLeft w:val="0"/>
      <w:marRight w:val="0"/>
      <w:marTop w:val="100"/>
      <w:marBottom w:val="160"/>
      <w:divBdr>
        <w:top w:val="none" w:sz="0" w:space="0" w:color="auto"/>
        <w:left w:val="none" w:sz="0" w:space="0" w:color="auto"/>
        <w:bottom w:val="none" w:sz="0" w:space="0" w:color="auto"/>
        <w:right w:val="none" w:sz="0" w:space="0" w:color="auto"/>
      </w:divBdr>
    </w:div>
    <w:div w:id="1445537971">
      <w:marLeft w:val="0"/>
      <w:marRight w:val="0"/>
      <w:marTop w:val="0"/>
      <w:marBottom w:val="0"/>
      <w:divBdr>
        <w:top w:val="none" w:sz="0" w:space="0" w:color="auto"/>
        <w:left w:val="none" w:sz="0" w:space="0" w:color="auto"/>
        <w:bottom w:val="none" w:sz="0" w:space="0" w:color="auto"/>
        <w:right w:val="none" w:sz="0" w:space="0" w:color="auto"/>
      </w:divBdr>
      <w:divsChild>
        <w:div w:id="49035961">
          <w:marLeft w:val="0"/>
          <w:marRight w:val="0"/>
          <w:marTop w:val="0"/>
          <w:marBottom w:val="0"/>
          <w:divBdr>
            <w:top w:val="none" w:sz="0" w:space="0" w:color="auto"/>
            <w:left w:val="none" w:sz="0" w:space="0" w:color="auto"/>
            <w:bottom w:val="none" w:sz="0" w:space="0" w:color="auto"/>
            <w:right w:val="none" w:sz="0" w:space="0" w:color="auto"/>
          </w:divBdr>
          <w:divsChild>
            <w:div w:id="7620690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46850931">
      <w:marLeft w:val="0"/>
      <w:marRight w:val="0"/>
      <w:marTop w:val="0"/>
      <w:marBottom w:val="0"/>
      <w:divBdr>
        <w:top w:val="none" w:sz="0" w:space="0" w:color="auto"/>
        <w:left w:val="none" w:sz="0" w:space="0" w:color="auto"/>
        <w:bottom w:val="none" w:sz="0" w:space="0" w:color="auto"/>
        <w:right w:val="none" w:sz="0" w:space="0" w:color="auto"/>
      </w:divBdr>
    </w:div>
    <w:div w:id="1447428953">
      <w:marLeft w:val="0"/>
      <w:marRight w:val="0"/>
      <w:marTop w:val="180"/>
      <w:marBottom w:val="100"/>
      <w:divBdr>
        <w:top w:val="none" w:sz="0" w:space="0" w:color="auto"/>
        <w:left w:val="none" w:sz="0" w:space="0" w:color="auto"/>
        <w:bottom w:val="none" w:sz="0" w:space="0" w:color="auto"/>
        <w:right w:val="none" w:sz="0" w:space="0" w:color="auto"/>
      </w:divBdr>
    </w:div>
    <w:div w:id="1456558591">
      <w:marLeft w:val="0"/>
      <w:marRight w:val="0"/>
      <w:marTop w:val="0"/>
      <w:marBottom w:val="0"/>
      <w:divBdr>
        <w:top w:val="none" w:sz="0" w:space="0" w:color="auto"/>
        <w:left w:val="none" w:sz="0" w:space="0" w:color="auto"/>
        <w:bottom w:val="none" w:sz="0" w:space="0" w:color="auto"/>
        <w:right w:val="none" w:sz="0" w:space="0" w:color="auto"/>
      </w:divBdr>
      <w:divsChild>
        <w:div w:id="1475414606">
          <w:marLeft w:val="0"/>
          <w:marRight w:val="0"/>
          <w:marTop w:val="100"/>
          <w:marBottom w:val="100"/>
          <w:divBdr>
            <w:top w:val="none" w:sz="0" w:space="0" w:color="auto"/>
            <w:left w:val="none" w:sz="0" w:space="0" w:color="auto"/>
            <w:bottom w:val="none" w:sz="0" w:space="0" w:color="auto"/>
            <w:right w:val="none" w:sz="0" w:space="0" w:color="auto"/>
          </w:divBdr>
        </w:div>
        <w:div w:id="1448500076">
          <w:marLeft w:val="0"/>
          <w:marRight w:val="0"/>
          <w:marTop w:val="100"/>
          <w:marBottom w:val="100"/>
          <w:divBdr>
            <w:top w:val="none" w:sz="0" w:space="0" w:color="auto"/>
            <w:left w:val="none" w:sz="0" w:space="0" w:color="auto"/>
            <w:bottom w:val="none" w:sz="0" w:space="0" w:color="auto"/>
            <w:right w:val="none" w:sz="0" w:space="0" w:color="auto"/>
          </w:divBdr>
        </w:div>
      </w:divsChild>
    </w:div>
    <w:div w:id="1465924615">
      <w:marLeft w:val="0"/>
      <w:marRight w:val="0"/>
      <w:marTop w:val="0"/>
      <w:marBottom w:val="0"/>
      <w:divBdr>
        <w:top w:val="none" w:sz="0" w:space="0" w:color="auto"/>
        <w:left w:val="none" w:sz="0" w:space="0" w:color="auto"/>
        <w:bottom w:val="none" w:sz="0" w:space="0" w:color="auto"/>
        <w:right w:val="none" w:sz="0" w:space="0" w:color="auto"/>
      </w:divBdr>
    </w:div>
    <w:div w:id="1468626796">
      <w:marLeft w:val="0"/>
      <w:marRight w:val="0"/>
      <w:marTop w:val="100"/>
      <w:marBottom w:val="100"/>
      <w:divBdr>
        <w:top w:val="none" w:sz="0" w:space="0" w:color="auto"/>
        <w:left w:val="none" w:sz="0" w:space="0" w:color="auto"/>
        <w:bottom w:val="none" w:sz="0" w:space="0" w:color="auto"/>
        <w:right w:val="none" w:sz="0" w:space="0" w:color="auto"/>
      </w:divBdr>
    </w:div>
    <w:div w:id="1471051244">
      <w:marLeft w:val="0"/>
      <w:marRight w:val="0"/>
      <w:marTop w:val="180"/>
      <w:marBottom w:val="0"/>
      <w:divBdr>
        <w:top w:val="none" w:sz="0" w:space="0" w:color="auto"/>
        <w:left w:val="none" w:sz="0" w:space="0" w:color="auto"/>
        <w:bottom w:val="none" w:sz="0" w:space="0" w:color="auto"/>
        <w:right w:val="none" w:sz="0" w:space="0" w:color="auto"/>
      </w:divBdr>
    </w:div>
    <w:div w:id="1474713290">
      <w:marLeft w:val="0"/>
      <w:marRight w:val="0"/>
      <w:marTop w:val="100"/>
      <w:marBottom w:val="100"/>
      <w:divBdr>
        <w:top w:val="none" w:sz="0" w:space="0" w:color="auto"/>
        <w:left w:val="none" w:sz="0" w:space="0" w:color="auto"/>
        <w:bottom w:val="none" w:sz="0" w:space="0" w:color="auto"/>
        <w:right w:val="none" w:sz="0" w:space="0" w:color="auto"/>
      </w:divBdr>
    </w:div>
    <w:div w:id="1478063974">
      <w:marLeft w:val="0"/>
      <w:marRight w:val="0"/>
      <w:marTop w:val="180"/>
      <w:marBottom w:val="0"/>
      <w:divBdr>
        <w:top w:val="none" w:sz="0" w:space="0" w:color="auto"/>
        <w:left w:val="none" w:sz="0" w:space="0" w:color="auto"/>
        <w:bottom w:val="none" w:sz="0" w:space="0" w:color="auto"/>
        <w:right w:val="none" w:sz="0" w:space="0" w:color="auto"/>
      </w:divBdr>
    </w:div>
    <w:div w:id="1479105235">
      <w:marLeft w:val="0"/>
      <w:marRight w:val="0"/>
      <w:marTop w:val="100"/>
      <w:marBottom w:val="100"/>
      <w:divBdr>
        <w:top w:val="none" w:sz="0" w:space="0" w:color="auto"/>
        <w:left w:val="none" w:sz="0" w:space="0" w:color="auto"/>
        <w:bottom w:val="none" w:sz="0" w:space="0" w:color="auto"/>
        <w:right w:val="none" w:sz="0" w:space="0" w:color="auto"/>
      </w:divBdr>
    </w:div>
    <w:div w:id="1481456916">
      <w:marLeft w:val="0"/>
      <w:marRight w:val="0"/>
      <w:marTop w:val="100"/>
      <w:marBottom w:val="100"/>
      <w:divBdr>
        <w:top w:val="none" w:sz="0" w:space="0" w:color="auto"/>
        <w:left w:val="none" w:sz="0" w:space="0" w:color="auto"/>
        <w:bottom w:val="none" w:sz="0" w:space="0" w:color="auto"/>
        <w:right w:val="none" w:sz="0" w:space="0" w:color="auto"/>
      </w:divBdr>
    </w:div>
    <w:div w:id="1482039569">
      <w:marLeft w:val="0"/>
      <w:marRight w:val="0"/>
      <w:marTop w:val="100"/>
      <w:marBottom w:val="100"/>
      <w:divBdr>
        <w:top w:val="none" w:sz="0" w:space="0" w:color="auto"/>
        <w:left w:val="none" w:sz="0" w:space="0" w:color="auto"/>
        <w:bottom w:val="none" w:sz="0" w:space="0" w:color="auto"/>
        <w:right w:val="none" w:sz="0" w:space="0" w:color="auto"/>
      </w:divBdr>
    </w:div>
    <w:div w:id="1484393522">
      <w:marLeft w:val="0"/>
      <w:marRight w:val="0"/>
      <w:marTop w:val="180"/>
      <w:marBottom w:val="100"/>
      <w:divBdr>
        <w:top w:val="none" w:sz="0" w:space="0" w:color="auto"/>
        <w:left w:val="none" w:sz="0" w:space="0" w:color="auto"/>
        <w:bottom w:val="none" w:sz="0" w:space="0" w:color="auto"/>
        <w:right w:val="none" w:sz="0" w:space="0" w:color="auto"/>
      </w:divBdr>
    </w:div>
    <w:div w:id="1485702178">
      <w:marLeft w:val="0"/>
      <w:marRight w:val="0"/>
      <w:marTop w:val="180"/>
      <w:marBottom w:val="0"/>
      <w:divBdr>
        <w:top w:val="none" w:sz="0" w:space="0" w:color="auto"/>
        <w:left w:val="none" w:sz="0" w:space="0" w:color="auto"/>
        <w:bottom w:val="none" w:sz="0" w:space="0" w:color="auto"/>
        <w:right w:val="none" w:sz="0" w:space="0" w:color="auto"/>
      </w:divBdr>
    </w:div>
    <w:div w:id="1486780444">
      <w:marLeft w:val="0"/>
      <w:marRight w:val="0"/>
      <w:marTop w:val="0"/>
      <w:marBottom w:val="0"/>
      <w:divBdr>
        <w:top w:val="none" w:sz="0" w:space="0" w:color="auto"/>
        <w:left w:val="none" w:sz="0" w:space="0" w:color="auto"/>
        <w:bottom w:val="none" w:sz="0" w:space="0" w:color="auto"/>
        <w:right w:val="none" w:sz="0" w:space="0" w:color="auto"/>
      </w:divBdr>
    </w:div>
    <w:div w:id="1505436941">
      <w:marLeft w:val="0"/>
      <w:marRight w:val="0"/>
      <w:marTop w:val="0"/>
      <w:marBottom w:val="0"/>
      <w:divBdr>
        <w:top w:val="none" w:sz="0" w:space="0" w:color="auto"/>
        <w:left w:val="none" w:sz="0" w:space="0" w:color="auto"/>
        <w:bottom w:val="none" w:sz="0" w:space="0" w:color="auto"/>
        <w:right w:val="none" w:sz="0" w:space="0" w:color="auto"/>
      </w:divBdr>
    </w:div>
    <w:div w:id="1511723895">
      <w:marLeft w:val="0"/>
      <w:marRight w:val="0"/>
      <w:marTop w:val="0"/>
      <w:marBottom w:val="0"/>
      <w:divBdr>
        <w:top w:val="none" w:sz="0" w:space="0" w:color="auto"/>
        <w:left w:val="none" w:sz="0" w:space="0" w:color="auto"/>
        <w:bottom w:val="none" w:sz="0" w:space="0" w:color="auto"/>
        <w:right w:val="none" w:sz="0" w:space="0" w:color="auto"/>
      </w:divBdr>
    </w:div>
    <w:div w:id="1511990387">
      <w:marLeft w:val="0"/>
      <w:marRight w:val="0"/>
      <w:marTop w:val="0"/>
      <w:marBottom w:val="0"/>
      <w:divBdr>
        <w:top w:val="none" w:sz="0" w:space="0" w:color="auto"/>
        <w:left w:val="none" w:sz="0" w:space="0" w:color="auto"/>
        <w:bottom w:val="none" w:sz="0" w:space="0" w:color="auto"/>
        <w:right w:val="none" w:sz="0" w:space="0" w:color="auto"/>
      </w:divBdr>
      <w:divsChild>
        <w:div w:id="402918613">
          <w:marLeft w:val="0"/>
          <w:marRight w:val="0"/>
          <w:marTop w:val="100"/>
          <w:marBottom w:val="100"/>
          <w:divBdr>
            <w:top w:val="none" w:sz="0" w:space="0" w:color="auto"/>
            <w:left w:val="none" w:sz="0" w:space="0" w:color="auto"/>
            <w:bottom w:val="none" w:sz="0" w:space="0" w:color="auto"/>
            <w:right w:val="none" w:sz="0" w:space="0" w:color="auto"/>
          </w:divBdr>
        </w:div>
        <w:div w:id="1263874404">
          <w:marLeft w:val="0"/>
          <w:marRight w:val="0"/>
          <w:marTop w:val="100"/>
          <w:marBottom w:val="100"/>
          <w:divBdr>
            <w:top w:val="none" w:sz="0" w:space="0" w:color="auto"/>
            <w:left w:val="none" w:sz="0" w:space="0" w:color="auto"/>
            <w:bottom w:val="none" w:sz="0" w:space="0" w:color="auto"/>
            <w:right w:val="none" w:sz="0" w:space="0" w:color="auto"/>
          </w:divBdr>
        </w:div>
      </w:divsChild>
    </w:div>
    <w:div w:id="1513758715">
      <w:marLeft w:val="0"/>
      <w:marRight w:val="0"/>
      <w:marTop w:val="100"/>
      <w:marBottom w:val="100"/>
      <w:divBdr>
        <w:top w:val="none" w:sz="0" w:space="0" w:color="auto"/>
        <w:left w:val="none" w:sz="0" w:space="0" w:color="auto"/>
        <w:bottom w:val="none" w:sz="0" w:space="0" w:color="auto"/>
        <w:right w:val="none" w:sz="0" w:space="0" w:color="auto"/>
      </w:divBdr>
    </w:div>
    <w:div w:id="1514346259">
      <w:marLeft w:val="0"/>
      <w:marRight w:val="0"/>
      <w:marTop w:val="180"/>
      <w:marBottom w:val="100"/>
      <w:divBdr>
        <w:top w:val="none" w:sz="0" w:space="0" w:color="auto"/>
        <w:left w:val="none" w:sz="0" w:space="0" w:color="auto"/>
        <w:bottom w:val="none" w:sz="0" w:space="0" w:color="auto"/>
        <w:right w:val="none" w:sz="0" w:space="0" w:color="auto"/>
      </w:divBdr>
    </w:div>
    <w:div w:id="1515879239">
      <w:marLeft w:val="0"/>
      <w:marRight w:val="0"/>
      <w:marTop w:val="0"/>
      <w:marBottom w:val="0"/>
      <w:divBdr>
        <w:top w:val="none" w:sz="0" w:space="0" w:color="auto"/>
        <w:left w:val="none" w:sz="0" w:space="0" w:color="auto"/>
        <w:bottom w:val="none" w:sz="0" w:space="0" w:color="auto"/>
        <w:right w:val="none" w:sz="0" w:space="0" w:color="auto"/>
      </w:divBdr>
      <w:divsChild>
        <w:div w:id="186794188">
          <w:marLeft w:val="0"/>
          <w:marRight w:val="0"/>
          <w:marTop w:val="0"/>
          <w:marBottom w:val="0"/>
          <w:divBdr>
            <w:top w:val="none" w:sz="0" w:space="0" w:color="auto"/>
            <w:left w:val="none" w:sz="0" w:space="0" w:color="auto"/>
            <w:bottom w:val="none" w:sz="0" w:space="0" w:color="auto"/>
            <w:right w:val="none" w:sz="0" w:space="0" w:color="auto"/>
          </w:divBdr>
          <w:divsChild>
            <w:div w:id="8077462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521158650">
      <w:marLeft w:val="0"/>
      <w:marRight w:val="0"/>
      <w:marTop w:val="180"/>
      <w:marBottom w:val="0"/>
      <w:divBdr>
        <w:top w:val="none" w:sz="0" w:space="0" w:color="auto"/>
        <w:left w:val="none" w:sz="0" w:space="0" w:color="auto"/>
        <w:bottom w:val="none" w:sz="0" w:space="0" w:color="auto"/>
        <w:right w:val="none" w:sz="0" w:space="0" w:color="auto"/>
      </w:divBdr>
    </w:div>
    <w:div w:id="1522626266">
      <w:marLeft w:val="0"/>
      <w:marRight w:val="0"/>
      <w:marTop w:val="100"/>
      <w:marBottom w:val="100"/>
      <w:divBdr>
        <w:top w:val="none" w:sz="0" w:space="0" w:color="auto"/>
        <w:left w:val="none" w:sz="0" w:space="0" w:color="auto"/>
        <w:bottom w:val="none" w:sz="0" w:space="0" w:color="auto"/>
        <w:right w:val="none" w:sz="0" w:space="0" w:color="auto"/>
      </w:divBdr>
    </w:div>
    <w:div w:id="1524829632">
      <w:marLeft w:val="0"/>
      <w:marRight w:val="0"/>
      <w:marTop w:val="0"/>
      <w:marBottom w:val="0"/>
      <w:divBdr>
        <w:top w:val="none" w:sz="0" w:space="0" w:color="auto"/>
        <w:left w:val="none" w:sz="0" w:space="0" w:color="auto"/>
        <w:bottom w:val="none" w:sz="0" w:space="0" w:color="auto"/>
        <w:right w:val="none" w:sz="0" w:space="0" w:color="auto"/>
      </w:divBdr>
    </w:div>
    <w:div w:id="1525248346">
      <w:marLeft w:val="0"/>
      <w:marRight w:val="0"/>
      <w:marTop w:val="0"/>
      <w:marBottom w:val="0"/>
      <w:divBdr>
        <w:top w:val="none" w:sz="0" w:space="0" w:color="auto"/>
        <w:left w:val="none" w:sz="0" w:space="0" w:color="auto"/>
        <w:bottom w:val="none" w:sz="0" w:space="0" w:color="auto"/>
        <w:right w:val="none" w:sz="0" w:space="0" w:color="auto"/>
      </w:divBdr>
    </w:div>
    <w:div w:id="1532457899">
      <w:marLeft w:val="0"/>
      <w:marRight w:val="0"/>
      <w:marTop w:val="180"/>
      <w:marBottom w:val="0"/>
      <w:divBdr>
        <w:top w:val="none" w:sz="0" w:space="0" w:color="auto"/>
        <w:left w:val="none" w:sz="0" w:space="0" w:color="auto"/>
        <w:bottom w:val="none" w:sz="0" w:space="0" w:color="auto"/>
        <w:right w:val="none" w:sz="0" w:space="0" w:color="auto"/>
      </w:divBdr>
    </w:div>
    <w:div w:id="1536116761">
      <w:marLeft w:val="0"/>
      <w:marRight w:val="0"/>
      <w:marTop w:val="180"/>
      <w:marBottom w:val="0"/>
      <w:divBdr>
        <w:top w:val="none" w:sz="0" w:space="0" w:color="auto"/>
        <w:left w:val="none" w:sz="0" w:space="0" w:color="auto"/>
        <w:bottom w:val="none" w:sz="0" w:space="0" w:color="auto"/>
        <w:right w:val="none" w:sz="0" w:space="0" w:color="auto"/>
      </w:divBdr>
    </w:div>
    <w:div w:id="1542938778">
      <w:marLeft w:val="0"/>
      <w:marRight w:val="0"/>
      <w:marTop w:val="180"/>
      <w:marBottom w:val="0"/>
      <w:divBdr>
        <w:top w:val="none" w:sz="0" w:space="0" w:color="auto"/>
        <w:left w:val="none" w:sz="0" w:space="0" w:color="auto"/>
        <w:bottom w:val="none" w:sz="0" w:space="0" w:color="auto"/>
        <w:right w:val="none" w:sz="0" w:space="0" w:color="auto"/>
      </w:divBdr>
    </w:div>
    <w:div w:id="1543134133">
      <w:marLeft w:val="0"/>
      <w:marRight w:val="0"/>
      <w:marTop w:val="0"/>
      <w:marBottom w:val="0"/>
      <w:divBdr>
        <w:top w:val="none" w:sz="0" w:space="0" w:color="auto"/>
        <w:left w:val="none" w:sz="0" w:space="0" w:color="auto"/>
        <w:bottom w:val="none" w:sz="0" w:space="0" w:color="auto"/>
        <w:right w:val="none" w:sz="0" w:space="0" w:color="auto"/>
      </w:divBdr>
    </w:div>
    <w:div w:id="1544098081">
      <w:marLeft w:val="0"/>
      <w:marRight w:val="0"/>
      <w:marTop w:val="100"/>
      <w:marBottom w:val="120"/>
      <w:divBdr>
        <w:top w:val="none" w:sz="0" w:space="0" w:color="auto"/>
        <w:left w:val="none" w:sz="0" w:space="0" w:color="auto"/>
        <w:bottom w:val="none" w:sz="0" w:space="0" w:color="auto"/>
        <w:right w:val="none" w:sz="0" w:space="0" w:color="auto"/>
      </w:divBdr>
    </w:div>
    <w:div w:id="1547519864">
      <w:marLeft w:val="0"/>
      <w:marRight w:val="0"/>
      <w:marTop w:val="100"/>
      <w:marBottom w:val="100"/>
      <w:divBdr>
        <w:top w:val="none" w:sz="0" w:space="0" w:color="auto"/>
        <w:left w:val="none" w:sz="0" w:space="0" w:color="auto"/>
        <w:bottom w:val="none" w:sz="0" w:space="0" w:color="auto"/>
        <w:right w:val="none" w:sz="0" w:space="0" w:color="auto"/>
      </w:divBdr>
    </w:div>
    <w:div w:id="1548109417">
      <w:marLeft w:val="0"/>
      <w:marRight w:val="0"/>
      <w:marTop w:val="0"/>
      <w:marBottom w:val="0"/>
      <w:divBdr>
        <w:top w:val="none" w:sz="0" w:space="0" w:color="auto"/>
        <w:left w:val="none" w:sz="0" w:space="0" w:color="auto"/>
        <w:bottom w:val="none" w:sz="0" w:space="0" w:color="auto"/>
        <w:right w:val="none" w:sz="0" w:space="0" w:color="auto"/>
      </w:divBdr>
      <w:divsChild>
        <w:div w:id="644163532">
          <w:marLeft w:val="0"/>
          <w:marRight w:val="0"/>
          <w:marTop w:val="100"/>
          <w:marBottom w:val="100"/>
          <w:divBdr>
            <w:top w:val="none" w:sz="0" w:space="0" w:color="auto"/>
            <w:left w:val="none" w:sz="0" w:space="0" w:color="auto"/>
            <w:bottom w:val="none" w:sz="0" w:space="0" w:color="auto"/>
            <w:right w:val="none" w:sz="0" w:space="0" w:color="auto"/>
          </w:divBdr>
        </w:div>
        <w:div w:id="1267814751">
          <w:marLeft w:val="0"/>
          <w:marRight w:val="0"/>
          <w:marTop w:val="100"/>
          <w:marBottom w:val="100"/>
          <w:divBdr>
            <w:top w:val="none" w:sz="0" w:space="0" w:color="auto"/>
            <w:left w:val="none" w:sz="0" w:space="0" w:color="auto"/>
            <w:bottom w:val="none" w:sz="0" w:space="0" w:color="auto"/>
            <w:right w:val="none" w:sz="0" w:space="0" w:color="auto"/>
          </w:divBdr>
        </w:div>
      </w:divsChild>
    </w:div>
    <w:div w:id="1550844549">
      <w:marLeft w:val="0"/>
      <w:marRight w:val="0"/>
      <w:marTop w:val="180"/>
      <w:marBottom w:val="0"/>
      <w:divBdr>
        <w:top w:val="none" w:sz="0" w:space="0" w:color="auto"/>
        <w:left w:val="none" w:sz="0" w:space="0" w:color="auto"/>
        <w:bottom w:val="none" w:sz="0" w:space="0" w:color="auto"/>
        <w:right w:val="none" w:sz="0" w:space="0" w:color="auto"/>
      </w:divBdr>
    </w:div>
    <w:div w:id="1559323379">
      <w:marLeft w:val="0"/>
      <w:marRight w:val="0"/>
      <w:marTop w:val="0"/>
      <w:marBottom w:val="0"/>
      <w:divBdr>
        <w:top w:val="none" w:sz="0" w:space="0" w:color="auto"/>
        <w:left w:val="none" w:sz="0" w:space="0" w:color="auto"/>
        <w:bottom w:val="none" w:sz="0" w:space="0" w:color="auto"/>
        <w:right w:val="none" w:sz="0" w:space="0" w:color="auto"/>
      </w:divBdr>
    </w:div>
    <w:div w:id="1571698160">
      <w:marLeft w:val="0"/>
      <w:marRight w:val="0"/>
      <w:marTop w:val="180"/>
      <w:marBottom w:val="0"/>
      <w:divBdr>
        <w:top w:val="none" w:sz="0" w:space="0" w:color="auto"/>
        <w:left w:val="none" w:sz="0" w:space="0" w:color="auto"/>
        <w:bottom w:val="none" w:sz="0" w:space="0" w:color="auto"/>
        <w:right w:val="none" w:sz="0" w:space="0" w:color="auto"/>
      </w:divBdr>
    </w:div>
    <w:div w:id="1580940039">
      <w:marLeft w:val="0"/>
      <w:marRight w:val="0"/>
      <w:marTop w:val="100"/>
      <w:marBottom w:val="100"/>
      <w:divBdr>
        <w:top w:val="none" w:sz="0" w:space="0" w:color="auto"/>
        <w:left w:val="none" w:sz="0" w:space="0" w:color="auto"/>
        <w:bottom w:val="none" w:sz="0" w:space="0" w:color="auto"/>
        <w:right w:val="none" w:sz="0" w:space="0" w:color="auto"/>
      </w:divBdr>
    </w:div>
    <w:div w:id="1592425274">
      <w:marLeft w:val="0"/>
      <w:marRight w:val="0"/>
      <w:marTop w:val="0"/>
      <w:marBottom w:val="0"/>
      <w:divBdr>
        <w:top w:val="none" w:sz="0" w:space="0" w:color="auto"/>
        <w:left w:val="none" w:sz="0" w:space="0" w:color="auto"/>
        <w:bottom w:val="none" w:sz="0" w:space="0" w:color="auto"/>
        <w:right w:val="none" w:sz="0" w:space="0" w:color="auto"/>
      </w:divBdr>
    </w:div>
    <w:div w:id="1599216603">
      <w:marLeft w:val="0"/>
      <w:marRight w:val="0"/>
      <w:marTop w:val="0"/>
      <w:marBottom w:val="0"/>
      <w:divBdr>
        <w:top w:val="none" w:sz="0" w:space="0" w:color="auto"/>
        <w:left w:val="none" w:sz="0" w:space="0" w:color="auto"/>
        <w:bottom w:val="none" w:sz="0" w:space="0" w:color="auto"/>
        <w:right w:val="none" w:sz="0" w:space="0" w:color="auto"/>
      </w:divBdr>
    </w:div>
    <w:div w:id="1608855260">
      <w:marLeft w:val="0"/>
      <w:marRight w:val="0"/>
      <w:marTop w:val="0"/>
      <w:marBottom w:val="0"/>
      <w:divBdr>
        <w:top w:val="none" w:sz="0" w:space="0" w:color="auto"/>
        <w:left w:val="none" w:sz="0" w:space="0" w:color="auto"/>
        <w:bottom w:val="none" w:sz="0" w:space="0" w:color="auto"/>
        <w:right w:val="none" w:sz="0" w:space="0" w:color="auto"/>
      </w:divBdr>
    </w:div>
    <w:div w:id="1613197447">
      <w:marLeft w:val="0"/>
      <w:marRight w:val="0"/>
      <w:marTop w:val="100"/>
      <w:marBottom w:val="100"/>
      <w:divBdr>
        <w:top w:val="none" w:sz="0" w:space="0" w:color="auto"/>
        <w:left w:val="none" w:sz="0" w:space="0" w:color="auto"/>
        <w:bottom w:val="none" w:sz="0" w:space="0" w:color="auto"/>
        <w:right w:val="none" w:sz="0" w:space="0" w:color="auto"/>
      </w:divBdr>
    </w:div>
    <w:div w:id="1615938211">
      <w:marLeft w:val="0"/>
      <w:marRight w:val="0"/>
      <w:marTop w:val="100"/>
      <w:marBottom w:val="100"/>
      <w:divBdr>
        <w:top w:val="none" w:sz="0" w:space="0" w:color="auto"/>
        <w:left w:val="none" w:sz="0" w:space="0" w:color="auto"/>
        <w:bottom w:val="none" w:sz="0" w:space="0" w:color="auto"/>
        <w:right w:val="none" w:sz="0" w:space="0" w:color="auto"/>
      </w:divBdr>
    </w:div>
    <w:div w:id="1619722773">
      <w:marLeft w:val="0"/>
      <w:marRight w:val="0"/>
      <w:marTop w:val="180"/>
      <w:marBottom w:val="0"/>
      <w:divBdr>
        <w:top w:val="none" w:sz="0" w:space="0" w:color="auto"/>
        <w:left w:val="none" w:sz="0" w:space="0" w:color="auto"/>
        <w:bottom w:val="none" w:sz="0" w:space="0" w:color="auto"/>
        <w:right w:val="none" w:sz="0" w:space="0" w:color="auto"/>
      </w:divBdr>
    </w:div>
    <w:div w:id="1620182639">
      <w:marLeft w:val="0"/>
      <w:marRight w:val="0"/>
      <w:marTop w:val="180"/>
      <w:marBottom w:val="100"/>
      <w:divBdr>
        <w:top w:val="none" w:sz="0" w:space="0" w:color="auto"/>
        <w:left w:val="none" w:sz="0" w:space="0" w:color="auto"/>
        <w:bottom w:val="none" w:sz="0" w:space="0" w:color="auto"/>
        <w:right w:val="none" w:sz="0" w:space="0" w:color="auto"/>
      </w:divBdr>
    </w:div>
    <w:div w:id="1624773183">
      <w:marLeft w:val="0"/>
      <w:marRight w:val="0"/>
      <w:marTop w:val="0"/>
      <w:marBottom w:val="0"/>
      <w:divBdr>
        <w:top w:val="none" w:sz="0" w:space="0" w:color="auto"/>
        <w:left w:val="none" w:sz="0" w:space="0" w:color="auto"/>
        <w:bottom w:val="none" w:sz="0" w:space="0" w:color="auto"/>
        <w:right w:val="none" w:sz="0" w:space="0" w:color="auto"/>
      </w:divBdr>
    </w:div>
    <w:div w:id="1632593999">
      <w:marLeft w:val="0"/>
      <w:marRight w:val="0"/>
      <w:marTop w:val="100"/>
      <w:marBottom w:val="100"/>
      <w:divBdr>
        <w:top w:val="none" w:sz="0" w:space="0" w:color="auto"/>
        <w:left w:val="none" w:sz="0" w:space="0" w:color="auto"/>
        <w:bottom w:val="none" w:sz="0" w:space="0" w:color="auto"/>
        <w:right w:val="none" w:sz="0" w:space="0" w:color="auto"/>
      </w:divBdr>
    </w:div>
    <w:div w:id="1632974534">
      <w:marLeft w:val="0"/>
      <w:marRight w:val="0"/>
      <w:marTop w:val="0"/>
      <w:marBottom w:val="0"/>
      <w:divBdr>
        <w:top w:val="none" w:sz="0" w:space="0" w:color="auto"/>
        <w:left w:val="none" w:sz="0" w:space="0" w:color="auto"/>
        <w:bottom w:val="none" w:sz="0" w:space="0" w:color="auto"/>
        <w:right w:val="none" w:sz="0" w:space="0" w:color="auto"/>
      </w:divBdr>
      <w:divsChild>
        <w:div w:id="817844162">
          <w:marLeft w:val="0"/>
          <w:marRight w:val="0"/>
          <w:marTop w:val="0"/>
          <w:marBottom w:val="0"/>
          <w:divBdr>
            <w:top w:val="none" w:sz="0" w:space="0" w:color="auto"/>
            <w:left w:val="none" w:sz="0" w:space="0" w:color="auto"/>
            <w:bottom w:val="none" w:sz="0" w:space="0" w:color="auto"/>
            <w:right w:val="none" w:sz="0" w:space="0" w:color="auto"/>
          </w:divBdr>
          <w:divsChild>
            <w:div w:id="101626755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34016919">
      <w:marLeft w:val="0"/>
      <w:marRight w:val="0"/>
      <w:marTop w:val="100"/>
      <w:marBottom w:val="180"/>
      <w:divBdr>
        <w:top w:val="none" w:sz="0" w:space="0" w:color="auto"/>
        <w:left w:val="none" w:sz="0" w:space="0" w:color="auto"/>
        <w:bottom w:val="none" w:sz="0" w:space="0" w:color="auto"/>
        <w:right w:val="none" w:sz="0" w:space="0" w:color="auto"/>
      </w:divBdr>
    </w:div>
    <w:div w:id="1636596900">
      <w:marLeft w:val="0"/>
      <w:marRight w:val="0"/>
      <w:marTop w:val="100"/>
      <w:marBottom w:val="100"/>
      <w:divBdr>
        <w:top w:val="none" w:sz="0" w:space="0" w:color="auto"/>
        <w:left w:val="none" w:sz="0" w:space="0" w:color="auto"/>
        <w:bottom w:val="none" w:sz="0" w:space="0" w:color="auto"/>
        <w:right w:val="none" w:sz="0" w:space="0" w:color="auto"/>
      </w:divBdr>
    </w:div>
    <w:div w:id="1640450250">
      <w:marLeft w:val="0"/>
      <w:marRight w:val="0"/>
      <w:marTop w:val="100"/>
      <w:marBottom w:val="100"/>
      <w:divBdr>
        <w:top w:val="none" w:sz="0" w:space="0" w:color="auto"/>
        <w:left w:val="none" w:sz="0" w:space="0" w:color="auto"/>
        <w:bottom w:val="none" w:sz="0" w:space="0" w:color="auto"/>
        <w:right w:val="none" w:sz="0" w:space="0" w:color="auto"/>
      </w:divBdr>
    </w:div>
    <w:div w:id="1646855586">
      <w:marLeft w:val="0"/>
      <w:marRight w:val="0"/>
      <w:marTop w:val="100"/>
      <w:marBottom w:val="100"/>
      <w:divBdr>
        <w:top w:val="none" w:sz="0" w:space="0" w:color="auto"/>
        <w:left w:val="none" w:sz="0" w:space="0" w:color="auto"/>
        <w:bottom w:val="none" w:sz="0" w:space="0" w:color="auto"/>
        <w:right w:val="none" w:sz="0" w:space="0" w:color="auto"/>
      </w:divBdr>
    </w:div>
    <w:div w:id="1652713865">
      <w:marLeft w:val="0"/>
      <w:marRight w:val="0"/>
      <w:marTop w:val="100"/>
      <w:marBottom w:val="100"/>
      <w:divBdr>
        <w:top w:val="none" w:sz="0" w:space="0" w:color="auto"/>
        <w:left w:val="none" w:sz="0" w:space="0" w:color="auto"/>
        <w:bottom w:val="none" w:sz="0" w:space="0" w:color="auto"/>
        <w:right w:val="none" w:sz="0" w:space="0" w:color="auto"/>
      </w:divBdr>
    </w:div>
    <w:div w:id="1652979604">
      <w:marLeft w:val="0"/>
      <w:marRight w:val="0"/>
      <w:marTop w:val="100"/>
      <w:marBottom w:val="0"/>
      <w:divBdr>
        <w:top w:val="none" w:sz="0" w:space="0" w:color="auto"/>
        <w:left w:val="none" w:sz="0" w:space="0" w:color="auto"/>
        <w:bottom w:val="none" w:sz="0" w:space="0" w:color="auto"/>
        <w:right w:val="none" w:sz="0" w:space="0" w:color="auto"/>
      </w:divBdr>
    </w:div>
    <w:div w:id="1658802424">
      <w:marLeft w:val="0"/>
      <w:marRight w:val="0"/>
      <w:marTop w:val="100"/>
      <w:marBottom w:val="100"/>
      <w:divBdr>
        <w:top w:val="none" w:sz="0" w:space="0" w:color="auto"/>
        <w:left w:val="none" w:sz="0" w:space="0" w:color="auto"/>
        <w:bottom w:val="none" w:sz="0" w:space="0" w:color="auto"/>
        <w:right w:val="none" w:sz="0" w:space="0" w:color="auto"/>
      </w:divBdr>
    </w:div>
    <w:div w:id="1668023000">
      <w:marLeft w:val="0"/>
      <w:marRight w:val="0"/>
      <w:marTop w:val="60"/>
      <w:marBottom w:val="0"/>
      <w:divBdr>
        <w:top w:val="none" w:sz="0" w:space="0" w:color="auto"/>
        <w:left w:val="none" w:sz="0" w:space="0" w:color="auto"/>
        <w:bottom w:val="none" w:sz="0" w:space="0" w:color="auto"/>
        <w:right w:val="none" w:sz="0" w:space="0" w:color="auto"/>
      </w:divBdr>
    </w:div>
    <w:div w:id="1669400741">
      <w:marLeft w:val="0"/>
      <w:marRight w:val="0"/>
      <w:marTop w:val="180"/>
      <w:marBottom w:val="0"/>
      <w:divBdr>
        <w:top w:val="none" w:sz="0" w:space="0" w:color="auto"/>
        <w:left w:val="none" w:sz="0" w:space="0" w:color="auto"/>
        <w:bottom w:val="none" w:sz="0" w:space="0" w:color="auto"/>
        <w:right w:val="none" w:sz="0" w:space="0" w:color="auto"/>
      </w:divBdr>
    </w:div>
    <w:div w:id="1670792066">
      <w:marLeft w:val="0"/>
      <w:marRight w:val="0"/>
      <w:marTop w:val="0"/>
      <w:marBottom w:val="0"/>
      <w:divBdr>
        <w:top w:val="none" w:sz="0" w:space="0" w:color="auto"/>
        <w:left w:val="none" w:sz="0" w:space="0" w:color="auto"/>
        <w:bottom w:val="none" w:sz="0" w:space="0" w:color="auto"/>
        <w:right w:val="none" w:sz="0" w:space="0" w:color="auto"/>
      </w:divBdr>
    </w:div>
    <w:div w:id="1679428426">
      <w:marLeft w:val="0"/>
      <w:marRight w:val="0"/>
      <w:marTop w:val="100"/>
      <w:marBottom w:val="0"/>
      <w:divBdr>
        <w:top w:val="none" w:sz="0" w:space="0" w:color="auto"/>
        <w:left w:val="none" w:sz="0" w:space="0" w:color="auto"/>
        <w:bottom w:val="none" w:sz="0" w:space="0" w:color="auto"/>
        <w:right w:val="none" w:sz="0" w:space="0" w:color="auto"/>
      </w:divBdr>
    </w:div>
    <w:div w:id="1690253352">
      <w:marLeft w:val="0"/>
      <w:marRight w:val="0"/>
      <w:marTop w:val="0"/>
      <w:marBottom w:val="0"/>
      <w:divBdr>
        <w:top w:val="none" w:sz="0" w:space="0" w:color="auto"/>
        <w:left w:val="none" w:sz="0" w:space="0" w:color="auto"/>
        <w:bottom w:val="none" w:sz="0" w:space="0" w:color="auto"/>
        <w:right w:val="none" w:sz="0" w:space="0" w:color="auto"/>
      </w:divBdr>
      <w:divsChild>
        <w:div w:id="1815372679">
          <w:marLeft w:val="0"/>
          <w:marRight w:val="0"/>
          <w:marTop w:val="0"/>
          <w:marBottom w:val="0"/>
          <w:divBdr>
            <w:top w:val="none" w:sz="0" w:space="0" w:color="auto"/>
            <w:left w:val="none" w:sz="0" w:space="0" w:color="auto"/>
            <w:bottom w:val="none" w:sz="0" w:space="0" w:color="auto"/>
            <w:right w:val="none" w:sz="0" w:space="0" w:color="auto"/>
          </w:divBdr>
          <w:divsChild>
            <w:div w:id="48215969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90716777">
      <w:marLeft w:val="0"/>
      <w:marRight w:val="0"/>
      <w:marTop w:val="180"/>
      <w:marBottom w:val="0"/>
      <w:divBdr>
        <w:top w:val="none" w:sz="0" w:space="0" w:color="auto"/>
        <w:left w:val="none" w:sz="0" w:space="0" w:color="auto"/>
        <w:bottom w:val="none" w:sz="0" w:space="0" w:color="auto"/>
        <w:right w:val="none" w:sz="0" w:space="0" w:color="auto"/>
      </w:divBdr>
    </w:div>
    <w:div w:id="1701280295">
      <w:marLeft w:val="0"/>
      <w:marRight w:val="0"/>
      <w:marTop w:val="100"/>
      <w:marBottom w:val="100"/>
      <w:divBdr>
        <w:top w:val="none" w:sz="0" w:space="0" w:color="auto"/>
        <w:left w:val="none" w:sz="0" w:space="0" w:color="auto"/>
        <w:bottom w:val="none" w:sz="0" w:space="0" w:color="auto"/>
        <w:right w:val="none" w:sz="0" w:space="0" w:color="auto"/>
      </w:divBdr>
    </w:div>
    <w:div w:id="1702512161">
      <w:marLeft w:val="0"/>
      <w:marRight w:val="0"/>
      <w:marTop w:val="100"/>
      <w:marBottom w:val="100"/>
      <w:divBdr>
        <w:top w:val="none" w:sz="0" w:space="0" w:color="auto"/>
        <w:left w:val="none" w:sz="0" w:space="0" w:color="auto"/>
        <w:bottom w:val="none" w:sz="0" w:space="0" w:color="auto"/>
        <w:right w:val="none" w:sz="0" w:space="0" w:color="auto"/>
      </w:divBdr>
    </w:div>
    <w:div w:id="1707102372">
      <w:marLeft w:val="0"/>
      <w:marRight w:val="0"/>
      <w:marTop w:val="100"/>
      <w:marBottom w:val="120"/>
      <w:divBdr>
        <w:top w:val="none" w:sz="0" w:space="0" w:color="auto"/>
        <w:left w:val="none" w:sz="0" w:space="0" w:color="auto"/>
        <w:bottom w:val="none" w:sz="0" w:space="0" w:color="auto"/>
        <w:right w:val="none" w:sz="0" w:space="0" w:color="auto"/>
      </w:divBdr>
    </w:div>
    <w:div w:id="1711418389">
      <w:marLeft w:val="0"/>
      <w:marRight w:val="0"/>
      <w:marTop w:val="0"/>
      <w:marBottom w:val="0"/>
      <w:divBdr>
        <w:top w:val="none" w:sz="0" w:space="0" w:color="auto"/>
        <w:left w:val="none" w:sz="0" w:space="0" w:color="auto"/>
        <w:bottom w:val="none" w:sz="0" w:space="0" w:color="auto"/>
        <w:right w:val="none" w:sz="0" w:space="0" w:color="auto"/>
      </w:divBdr>
      <w:divsChild>
        <w:div w:id="540240222">
          <w:marLeft w:val="0"/>
          <w:marRight w:val="0"/>
          <w:marTop w:val="100"/>
          <w:marBottom w:val="100"/>
          <w:divBdr>
            <w:top w:val="none" w:sz="0" w:space="0" w:color="auto"/>
            <w:left w:val="none" w:sz="0" w:space="0" w:color="auto"/>
            <w:bottom w:val="none" w:sz="0" w:space="0" w:color="auto"/>
            <w:right w:val="none" w:sz="0" w:space="0" w:color="auto"/>
          </w:divBdr>
        </w:div>
        <w:div w:id="1929345275">
          <w:marLeft w:val="0"/>
          <w:marRight w:val="0"/>
          <w:marTop w:val="100"/>
          <w:marBottom w:val="100"/>
          <w:divBdr>
            <w:top w:val="none" w:sz="0" w:space="0" w:color="auto"/>
            <w:left w:val="none" w:sz="0" w:space="0" w:color="auto"/>
            <w:bottom w:val="none" w:sz="0" w:space="0" w:color="auto"/>
            <w:right w:val="none" w:sz="0" w:space="0" w:color="auto"/>
          </w:divBdr>
        </w:div>
      </w:divsChild>
    </w:div>
    <w:div w:id="1712220332">
      <w:marLeft w:val="0"/>
      <w:marRight w:val="0"/>
      <w:marTop w:val="100"/>
      <w:marBottom w:val="160"/>
      <w:divBdr>
        <w:top w:val="none" w:sz="0" w:space="0" w:color="auto"/>
        <w:left w:val="none" w:sz="0" w:space="0" w:color="auto"/>
        <w:bottom w:val="none" w:sz="0" w:space="0" w:color="auto"/>
        <w:right w:val="none" w:sz="0" w:space="0" w:color="auto"/>
      </w:divBdr>
    </w:div>
    <w:div w:id="1723407468">
      <w:marLeft w:val="0"/>
      <w:marRight w:val="0"/>
      <w:marTop w:val="0"/>
      <w:marBottom w:val="0"/>
      <w:divBdr>
        <w:top w:val="none" w:sz="0" w:space="0" w:color="auto"/>
        <w:left w:val="none" w:sz="0" w:space="0" w:color="auto"/>
        <w:bottom w:val="none" w:sz="0" w:space="0" w:color="auto"/>
        <w:right w:val="none" w:sz="0" w:space="0" w:color="auto"/>
      </w:divBdr>
    </w:div>
    <w:div w:id="1727797898">
      <w:marLeft w:val="0"/>
      <w:marRight w:val="0"/>
      <w:marTop w:val="0"/>
      <w:marBottom w:val="0"/>
      <w:divBdr>
        <w:top w:val="none" w:sz="0" w:space="0" w:color="auto"/>
        <w:left w:val="none" w:sz="0" w:space="0" w:color="auto"/>
        <w:bottom w:val="none" w:sz="0" w:space="0" w:color="auto"/>
        <w:right w:val="none" w:sz="0" w:space="0" w:color="auto"/>
      </w:divBdr>
      <w:divsChild>
        <w:div w:id="914971981">
          <w:marLeft w:val="0"/>
          <w:marRight w:val="0"/>
          <w:marTop w:val="0"/>
          <w:marBottom w:val="0"/>
          <w:divBdr>
            <w:top w:val="none" w:sz="0" w:space="0" w:color="auto"/>
            <w:left w:val="none" w:sz="0" w:space="0" w:color="auto"/>
            <w:bottom w:val="none" w:sz="0" w:space="0" w:color="auto"/>
            <w:right w:val="none" w:sz="0" w:space="0" w:color="auto"/>
          </w:divBdr>
          <w:divsChild>
            <w:div w:id="35307073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732121562">
      <w:marLeft w:val="0"/>
      <w:marRight w:val="0"/>
      <w:marTop w:val="100"/>
      <w:marBottom w:val="100"/>
      <w:divBdr>
        <w:top w:val="none" w:sz="0" w:space="0" w:color="auto"/>
        <w:left w:val="none" w:sz="0" w:space="0" w:color="auto"/>
        <w:bottom w:val="none" w:sz="0" w:space="0" w:color="auto"/>
        <w:right w:val="none" w:sz="0" w:space="0" w:color="auto"/>
      </w:divBdr>
    </w:div>
    <w:div w:id="1747921152">
      <w:marLeft w:val="0"/>
      <w:marRight w:val="0"/>
      <w:marTop w:val="180"/>
      <w:marBottom w:val="0"/>
      <w:divBdr>
        <w:top w:val="none" w:sz="0" w:space="0" w:color="auto"/>
        <w:left w:val="none" w:sz="0" w:space="0" w:color="auto"/>
        <w:bottom w:val="none" w:sz="0" w:space="0" w:color="auto"/>
        <w:right w:val="none" w:sz="0" w:space="0" w:color="auto"/>
      </w:divBdr>
    </w:div>
    <w:div w:id="1759254550">
      <w:marLeft w:val="0"/>
      <w:marRight w:val="0"/>
      <w:marTop w:val="180"/>
      <w:marBottom w:val="100"/>
      <w:divBdr>
        <w:top w:val="none" w:sz="0" w:space="0" w:color="auto"/>
        <w:left w:val="none" w:sz="0" w:space="0" w:color="auto"/>
        <w:bottom w:val="none" w:sz="0" w:space="0" w:color="auto"/>
        <w:right w:val="none" w:sz="0" w:space="0" w:color="auto"/>
      </w:divBdr>
    </w:div>
    <w:div w:id="1761901071">
      <w:marLeft w:val="0"/>
      <w:marRight w:val="0"/>
      <w:marTop w:val="0"/>
      <w:marBottom w:val="0"/>
      <w:divBdr>
        <w:top w:val="none" w:sz="0" w:space="0" w:color="auto"/>
        <w:left w:val="none" w:sz="0" w:space="0" w:color="auto"/>
        <w:bottom w:val="none" w:sz="0" w:space="0" w:color="auto"/>
        <w:right w:val="none" w:sz="0" w:space="0" w:color="auto"/>
      </w:divBdr>
    </w:div>
    <w:div w:id="1766346379">
      <w:marLeft w:val="0"/>
      <w:marRight w:val="0"/>
      <w:marTop w:val="0"/>
      <w:marBottom w:val="0"/>
      <w:divBdr>
        <w:top w:val="none" w:sz="0" w:space="0" w:color="auto"/>
        <w:left w:val="none" w:sz="0" w:space="0" w:color="auto"/>
        <w:bottom w:val="none" w:sz="0" w:space="0" w:color="auto"/>
        <w:right w:val="none" w:sz="0" w:space="0" w:color="auto"/>
      </w:divBdr>
      <w:divsChild>
        <w:div w:id="1574586850">
          <w:marLeft w:val="0"/>
          <w:marRight w:val="0"/>
          <w:marTop w:val="100"/>
          <w:marBottom w:val="100"/>
          <w:divBdr>
            <w:top w:val="none" w:sz="0" w:space="0" w:color="auto"/>
            <w:left w:val="none" w:sz="0" w:space="0" w:color="auto"/>
            <w:bottom w:val="none" w:sz="0" w:space="0" w:color="auto"/>
            <w:right w:val="none" w:sz="0" w:space="0" w:color="auto"/>
          </w:divBdr>
        </w:div>
        <w:div w:id="1951162774">
          <w:marLeft w:val="0"/>
          <w:marRight w:val="0"/>
          <w:marTop w:val="100"/>
          <w:marBottom w:val="100"/>
          <w:divBdr>
            <w:top w:val="none" w:sz="0" w:space="0" w:color="auto"/>
            <w:left w:val="none" w:sz="0" w:space="0" w:color="auto"/>
            <w:bottom w:val="none" w:sz="0" w:space="0" w:color="auto"/>
            <w:right w:val="none" w:sz="0" w:space="0" w:color="auto"/>
          </w:divBdr>
        </w:div>
      </w:divsChild>
    </w:div>
    <w:div w:id="1774007252">
      <w:marLeft w:val="0"/>
      <w:marRight w:val="0"/>
      <w:marTop w:val="100"/>
      <w:marBottom w:val="100"/>
      <w:divBdr>
        <w:top w:val="none" w:sz="0" w:space="0" w:color="auto"/>
        <w:left w:val="none" w:sz="0" w:space="0" w:color="auto"/>
        <w:bottom w:val="none" w:sz="0" w:space="0" w:color="auto"/>
        <w:right w:val="none" w:sz="0" w:space="0" w:color="auto"/>
      </w:divBdr>
    </w:div>
    <w:div w:id="1785151391">
      <w:marLeft w:val="0"/>
      <w:marRight w:val="0"/>
      <w:marTop w:val="0"/>
      <w:marBottom w:val="0"/>
      <w:divBdr>
        <w:top w:val="none" w:sz="0" w:space="0" w:color="auto"/>
        <w:left w:val="none" w:sz="0" w:space="0" w:color="auto"/>
        <w:bottom w:val="none" w:sz="0" w:space="0" w:color="auto"/>
        <w:right w:val="none" w:sz="0" w:space="0" w:color="auto"/>
      </w:divBdr>
      <w:divsChild>
        <w:div w:id="658508170">
          <w:marLeft w:val="0"/>
          <w:marRight w:val="0"/>
          <w:marTop w:val="100"/>
          <w:marBottom w:val="100"/>
          <w:divBdr>
            <w:top w:val="none" w:sz="0" w:space="0" w:color="auto"/>
            <w:left w:val="none" w:sz="0" w:space="0" w:color="auto"/>
            <w:bottom w:val="none" w:sz="0" w:space="0" w:color="auto"/>
            <w:right w:val="none" w:sz="0" w:space="0" w:color="auto"/>
          </w:divBdr>
        </w:div>
        <w:div w:id="164053563">
          <w:marLeft w:val="0"/>
          <w:marRight w:val="0"/>
          <w:marTop w:val="100"/>
          <w:marBottom w:val="100"/>
          <w:divBdr>
            <w:top w:val="none" w:sz="0" w:space="0" w:color="auto"/>
            <w:left w:val="none" w:sz="0" w:space="0" w:color="auto"/>
            <w:bottom w:val="none" w:sz="0" w:space="0" w:color="auto"/>
            <w:right w:val="none" w:sz="0" w:space="0" w:color="auto"/>
          </w:divBdr>
        </w:div>
      </w:divsChild>
    </w:div>
    <w:div w:id="1797410245">
      <w:marLeft w:val="0"/>
      <w:marRight w:val="0"/>
      <w:marTop w:val="0"/>
      <w:marBottom w:val="0"/>
      <w:divBdr>
        <w:top w:val="none" w:sz="0" w:space="0" w:color="auto"/>
        <w:left w:val="none" w:sz="0" w:space="0" w:color="auto"/>
        <w:bottom w:val="none" w:sz="0" w:space="0" w:color="auto"/>
        <w:right w:val="none" w:sz="0" w:space="0" w:color="auto"/>
      </w:divBdr>
    </w:div>
    <w:div w:id="1809126640">
      <w:marLeft w:val="0"/>
      <w:marRight w:val="0"/>
      <w:marTop w:val="0"/>
      <w:marBottom w:val="0"/>
      <w:divBdr>
        <w:top w:val="none" w:sz="0" w:space="0" w:color="auto"/>
        <w:left w:val="none" w:sz="0" w:space="0" w:color="auto"/>
        <w:bottom w:val="none" w:sz="0" w:space="0" w:color="auto"/>
        <w:right w:val="none" w:sz="0" w:space="0" w:color="auto"/>
      </w:divBdr>
      <w:divsChild>
        <w:div w:id="341862857">
          <w:marLeft w:val="0"/>
          <w:marRight w:val="0"/>
          <w:marTop w:val="100"/>
          <w:marBottom w:val="100"/>
          <w:divBdr>
            <w:top w:val="none" w:sz="0" w:space="0" w:color="auto"/>
            <w:left w:val="none" w:sz="0" w:space="0" w:color="auto"/>
            <w:bottom w:val="none" w:sz="0" w:space="0" w:color="auto"/>
            <w:right w:val="none" w:sz="0" w:space="0" w:color="auto"/>
          </w:divBdr>
        </w:div>
        <w:div w:id="1978799555">
          <w:marLeft w:val="0"/>
          <w:marRight w:val="0"/>
          <w:marTop w:val="100"/>
          <w:marBottom w:val="100"/>
          <w:divBdr>
            <w:top w:val="none" w:sz="0" w:space="0" w:color="auto"/>
            <w:left w:val="none" w:sz="0" w:space="0" w:color="auto"/>
            <w:bottom w:val="none" w:sz="0" w:space="0" w:color="auto"/>
            <w:right w:val="none" w:sz="0" w:space="0" w:color="auto"/>
          </w:divBdr>
        </w:div>
      </w:divsChild>
    </w:div>
    <w:div w:id="1816098936">
      <w:marLeft w:val="0"/>
      <w:marRight w:val="0"/>
      <w:marTop w:val="100"/>
      <w:marBottom w:val="100"/>
      <w:divBdr>
        <w:top w:val="none" w:sz="0" w:space="0" w:color="auto"/>
        <w:left w:val="none" w:sz="0" w:space="0" w:color="auto"/>
        <w:bottom w:val="none" w:sz="0" w:space="0" w:color="auto"/>
        <w:right w:val="none" w:sz="0" w:space="0" w:color="auto"/>
      </w:divBdr>
    </w:div>
    <w:div w:id="1824393309">
      <w:marLeft w:val="0"/>
      <w:marRight w:val="0"/>
      <w:marTop w:val="180"/>
      <w:marBottom w:val="0"/>
      <w:divBdr>
        <w:top w:val="none" w:sz="0" w:space="0" w:color="auto"/>
        <w:left w:val="none" w:sz="0" w:space="0" w:color="auto"/>
        <w:bottom w:val="none" w:sz="0" w:space="0" w:color="auto"/>
        <w:right w:val="none" w:sz="0" w:space="0" w:color="auto"/>
      </w:divBdr>
    </w:div>
    <w:div w:id="1827864698">
      <w:marLeft w:val="0"/>
      <w:marRight w:val="0"/>
      <w:marTop w:val="180"/>
      <w:marBottom w:val="100"/>
      <w:divBdr>
        <w:top w:val="none" w:sz="0" w:space="0" w:color="auto"/>
        <w:left w:val="none" w:sz="0" w:space="0" w:color="auto"/>
        <w:bottom w:val="none" w:sz="0" w:space="0" w:color="auto"/>
        <w:right w:val="none" w:sz="0" w:space="0" w:color="auto"/>
      </w:divBdr>
    </w:div>
    <w:div w:id="1828083169">
      <w:marLeft w:val="0"/>
      <w:marRight w:val="0"/>
      <w:marTop w:val="0"/>
      <w:marBottom w:val="0"/>
      <w:divBdr>
        <w:top w:val="none" w:sz="0" w:space="0" w:color="auto"/>
        <w:left w:val="none" w:sz="0" w:space="0" w:color="auto"/>
        <w:bottom w:val="none" w:sz="0" w:space="0" w:color="auto"/>
        <w:right w:val="none" w:sz="0" w:space="0" w:color="auto"/>
      </w:divBdr>
    </w:div>
    <w:div w:id="1831949017">
      <w:marLeft w:val="0"/>
      <w:marRight w:val="0"/>
      <w:marTop w:val="180"/>
      <w:marBottom w:val="0"/>
      <w:divBdr>
        <w:top w:val="none" w:sz="0" w:space="0" w:color="auto"/>
        <w:left w:val="none" w:sz="0" w:space="0" w:color="auto"/>
        <w:bottom w:val="none" w:sz="0" w:space="0" w:color="auto"/>
        <w:right w:val="none" w:sz="0" w:space="0" w:color="auto"/>
      </w:divBdr>
    </w:div>
    <w:div w:id="1834056246">
      <w:marLeft w:val="0"/>
      <w:marRight w:val="0"/>
      <w:marTop w:val="100"/>
      <w:marBottom w:val="100"/>
      <w:divBdr>
        <w:top w:val="none" w:sz="0" w:space="0" w:color="auto"/>
        <w:left w:val="none" w:sz="0" w:space="0" w:color="auto"/>
        <w:bottom w:val="none" w:sz="0" w:space="0" w:color="auto"/>
        <w:right w:val="none" w:sz="0" w:space="0" w:color="auto"/>
      </w:divBdr>
    </w:div>
    <w:div w:id="1836021874">
      <w:marLeft w:val="0"/>
      <w:marRight w:val="0"/>
      <w:marTop w:val="180"/>
      <w:marBottom w:val="100"/>
      <w:divBdr>
        <w:top w:val="none" w:sz="0" w:space="0" w:color="auto"/>
        <w:left w:val="none" w:sz="0" w:space="0" w:color="auto"/>
        <w:bottom w:val="none" w:sz="0" w:space="0" w:color="auto"/>
        <w:right w:val="none" w:sz="0" w:space="0" w:color="auto"/>
      </w:divBdr>
      <w:divsChild>
        <w:div w:id="134177632">
          <w:marLeft w:val="0"/>
          <w:marRight w:val="0"/>
          <w:marTop w:val="0"/>
          <w:marBottom w:val="0"/>
          <w:divBdr>
            <w:top w:val="none" w:sz="0" w:space="0" w:color="auto"/>
            <w:left w:val="none" w:sz="0" w:space="0" w:color="auto"/>
            <w:bottom w:val="none" w:sz="0" w:space="0" w:color="auto"/>
            <w:right w:val="none" w:sz="0" w:space="0" w:color="auto"/>
          </w:divBdr>
        </w:div>
        <w:div w:id="2099671757">
          <w:marLeft w:val="0"/>
          <w:marRight w:val="0"/>
          <w:marTop w:val="0"/>
          <w:marBottom w:val="0"/>
          <w:divBdr>
            <w:top w:val="none" w:sz="0" w:space="0" w:color="auto"/>
            <w:left w:val="none" w:sz="0" w:space="0" w:color="auto"/>
            <w:bottom w:val="none" w:sz="0" w:space="0" w:color="auto"/>
            <w:right w:val="none" w:sz="0" w:space="0" w:color="auto"/>
          </w:divBdr>
        </w:div>
      </w:divsChild>
    </w:div>
    <w:div w:id="1837573859">
      <w:marLeft w:val="0"/>
      <w:marRight w:val="0"/>
      <w:marTop w:val="0"/>
      <w:marBottom w:val="0"/>
      <w:divBdr>
        <w:top w:val="none" w:sz="0" w:space="0" w:color="auto"/>
        <w:left w:val="none" w:sz="0" w:space="0" w:color="auto"/>
        <w:bottom w:val="none" w:sz="0" w:space="0" w:color="auto"/>
        <w:right w:val="none" w:sz="0" w:space="0" w:color="auto"/>
      </w:divBdr>
    </w:div>
    <w:div w:id="1837840175">
      <w:marLeft w:val="0"/>
      <w:marRight w:val="0"/>
      <w:marTop w:val="100"/>
      <w:marBottom w:val="100"/>
      <w:divBdr>
        <w:top w:val="none" w:sz="0" w:space="0" w:color="auto"/>
        <w:left w:val="none" w:sz="0" w:space="0" w:color="auto"/>
        <w:bottom w:val="none" w:sz="0" w:space="0" w:color="auto"/>
        <w:right w:val="none" w:sz="0" w:space="0" w:color="auto"/>
      </w:divBdr>
    </w:div>
    <w:div w:id="1841387109">
      <w:marLeft w:val="0"/>
      <w:marRight w:val="0"/>
      <w:marTop w:val="0"/>
      <w:marBottom w:val="0"/>
      <w:divBdr>
        <w:top w:val="none" w:sz="0" w:space="0" w:color="auto"/>
        <w:left w:val="none" w:sz="0" w:space="0" w:color="auto"/>
        <w:bottom w:val="none" w:sz="0" w:space="0" w:color="auto"/>
        <w:right w:val="none" w:sz="0" w:space="0" w:color="auto"/>
      </w:divBdr>
      <w:divsChild>
        <w:div w:id="73279216">
          <w:marLeft w:val="0"/>
          <w:marRight w:val="0"/>
          <w:marTop w:val="100"/>
          <w:marBottom w:val="100"/>
          <w:divBdr>
            <w:top w:val="none" w:sz="0" w:space="0" w:color="auto"/>
            <w:left w:val="none" w:sz="0" w:space="0" w:color="auto"/>
            <w:bottom w:val="none" w:sz="0" w:space="0" w:color="auto"/>
            <w:right w:val="none" w:sz="0" w:space="0" w:color="auto"/>
          </w:divBdr>
        </w:div>
        <w:div w:id="1482963818">
          <w:marLeft w:val="0"/>
          <w:marRight w:val="0"/>
          <w:marTop w:val="100"/>
          <w:marBottom w:val="100"/>
          <w:divBdr>
            <w:top w:val="none" w:sz="0" w:space="0" w:color="auto"/>
            <w:left w:val="none" w:sz="0" w:space="0" w:color="auto"/>
            <w:bottom w:val="none" w:sz="0" w:space="0" w:color="auto"/>
            <w:right w:val="none" w:sz="0" w:space="0" w:color="auto"/>
          </w:divBdr>
        </w:div>
      </w:divsChild>
    </w:div>
    <w:div w:id="1849562331">
      <w:marLeft w:val="0"/>
      <w:marRight w:val="0"/>
      <w:marTop w:val="180"/>
      <w:marBottom w:val="100"/>
      <w:divBdr>
        <w:top w:val="none" w:sz="0" w:space="0" w:color="auto"/>
        <w:left w:val="none" w:sz="0" w:space="0" w:color="auto"/>
        <w:bottom w:val="none" w:sz="0" w:space="0" w:color="auto"/>
        <w:right w:val="none" w:sz="0" w:space="0" w:color="auto"/>
      </w:divBdr>
    </w:div>
    <w:div w:id="1851679149">
      <w:marLeft w:val="0"/>
      <w:marRight w:val="0"/>
      <w:marTop w:val="180"/>
      <w:marBottom w:val="0"/>
      <w:divBdr>
        <w:top w:val="none" w:sz="0" w:space="0" w:color="auto"/>
        <w:left w:val="none" w:sz="0" w:space="0" w:color="auto"/>
        <w:bottom w:val="none" w:sz="0" w:space="0" w:color="auto"/>
        <w:right w:val="none" w:sz="0" w:space="0" w:color="auto"/>
      </w:divBdr>
    </w:div>
    <w:div w:id="1852990371">
      <w:marLeft w:val="0"/>
      <w:marRight w:val="0"/>
      <w:marTop w:val="100"/>
      <w:marBottom w:val="100"/>
      <w:divBdr>
        <w:top w:val="none" w:sz="0" w:space="0" w:color="auto"/>
        <w:left w:val="none" w:sz="0" w:space="0" w:color="auto"/>
        <w:bottom w:val="none" w:sz="0" w:space="0" w:color="auto"/>
        <w:right w:val="none" w:sz="0" w:space="0" w:color="auto"/>
      </w:divBdr>
    </w:div>
    <w:div w:id="1854613542">
      <w:marLeft w:val="0"/>
      <w:marRight w:val="0"/>
      <w:marTop w:val="100"/>
      <w:marBottom w:val="100"/>
      <w:divBdr>
        <w:top w:val="none" w:sz="0" w:space="0" w:color="auto"/>
        <w:left w:val="none" w:sz="0" w:space="0" w:color="auto"/>
        <w:bottom w:val="none" w:sz="0" w:space="0" w:color="auto"/>
        <w:right w:val="none" w:sz="0" w:space="0" w:color="auto"/>
      </w:divBdr>
    </w:div>
    <w:div w:id="1857890076">
      <w:marLeft w:val="0"/>
      <w:marRight w:val="0"/>
      <w:marTop w:val="0"/>
      <w:marBottom w:val="0"/>
      <w:divBdr>
        <w:top w:val="none" w:sz="0" w:space="0" w:color="auto"/>
        <w:left w:val="none" w:sz="0" w:space="0" w:color="auto"/>
        <w:bottom w:val="none" w:sz="0" w:space="0" w:color="auto"/>
        <w:right w:val="none" w:sz="0" w:space="0" w:color="auto"/>
      </w:divBdr>
    </w:div>
    <w:div w:id="1865745072">
      <w:marLeft w:val="0"/>
      <w:marRight w:val="0"/>
      <w:marTop w:val="0"/>
      <w:marBottom w:val="0"/>
      <w:divBdr>
        <w:top w:val="none" w:sz="0" w:space="0" w:color="auto"/>
        <w:left w:val="none" w:sz="0" w:space="0" w:color="auto"/>
        <w:bottom w:val="none" w:sz="0" w:space="0" w:color="auto"/>
        <w:right w:val="none" w:sz="0" w:space="0" w:color="auto"/>
      </w:divBdr>
      <w:divsChild>
        <w:div w:id="1064065890">
          <w:marLeft w:val="0"/>
          <w:marRight w:val="0"/>
          <w:marTop w:val="0"/>
          <w:marBottom w:val="0"/>
          <w:divBdr>
            <w:top w:val="none" w:sz="0" w:space="0" w:color="auto"/>
            <w:left w:val="none" w:sz="0" w:space="0" w:color="auto"/>
            <w:bottom w:val="none" w:sz="0" w:space="0" w:color="auto"/>
            <w:right w:val="none" w:sz="0" w:space="0" w:color="auto"/>
          </w:divBdr>
          <w:divsChild>
            <w:div w:id="14963847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71868651">
      <w:marLeft w:val="0"/>
      <w:marRight w:val="0"/>
      <w:marTop w:val="100"/>
      <w:marBottom w:val="100"/>
      <w:divBdr>
        <w:top w:val="none" w:sz="0" w:space="0" w:color="auto"/>
        <w:left w:val="none" w:sz="0" w:space="0" w:color="auto"/>
        <w:bottom w:val="none" w:sz="0" w:space="0" w:color="auto"/>
        <w:right w:val="none" w:sz="0" w:space="0" w:color="auto"/>
      </w:divBdr>
    </w:div>
    <w:div w:id="1878161596">
      <w:marLeft w:val="0"/>
      <w:marRight w:val="0"/>
      <w:marTop w:val="100"/>
      <w:marBottom w:val="100"/>
      <w:divBdr>
        <w:top w:val="none" w:sz="0" w:space="0" w:color="auto"/>
        <w:left w:val="none" w:sz="0" w:space="0" w:color="auto"/>
        <w:bottom w:val="none" w:sz="0" w:space="0" w:color="auto"/>
        <w:right w:val="none" w:sz="0" w:space="0" w:color="auto"/>
      </w:divBdr>
    </w:div>
    <w:div w:id="1880699914">
      <w:marLeft w:val="0"/>
      <w:marRight w:val="0"/>
      <w:marTop w:val="0"/>
      <w:marBottom w:val="0"/>
      <w:divBdr>
        <w:top w:val="none" w:sz="0" w:space="0" w:color="auto"/>
        <w:left w:val="none" w:sz="0" w:space="0" w:color="auto"/>
        <w:bottom w:val="none" w:sz="0" w:space="0" w:color="auto"/>
        <w:right w:val="none" w:sz="0" w:space="0" w:color="auto"/>
      </w:divBdr>
    </w:div>
    <w:div w:id="1881934680">
      <w:marLeft w:val="0"/>
      <w:marRight w:val="0"/>
      <w:marTop w:val="0"/>
      <w:marBottom w:val="0"/>
      <w:divBdr>
        <w:top w:val="none" w:sz="0" w:space="0" w:color="auto"/>
        <w:left w:val="none" w:sz="0" w:space="0" w:color="auto"/>
        <w:bottom w:val="none" w:sz="0" w:space="0" w:color="auto"/>
        <w:right w:val="none" w:sz="0" w:space="0" w:color="auto"/>
      </w:divBdr>
      <w:divsChild>
        <w:div w:id="1000081531">
          <w:marLeft w:val="0"/>
          <w:marRight w:val="0"/>
          <w:marTop w:val="0"/>
          <w:marBottom w:val="0"/>
          <w:divBdr>
            <w:top w:val="none" w:sz="0" w:space="0" w:color="auto"/>
            <w:left w:val="none" w:sz="0" w:space="0" w:color="auto"/>
            <w:bottom w:val="none" w:sz="0" w:space="0" w:color="auto"/>
            <w:right w:val="none" w:sz="0" w:space="0" w:color="auto"/>
          </w:divBdr>
          <w:divsChild>
            <w:div w:id="10299133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92232719">
      <w:marLeft w:val="0"/>
      <w:marRight w:val="0"/>
      <w:marTop w:val="0"/>
      <w:marBottom w:val="0"/>
      <w:divBdr>
        <w:top w:val="none" w:sz="0" w:space="0" w:color="auto"/>
        <w:left w:val="none" w:sz="0" w:space="0" w:color="auto"/>
        <w:bottom w:val="none" w:sz="0" w:space="0" w:color="auto"/>
        <w:right w:val="none" w:sz="0" w:space="0" w:color="auto"/>
      </w:divBdr>
      <w:divsChild>
        <w:div w:id="1446921911">
          <w:marLeft w:val="0"/>
          <w:marRight w:val="0"/>
          <w:marTop w:val="0"/>
          <w:marBottom w:val="0"/>
          <w:divBdr>
            <w:top w:val="none" w:sz="0" w:space="0" w:color="auto"/>
            <w:left w:val="none" w:sz="0" w:space="0" w:color="auto"/>
            <w:bottom w:val="none" w:sz="0" w:space="0" w:color="auto"/>
            <w:right w:val="none" w:sz="0" w:space="0" w:color="auto"/>
          </w:divBdr>
          <w:divsChild>
            <w:div w:id="2237634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896506591">
      <w:marLeft w:val="0"/>
      <w:marRight w:val="0"/>
      <w:marTop w:val="100"/>
      <w:marBottom w:val="0"/>
      <w:divBdr>
        <w:top w:val="none" w:sz="0" w:space="0" w:color="auto"/>
        <w:left w:val="none" w:sz="0" w:space="0" w:color="auto"/>
        <w:bottom w:val="none" w:sz="0" w:space="0" w:color="auto"/>
        <w:right w:val="none" w:sz="0" w:space="0" w:color="auto"/>
      </w:divBdr>
    </w:div>
    <w:div w:id="1900557236">
      <w:marLeft w:val="0"/>
      <w:marRight w:val="0"/>
      <w:marTop w:val="200"/>
      <w:marBottom w:val="100"/>
      <w:divBdr>
        <w:top w:val="none" w:sz="0" w:space="0" w:color="auto"/>
        <w:left w:val="none" w:sz="0" w:space="0" w:color="auto"/>
        <w:bottom w:val="none" w:sz="0" w:space="0" w:color="auto"/>
        <w:right w:val="none" w:sz="0" w:space="0" w:color="auto"/>
      </w:divBdr>
      <w:divsChild>
        <w:div w:id="1593733451">
          <w:marLeft w:val="0"/>
          <w:marRight w:val="0"/>
          <w:marTop w:val="0"/>
          <w:marBottom w:val="0"/>
          <w:divBdr>
            <w:top w:val="none" w:sz="0" w:space="0" w:color="auto"/>
            <w:left w:val="none" w:sz="0" w:space="0" w:color="auto"/>
            <w:bottom w:val="none" w:sz="0" w:space="0" w:color="auto"/>
            <w:right w:val="none" w:sz="0" w:space="0" w:color="auto"/>
          </w:divBdr>
        </w:div>
        <w:div w:id="1821924396">
          <w:marLeft w:val="0"/>
          <w:marRight w:val="0"/>
          <w:marTop w:val="0"/>
          <w:marBottom w:val="0"/>
          <w:divBdr>
            <w:top w:val="none" w:sz="0" w:space="0" w:color="auto"/>
            <w:left w:val="none" w:sz="0" w:space="0" w:color="auto"/>
            <w:bottom w:val="none" w:sz="0" w:space="0" w:color="auto"/>
            <w:right w:val="none" w:sz="0" w:space="0" w:color="auto"/>
          </w:divBdr>
        </w:div>
      </w:divsChild>
    </w:div>
    <w:div w:id="1900747616">
      <w:marLeft w:val="0"/>
      <w:marRight w:val="0"/>
      <w:marTop w:val="0"/>
      <w:marBottom w:val="0"/>
      <w:divBdr>
        <w:top w:val="none" w:sz="0" w:space="0" w:color="auto"/>
        <w:left w:val="none" w:sz="0" w:space="0" w:color="auto"/>
        <w:bottom w:val="none" w:sz="0" w:space="0" w:color="auto"/>
        <w:right w:val="none" w:sz="0" w:space="0" w:color="auto"/>
      </w:divBdr>
      <w:divsChild>
        <w:div w:id="1893034749">
          <w:marLeft w:val="0"/>
          <w:marRight w:val="0"/>
          <w:marTop w:val="100"/>
          <w:marBottom w:val="100"/>
          <w:divBdr>
            <w:top w:val="none" w:sz="0" w:space="0" w:color="auto"/>
            <w:left w:val="none" w:sz="0" w:space="0" w:color="auto"/>
            <w:bottom w:val="none" w:sz="0" w:space="0" w:color="auto"/>
            <w:right w:val="none" w:sz="0" w:space="0" w:color="auto"/>
          </w:divBdr>
        </w:div>
        <w:div w:id="92827745">
          <w:marLeft w:val="0"/>
          <w:marRight w:val="0"/>
          <w:marTop w:val="100"/>
          <w:marBottom w:val="100"/>
          <w:divBdr>
            <w:top w:val="none" w:sz="0" w:space="0" w:color="auto"/>
            <w:left w:val="none" w:sz="0" w:space="0" w:color="auto"/>
            <w:bottom w:val="none" w:sz="0" w:space="0" w:color="auto"/>
            <w:right w:val="none" w:sz="0" w:space="0" w:color="auto"/>
          </w:divBdr>
        </w:div>
      </w:divsChild>
    </w:div>
    <w:div w:id="1902862016">
      <w:marLeft w:val="0"/>
      <w:marRight w:val="0"/>
      <w:marTop w:val="100"/>
      <w:marBottom w:val="100"/>
      <w:divBdr>
        <w:top w:val="none" w:sz="0" w:space="0" w:color="auto"/>
        <w:left w:val="none" w:sz="0" w:space="0" w:color="auto"/>
        <w:bottom w:val="none" w:sz="0" w:space="0" w:color="auto"/>
        <w:right w:val="none" w:sz="0" w:space="0" w:color="auto"/>
      </w:divBdr>
    </w:div>
    <w:div w:id="1904900894">
      <w:marLeft w:val="0"/>
      <w:marRight w:val="0"/>
      <w:marTop w:val="180"/>
      <w:marBottom w:val="100"/>
      <w:divBdr>
        <w:top w:val="none" w:sz="0" w:space="0" w:color="auto"/>
        <w:left w:val="none" w:sz="0" w:space="0" w:color="auto"/>
        <w:bottom w:val="none" w:sz="0" w:space="0" w:color="auto"/>
        <w:right w:val="none" w:sz="0" w:space="0" w:color="auto"/>
      </w:divBdr>
    </w:div>
    <w:div w:id="1907450211">
      <w:marLeft w:val="0"/>
      <w:marRight w:val="0"/>
      <w:marTop w:val="0"/>
      <w:marBottom w:val="0"/>
      <w:divBdr>
        <w:top w:val="none" w:sz="0" w:space="0" w:color="auto"/>
        <w:left w:val="none" w:sz="0" w:space="0" w:color="auto"/>
        <w:bottom w:val="none" w:sz="0" w:space="0" w:color="auto"/>
        <w:right w:val="none" w:sz="0" w:space="0" w:color="auto"/>
      </w:divBdr>
    </w:div>
    <w:div w:id="1907567266">
      <w:marLeft w:val="0"/>
      <w:marRight w:val="0"/>
      <w:marTop w:val="100"/>
      <w:marBottom w:val="100"/>
      <w:divBdr>
        <w:top w:val="none" w:sz="0" w:space="0" w:color="auto"/>
        <w:left w:val="none" w:sz="0" w:space="0" w:color="auto"/>
        <w:bottom w:val="none" w:sz="0" w:space="0" w:color="auto"/>
        <w:right w:val="none" w:sz="0" w:space="0" w:color="auto"/>
      </w:divBdr>
    </w:div>
    <w:div w:id="1912419540">
      <w:marLeft w:val="0"/>
      <w:marRight w:val="0"/>
      <w:marTop w:val="0"/>
      <w:marBottom w:val="0"/>
      <w:divBdr>
        <w:top w:val="none" w:sz="0" w:space="0" w:color="auto"/>
        <w:left w:val="none" w:sz="0" w:space="0" w:color="auto"/>
        <w:bottom w:val="none" w:sz="0" w:space="0" w:color="auto"/>
        <w:right w:val="none" w:sz="0" w:space="0" w:color="auto"/>
      </w:divBdr>
    </w:div>
    <w:div w:id="1920282892">
      <w:marLeft w:val="0"/>
      <w:marRight w:val="0"/>
      <w:marTop w:val="180"/>
      <w:marBottom w:val="0"/>
      <w:divBdr>
        <w:top w:val="none" w:sz="0" w:space="0" w:color="auto"/>
        <w:left w:val="none" w:sz="0" w:space="0" w:color="auto"/>
        <w:bottom w:val="none" w:sz="0" w:space="0" w:color="auto"/>
        <w:right w:val="none" w:sz="0" w:space="0" w:color="auto"/>
      </w:divBdr>
    </w:div>
    <w:div w:id="1929922355">
      <w:marLeft w:val="0"/>
      <w:marRight w:val="0"/>
      <w:marTop w:val="0"/>
      <w:marBottom w:val="0"/>
      <w:divBdr>
        <w:top w:val="none" w:sz="0" w:space="0" w:color="auto"/>
        <w:left w:val="none" w:sz="0" w:space="0" w:color="auto"/>
        <w:bottom w:val="none" w:sz="0" w:space="0" w:color="auto"/>
        <w:right w:val="none" w:sz="0" w:space="0" w:color="auto"/>
      </w:divBdr>
      <w:divsChild>
        <w:div w:id="36243179">
          <w:marLeft w:val="0"/>
          <w:marRight w:val="0"/>
          <w:marTop w:val="0"/>
          <w:marBottom w:val="0"/>
          <w:divBdr>
            <w:top w:val="none" w:sz="0" w:space="0" w:color="auto"/>
            <w:left w:val="none" w:sz="0" w:space="0" w:color="auto"/>
            <w:bottom w:val="none" w:sz="0" w:space="0" w:color="auto"/>
            <w:right w:val="none" w:sz="0" w:space="0" w:color="auto"/>
          </w:divBdr>
          <w:divsChild>
            <w:div w:id="19367407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46426985">
      <w:marLeft w:val="0"/>
      <w:marRight w:val="0"/>
      <w:marTop w:val="0"/>
      <w:marBottom w:val="0"/>
      <w:divBdr>
        <w:top w:val="none" w:sz="0" w:space="0" w:color="auto"/>
        <w:left w:val="none" w:sz="0" w:space="0" w:color="auto"/>
        <w:bottom w:val="none" w:sz="0" w:space="0" w:color="auto"/>
        <w:right w:val="none" w:sz="0" w:space="0" w:color="auto"/>
      </w:divBdr>
    </w:div>
    <w:div w:id="1948654108">
      <w:marLeft w:val="0"/>
      <w:marRight w:val="0"/>
      <w:marTop w:val="0"/>
      <w:marBottom w:val="0"/>
      <w:divBdr>
        <w:top w:val="none" w:sz="0" w:space="0" w:color="auto"/>
        <w:left w:val="none" w:sz="0" w:space="0" w:color="auto"/>
        <w:bottom w:val="none" w:sz="0" w:space="0" w:color="auto"/>
        <w:right w:val="none" w:sz="0" w:space="0" w:color="auto"/>
      </w:divBdr>
    </w:div>
    <w:div w:id="1948926638">
      <w:marLeft w:val="0"/>
      <w:marRight w:val="0"/>
      <w:marTop w:val="0"/>
      <w:marBottom w:val="0"/>
      <w:divBdr>
        <w:top w:val="none" w:sz="0" w:space="0" w:color="auto"/>
        <w:left w:val="none" w:sz="0" w:space="0" w:color="auto"/>
        <w:bottom w:val="none" w:sz="0" w:space="0" w:color="auto"/>
        <w:right w:val="none" w:sz="0" w:space="0" w:color="auto"/>
      </w:divBdr>
    </w:div>
    <w:div w:id="1956058284">
      <w:marLeft w:val="0"/>
      <w:marRight w:val="0"/>
      <w:marTop w:val="100"/>
      <w:marBottom w:val="100"/>
      <w:divBdr>
        <w:top w:val="none" w:sz="0" w:space="0" w:color="auto"/>
        <w:left w:val="none" w:sz="0" w:space="0" w:color="auto"/>
        <w:bottom w:val="none" w:sz="0" w:space="0" w:color="auto"/>
        <w:right w:val="none" w:sz="0" w:space="0" w:color="auto"/>
      </w:divBdr>
    </w:div>
    <w:div w:id="1962154261">
      <w:marLeft w:val="0"/>
      <w:marRight w:val="0"/>
      <w:marTop w:val="100"/>
      <w:marBottom w:val="100"/>
      <w:divBdr>
        <w:top w:val="none" w:sz="0" w:space="0" w:color="auto"/>
        <w:left w:val="none" w:sz="0" w:space="0" w:color="auto"/>
        <w:bottom w:val="none" w:sz="0" w:space="0" w:color="auto"/>
        <w:right w:val="none" w:sz="0" w:space="0" w:color="auto"/>
      </w:divBdr>
    </w:div>
    <w:div w:id="1966623203">
      <w:marLeft w:val="0"/>
      <w:marRight w:val="0"/>
      <w:marTop w:val="100"/>
      <w:marBottom w:val="100"/>
      <w:divBdr>
        <w:top w:val="none" w:sz="0" w:space="0" w:color="auto"/>
        <w:left w:val="none" w:sz="0" w:space="0" w:color="auto"/>
        <w:bottom w:val="none" w:sz="0" w:space="0" w:color="auto"/>
        <w:right w:val="none" w:sz="0" w:space="0" w:color="auto"/>
      </w:divBdr>
    </w:div>
    <w:div w:id="1967806565">
      <w:marLeft w:val="0"/>
      <w:marRight w:val="0"/>
      <w:marTop w:val="100"/>
      <w:marBottom w:val="100"/>
      <w:divBdr>
        <w:top w:val="none" w:sz="0" w:space="0" w:color="auto"/>
        <w:left w:val="none" w:sz="0" w:space="0" w:color="auto"/>
        <w:bottom w:val="none" w:sz="0" w:space="0" w:color="auto"/>
        <w:right w:val="none" w:sz="0" w:space="0" w:color="auto"/>
      </w:divBdr>
    </w:div>
    <w:div w:id="1970471824">
      <w:marLeft w:val="0"/>
      <w:marRight w:val="0"/>
      <w:marTop w:val="0"/>
      <w:marBottom w:val="0"/>
      <w:divBdr>
        <w:top w:val="none" w:sz="0" w:space="0" w:color="auto"/>
        <w:left w:val="none" w:sz="0" w:space="0" w:color="auto"/>
        <w:bottom w:val="none" w:sz="0" w:space="0" w:color="auto"/>
        <w:right w:val="none" w:sz="0" w:space="0" w:color="auto"/>
      </w:divBdr>
    </w:div>
    <w:div w:id="1974670995">
      <w:marLeft w:val="0"/>
      <w:marRight w:val="0"/>
      <w:marTop w:val="100"/>
      <w:marBottom w:val="100"/>
      <w:divBdr>
        <w:top w:val="none" w:sz="0" w:space="0" w:color="auto"/>
        <w:left w:val="none" w:sz="0" w:space="0" w:color="auto"/>
        <w:bottom w:val="none" w:sz="0" w:space="0" w:color="auto"/>
        <w:right w:val="none" w:sz="0" w:space="0" w:color="auto"/>
      </w:divBdr>
    </w:div>
    <w:div w:id="1977248705">
      <w:marLeft w:val="0"/>
      <w:marRight w:val="0"/>
      <w:marTop w:val="180"/>
      <w:marBottom w:val="0"/>
      <w:divBdr>
        <w:top w:val="none" w:sz="0" w:space="0" w:color="auto"/>
        <w:left w:val="none" w:sz="0" w:space="0" w:color="auto"/>
        <w:bottom w:val="none" w:sz="0" w:space="0" w:color="auto"/>
        <w:right w:val="none" w:sz="0" w:space="0" w:color="auto"/>
      </w:divBdr>
    </w:div>
    <w:div w:id="1977566618">
      <w:marLeft w:val="0"/>
      <w:marRight w:val="0"/>
      <w:marTop w:val="0"/>
      <w:marBottom w:val="0"/>
      <w:divBdr>
        <w:top w:val="none" w:sz="0" w:space="0" w:color="auto"/>
        <w:left w:val="none" w:sz="0" w:space="0" w:color="auto"/>
        <w:bottom w:val="none" w:sz="0" w:space="0" w:color="auto"/>
        <w:right w:val="none" w:sz="0" w:space="0" w:color="auto"/>
      </w:divBdr>
    </w:div>
    <w:div w:id="1985044109">
      <w:marLeft w:val="0"/>
      <w:marRight w:val="0"/>
      <w:marTop w:val="100"/>
      <w:marBottom w:val="100"/>
      <w:divBdr>
        <w:top w:val="none" w:sz="0" w:space="0" w:color="auto"/>
        <w:left w:val="none" w:sz="0" w:space="0" w:color="auto"/>
        <w:bottom w:val="none" w:sz="0" w:space="0" w:color="auto"/>
        <w:right w:val="none" w:sz="0" w:space="0" w:color="auto"/>
      </w:divBdr>
    </w:div>
    <w:div w:id="1991320894">
      <w:marLeft w:val="0"/>
      <w:marRight w:val="0"/>
      <w:marTop w:val="0"/>
      <w:marBottom w:val="0"/>
      <w:divBdr>
        <w:top w:val="none" w:sz="0" w:space="0" w:color="auto"/>
        <w:left w:val="none" w:sz="0" w:space="0" w:color="auto"/>
        <w:bottom w:val="none" w:sz="0" w:space="0" w:color="auto"/>
        <w:right w:val="none" w:sz="0" w:space="0" w:color="auto"/>
      </w:divBdr>
    </w:div>
    <w:div w:id="1992440087">
      <w:marLeft w:val="0"/>
      <w:marRight w:val="0"/>
      <w:marTop w:val="100"/>
      <w:marBottom w:val="100"/>
      <w:divBdr>
        <w:top w:val="none" w:sz="0" w:space="0" w:color="auto"/>
        <w:left w:val="none" w:sz="0" w:space="0" w:color="auto"/>
        <w:bottom w:val="none" w:sz="0" w:space="0" w:color="auto"/>
        <w:right w:val="none" w:sz="0" w:space="0" w:color="auto"/>
      </w:divBdr>
    </w:div>
    <w:div w:id="1996109686">
      <w:marLeft w:val="0"/>
      <w:marRight w:val="0"/>
      <w:marTop w:val="100"/>
      <w:marBottom w:val="100"/>
      <w:divBdr>
        <w:top w:val="none" w:sz="0" w:space="0" w:color="auto"/>
        <w:left w:val="none" w:sz="0" w:space="0" w:color="auto"/>
        <w:bottom w:val="none" w:sz="0" w:space="0" w:color="auto"/>
        <w:right w:val="none" w:sz="0" w:space="0" w:color="auto"/>
      </w:divBdr>
    </w:div>
    <w:div w:id="1998848652">
      <w:marLeft w:val="0"/>
      <w:marRight w:val="0"/>
      <w:marTop w:val="180"/>
      <w:marBottom w:val="0"/>
      <w:divBdr>
        <w:top w:val="none" w:sz="0" w:space="0" w:color="auto"/>
        <w:left w:val="none" w:sz="0" w:space="0" w:color="auto"/>
        <w:bottom w:val="none" w:sz="0" w:space="0" w:color="auto"/>
        <w:right w:val="none" w:sz="0" w:space="0" w:color="auto"/>
      </w:divBdr>
    </w:div>
    <w:div w:id="2001739059">
      <w:marLeft w:val="0"/>
      <w:marRight w:val="0"/>
      <w:marTop w:val="0"/>
      <w:marBottom w:val="0"/>
      <w:divBdr>
        <w:top w:val="none" w:sz="0" w:space="0" w:color="auto"/>
        <w:left w:val="none" w:sz="0" w:space="0" w:color="auto"/>
        <w:bottom w:val="none" w:sz="0" w:space="0" w:color="auto"/>
        <w:right w:val="none" w:sz="0" w:space="0" w:color="auto"/>
      </w:divBdr>
    </w:div>
    <w:div w:id="2010400029">
      <w:marLeft w:val="0"/>
      <w:marRight w:val="0"/>
      <w:marTop w:val="0"/>
      <w:marBottom w:val="0"/>
      <w:divBdr>
        <w:top w:val="none" w:sz="0" w:space="0" w:color="auto"/>
        <w:left w:val="none" w:sz="0" w:space="0" w:color="auto"/>
        <w:bottom w:val="none" w:sz="0" w:space="0" w:color="auto"/>
        <w:right w:val="none" w:sz="0" w:space="0" w:color="auto"/>
      </w:divBdr>
      <w:divsChild>
        <w:div w:id="1354452740">
          <w:marLeft w:val="0"/>
          <w:marRight w:val="0"/>
          <w:marTop w:val="0"/>
          <w:marBottom w:val="0"/>
          <w:divBdr>
            <w:top w:val="none" w:sz="0" w:space="0" w:color="auto"/>
            <w:left w:val="none" w:sz="0" w:space="0" w:color="auto"/>
            <w:bottom w:val="none" w:sz="0" w:space="0" w:color="auto"/>
            <w:right w:val="none" w:sz="0" w:space="0" w:color="auto"/>
          </w:divBdr>
          <w:divsChild>
            <w:div w:id="129499168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12292537">
      <w:marLeft w:val="0"/>
      <w:marRight w:val="0"/>
      <w:marTop w:val="190"/>
      <w:marBottom w:val="100"/>
      <w:divBdr>
        <w:top w:val="none" w:sz="0" w:space="0" w:color="auto"/>
        <w:left w:val="none" w:sz="0" w:space="0" w:color="auto"/>
        <w:bottom w:val="none" w:sz="0" w:space="0" w:color="auto"/>
        <w:right w:val="none" w:sz="0" w:space="0" w:color="auto"/>
      </w:divBdr>
      <w:divsChild>
        <w:div w:id="49577506">
          <w:marLeft w:val="0"/>
          <w:marRight w:val="0"/>
          <w:marTop w:val="0"/>
          <w:marBottom w:val="0"/>
          <w:divBdr>
            <w:top w:val="none" w:sz="0" w:space="0" w:color="auto"/>
            <w:left w:val="none" w:sz="0" w:space="0" w:color="auto"/>
            <w:bottom w:val="none" w:sz="0" w:space="0" w:color="auto"/>
            <w:right w:val="none" w:sz="0" w:space="0" w:color="auto"/>
          </w:divBdr>
        </w:div>
        <w:div w:id="413016882">
          <w:marLeft w:val="0"/>
          <w:marRight w:val="0"/>
          <w:marTop w:val="0"/>
          <w:marBottom w:val="0"/>
          <w:divBdr>
            <w:top w:val="none" w:sz="0" w:space="0" w:color="auto"/>
            <w:left w:val="none" w:sz="0" w:space="0" w:color="auto"/>
            <w:bottom w:val="none" w:sz="0" w:space="0" w:color="auto"/>
            <w:right w:val="none" w:sz="0" w:space="0" w:color="auto"/>
          </w:divBdr>
        </w:div>
      </w:divsChild>
    </w:div>
    <w:div w:id="2017075245">
      <w:marLeft w:val="0"/>
      <w:marRight w:val="0"/>
      <w:marTop w:val="0"/>
      <w:marBottom w:val="0"/>
      <w:divBdr>
        <w:top w:val="none" w:sz="0" w:space="0" w:color="auto"/>
        <w:left w:val="none" w:sz="0" w:space="0" w:color="auto"/>
        <w:bottom w:val="none" w:sz="0" w:space="0" w:color="auto"/>
        <w:right w:val="none" w:sz="0" w:space="0" w:color="auto"/>
      </w:divBdr>
    </w:div>
    <w:div w:id="2020236619">
      <w:marLeft w:val="0"/>
      <w:marRight w:val="0"/>
      <w:marTop w:val="0"/>
      <w:marBottom w:val="0"/>
      <w:divBdr>
        <w:top w:val="none" w:sz="0" w:space="0" w:color="auto"/>
        <w:left w:val="none" w:sz="0" w:space="0" w:color="auto"/>
        <w:bottom w:val="none" w:sz="0" w:space="0" w:color="auto"/>
        <w:right w:val="none" w:sz="0" w:space="0" w:color="auto"/>
      </w:divBdr>
    </w:div>
    <w:div w:id="2020420847">
      <w:marLeft w:val="0"/>
      <w:marRight w:val="0"/>
      <w:marTop w:val="100"/>
      <w:marBottom w:val="100"/>
      <w:divBdr>
        <w:top w:val="none" w:sz="0" w:space="0" w:color="auto"/>
        <w:left w:val="none" w:sz="0" w:space="0" w:color="auto"/>
        <w:bottom w:val="none" w:sz="0" w:space="0" w:color="auto"/>
        <w:right w:val="none" w:sz="0" w:space="0" w:color="auto"/>
      </w:divBdr>
    </w:div>
    <w:div w:id="2022391285">
      <w:marLeft w:val="0"/>
      <w:marRight w:val="0"/>
      <w:marTop w:val="100"/>
      <w:marBottom w:val="100"/>
      <w:divBdr>
        <w:top w:val="none" w:sz="0" w:space="0" w:color="auto"/>
        <w:left w:val="none" w:sz="0" w:space="0" w:color="auto"/>
        <w:bottom w:val="none" w:sz="0" w:space="0" w:color="auto"/>
        <w:right w:val="none" w:sz="0" w:space="0" w:color="auto"/>
      </w:divBdr>
    </w:div>
    <w:div w:id="2027362758">
      <w:marLeft w:val="0"/>
      <w:marRight w:val="0"/>
      <w:marTop w:val="180"/>
      <w:marBottom w:val="0"/>
      <w:divBdr>
        <w:top w:val="none" w:sz="0" w:space="0" w:color="auto"/>
        <w:left w:val="none" w:sz="0" w:space="0" w:color="auto"/>
        <w:bottom w:val="none" w:sz="0" w:space="0" w:color="auto"/>
        <w:right w:val="none" w:sz="0" w:space="0" w:color="auto"/>
      </w:divBdr>
    </w:div>
    <w:div w:id="2028750583">
      <w:marLeft w:val="0"/>
      <w:marRight w:val="0"/>
      <w:marTop w:val="0"/>
      <w:marBottom w:val="0"/>
      <w:divBdr>
        <w:top w:val="none" w:sz="0" w:space="0" w:color="auto"/>
        <w:left w:val="none" w:sz="0" w:space="0" w:color="auto"/>
        <w:bottom w:val="none" w:sz="0" w:space="0" w:color="auto"/>
        <w:right w:val="none" w:sz="0" w:space="0" w:color="auto"/>
      </w:divBdr>
    </w:div>
    <w:div w:id="2031225724">
      <w:marLeft w:val="0"/>
      <w:marRight w:val="0"/>
      <w:marTop w:val="0"/>
      <w:marBottom w:val="0"/>
      <w:divBdr>
        <w:top w:val="none" w:sz="0" w:space="0" w:color="auto"/>
        <w:left w:val="none" w:sz="0" w:space="0" w:color="auto"/>
        <w:bottom w:val="none" w:sz="0" w:space="0" w:color="auto"/>
        <w:right w:val="none" w:sz="0" w:space="0" w:color="auto"/>
      </w:divBdr>
    </w:div>
    <w:div w:id="2032874711">
      <w:marLeft w:val="0"/>
      <w:marRight w:val="0"/>
      <w:marTop w:val="0"/>
      <w:marBottom w:val="0"/>
      <w:divBdr>
        <w:top w:val="none" w:sz="0" w:space="0" w:color="auto"/>
        <w:left w:val="none" w:sz="0" w:space="0" w:color="auto"/>
        <w:bottom w:val="none" w:sz="0" w:space="0" w:color="auto"/>
        <w:right w:val="none" w:sz="0" w:space="0" w:color="auto"/>
      </w:divBdr>
      <w:divsChild>
        <w:div w:id="178737596">
          <w:marLeft w:val="0"/>
          <w:marRight w:val="0"/>
          <w:marTop w:val="100"/>
          <w:marBottom w:val="100"/>
          <w:divBdr>
            <w:top w:val="none" w:sz="0" w:space="0" w:color="auto"/>
            <w:left w:val="none" w:sz="0" w:space="0" w:color="auto"/>
            <w:bottom w:val="none" w:sz="0" w:space="0" w:color="auto"/>
            <w:right w:val="none" w:sz="0" w:space="0" w:color="auto"/>
          </w:divBdr>
        </w:div>
        <w:div w:id="1257327000">
          <w:marLeft w:val="0"/>
          <w:marRight w:val="0"/>
          <w:marTop w:val="100"/>
          <w:marBottom w:val="100"/>
          <w:divBdr>
            <w:top w:val="none" w:sz="0" w:space="0" w:color="auto"/>
            <w:left w:val="none" w:sz="0" w:space="0" w:color="auto"/>
            <w:bottom w:val="none" w:sz="0" w:space="0" w:color="auto"/>
            <w:right w:val="none" w:sz="0" w:space="0" w:color="auto"/>
          </w:divBdr>
        </w:div>
      </w:divsChild>
    </w:div>
    <w:div w:id="2038188858">
      <w:marLeft w:val="0"/>
      <w:marRight w:val="0"/>
      <w:marTop w:val="0"/>
      <w:marBottom w:val="0"/>
      <w:divBdr>
        <w:top w:val="none" w:sz="0" w:space="0" w:color="auto"/>
        <w:left w:val="none" w:sz="0" w:space="0" w:color="auto"/>
        <w:bottom w:val="none" w:sz="0" w:space="0" w:color="auto"/>
        <w:right w:val="none" w:sz="0" w:space="0" w:color="auto"/>
      </w:divBdr>
      <w:divsChild>
        <w:div w:id="683557062">
          <w:marLeft w:val="0"/>
          <w:marRight w:val="0"/>
          <w:marTop w:val="0"/>
          <w:marBottom w:val="0"/>
          <w:divBdr>
            <w:top w:val="none" w:sz="0" w:space="0" w:color="auto"/>
            <w:left w:val="none" w:sz="0" w:space="0" w:color="auto"/>
            <w:bottom w:val="none" w:sz="0" w:space="0" w:color="auto"/>
            <w:right w:val="none" w:sz="0" w:space="0" w:color="auto"/>
          </w:divBdr>
          <w:divsChild>
            <w:div w:id="12644109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43361906">
      <w:marLeft w:val="0"/>
      <w:marRight w:val="0"/>
      <w:marTop w:val="0"/>
      <w:marBottom w:val="0"/>
      <w:divBdr>
        <w:top w:val="none" w:sz="0" w:space="0" w:color="auto"/>
        <w:left w:val="none" w:sz="0" w:space="0" w:color="auto"/>
        <w:bottom w:val="none" w:sz="0" w:space="0" w:color="auto"/>
        <w:right w:val="none" w:sz="0" w:space="0" w:color="auto"/>
      </w:divBdr>
    </w:div>
    <w:div w:id="2045052760">
      <w:marLeft w:val="0"/>
      <w:marRight w:val="0"/>
      <w:marTop w:val="0"/>
      <w:marBottom w:val="0"/>
      <w:divBdr>
        <w:top w:val="none" w:sz="0" w:space="0" w:color="auto"/>
        <w:left w:val="none" w:sz="0" w:space="0" w:color="auto"/>
        <w:bottom w:val="none" w:sz="0" w:space="0" w:color="auto"/>
        <w:right w:val="none" w:sz="0" w:space="0" w:color="auto"/>
      </w:divBdr>
    </w:div>
    <w:div w:id="2047442402">
      <w:marLeft w:val="0"/>
      <w:marRight w:val="0"/>
      <w:marTop w:val="100"/>
      <w:marBottom w:val="100"/>
      <w:divBdr>
        <w:top w:val="none" w:sz="0" w:space="0" w:color="auto"/>
        <w:left w:val="none" w:sz="0" w:space="0" w:color="auto"/>
        <w:bottom w:val="none" w:sz="0" w:space="0" w:color="auto"/>
        <w:right w:val="none" w:sz="0" w:space="0" w:color="auto"/>
      </w:divBdr>
    </w:div>
    <w:div w:id="2048068921">
      <w:marLeft w:val="0"/>
      <w:marRight w:val="0"/>
      <w:marTop w:val="100"/>
      <w:marBottom w:val="100"/>
      <w:divBdr>
        <w:top w:val="none" w:sz="0" w:space="0" w:color="auto"/>
        <w:left w:val="none" w:sz="0" w:space="0" w:color="auto"/>
        <w:bottom w:val="none" w:sz="0" w:space="0" w:color="auto"/>
        <w:right w:val="none" w:sz="0" w:space="0" w:color="auto"/>
      </w:divBdr>
    </w:div>
    <w:div w:id="2049334340">
      <w:marLeft w:val="0"/>
      <w:marRight w:val="0"/>
      <w:marTop w:val="100"/>
      <w:marBottom w:val="0"/>
      <w:divBdr>
        <w:top w:val="none" w:sz="0" w:space="0" w:color="auto"/>
        <w:left w:val="none" w:sz="0" w:space="0" w:color="auto"/>
        <w:bottom w:val="none" w:sz="0" w:space="0" w:color="auto"/>
        <w:right w:val="none" w:sz="0" w:space="0" w:color="auto"/>
      </w:divBdr>
    </w:div>
    <w:div w:id="2052264380">
      <w:marLeft w:val="0"/>
      <w:marRight w:val="0"/>
      <w:marTop w:val="0"/>
      <w:marBottom w:val="0"/>
      <w:divBdr>
        <w:top w:val="none" w:sz="0" w:space="0" w:color="auto"/>
        <w:left w:val="none" w:sz="0" w:space="0" w:color="auto"/>
        <w:bottom w:val="none" w:sz="0" w:space="0" w:color="auto"/>
        <w:right w:val="none" w:sz="0" w:space="0" w:color="auto"/>
      </w:divBdr>
    </w:div>
    <w:div w:id="2055034457">
      <w:marLeft w:val="0"/>
      <w:marRight w:val="0"/>
      <w:marTop w:val="180"/>
      <w:marBottom w:val="0"/>
      <w:divBdr>
        <w:top w:val="none" w:sz="0" w:space="0" w:color="auto"/>
        <w:left w:val="none" w:sz="0" w:space="0" w:color="auto"/>
        <w:bottom w:val="none" w:sz="0" w:space="0" w:color="auto"/>
        <w:right w:val="none" w:sz="0" w:space="0" w:color="auto"/>
      </w:divBdr>
    </w:div>
    <w:div w:id="2055932474">
      <w:marLeft w:val="0"/>
      <w:marRight w:val="0"/>
      <w:marTop w:val="0"/>
      <w:marBottom w:val="0"/>
      <w:divBdr>
        <w:top w:val="none" w:sz="0" w:space="0" w:color="auto"/>
        <w:left w:val="none" w:sz="0" w:space="0" w:color="auto"/>
        <w:bottom w:val="none" w:sz="0" w:space="0" w:color="auto"/>
        <w:right w:val="none" w:sz="0" w:space="0" w:color="auto"/>
      </w:divBdr>
    </w:div>
    <w:div w:id="2064021863">
      <w:marLeft w:val="0"/>
      <w:marRight w:val="0"/>
      <w:marTop w:val="100"/>
      <w:marBottom w:val="100"/>
      <w:divBdr>
        <w:top w:val="none" w:sz="0" w:space="0" w:color="auto"/>
        <w:left w:val="none" w:sz="0" w:space="0" w:color="auto"/>
        <w:bottom w:val="none" w:sz="0" w:space="0" w:color="auto"/>
        <w:right w:val="none" w:sz="0" w:space="0" w:color="auto"/>
      </w:divBdr>
    </w:div>
    <w:div w:id="2067989350">
      <w:marLeft w:val="0"/>
      <w:marRight w:val="0"/>
      <w:marTop w:val="0"/>
      <w:marBottom w:val="0"/>
      <w:divBdr>
        <w:top w:val="none" w:sz="0" w:space="0" w:color="auto"/>
        <w:left w:val="none" w:sz="0" w:space="0" w:color="auto"/>
        <w:bottom w:val="none" w:sz="0" w:space="0" w:color="auto"/>
        <w:right w:val="none" w:sz="0" w:space="0" w:color="auto"/>
      </w:divBdr>
      <w:divsChild>
        <w:div w:id="1355234168">
          <w:marLeft w:val="0"/>
          <w:marRight w:val="0"/>
          <w:marTop w:val="0"/>
          <w:marBottom w:val="0"/>
          <w:divBdr>
            <w:top w:val="none" w:sz="0" w:space="0" w:color="auto"/>
            <w:left w:val="none" w:sz="0" w:space="0" w:color="auto"/>
            <w:bottom w:val="none" w:sz="0" w:space="0" w:color="auto"/>
            <w:right w:val="none" w:sz="0" w:space="0" w:color="auto"/>
          </w:divBdr>
          <w:divsChild>
            <w:div w:id="8386189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72145137">
      <w:marLeft w:val="0"/>
      <w:marRight w:val="0"/>
      <w:marTop w:val="100"/>
      <w:marBottom w:val="100"/>
      <w:divBdr>
        <w:top w:val="none" w:sz="0" w:space="0" w:color="auto"/>
        <w:left w:val="none" w:sz="0" w:space="0" w:color="auto"/>
        <w:bottom w:val="none" w:sz="0" w:space="0" w:color="auto"/>
        <w:right w:val="none" w:sz="0" w:space="0" w:color="auto"/>
      </w:divBdr>
      <w:divsChild>
        <w:div w:id="1206412009">
          <w:marLeft w:val="0"/>
          <w:marRight w:val="0"/>
          <w:marTop w:val="40"/>
          <w:marBottom w:val="40"/>
          <w:divBdr>
            <w:top w:val="none" w:sz="0" w:space="0" w:color="auto"/>
            <w:left w:val="none" w:sz="0" w:space="0" w:color="auto"/>
            <w:bottom w:val="none" w:sz="0" w:space="0" w:color="auto"/>
            <w:right w:val="none" w:sz="0" w:space="0" w:color="auto"/>
          </w:divBdr>
        </w:div>
        <w:div w:id="578100261">
          <w:marLeft w:val="0"/>
          <w:marRight w:val="0"/>
          <w:marTop w:val="40"/>
          <w:marBottom w:val="40"/>
          <w:divBdr>
            <w:top w:val="none" w:sz="0" w:space="0" w:color="auto"/>
            <w:left w:val="none" w:sz="0" w:space="0" w:color="auto"/>
            <w:bottom w:val="none" w:sz="0" w:space="0" w:color="auto"/>
            <w:right w:val="none" w:sz="0" w:space="0" w:color="auto"/>
          </w:divBdr>
        </w:div>
      </w:divsChild>
    </w:div>
    <w:div w:id="2073310660">
      <w:marLeft w:val="0"/>
      <w:marRight w:val="0"/>
      <w:marTop w:val="100"/>
      <w:marBottom w:val="100"/>
      <w:divBdr>
        <w:top w:val="none" w:sz="0" w:space="0" w:color="auto"/>
        <w:left w:val="none" w:sz="0" w:space="0" w:color="auto"/>
        <w:bottom w:val="none" w:sz="0" w:space="0" w:color="auto"/>
        <w:right w:val="none" w:sz="0" w:space="0" w:color="auto"/>
      </w:divBdr>
    </w:div>
    <w:div w:id="2078164139">
      <w:marLeft w:val="0"/>
      <w:marRight w:val="0"/>
      <w:marTop w:val="100"/>
      <w:marBottom w:val="100"/>
      <w:divBdr>
        <w:top w:val="none" w:sz="0" w:space="0" w:color="auto"/>
        <w:left w:val="none" w:sz="0" w:space="0" w:color="auto"/>
        <w:bottom w:val="none" w:sz="0" w:space="0" w:color="auto"/>
        <w:right w:val="none" w:sz="0" w:space="0" w:color="auto"/>
      </w:divBdr>
    </w:div>
    <w:div w:id="2080401407">
      <w:marLeft w:val="0"/>
      <w:marRight w:val="0"/>
      <w:marTop w:val="100"/>
      <w:marBottom w:val="100"/>
      <w:divBdr>
        <w:top w:val="none" w:sz="0" w:space="0" w:color="auto"/>
        <w:left w:val="none" w:sz="0" w:space="0" w:color="auto"/>
        <w:bottom w:val="none" w:sz="0" w:space="0" w:color="auto"/>
        <w:right w:val="none" w:sz="0" w:space="0" w:color="auto"/>
      </w:divBdr>
    </w:div>
    <w:div w:id="2087334853">
      <w:marLeft w:val="0"/>
      <w:marRight w:val="0"/>
      <w:marTop w:val="100"/>
      <w:marBottom w:val="100"/>
      <w:divBdr>
        <w:top w:val="none" w:sz="0" w:space="0" w:color="auto"/>
        <w:left w:val="none" w:sz="0" w:space="0" w:color="auto"/>
        <w:bottom w:val="none" w:sz="0" w:space="0" w:color="auto"/>
        <w:right w:val="none" w:sz="0" w:space="0" w:color="auto"/>
      </w:divBdr>
    </w:div>
    <w:div w:id="2088915787">
      <w:marLeft w:val="0"/>
      <w:marRight w:val="0"/>
      <w:marTop w:val="0"/>
      <w:marBottom w:val="0"/>
      <w:divBdr>
        <w:top w:val="none" w:sz="0" w:space="0" w:color="auto"/>
        <w:left w:val="none" w:sz="0" w:space="0" w:color="auto"/>
        <w:bottom w:val="none" w:sz="0" w:space="0" w:color="auto"/>
        <w:right w:val="none" w:sz="0" w:space="0" w:color="auto"/>
      </w:divBdr>
    </w:div>
    <w:div w:id="2090224509">
      <w:marLeft w:val="0"/>
      <w:marRight w:val="0"/>
      <w:marTop w:val="100"/>
      <w:marBottom w:val="0"/>
      <w:divBdr>
        <w:top w:val="none" w:sz="0" w:space="0" w:color="auto"/>
        <w:left w:val="none" w:sz="0" w:space="0" w:color="auto"/>
        <w:bottom w:val="none" w:sz="0" w:space="0" w:color="auto"/>
        <w:right w:val="none" w:sz="0" w:space="0" w:color="auto"/>
      </w:divBdr>
    </w:div>
    <w:div w:id="2097048974">
      <w:marLeft w:val="0"/>
      <w:marRight w:val="0"/>
      <w:marTop w:val="100"/>
      <w:marBottom w:val="100"/>
      <w:divBdr>
        <w:top w:val="none" w:sz="0" w:space="0" w:color="auto"/>
        <w:left w:val="none" w:sz="0" w:space="0" w:color="auto"/>
        <w:bottom w:val="none" w:sz="0" w:space="0" w:color="auto"/>
        <w:right w:val="none" w:sz="0" w:space="0" w:color="auto"/>
      </w:divBdr>
    </w:div>
    <w:div w:id="2097823507">
      <w:marLeft w:val="0"/>
      <w:marRight w:val="0"/>
      <w:marTop w:val="0"/>
      <w:marBottom w:val="0"/>
      <w:divBdr>
        <w:top w:val="none" w:sz="0" w:space="0" w:color="auto"/>
        <w:left w:val="none" w:sz="0" w:space="0" w:color="auto"/>
        <w:bottom w:val="none" w:sz="0" w:space="0" w:color="auto"/>
        <w:right w:val="none" w:sz="0" w:space="0" w:color="auto"/>
      </w:divBdr>
    </w:div>
    <w:div w:id="2100982658">
      <w:marLeft w:val="0"/>
      <w:marRight w:val="0"/>
      <w:marTop w:val="100"/>
      <w:marBottom w:val="100"/>
      <w:divBdr>
        <w:top w:val="none" w:sz="0" w:space="0" w:color="auto"/>
        <w:left w:val="none" w:sz="0" w:space="0" w:color="auto"/>
        <w:bottom w:val="none" w:sz="0" w:space="0" w:color="auto"/>
        <w:right w:val="none" w:sz="0" w:space="0" w:color="auto"/>
      </w:divBdr>
    </w:div>
    <w:div w:id="2101291795">
      <w:marLeft w:val="0"/>
      <w:marRight w:val="0"/>
      <w:marTop w:val="0"/>
      <w:marBottom w:val="0"/>
      <w:divBdr>
        <w:top w:val="none" w:sz="0" w:space="0" w:color="auto"/>
        <w:left w:val="none" w:sz="0" w:space="0" w:color="auto"/>
        <w:bottom w:val="none" w:sz="0" w:space="0" w:color="auto"/>
        <w:right w:val="none" w:sz="0" w:space="0" w:color="auto"/>
      </w:divBdr>
    </w:div>
    <w:div w:id="2101439153">
      <w:marLeft w:val="0"/>
      <w:marRight w:val="0"/>
      <w:marTop w:val="0"/>
      <w:marBottom w:val="0"/>
      <w:divBdr>
        <w:top w:val="none" w:sz="0" w:space="0" w:color="auto"/>
        <w:left w:val="none" w:sz="0" w:space="0" w:color="auto"/>
        <w:bottom w:val="none" w:sz="0" w:space="0" w:color="auto"/>
        <w:right w:val="none" w:sz="0" w:space="0" w:color="auto"/>
      </w:divBdr>
    </w:div>
    <w:div w:id="2103330343">
      <w:marLeft w:val="0"/>
      <w:marRight w:val="0"/>
      <w:marTop w:val="0"/>
      <w:marBottom w:val="0"/>
      <w:divBdr>
        <w:top w:val="none" w:sz="0" w:space="0" w:color="auto"/>
        <w:left w:val="none" w:sz="0" w:space="0" w:color="auto"/>
        <w:bottom w:val="none" w:sz="0" w:space="0" w:color="auto"/>
        <w:right w:val="none" w:sz="0" w:space="0" w:color="auto"/>
      </w:divBdr>
    </w:div>
    <w:div w:id="2109807510">
      <w:marLeft w:val="0"/>
      <w:marRight w:val="0"/>
      <w:marTop w:val="0"/>
      <w:marBottom w:val="0"/>
      <w:divBdr>
        <w:top w:val="none" w:sz="0" w:space="0" w:color="auto"/>
        <w:left w:val="none" w:sz="0" w:space="0" w:color="auto"/>
        <w:bottom w:val="none" w:sz="0" w:space="0" w:color="auto"/>
        <w:right w:val="none" w:sz="0" w:space="0" w:color="auto"/>
      </w:divBdr>
      <w:divsChild>
        <w:div w:id="1619722543">
          <w:marLeft w:val="0"/>
          <w:marRight w:val="0"/>
          <w:marTop w:val="0"/>
          <w:marBottom w:val="0"/>
          <w:divBdr>
            <w:top w:val="none" w:sz="0" w:space="0" w:color="auto"/>
            <w:left w:val="none" w:sz="0" w:space="0" w:color="auto"/>
            <w:bottom w:val="none" w:sz="0" w:space="0" w:color="auto"/>
            <w:right w:val="none" w:sz="0" w:space="0" w:color="auto"/>
          </w:divBdr>
          <w:divsChild>
            <w:div w:id="29953212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0808868">
      <w:marLeft w:val="0"/>
      <w:marRight w:val="0"/>
      <w:marTop w:val="180"/>
      <w:marBottom w:val="0"/>
      <w:divBdr>
        <w:top w:val="none" w:sz="0" w:space="0" w:color="auto"/>
        <w:left w:val="none" w:sz="0" w:space="0" w:color="auto"/>
        <w:bottom w:val="none" w:sz="0" w:space="0" w:color="auto"/>
        <w:right w:val="none" w:sz="0" w:space="0" w:color="auto"/>
      </w:divBdr>
    </w:div>
    <w:div w:id="2111461358">
      <w:marLeft w:val="0"/>
      <w:marRight w:val="0"/>
      <w:marTop w:val="0"/>
      <w:marBottom w:val="0"/>
      <w:divBdr>
        <w:top w:val="none" w:sz="0" w:space="0" w:color="auto"/>
        <w:left w:val="none" w:sz="0" w:space="0" w:color="auto"/>
        <w:bottom w:val="none" w:sz="0" w:space="0" w:color="auto"/>
        <w:right w:val="none" w:sz="0" w:space="0" w:color="auto"/>
      </w:divBdr>
      <w:divsChild>
        <w:div w:id="792166192">
          <w:marLeft w:val="0"/>
          <w:marRight w:val="0"/>
          <w:marTop w:val="0"/>
          <w:marBottom w:val="0"/>
          <w:divBdr>
            <w:top w:val="none" w:sz="0" w:space="0" w:color="auto"/>
            <w:left w:val="none" w:sz="0" w:space="0" w:color="auto"/>
            <w:bottom w:val="none" w:sz="0" w:space="0" w:color="auto"/>
            <w:right w:val="none" w:sz="0" w:space="0" w:color="auto"/>
          </w:divBdr>
          <w:divsChild>
            <w:div w:id="14368240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1462965">
      <w:marLeft w:val="0"/>
      <w:marRight w:val="0"/>
      <w:marTop w:val="180"/>
      <w:marBottom w:val="100"/>
      <w:divBdr>
        <w:top w:val="none" w:sz="0" w:space="0" w:color="auto"/>
        <w:left w:val="none" w:sz="0" w:space="0" w:color="auto"/>
        <w:bottom w:val="none" w:sz="0" w:space="0" w:color="auto"/>
        <w:right w:val="none" w:sz="0" w:space="0" w:color="auto"/>
      </w:divBdr>
    </w:div>
    <w:div w:id="2115637294">
      <w:marLeft w:val="0"/>
      <w:marRight w:val="0"/>
      <w:marTop w:val="0"/>
      <w:marBottom w:val="0"/>
      <w:divBdr>
        <w:top w:val="none" w:sz="0" w:space="0" w:color="auto"/>
        <w:left w:val="none" w:sz="0" w:space="0" w:color="auto"/>
        <w:bottom w:val="none" w:sz="0" w:space="0" w:color="auto"/>
        <w:right w:val="none" w:sz="0" w:space="0" w:color="auto"/>
      </w:divBdr>
      <w:divsChild>
        <w:div w:id="348483685">
          <w:marLeft w:val="0"/>
          <w:marRight w:val="0"/>
          <w:marTop w:val="0"/>
          <w:marBottom w:val="0"/>
          <w:divBdr>
            <w:top w:val="none" w:sz="0" w:space="0" w:color="auto"/>
            <w:left w:val="none" w:sz="0" w:space="0" w:color="auto"/>
            <w:bottom w:val="none" w:sz="0" w:space="0" w:color="auto"/>
            <w:right w:val="none" w:sz="0" w:space="0" w:color="auto"/>
          </w:divBdr>
          <w:divsChild>
            <w:div w:id="17548577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18216162">
      <w:marLeft w:val="0"/>
      <w:marRight w:val="0"/>
      <w:marTop w:val="0"/>
      <w:marBottom w:val="0"/>
      <w:divBdr>
        <w:top w:val="none" w:sz="0" w:space="0" w:color="auto"/>
        <w:left w:val="none" w:sz="0" w:space="0" w:color="auto"/>
        <w:bottom w:val="none" w:sz="0" w:space="0" w:color="auto"/>
        <w:right w:val="none" w:sz="0" w:space="0" w:color="auto"/>
      </w:divBdr>
      <w:divsChild>
        <w:div w:id="1773436660">
          <w:marLeft w:val="0"/>
          <w:marRight w:val="0"/>
          <w:marTop w:val="0"/>
          <w:marBottom w:val="0"/>
          <w:divBdr>
            <w:top w:val="none" w:sz="0" w:space="0" w:color="auto"/>
            <w:left w:val="none" w:sz="0" w:space="0" w:color="auto"/>
            <w:bottom w:val="none" w:sz="0" w:space="0" w:color="auto"/>
            <w:right w:val="none" w:sz="0" w:space="0" w:color="auto"/>
          </w:divBdr>
          <w:divsChild>
            <w:div w:id="53254639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121679152">
      <w:marLeft w:val="0"/>
      <w:marRight w:val="0"/>
      <w:marTop w:val="100"/>
      <w:marBottom w:val="0"/>
      <w:divBdr>
        <w:top w:val="none" w:sz="0" w:space="0" w:color="auto"/>
        <w:left w:val="none" w:sz="0" w:space="0" w:color="auto"/>
        <w:bottom w:val="none" w:sz="0" w:space="0" w:color="auto"/>
        <w:right w:val="none" w:sz="0" w:space="0" w:color="auto"/>
      </w:divBdr>
    </w:div>
    <w:div w:id="2125420343">
      <w:marLeft w:val="0"/>
      <w:marRight w:val="0"/>
      <w:marTop w:val="180"/>
      <w:marBottom w:val="0"/>
      <w:divBdr>
        <w:top w:val="none" w:sz="0" w:space="0" w:color="auto"/>
        <w:left w:val="none" w:sz="0" w:space="0" w:color="auto"/>
        <w:bottom w:val="none" w:sz="0" w:space="0" w:color="auto"/>
        <w:right w:val="none" w:sz="0" w:space="0" w:color="auto"/>
      </w:divBdr>
    </w:div>
    <w:div w:id="2132167585">
      <w:marLeft w:val="0"/>
      <w:marRight w:val="0"/>
      <w:marTop w:val="0"/>
      <w:marBottom w:val="0"/>
      <w:divBdr>
        <w:top w:val="none" w:sz="0" w:space="0" w:color="auto"/>
        <w:left w:val="none" w:sz="0" w:space="0" w:color="auto"/>
        <w:bottom w:val="none" w:sz="0" w:space="0" w:color="auto"/>
        <w:right w:val="none" w:sz="0" w:space="0" w:color="auto"/>
      </w:divBdr>
    </w:div>
    <w:div w:id="2141071240">
      <w:marLeft w:val="0"/>
      <w:marRight w:val="0"/>
      <w:marTop w:val="180"/>
      <w:marBottom w:val="0"/>
      <w:divBdr>
        <w:top w:val="none" w:sz="0" w:space="0" w:color="auto"/>
        <w:left w:val="none" w:sz="0" w:space="0" w:color="auto"/>
        <w:bottom w:val="none" w:sz="0" w:space="0" w:color="auto"/>
        <w:right w:val="none" w:sz="0" w:space="0" w:color="auto"/>
      </w:divBdr>
    </w:div>
    <w:div w:id="2144035049">
      <w:marLeft w:val="0"/>
      <w:marRight w:val="0"/>
      <w:marTop w:val="0"/>
      <w:marBottom w:val="0"/>
      <w:divBdr>
        <w:top w:val="none" w:sz="0" w:space="0" w:color="auto"/>
        <w:left w:val="none" w:sz="0" w:space="0" w:color="auto"/>
        <w:bottom w:val="none" w:sz="0" w:space="0" w:color="auto"/>
        <w:right w:val="none" w:sz="0" w:space="0" w:color="auto"/>
      </w:divBdr>
      <w:divsChild>
        <w:div w:id="1397431492">
          <w:marLeft w:val="0"/>
          <w:marRight w:val="0"/>
          <w:marTop w:val="100"/>
          <w:marBottom w:val="100"/>
          <w:divBdr>
            <w:top w:val="none" w:sz="0" w:space="0" w:color="auto"/>
            <w:left w:val="none" w:sz="0" w:space="0" w:color="auto"/>
            <w:bottom w:val="none" w:sz="0" w:space="0" w:color="auto"/>
            <w:right w:val="none" w:sz="0" w:space="0" w:color="auto"/>
          </w:divBdr>
        </w:div>
        <w:div w:id="750614920">
          <w:marLeft w:val="0"/>
          <w:marRight w:val="0"/>
          <w:marTop w:val="100"/>
          <w:marBottom w:val="100"/>
          <w:divBdr>
            <w:top w:val="none" w:sz="0" w:space="0" w:color="auto"/>
            <w:left w:val="none" w:sz="0" w:space="0" w:color="auto"/>
            <w:bottom w:val="none" w:sz="0" w:space="0" w:color="auto"/>
            <w:right w:val="none" w:sz="0" w:space="0" w:color="auto"/>
          </w:divBdr>
        </w:div>
      </w:divsChild>
    </w:div>
    <w:div w:id="2144106703">
      <w:marLeft w:val="0"/>
      <w:marRight w:val="0"/>
      <w:marTop w:val="0"/>
      <w:marBottom w:val="0"/>
      <w:divBdr>
        <w:top w:val="none" w:sz="0" w:space="0" w:color="auto"/>
        <w:left w:val="none" w:sz="0" w:space="0" w:color="auto"/>
        <w:bottom w:val="none" w:sz="0" w:space="0" w:color="auto"/>
        <w:right w:val="none" w:sz="0" w:space="0" w:color="auto"/>
      </w:divBdr>
      <w:divsChild>
        <w:div w:id="1772050447">
          <w:marLeft w:val="0"/>
          <w:marRight w:val="0"/>
          <w:marTop w:val="100"/>
          <w:marBottom w:val="100"/>
          <w:divBdr>
            <w:top w:val="none" w:sz="0" w:space="0" w:color="auto"/>
            <w:left w:val="none" w:sz="0" w:space="0" w:color="auto"/>
            <w:bottom w:val="none" w:sz="0" w:space="0" w:color="auto"/>
            <w:right w:val="none" w:sz="0" w:space="0" w:color="auto"/>
          </w:divBdr>
        </w:div>
        <w:div w:id="1438678852">
          <w:marLeft w:val="0"/>
          <w:marRight w:val="0"/>
          <w:marTop w:val="100"/>
          <w:marBottom w:val="100"/>
          <w:divBdr>
            <w:top w:val="none" w:sz="0" w:space="0" w:color="auto"/>
            <w:left w:val="none" w:sz="0" w:space="0" w:color="auto"/>
            <w:bottom w:val="none" w:sz="0" w:space="0" w:color="auto"/>
            <w:right w:val="none" w:sz="0" w:space="0" w:color="auto"/>
          </w:divBdr>
        </w:div>
      </w:divsChild>
    </w:div>
    <w:div w:id="2145539592">
      <w:marLeft w:val="0"/>
      <w:marRight w:val="0"/>
      <w:marTop w:val="18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xhibit102.htm" TargetMode="External"/><Relationship Id="rId13" Type="http://schemas.openxmlformats.org/officeDocument/2006/relationships/hyperlink" Target="exhibit311q1cy2110-q.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exhibit101.htm" TargetMode="External"/><Relationship Id="rId12" Type="http://schemas.openxmlformats.org/officeDocument/2006/relationships/hyperlink" Target="exhibit311q1cy2110-q.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exhibit322q1cy2110-q.htm" TargetMode="External"/><Relationship Id="rId1" Type="http://schemas.openxmlformats.org/officeDocument/2006/relationships/styles" Target="styles.xml"/><Relationship Id="rId6" Type="http://schemas.openxmlformats.org/officeDocument/2006/relationships/hyperlink" Target="https://www.sec.gov/Archives/edgar/data/202058/000020205820000027/bylawsamendedandrestated.htm" TargetMode="External"/><Relationship Id="rId11" Type="http://schemas.openxmlformats.org/officeDocument/2006/relationships/hyperlink" Target="exhibit15q1cy2110-q.htm" TargetMode="External"/><Relationship Id="rId5" Type="http://schemas.openxmlformats.org/officeDocument/2006/relationships/hyperlink" Target="http://www.sec.gov/Archives/edgar/data/202058/000020205820000040/restatedcertificateofinc.htm" TargetMode="External"/><Relationship Id="rId15" Type="http://schemas.openxmlformats.org/officeDocument/2006/relationships/hyperlink" Target="exhibit321q1cy2110-q.htm" TargetMode="External"/><Relationship Id="rId10" Type="http://schemas.openxmlformats.org/officeDocument/2006/relationships/hyperlink" Target="exhibit104.htm" TargetMode="External"/><Relationship Id="rId4" Type="http://schemas.openxmlformats.org/officeDocument/2006/relationships/image" Target="file:///E:\projects\LLMs\new_data_collection\data_new\htm\L3HARRIS%20TECHNOLOGIES,%20INC\hrs-20210402_g1.jpg" TargetMode="External"/><Relationship Id="rId9" Type="http://schemas.openxmlformats.org/officeDocument/2006/relationships/hyperlink" Target="exhibit103.htm" TargetMode="External"/><Relationship Id="rId14" Type="http://schemas.openxmlformats.org/officeDocument/2006/relationships/hyperlink" Target="exhibit312q1cy2110-q.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28274</Words>
  <Characters>161167</Characters>
  <Application>Microsoft Office Word</Application>
  <DocSecurity>0</DocSecurity>
  <Lines>1343</Lines>
  <Paragraphs>378</Paragraphs>
  <ScaleCrop>false</ScaleCrop>
  <Company/>
  <LinksUpToDate>false</LinksUpToDate>
  <CharactersWithSpaces>189063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hrs-20210402</dc:title>
  <dc:subject/>
  <dc:creator>Chongjian.Yue</dc:creator>
  <cp:keywords/>
  <dc:description/>
  <cp:lastModifiedBy>Yue Chongjian</cp:lastModifiedBy>
  <cp:revision>1</cp:revision>
  <dcterms:created xsi:type="dcterms:W3CDTF">2024-01-04T15:50:00Z</dcterms:created>
  <dcterms:modified xsi:type="dcterms:W3CDTF">2024-01-04T15:50:00Z</dcterms:modified>
</cp:coreProperties>
</file>