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11388">
      <w:pPr>
        <w:divId w:val="963578476"/>
        <w:rPr>
          <w:rFonts w:eastAsia="Times New Roman"/>
          <w:vanish/>
        </w:rPr>
      </w:pPr>
      <w:r>
        <w:rPr>
          <w:rFonts w:eastAsia="Times New Roman"/>
          <w:vanish/>
        </w:rPr>
        <w:t>0000202058false2021Q212/31121 year, 6 months100002020582021-01-022021-07-02xbrli:shares00002020582021-07-30iso4217:USD00002020582021-04-032021-07-0200002020582020-04-042020-07-0300002020582020-01-042020-07-03iso4217:USDxbrli:shares0000202058</w:t>
      </w:r>
      <w:r>
        <w:rPr>
          <w:rFonts w:eastAsia="Times New Roman"/>
          <w:vanish/>
        </w:rPr>
        <w:t>2021-07-0200002020582021-01-0100002020582020-01-0300002020582020-07-030000202058us-gaap:CommonStockMember2021-04-020000202058us-gaap:OtherAdditionalCapitalMember2021-04-020000202058us-gaap:RetainedEarningsMember2021-04-020000202058us-gaap:AccumulatedOtherC</w:t>
      </w:r>
      <w:r>
        <w:rPr>
          <w:rFonts w:eastAsia="Times New Roman"/>
          <w:vanish/>
        </w:rPr>
        <w:t>omprehensiveIncomeMember2021-04-020000202058us-gaap:NoncontrollingInterestMember2021-04-0200002020582021-04-020000202058us-gaap:RetainedEarningsMember2021-04-032021-07-020000202058us-gaap:NoncontrollingInterestMember2021-04-032021-07-020000202058us-gaap:Ac</w:t>
      </w:r>
      <w:r>
        <w:rPr>
          <w:rFonts w:eastAsia="Times New Roman"/>
          <w:vanish/>
        </w:rPr>
        <w:t>cumulatedOtherComprehensiveIncomeMember2021-04-032021-07-020000202058us-gaap:CommonStockMember2021-04-032021-07-020000202058us-gaap:OtherAdditionalCapitalMember2021-04-032021-07-020000202058us-gaap:CommonStockMember2021-07-020000202058us-gaap:OtherAddition</w:t>
      </w:r>
      <w:r>
        <w:rPr>
          <w:rFonts w:eastAsia="Times New Roman"/>
          <w:vanish/>
        </w:rPr>
        <w:t>alCapitalMember2021-07-020000202058us-gaap:RetainedEarningsMember2021-07-020000202058us-gaap:AccumulatedOtherComprehensiveIncomeMember2021-07-020000202058us-gaap:NoncontrollingInterestMember2021-07-020000202058us-gaap:CommonStockMember2020-04-030000202058u</w:t>
      </w:r>
      <w:r>
        <w:rPr>
          <w:rFonts w:eastAsia="Times New Roman"/>
          <w:vanish/>
        </w:rPr>
        <w:t>s-gaap:OtherAdditionalCapitalMember2020-04-030000202058us-gaap:RetainedEarningsMember2020-04-030000202058us-gaap:AccumulatedOtherComprehensiveIncomeMember2020-04-030000202058us-gaap:NoncontrollingInterestMember2020-04-0300002020582020-04-030000202058us-gaa</w:t>
      </w:r>
      <w:r>
        <w:rPr>
          <w:rFonts w:eastAsia="Times New Roman"/>
          <w:vanish/>
        </w:rPr>
        <w:t>p:RetainedEarningsMember2020-04-042020-07-030000202058us-gaap:NoncontrollingInterestMember2020-04-042020-07-030000202058us-gaap:AccumulatedOtherComprehensiveIncomeMember2020-04-042020-07-030000202058us-gaap:OtherAdditionalCapitalMember2020-04-042020-07-030</w:t>
      </w:r>
      <w:r>
        <w:rPr>
          <w:rFonts w:eastAsia="Times New Roman"/>
          <w:vanish/>
        </w:rPr>
        <w:t>000202058us-gaap:CommonStockMember2020-04-042020-07-030000202058us-gaap:CommonStockMember2020-07-030000202058us-gaap:OtherAdditionalCapitalMember2020-07-030000202058us-gaap:RetainedEarningsMember2020-07-030000202058us-gaap:AccumulatedOtherComprehensiveInco</w:t>
      </w:r>
      <w:r>
        <w:rPr>
          <w:rFonts w:eastAsia="Times New Roman"/>
          <w:vanish/>
        </w:rPr>
        <w:t>meMember2020-07-030000202058us-gaap:NoncontrollingInterestMember2020-07-030000202058us-gaap:CommonStockMember2021-01-010000202058us-gaap:OtherAdditionalCapitalMember2021-01-010000202058us-gaap:RetainedEarningsMember2021-01-010000202058us-gaap:AccumulatedOt</w:t>
      </w:r>
      <w:r>
        <w:rPr>
          <w:rFonts w:eastAsia="Times New Roman"/>
          <w:vanish/>
        </w:rPr>
        <w:t>herComprehensiveIncomeMember2021-01-010000202058us-gaap:NoncontrollingInterestMember2021-01-010000202058us-gaap:RetainedEarningsMember2021-01-022021-07-020000202058us-gaap:NoncontrollingInterestMember2021-01-022021-07-020000202058us-gaap:AccumulatedOtherCo</w:t>
      </w:r>
      <w:r>
        <w:rPr>
          <w:rFonts w:eastAsia="Times New Roman"/>
          <w:vanish/>
        </w:rPr>
        <w:t>mprehensiveIncomeMember2021-01-022021-07-020000202058us-gaap:CommonStockMember2021-01-022021-07-020000202058us-gaap:OtherAdditionalCapitalMember2021-01-022021-07-020000202058us-gaap:CommonStockMember2020-01-030000202058us-gaap:OtherAdditionalCapitalMember2</w:t>
      </w:r>
      <w:r>
        <w:rPr>
          <w:rFonts w:eastAsia="Times New Roman"/>
          <w:vanish/>
        </w:rPr>
        <w:t>020-01-030000202058us-gaap:RetainedEarningsMember2020-01-030000202058us-gaap:AccumulatedOtherComprehensiveIncomeMember2020-01-030000202058us-gaap:NoncontrollingInterestMember2020-01-030000202058us-gaap:RetainedEarningsMember2020-01-042020-07-030000202058us</w:t>
      </w:r>
      <w:r>
        <w:rPr>
          <w:rFonts w:eastAsia="Times New Roman"/>
          <w:vanish/>
        </w:rPr>
        <w:t>-gaap:NoncontrollingInterestMember2020-01-042020-07-030000202058us-gaap:AccumulatedOtherComprehensiveIncomeMember2020-01-042020-07-030000202058us-gaap:CommonStockMember2020-01-042020-07-030000202058us-gaap:OtherAdditionalCapitalMember2020-01-042020-07-0300</w:t>
      </w:r>
      <w:r>
        <w:rPr>
          <w:rFonts w:eastAsia="Times New Roman"/>
          <w:vanish/>
        </w:rPr>
        <w:t>00202058hrs:L3HarrisTechnologiesInc.Member2021-04-032021-07-020000202058hrs:L3HarrisTechnologiesInc.Member2020-04-042020-07-030000202058hrs:L3HarrisTechnologiesInc.Member2021-01-022021-07-020000202058hrs:L3HarrisTechnologiesInc.Member2020-01-042020-07-0300</w:t>
      </w:r>
      <w:r>
        <w:rPr>
          <w:rFonts w:eastAsia="Times New Roman"/>
          <w:vanish/>
        </w:rPr>
        <w:t>00202058hrs:AviationSystemsMemberus-gaap:DisposalGroupHeldforsaleNotDiscontinuedOperationsMemberhrs:ElectronDevicesAndNardaMicrowaveWestMember2021-07-02hrs:business0000202058hrs:AviationSystemsMemberus-gaap:DisposalGroupHeldforsaleNotDiscontinuedOperations</w:t>
      </w:r>
      <w:r>
        <w:rPr>
          <w:rFonts w:eastAsia="Times New Roman"/>
          <w:vanish/>
        </w:rPr>
        <w:t>Memberhrs:AerospaceProductsDisposalGroupMember2021-07-020000202058hrs:VoiceSwitchEnterpriseMemberhrs:AviationSystemsMemberus-gaap:DisposalGroupHeldForSaleOrDisposedOfBySaleNotDiscontinuedOperationsMember2021-02-230000202058hrs:VoiceSwitchEnterpriseMemberhr</w:t>
      </w:r>
      <w:r>
        <w:rPr>
          <w:rFonts w:eastAsia="Times New Roman"/>
          <w:vanish/>
        </w:rPr>
        <w:t>s:AviationSystemsMemberus-gaap:DisposalGroupDisposedOfBySaleNotDiscontinuedOperationsMember2021-07-022021-07-020000202058hrs:VoiceSwitchEnterpriseMemberhrs:AviationSystemsMemberus-gaap:DisposalGroupHeldforsaleNotDiscontinuedOperationsMember2020-07-03000020</w:t>
      </w:r>
      <w:r>
        <w:rPr>
          <w:rFonts w:eastAsia="Times New Roman"/>
          <w:vanish/>
        </w:rPr>
        <w:t>2058hrs:VoiceSwitchEnterpriseMemberhrs:AviationSystemsMemberus-gaap:DisposalGroupHeldforsaleNotDiscontinuedOperationsMember2020-01-042021-01-010000202058hrs:VoiceSwitchEnterpriseMemberhrs:AviationSystemsMemberus-gaap:DisposalGroupHeldforsaleNotDiscontinued</w:t>
      </w:r>
      <w:r>
        <w:rPr>
          <w:rFonts w:eastAsia="Times New Roman"/>
          <w:vanish/>
        </w:rPr>
        <w:t>OperationsMember2020-01-042021-01-010000202058hrs:VoiceSwitchEnterpriseMemberus-gaap:DisposalGroupHeldForSaleOrDisposedOfBySaleNotDiscontinuedOperationsMember2021-04-032021-07-020000202058hrs:VoiceSwitchEnterpriseMemberus-gaap:DisposalGroupHeldForSaleOrDis</w:t>
      </w:r>
      <w:r>
        <w:rPr>
          <w:rFonts w:eastAsia="Times New Roman"/>
          <w:vanish/>
        </w:rPr>
        <w:t>posedOfBySaleNotDiscontinuedOperationsMember2021-01-022021-07-020000202058us-gaap:DisposalGroupHeldforsaleNotDiscontinuedOperationsMemberhrs:ElectronDevicesAndNardaMicrowaveWestMember2021-07-020000202058us-gaap:DisposalGroupHeldforsaleNotDiscontinuedOperat</w:t>
      </w:r>
      <w:r>
        <w:rPr>
          <w:rFonts w:eastAsia="Times New Roman"/>
          <w:vanish/>
        </w:rPr>
        <w:t>ionsMemberhrs:AerospaceProductsDisposalGroupMember2021-07-020000202058hrs:VoiceSwitchEnterpriseMemberus-gaap:DisposalGroupHeldforsaleNotDiscontinuedOperationsMember2021-07-020000202058us-gaap:DisposalGroupHeldforsaleNotDiscontinuedOperationsMember2021-07-0</w:t>
      </w:r>
      <w:r>
        <w:rPr>
          <w:rFonts w:eastAsia="Times New Roman"/>
          <w:vanish/>
        </w:rPr>
        <w:t>20000202058hrs:VoiceSwitchEnterpriseMemberhrs:AviationSystemsMemberus-gaap:DisposalGroupHeldforsaleNotDiscontinuedOperationsMember2021-01-010000202058hrs:AviationSystemsMemberus-gaap:DisposalGroupDisposedOfBySaleNotDiscontinuedOperationsMemberhrs:CombatPro</w:t>
      </w:r>
      <w:r>
        <w:rPr>
          <w:rFonts w:eastAsia="Times New Roman"/>
          <w:vanish/>
        </w:rPr>
        <w:t>pulsionSystemsMember2021-07-020000202058hrs:AviationSystemsMemberus-gaap:DisposalGroupDisposedOfBySaleNotDiscontinuedOperationsMemberhrs:CombatPropulsionSystemsMember2021-07-022021-07-020000202058us-gaap:DisposalGroupDisposedOfBySaleNotDiscontinuedOperatio</w:t>
      </w:r>
      <w:r>
        <w:rPr>
          <w:rFonts w:eastAsia="Times New Roman"/>
          <w:vanish/>
        </w:rPr>
        <w:t>nsMemberhrs:AviationSystemsMemberhrs:CombatPropulsionSystemsMember2021-04-020000202058hrs:AviationSystemsMemberus-gaap:DisposalGroupHeldforsaleNotDiscontinuedOperationsMemberhrs:CombatPropulsionSystemsMember2021-01-022021-04-020000202058hrs:AviationSystems</w:t>
      </w:r>
      <w:r>
        <w:rPr>
          <w:rFonts w:eastAsia="Times New Roman"/>
          <w:vanish/>
        </w:rPr>
        <w:t>Memberus-gaap:DisposalGroupDisposedOfBySaleNotDiscontinuedOperationsMemberhrs:MilitaryTrainingBusinessMember2021-07-020000202058hrs:AviationSystemsMemberus-gaap:DisposalGroupDisposedOfBySaleNotDiscontinuedOperationsMemberhrs:MilitaryTrainingBusinessMember2</w:t>
      </w:r>
      <w:r>
        <w:rPr>
          <w:rFonts w:eastAsia="Times New Roman"/>
          <w:vanish/>
        </w:rPr>
        <w:t>021-07-022021-07-020000202058us-gaap:DisposalGroupDisposedOfBySaleNotDiscontinuedOperationsMemberhrs:CommunicationSystemsMemberhrs:EOTechBusinessMember2020-07-310000202058us-gaap:DisposalGroupDisposedOfBySaleNotDiscontinuedOperationsMemberhrs:Communication</w:t>
      </w:r>
      <w:r>
        <w:rPr>
          <w:rFonts w:eastAsia="Times New Roman"/>
          <w:vanish/>
        </w:rPr>
        <w:t>SystemsMemberhrs:EOTechBusinessMember2020-07-312020-07-310000202058hrs:SpaceandAirborneSystemsMemberus-gaap:DisposalGroupDisposedOfBySaleNotDiscontinuedOperationsMemberhrs:AppliedKilovoltsandAnalyticalInstrumentationBusinessMember2020-05-152020-05-15000020</w:t>
      </w:r>
      <w:r>
        <w:rPr>
          <w:rFonts w:eastAsia="Times New Roman"/>
          <w:vanish/>
        </w:rPr>
        <w:t>2058hrs:SpaceandAirborneSystemsMemberus-gaap:DisposalGroupDisposedOfBySaleNotDiscontinuedOperationsMemberhrs:AppliedKilovoltsandAnalyticalInstrumentationBusinessMember2020-01-042020-04-030000202058hrs:AviationSystemsMemberus-gaap:DisposalGroupDisposedOfByS</w:t>
      </w:r>
      <w:r>
        <w:rPr>
          <w:rFonts w:eastAsia="Times New Roman"/>
          <w:vanish/>
        </w:rPr>
        <w:t>aleNotDiscontinuedOperationsMemberhrs:AirportSecurityandAutomationBusinessMember2020-05-040000202058hrs:AviationSystemsMemberus-gaap:DisposalGroupDisposedOfBySaleNotDiscontinuedOperationsMemberhrs:AirportSecurityandAutomationBusinessMember2020-05-042020-05</w:t>
      </w:r>
      <w:r>
        <w:rPr>
          <w:rFonts w:eastAsia="Times New Roman"/>
          <w:vanish/>
        </w:rPr>
        <w:t>-040000202058us-gaap:DisposalGroupHeldForSaleOrDisposedOfBySaleNotDiscontinuedOperationsMemberhrs:ElectronDevicesAndNardaMicrowaveWestMember2021-04-032021-07-020000202058us-gaap:DisposalGroupHeldForSaleOrDisposedOfBySaleNotDiscontinuedOperationsMemberhrs:E</w:t>
      </w:r>
      <w:r>
        <w:rPr>
          <w:rFonts w:eastAsia="Times New Roman"/>
          <w:vanish/>
        </w:rPr>
        <w:t>lectronDevicesAndNardaMicrowaveWestMember2020-04-042020-07-030000202058us-gaap:DisposalGroupHeldForSaleOrDisposedOfBySaleNotDiscontinuedOperationsMemberhrs:ElectronDevicesAndNardaMicrowaveWestMember2021-01-022021-07-020000202058us-gaap:DisposalGroupHeldFor</w:t>
      </w:r>
      <w:r>
        <w:rPr>
          <w:rFonts w:eastAsia="Times New Roman"/>
          <w:vanish/>
        </w:rPr>
        <w:t>SaleOrDisposedOfBySaleNotDiscontinuedOperationsMemberhrs:ElectronDevicesAndNardaMicrowaveWestMember2020-01-042020-07-030000202058us-gaap:DisposalGroupHeldForSaleOrDisposedOfBySaleNotDiscontinuedOperationsMemberhrs:CombatPropulsionSystemsMember2021-04-03202</w:t>
      </w:r>
      <w:r>
        <w:rPr>
          <w:rFonts w:eastAsia="Times New Roman"/>
          <w:vanish/>
        </w:rPr>
        <w:t>1-07-020000202058us-gaap:DisposalGroupHeldForSaleOrDisposedOfBySaleNotDiscontinuedOperationsMemberhrs:CombatPropulsionSystemsMember2020-04-042020-07-030000202058us-gaap:DisposalGroupHeldForSaleOrDisposedOfBySaleNotDiscontinuedOperationsMemberhrs:CombatProp</w:t>
      </w:r>
      <w:r>
        <w:rPr>
          <w:rFonts w:eastAsia="Times New Roman"/>
          <w:vanish/>
        </w:rPr>
        <w:t>ulsionSystemsMember2021-01-022021-07-020000202058us-gaap:DisposalGroupHeldForSaleOrDisposedOfBySaleNotDiscontinuedOperationsMemberhrs:CombatPropulsionSystemsMember2020-01-042020-07-030000202058us-gaap:DisposalGroupHeldForSaleOrDisposedOfBySaleNotDiscontinu</w:t>
      </w:r>
      <w:r>
        <w:rPr>
          <w:rFonts w:eastAsia="Times New Roman"/>
          <w:vanish/>
        </w:rPr>
        <w:t>edOperationsMemberhrs:MilitaryTrainingBusinessMember2021-04-032021-07-020000202058us-gaap:DisposalGroupHeldForSaleOrDisposedOfBySaleNotDiscontinuedOperationsMemberhrs:MilitaryTrainingBusinessMember2020-04-042020-07-030000202058us-gaap:DisposalGroupHeldForS</w:t>
      </w:r>
      <w:r>
        <w:rPr>
          <w:rFonts w:eastAsia="Times New Roman"/>
          <w:vanish/>
        </w:rPr>
        <w:t>aleOrDisposedOfBySaleNotDiscontinuedOperationsMemberhrs:MilitaryTrainingBusinessMember2021-01-022021-07-020000202058us-gaap:DisposalGroupHeldForSaleOrDisposedOfBySaleNotDiscontinuedOperationsMemberhrs:MilitaryTrainingBusinessMember2020-01-042020-07-0300002</w:t>
      </w:r>
      <w:r>
        <w:rPr>
          <w:rFonts w:eastAsia="Times New Roman"/>
          <w:vanish/>
        </w:rPr>
        <w:t>02058us-gaap:DisposalGroupHeldForSaleOrDisposedOfBySaleNotDiscontinuedOperationsMemberhrs:AirportSecurityandAutomationBusinessMember2021-04-032021-07-020000202058us-gaap:DisposalGroupHeldForSaleOrDisposedOfBySaleNotDiscontinuedOperationsMemberhrs:AirportSe</w:t>
      </w:r>
      <w:r>
        <w:rPr>
          <w:rFonts w:eastAsia="Times New Roman"/>
          <w:vanish/>
        </w:rPr>
        <w:t>curityandAutomationBusinessMember2020-04-042020-07-030000202058us-gaap:DisposalGroupHeldForSaleOrDisposedOfBySaleNotDiscontinuedOperationsMemberhrs:AirportSecurityandAutomationBusinessMember2021-01-022021-07-020000202058us-gaap:DisposalGroupHeldForSaleOrDi</w:t>
      </w:r>
      <w:r>
        <w:rPr>
          <w:rFonts w:eastAsia="Times New Roman"/>
          <w:vanish/>
        </w:rPr>
        <w:t>sposedOfBySaleNotDiscontinuedOperationsMemberhrs:AirportSecurityandAutomationBusinessMember2020-01-042020-07-030000202058hrs:VoiceSwitchEnterpriseMemberus-gaap:DisposalGroupHeldForSaleOrDisposedOfBySaleNotDiscontinuedOperationsMember2020-04-042020-07-03000</w:t>
      </w:r>
      <w:r>
        <w:rPr>
          <w:rFonts w:eastAsia="Times New Roman"/>
          <w:vanish/>
        </w:rPr>
        <w:t>0202058hrs:VoiceSwitchEnterpriseMemberus-gaap:DisposalGroupHeldForSaleOrDisposedOfBySaleNotDiscontinuedOperationsMember2020-01-042020-07-030000202058us-gaap:DisposalGroupHeldForSaleOrDisposedOfBySaleNotDiscontinuedOperationsMemberhrs:HarrisNightVisionBusin</w:t>
      </w:r>
      <w:r>
        <w:rPr>
          <w:rFonts w:eastAsia="Times New Roman"/>
          <w:vanish/>
        </w:rPr>
        <w:t>essMember2021-04-032021-07-020000202058us-gaap:DisposalGroupHeldForSaleOrDisposedOfBySaleNotDiscontinuedOperationsMemberhrs:HarrisNightVisionBusinessMember2020-04-042020-07-030000202058us-gaap:DisposalGroupHeldForSaleOrDisposedOfBySaleNotDiscontinuedOperat</w:t>
      </w:r>
      <w:r>
        <w:rPr>
          <w:rFonts w:eastAsia="Times New Roman"/>
          <w:vanish/>
        </w:rPr>
        <w:t>ionsMemberhrs:HarrisNightVisionBusinessMember2021-01-022021-07-020000202058us-gaap:DisposalGroupHeldForSaleOrDisposedOfBySaleNotDiscontinuedOperationsMemberhrs:HarrisNightVisionBusinessMember2020-01-042020-07-030000202058us-gaap:DisposalGroupHeldForSaleOrD</w:t>
      </w:r>
      <w:r>
        <w:rPr>
          <w:rFonts w:eastAsia="Times New Roman"/>
          <w:vanish/>
        </w:rPr>
        <w:t>isposedOfBySaleNotDiscontinuedOperationsMember2021-04-032021-07-020000202058us-gaap:DisposalGroupHeldForSaleOrDisposedOfBySaleNotDiscontinuedOperationsMember2020-04-042020-07-030000202058us-gaap:DisposalGroupHeldForSaleOrDisposedOfBySaleNotDiscontinuedOper</w:t>
      </w:r>
      <w:r>
        <w:rPr>
          <w:rFonts w:eastAsia="Times New Roman"/>
          <w:vanish/>
        </w:rPr>
        <w:t>ationsMember2021-01-022021-07-020000202058us-gaap:DisposalGroupHeldForSaleOrDisposedOfBySaleNotDiscontinuedOperationsMember2020-01-042020-07-030000202058hrs:VoiceSwitchEnterpriseMemberhrs:AviationSystemsMemberus-gaap:DisposalGroupHeldforsaleNotDiscontinued</w:t>
      </w:r>
      <w:r>
        <w:rPr>
          <w:rFonts w:eastAsia="Times New Roman"/>
          <w:vanish/>
        </w:rPr>
        <w:t>OperationsMember2020-04-042020-07-030000202058hrs:VoiceSwitchEnterpriseMemberus-gaap:DisposalGroupHeldforsaleNotDiscontinuedOperationsMember2020-04-042020-07-030000202058us-gaap:DisposalGroupDisposedOfBySaleNotDiscontinuedOperationsMemberhrs:HarrisNightVis</w:t>
      </w:r>
      <w:r>
        <w:rPr>
          <w:rFonts w:eastAsia="Times New Roman"/>
          <w:vanish/>
        </w:rPr>
        <w:t>ionBusinessMember2020-01-042021-01-01hrs:plan0000202058hrs:ShareholderapprovedEmployeeStockIncentivePlansMember2021-07-020000202058hrs:L3HarrisShareholderapprovedEmployeeStockIncentivePlansMember2021-04-032021-07-020000202058hrs:L3HarrisShareholderapproved</w:t>
      </w:r>
      <w:r>
        <w:rPr>
          <w:rFonts w:eastAsia="Times New Roman"/>
          <w:vanish/>
        </w:rPr>
        <w:t>EmployeeStockIncentivePlansMember2021-01-022021-07-020000202058hrs:L3HarrisShareholderapprovedEmployeeStockIncentivePlansMember2020-04-042020-07-030000202058hrs:L3HarrisShareholderapprovedEmployeeStockIncentivePlansMember2020-01-042020-07-030000202058us-ga</w:t>
      </w:r>
      <w:r>
        <w:rPr>
          <w:rFonts w:eastAsia="Times New Roman"/>
          <w:vanish/>
        </w:rPr>
        <w:t>ap:RestrictedStockUnitsRSUMemberhrs:L3HarrisShareholderapprovedEmployeeStockIncentivePlansMember2021-04-032021-07-020000202058hrs:PerformanceStockUnitsMemberhrs:L3HarrisShareholderapprovedEmployeeStockIncentivePlansMember2021-04-032021-07-020000202058hrs:P</w:t>
      </w:r>
      <w:r>
        <w:rPr>
          <w:rFonts w:eastAsia="Times New Roman"/>
          <w:vanish/>
        </w:rPr>
        <w:t>erformanceStockUnitsMemberhrs:L3HarrisShareholderapprovedEmployeeStockIncentivePlansMember2021-01-022021-07-020000202058us-gaap:RestrictedStockUnitsRSUMemberhrs:L3HarrisShareholderapprovedEmployeeStockIncentivePlansMember2021-01-022021-07-02xbrli:pure00002</w:t>
      </w:r>
      <w:r>
        <w:rPr>
          <w:rFonts w:eastAsia="Times New Roman"/>
          <w:vanish/>
        </w:rPr>
        <w:t>02058us-gaap:EmployeeStockOptionMemberhrs:L3HarrisShareholderapprovedEmployeeStockIncentivePlansMember2021-01-022021-07-020000202058us-gaap:AccumulatedTranslationAdjustmentMember2021-01-010000202058us-gaap:AccumulatedGainLossNetCashFlowHedgeParentMember202</w:t>
      </w:r>
      <w:r>
        <w:rPr>
          <w:rFonts w:eastAsia="Times New Roman"/>
          <w:vanish/>
        </w:rPr>
        <w:t>1-01-010000202058us-gaap:AccumulatedDefinedBenefitPlansAdjustmentMember2021-01-010000202058us-gaap:AccumulatedTranslationAdjustmentMember2021-01-022021-07-020000202058us-gaap:AccumulatedGainLossNetCashFlowHedgeParentMember2021-01-022021-07-020000202058us-g</w:t>
      </w:r>
      <w:r>
        <w:rPr>
          <w:rFonts w:eastAsia="Times New Roman"/>
          <w:vanish/>
        </w:rPr>
        <w:t>aap:AccumulatedDefinedBenefitPlansAdjustmentMember2021-01-022021-07-020000202058us-gaap:AccumulatedTranslationAdjustmentMember2021-07-020000202058us-gaap:AccumulatedGainLossNetCashFlowHedgeParentMember2021-07-020000202058us-gaap:AccumulatedDefinedBenefitPl</w:t>
      </w:r>
      <w:r>
        <w:rPr>
          <w:rFonts w:eastAsia="Times New Roman"/>
          <w:vanish/>
        </w:rPr>
        <w:t>ansAdjustmentMember2021-07-020000202058us-gaap:AccumulatedTranslationAdjustmentMember2020-01-030000202058us-gaap:AccumulatedGainLossNetCashFlowHedgeParentMember2020-01-030000202058us-gaap:AccumulatedDefinedBenefitPlansAdjustmentMember2020-01-030000202058us</w:t>
      </w:r>
      <w:r>
        <w:rPr>
          <w:rFonts w:eastAsia="Times New Roman"/>
          <w:vanish/>
        </w:rPr>
        <w:t>-gaap:AccumulatedTranslationAdjustmentMember2020-01-042020-07-030000202058us-gaap:AccumulatedGainLossNetCashFlowHedgeParentMember2020-01-042020-07-030000202058us-gaap:AccumulatedDefinedBenefitPlansAdjustmentMember2020-01-042020-07-030000202058us-gaap:Accum</w:t>
      </w:r>
      <w:r>
        <w:rPr>
          <w:rFonts w:eastAsia="Times New Roman"/>
          <w:vanish/>
        </w:rPr>
        <w:t>ulatedTranslationAdjustmentMember2020-07-030000202058us-gaap:AccumulatedGainLossNetCashFlowHedgeParentMember2020-07-030000202058us-gaap:AccumulatedDefinedBenefitPlansAdjustmentMember2020-07-03hrs:receivableSaleAgreement0000202058hrs:ReceivableSaleAgreement</w:t>
      </w:r>
      <w:r>
        <w:rPr>
          <w:rFonts w:eastAsia="Times New Roman"/>
          <w:vanish/>
        </w:rPr>
        <w:t>TwoMember2021-07-020000202058hrs:ReceivableSaleAgreementOneMember2021-07-020000202058hrs:CommercialTrainingSolutionsMember2021-04-032021-07-020000202058hrs:CommercialTrainingSolutionsMember2021-01-022021-07-020000202058hrs:IntegratedMissionSystemsMember202</w:t>
      </w:r>
      <w:r>
        <w:rPr>
          <w:rFonts w:eastAsia="Times New Roman"/>
          <w:vanish/>
        </w:rPr>
        <w:t>1-01-010000202058hrs:SpaceandAirborneSystemsMember2021-01-010000202058hrs:CommunicationSystemsMember2021-01-010000202058hrs:AviationSystemsMember2021-01-010000202058hrs:IntegratedMissionSystemsMember2021-01-022021-07-020000202058hrs:SpaceandAirborneSystems</w:t>
      </w:r>
      <w:r>
        <w:rPr>
          <w:rFonts w:eastAsia="Times New Roman"/>
          <w:vanish/>
        </w:rPr>
        <w:t>Member2021-01-022021-07-020000202058hrs:CommunicationSystemsMember2021-01-022021-07-020000202058hrs:AviationSystemsMember2021-01-022021-07-020000202058hrs:IntegratedMissionSystemsMember2021-07-020000202058hrs:SpaceandAirborneSystemsMember2021-07-0200002020</w:t>
      </w:r>
      <w:r>
        <w:rPr>
          <w:rFonts w:eastAsia="Times New Roman"/>
          <w:vanish/>
        </w:rPr>
        <w:t>58hrs:CommunicationSystemsMember2021-07-020000202058hrs:AviationSystemsMember2021-07-020000202058hrs:IntegratedMissionSystemsMember2020-01-030000202058hrs:SpaceandAirborneSystemsMember2020-01-030000202058hrs:CommunicationSystemsMember2020-01-030000202058hr</w:t>
      </w:r>
      <w:r>
        <w:rPr>
          <w:rFonts w:eastAsia="Times New Roman"/>
          <w:vanish/>
        </w:rPr>
        <w:t>s:AviationSystemsMember2020-01-030000202058hrs:IntegratedMissionSystemsMember2020-01-042020-07-030000202058hrs:SpaceandAirborneSystemsMember2020-01-042020-07-030000202058hrs:CommunicationSystemsMember2020-01-042020-07-030000202058hrs:AviationSystemsMember2</w:t>
      </w:r>
      <w:r>
        <w:rPr>
          <w:rFonts w:eastAsia="Times New Roman"/>
          <w:vanish/>
        </w:rPr>
        <w:t>020-01-042020-07-030000202058hrs:IntegratedMissionSystemsMember2020-07-030000202058hrs:SpaceandAirborneSystemsMember2020-07-030000202058hrs:CommunicationSystemsMember2020-07-030000202058hrs:AviationSystemsMember2020-07-030000202058us-gaap:DisposalGroupDisp</w:t>
      </w:r>
      <w:r>
        <w:rPr>
          <w:rFonts w:eastAsia="Times New Roman"/>
          <w:vanish/>
        </w:rPr>
        <w:t>osedOfBySaleNotDiscontinuedOperationsMemberhrs:CombatPropulsionSystemsAndMilitaryTrainingBusinessesMember2021-01-022021-07-020000202058us-gaap:DisposalGroupDisposedOfBySaleNotDiscontinuedOperationsMemberhrs:AppliedKilovoltsandAnalyticalInstrumentationBusin</w:t>
      </w:r>
      <w:r>
        <w:rPr>
          <w:rFonts w:eastAsia="Times New Roman"/>
          <w:vanish/>
        </w:rPr>
        <w:t>essMember2020-01-042020-07-030000202058us-gaap:DisposalGroupHeldforsaleNotDiscontinuedOperationsMember2021-01-022021-07-020000202058us-gaap:DisposalGroupHeldforsaleNotDiscontinuedOperationsMember2020-01-042020-07-030000202058hrs:COVID19PandemicMemberhrs:Co</w:t>
      </w:r>
      <w:r>
        <w:rPr>
          <w:rFonts w:eastAsia="Times New Roman"/>
          <w:vanish/>
        </w:rPr>
        <w:t>mmercialAviationSolutionsMember2020-01-042020-04-030000202058hrs:COVID19PandemicMemberhrs:CommercialAviationSolutionsMember2020-04-042020-07-030000202058hrs:VoiceSwitchEnterpriseMemberus-gaap:DisposalGroupHeldforsaleNotDiscontinuedOperationsMember2020-07-0</w:t>
      </w:r>
      <w:r>
        <w:rPr>
          <w:rFonts w:eastAsia="Times New Roman"/>
          <w:vanish/>
        </w:rPr>
        <w:t>30000202058hrs:CommercialTrainingSolutionsMemberhrs:AviationSystemsMember2021-04-032021-07-020000202058us-gaap:CustomerRelationshipsMember2021-07-020000202058us-gaap:CustomerRelationshipsMember2021-01-010000202058us-gaap:DevelopedTechnologyRightsMember2021</w:t>
      </w:r>
      <w:r>
        <w:rPr>
          <w:rFonts w:eastAsia="Times New Roman"/>
          <w:vanish/>
        </w:rPr>
        <w:t>-07-020000202058us-gaap:DevelopedTechnologyRightsMember2021-01-010000202058us-gaap:OrderOrProductionBacklogMember2021-07-020000202058us-gaap:OrderOrProductionBacklogMember2021-01-010000202058us-gaap:TradeNamesMember2021-07-020000202058us-gaap:TradeNamesMem</w:t>
      </w:r>
      <w:r>
        <w:rPr>
          <w:rFonts w:eastAsia="Times New Roman"/>
          <w:vanish/>
        </w:rPr>
        <w:t>ber2021-01-010000202058us-gaap:OtherIntangibleAssetsMember2021-07-020000202058us-gaap:OtherIntangibleAssetsMember2021-01-010000202058us-gaap:InProcessResearchAndDevelopmentMember2021-07-020000202058us-gaap:InProcessResearchAndDevelopmentMember2021-01-01000</w:t>
      </w:r>
      <w:r>
        <w:rPr>
          <w:rFonts w:eastAsia="Times New Roman"/>
          <w:vanish/>
        </w:rPr>
        <w:t>0202058us-gaap:TradeNamesMember2021-07-020000202058us-gaap:TradeNamesMember2021-01-010000202058us-gaap:DisposalGroupDisposedOfBySaleNotDiscontinuedOperationsMember2021-04-032021-07-020000202058us-gaap:DisposalGroupHeldforsaleNotDiscontinuedOperationsMember</w:t>
      </w:r>
      <w:r>
        <w:rPr>
          <w:rFonts w:eastAsia="Times New Roman"/>
          <w:vanish/>
        </w:rPr>
        <w:t>2021-04-032021-07-020000202058us-gaap:PensionPlansDefinedBenefitMember2021-04-032021-07-020000202058us-gaap:OtherPostretirementBenefitPlansDefinedBenefitMember2021-04-032021-07-020000202058us-gaap:PensionPlansDefinedBenefitMember2021-01-022021-07-020000202</w:t>
      </w:r>
      <w:r>
        <w:rPr>
          <w:rFonts w:eastAsia="Times New Roman"/>
          <w:vanish/>
        </w:rPr>
        <w:t>058us-gaap:OtherPostretirementBenefitPlansDefinedBenefitMember2021-01-022021-07-020000202058us-gaap:PensionPlansDefinedBenefitMember2020-04-042020-07-030000202058us-gaap:OtherPostretirementBenefitPlansDefinedBenefitMember2020-04-042020-07-030000202058us-ga</w:t>
      </w:r>
      <w:r>
        <w:rPr>
          <w:rFonts w:eastAsia="Times New Roman"/>
          <w:vanish/>
        </w:rPr>
        <w:t>ap:PensionPlansDefinedBenefitMember2020-01-042020-07-030000202058us-gaap:OtherPostretirementBenefitPlansDefinedBenefitMember2020-01-042020-07-030000202058us-gaap:PensionPlansDefinedBenefitMembercountry:US2021-07-020000202058us-gaap:EstimateOfFairValueFairV</w:t>
      </w:r>
      <w:r>
        <w:rPr>
          <w:rFonts w:eastAsia="Times New Roman"/>
          <w:vanish/>
        </w:rPr>
        <w:t>alueDisclosureMemberus-gaap:EquitySecuritiesMember2021-07-020000202058us-gaap:EstimateOfFairValueFairValueDisclosureMemberus-gaap:EquitySecuritiesMemberus-gaap:FairValueInputsLevel1Member2021-07-020000202058us-gaap:EstimateOfFairValueFairValueDisclosureMem</w:t>
      </w:r>
      <w:r>
        <w:rPr>
          <w:rFonts w:eastAsia="Times New Roman"/>
          <w:vanish/>
        </w:rPr>
        <w:t>berus-gaap:EquitySecuritiesMemberus-gaap:FairValueInputsLevel2Member2021-07-020000202058us-gaap:EstimateOfFairValueFairValueDisclosureMemberus-gaap:EquitySecuritiesMember2021-01-010000202058us-gaap:EstimateOfFairValueFairValueDisclosureMemberus-gaap:Equity</w:t>
      </w:r>
      <w:r>
        <w:rPr>
          <w:rFonts w:eastAsia="Times New Roman"/>
          <w:vanish/>
        </w:rPr>
        <w:t>SecuritiesMemberus-gaap:FairValueInputsLevel1Member2021-01-010000202058us-gaap:EstimateOfFairValueFairValueDisclosureMemberus-gaap:EquitySecuritiesMemberus-gaap:FairValueInputsLevel2Member2021-01-010000202058us-gaap:EstimateOfFairValueFairValueDisclosureMe</w:t>
      </w:r>
      <w:r>
        <w:rPr>
          <w:rFonts w:eastAsia="Times New Roman"/>
          <w:vanish/>
        </w:rPr>
        <w:t>mberus-gaap:FairValueMeasuredAtNetAssetValuePerShareMemberhrs:CorporateownedlifeinsuranceMember2021-07-020000202058us-gaap:EstimateOfFairValueFairValueDisclosureMemberus-gaap:FairValueMeasuredAtNetAssetValuePerShareMemberhrs:CorporateownedlifeinsuranceMemb</w:t>
      </w:r>
      <w:r>
        <w:rPr>
          <w:rFonts w:eastAsia="Times New Roman"/>
          <w:vanish/>
        </w:rPr>
        <w:t>er2021-01-010000202058us-gaap:EstimateOfFairValueFairValueDisclosureMember2021-07-020000202058us-gaap:EstimateOfFairValueFairValueDisclosureMemberus-gaap:FairValueInputsLevel1Member2021-07-020000202058us-gaap:EstimateOfFairValueFairValueDisclosureMemberus-</w:t>
      </w:r>
      <w:r>
        <w:rPr>
          <w:rFonts w:eastAsia="Times New Roman"/>
          <w:vanish/>
        </w:rPr>
        <w:t>gaap:FairValueInputsLevel2Member2021-07-020000202058us-gaap:EstimateOfFairValueFairValueDisclosureMember2021-01-010000202058us-gaap:EstimateOfFairValueFairValueDisclosureMemberus-gaap:FairValueInputsLevel1Member2021-01-010000202058us-gaap:EstimateOfFairVal</w:t>
      </w:r>
      <w:r>
        <w:rPr>
          <w:rFonts w:eastAsia="Times New Roman"/>
          <w:vanish/>
        </w:rPr>
        <w:t>ueFairValueDisclosureMemberus-gaap:FairValueInputsLevel2Member2021-01-010000202058us-gaap:EstimateOfFairValueFairValueDisclosureMemberus-gaap:MutualFundMember2021-07-020000202058us-gaap:EstimateOfFairValueFairValueDisclosureMemberus-gaap:FairValueInputsLev</w:t>
      </w:r>
      <w:r>
        <w:rPr>
          <w:rFonts w:eastAsia="Times New Roman"/>
          <w:vanish/>
        </w:rPr>
        <w:t>el1Memberus-gaap:MutualFundMember2021-07-020000202058us-gaap:EstimateOfFairValueFairValueDisclosureMemberus-gaap:MutualFundMemberus-gaap:FairValueInputsLevel2Member2021-07-020000202058us-gaap:EstimateOfFairValueFairValueDisclosureMemberus-gaap:MutualFundMe</w:t>
      </w:r>
      <w:r>
        <w:rPr>
          <w:rFonts w:eastAsia="Times New Roman"/>
          <w:vanish/>
        </w:rPr>
        <w:t>mber2021-01-010000202058us-gaap:EstimateOfFairValueFairValueDisclosureMemberus-gaap:FairValueInputsLevel1Memberus-gaap:MutualFundMember2021-01-010000202058us-gaap:EstimateOfFairValueFairValueDisclosureMemberus-gaap:MutualFundMemberus-gaap:FairValueInputsLe</w:t>
      </w:r>
      <w:r>
        <w:rPr>
          <w:rFonts w:eastAsia="Times New Roman"/>
          <w:vanish/>
        </w:rPr>
        <w:t>vel2Member2021-01-010000202058us-gaap:EstimateOfFairValueFairValueDisclosureMemberhrs:CommonCollectiveTrustsandGuaranteedInvestmentProgramMemberus-gaap:FairValueMeasuredAtNetAssetValuePerShareMember2021-07-020000202058us-gaap:EstimateOfFairValueFairValueDi</w:t>
      </w:r>
      <w:r>
        <w:rPr>
          <w:rFonts w:eastAsia="Times New Roman"/>
          <w:vanish/>
        </w:rPr>
        <w:t>sclosureMemberhrs:CommonCollectiveTrustsandGuaranteedInvestmentProgramMemberus-gaap:FairValueMeasuredAtNetAssetValuePerShareMember2021-01-010000202058us-gaap:CarryingReportedAmountFairValueDisclosureMember2021-07-020000202058us-gaap:EstimateOfFairValueFair</w:t>
      </w:r>
      <w:r>
        <w:rPr>
          <w:rFonts w:eastAsia="Times New Roman"/>
          <w:vanish/>
        </w:rPr>
        <w:t>ValueDisclosureMemberus-gaap:MarketApproachValuationTechniqueMemberus-gaap:FairValueInputsLevel2Member2021-07-020000202058us-gaap:CarryingReportedAmountFairValueDisclosureMember2021-01-010000202058us-gaap:EstimateOfFairValueFairValueDisclosureMemberus-gaap</w:t>
      </w:r>
      <w:r>
        <w:rPr>
          <w:rFonts w:eastAsia="Times New Roman"/>
          <w:vanish/>
        </w:rPr>
        <w:t>:MarketApproachValuationTechniqueMemberus-gaap:FairValueInputsLevel2Member2021-01-010000202058us-gaap:CashFlowHedgingMemberus-gaap:ForeignExchangeForwardMember2021-07-020000202058us-gaap:CashFlowHedgingMemberus-gaap:ForeignExchangeForwardMember2021-01-0100</w:t>
      </w:r>
      <w:r>
        <w:rPr>
          <w:rFonts w:eastAsia="Times New Roman"/>
          <w:vanish/>
        </w:rPr>
        <w:t>00202058us-gaap:OtherCurrentAssetsMemberus-gaap:DesignatedAsHedgingInstrumentMemberus-gaap:CashFlowHedgingMemberus-gaap:ForeignExchangeForwardMember2021-07-020000202058us-gaap:OtherCurrentAssetsMemberus-gaap:DesignatedAsHedgingInstrumentMemberus-gaap:CashF</w:t>
      </w:r>
      <w:r>
        <w:rPr>
          <w:rFonts w:eastAsia="Times New Roman"/>
          <w:vanish/>
        </w:rPr>
        <w:t>lowHedgingMemberus-gaap:ForeignExchangeForwardMember2021-01-010000202058us-gaap:DesignatedAsHedgingInstrumentMemberus-gaap:CashFlowHedgingMemberus-gaap:ForeignExchangeForwardMemberus-gaap:OtherNoncurrentAssetsMember2021-07-020000202058us-gaap:DesignatedAsH</w:t>
      </w:r>
      <w:r>
        <w:rPr>
          <w:rFonts w:eastAsia="Times New Roman"/>
          <w:vanish/>
        </w:rPr>
        <w:t>edgingInstrumentMemberus-gaap:CashFlowHedgingMemberus-gaap:ForeignExchangeForwardMemberus-gaap:OtherNoncurrentAssetsMember2021-01-010000202058us-gaap:DesignatedAsHedgingInstrumentMemberus-gaap:CashFlowHedgingMemberus-gaap:ForeignExchangeForwardMemberus-gaa</w:t>
      </w:r>
      <w:r>
        <w:rPr>
          <w:rFonts w:eastAsia="Times New Roman"/>
          <w:vanish/>
        </w:rPr>
        <w:t>p:OtherCurrentLiabilitiesMember2021-07-020000202058us-gaap:DesignatedAsHedgingInstrumentMemberus-gaap:CashFlowHedgingMemberus-gaap:ForeignExchangeForwardMemberus-gaap:OtherCurrentLiabilitiesMember2021-01-010000202058us-gaap:CashFlowHedgingMemberus-gaap:For</w:t>
      </w:r>
      <w:r>
        <w:rPr>
          <w:rFonts w:eastAsia="Times New Roman"/>
          <w:vanish/>
        </w:rPr>
        <w:t>eignExchangeForwardMember2021-04-032021-07-020000202058us-gaap:CashFlowHedgingMemberus-gaap:ForeignExchangeForwardMember2021-01-022021-07-020000202058us-gaap:CashFlowHedgingMemberus-gaap:ForeignExchangeForwardMember2020-04-042020-07-030000202058us-gaap:Cas</w:t>
      </w:r>
      <w:r>
        <w:rPr>
          <w:rFonts w:eastAsia="Times New Roman"/>
          <w:vanish/>
        </w:rPr>
        <w:t>hFlowHedgingMemberus-gaap:ForeignExchangeForwardMember2020-01-042020-07-030000202058us-gaap:ContractsAccountedForUnderPercentageOfCompletionMember2021-04-032021-07-020000202058us-gaap:ContractsAccountedForUnderPercentageOfCompletionMember2020-04-042020-07-</w:t>
      </w:r>
      <w:r>
        <w:rPr>
          <w:rFonts w:eastAsia="Times New Roman"/>
          <w:vanish/>
        </w:rPr>
        <w:t>030000202058us-gaap:ContractsAccountedForUnderPercentageOfCompletionMember2021-01-022021-07-020000202058us-gaap:ContractsAccountedForUnderPercentageOfCompletionMember2020-01-042020-07-0300002020582021-07-032021-07-020000202058us-gaap:DisposalGroupDisposedO</w:t>
      </w:r>
      <w:r>
        <w:rPr>
          <w:rFonts w:eastAsia="Times New Roman"/>
          <w:vanish/>
        </w:rPr>
        <w:t>fBySaleNotDiscontinuedOperationsMember2021-01-0100002020582023-01-012021-07-02hrs:segment0000202058hrs:IntegratedMissionSystemsMemberus-gaap:OperatingSegmentsMember2021-04-032021-07-020000202058hrs:IntegratedMissionSystemsMemberus-gaap:OperatingSegmentsMem</w:t>
      </w:r>
      <w:r>
        <w:rPr>
          <w:rFonts w:eastAsia="Times New Roman"/>
          <w:vanish/>
        </w:rPr>
        <w:t>ber2020-04-042020-07-030000202058hrs:IntegratedMissionSystemsMemberus-gaap:OperatingSegmentsMember2021-01-022021-07-020000202058hrs:IntegratedMissionSystemsMemberus-gaap:OperatingSegmentsMember2020-01-042020-07-030000202058hrs:SpaceandAirborneSystemsMember</w:t>
      </w:r>
      <w:r>
        <w:rPr>
          <w:rFonts w:eastAsia="Times New Roman"/>
          <w:vanish/>
        </w:rPr>
        <w:t>us-gaap:OperatingSegmentsMember2021-04-032021-07-020000202058hrs:SpaceandAirborneSystemsMemberus-gaap:OperatingSegmentsMember2020-04-042020-07-030000202058hrs:SpaceandAirborneSystemsMemberus-gaap:OperatingSegmentsMember2021-01-022021-07-020000202058hrs:Spa</w:t>
      </w:r>
      <w:r>
        <w:rPr>
          <w:rFonts w:eastAsia="Times New Roman"/>
          <w:vanish/>
        </w:rPr>
        <w:t>ceandAirborneSystemsMemberus-gaap:OperatingSegmentsMember2020-01-042020-07-030000202058us-gaap:OperatingSegmentsMemberhrs:CommunicationSystemsMember2021-04-032021-07-020000202058us-gaap:OperatingSegmentsMemberhrs:CommunicationSystemsMember2020-04-042020-07</w:t>
      </w:r>
      <w:r>
        <w:rPr>
          <w:rFonts w:eastAsia="Times New Roman"/>
          <w:vanish/>
        </w:rPr>
        <w:t>-030000202058us-gaap:OperatingSegmentsMemberhrs:CommunicationSystemsMember2021-01-022021-07-020000202058us-gaap:OperatingSegmentsMemberhrs:CommunicationSystemsMember2020-01-042020-07-030000202058hrs:AviationSystemsMemberus-gaap:OperatingSegmentsMember2021-</w:t>
      </w:r>
      <w:r>
        <w:rPr>
          <w:rFonts w:eastAsia="Times New Roman"/>
          <w:vanish/>
        </w:rPr>
        <w:t>04-032021-07-020000202058hrs:AviationSystemsMemberus-gaap:OperatingSegmentsMember2020-04-042020-07-030000202058hrs:AviationSystemsMemberus-gaap:OperatingSegmentsMember2021-01-022021-07-020000202058hrs:AviationSystemsMemberus-gaap:OperatingSegmentsMember202</w:t>
      </w:r>
      <w:r>
        <w:rPr>
          <w:rFonts w:eastAsia="Times New Roman"/>
          <w:vanish/>
        </w:rPr>
        <w:t>0-01-042020-07-030000202058us-gaap:IntersegmentEliminationMember2021-04-032021-07-020000202058us-gaap:IntersegmentEliminationMember2020-04-042020-07-030000202058us-gaap:IntersegmentEliminationMember2021-01-022021-07-020000202058us-gaap:IntersegmentEliminat</w:t>
      </w:r>
      <w:r>
        <w:rPr>
          <w:rFonts w:eastAsia="Times New Roman"/>
          <w:vanish/>
        </w:rPr>
        <w:t>ionMember2020-01-042020-07-030000202058us-gaap:CorporateNonSegmentMember2021-04-032021-07-020000202058us-gaap:CorporateNonSegmentMember2020-04-042020-07-030000202058us-gaap:CorporateNonSegmentMember2021-01-022021-07-020000202058us-gaap:CorporateNonSegmentM</w:t>
      </w:r>
      <w:r>
        <w:rPr>
          <w:rFonts w:eastAsia="Times New Roman"/>
          <w:vanish/>
        </w:rPr>
        <w:t>ember2020-01-042020-07-030000202058hrs:ExelisMember2021-04-032021-07-020000202058hrs:ExelisMember2021-01-022021-07-020000202058hrs:ExelisMember2020-04-042020-07-030000202058hrs:ExelisMember2020-01-042020-07-030000202058hrs:IntegratedMissionSystemsMemberus-</w:t>
      </w:r>
      <w:r>
        <w:rPr>
          <w:rFonts w:eastAsia="Times New Roman"/>
          <w:vanish/>
        </w:rPr>
        <w:t>gaap:TransferredOverTimeMemberus-gaap:SalesChannelDirectlyToConsumerMember2021-04-032021-07-020000202058hrs:IntegratedMissionSystemsMemberus-gaap:TransferredOverTimeMemberus-gaap:SalesChannelDirectlyToConsumerMember2020-04-042020-07-030000202058hrs:Integra</w:t>
      </w:r>
      <w:r>
        <w:rPr>
          <w:rFonts w:eastAsia="Times New Roman"/>
          <w:vanish/>
        </w:rPr>
        <w:t>tedMissionSystemsMemberus-gaap:TransferredOverTimeMemberus-gaap:SalesChannelDirectlyToConsumerMember2021-01-022021-07-020000202058hrs:IntegratedMissionSystemsMemberus-gaap:TransferredOverTimeMemberus-gaap:SalesChannelDirectlyToConsumerMember2020-01-042020-</w:t>
      </w:r>
      <w:r>
        <w:rPr>
          <w:rFonts w:eastAsia="Times New Roman"/>
          <w:vanish/>
        </w:rPr>
        <w:t>07-030000202058hrs:IntegratedMissionSystemsMemberus-gaap:TransferredOverTimeMemberus-gaap:SalesChannelThroughIntermediaryMember2021-04-032021-07-020000202058hrs:IntegratedMissionSystemsMemberus-gaap:TransferredOverTimeMemberus-gaap:SalesChannelThroughInter</w:t>
      </w:r>
      <w:r>
        <w:rPr>
          <w:rFonts w:eastAsia="Times New Roman"/>
          <w:vanish/>
        </w:rPr>
        <w:t>mediaryMember2020-04-042020-07-030000202058hrs:IntegratedMissionSystemsMemberus-gaap:TransferredOverTimeMemberus-gaap:SalesChannelThroughIntermediaryMember2021-01-022021-07-020000202058hrs:IntegratedMissionSystemsMemberus-gaap:TransferredOverTimeMemberus-g</w:t>
      </w:r>
      <w:r>
        <w:rPr>
          <w:rFonts w:eastAsia="Times New Roman"/>
          <w:vanish/>
        </w:rPr>
        <w:t>aap:SalesChannelThroughIntermediaryMember2020-01-042020-07-030000202058hrs:IntegratedMissionSystemsMemberus-gaap:TransferredOverTimeMemberus-gaap:IntersegmentEliminationMember2021-04-032021-07-020000202058hrs:IntegratedMissionSystemsMemberus-gaap:Transferr</w:t>
      </w:r>
      <w:r>
        <w:rPr>
          <w:rFonts w:eastAsia="Times New Roman"/>
          <w:vanish/>
        </w:rPr>
        <w:t>edOverTimeMemberus-gaap:IntersegmentEliminationMember2020-04-042020-07-030000202058hrs:IntegratedMissionSystemsMemberus-gaap:TransferredOverTimeMemberus-gaap:IntersegmentEliminationMember2021-01-022021-07-020000202058hrs:IntegratedMissionSystemsMemberus-ga</w:t>
      </w:r>
      <w:r>
        <w:rPr>
          <w:rFonts w:eastAsia="Times New Roman"/>
          <w:vanish/>
        </w:rPr>
        <w:t>ap:TransferredOverTimeMemberus-gaap:IntersegmentEliminationMember2020-01-042020-07-030000202058hrs:IntegratedMissionSystemsMemberus-gaap:TransferredOverTimeMember2021-04-032021-07-020000202058hrs:IntegratedMissionSystemsMemberus-gaap:TransferredOverTimeMem</w:t>
      </w:r>
      <w:r>
        <w:rPr>
          <w:rFonts w:eastAsia="Times New Roman"/>
          <w:vanish/>
        </w:rPr>
        <w:t>ber2020-04-042020-07-030000202058hrs:IntegratedMissionSystemsMemberus-gaap:TransferredOverTimeMember2021-01-022021-07-020000202058hrs:IntegratedMissionSystemsMemberus-gaap:TransferredOverTimeMember2020-01-042020-07-030000202058us-gaap:FixedPriceContractMem</w:t>
      </w:r>
      <w:r>
        <w:rPr>
          <w:rFonts w:eastAsia="Times New Roman"/>
          <w:vanish/>
        </w:rPr>
        <w:t>berhrs:IntegratedMissionSystemsMemberus-gaap:TransferredOverTimeMember2021-04-032021-07-020000202058us-gaap:FixedPriceContractMemberhrs:IntegratedMissionSystemsMemberus-gaap:TransferredOverTimeMember2020-04-042020-07-030000202058us-gaap:FixedPriceContractM</w:t>
      </w:r>
      <w:r>
        <w:rPr>
          <w:rFonts w:eastAsia="Times New Roman"/>
          <w:vanish/>
        </w:rPr>
        <w:t>emberhrs:IntegratedMissionSystemsMemberus-gaap:TransferredOverTimeMember2021-01-022021-07-020000202058us-gaap:FixedPriceContractMemberhrs:IntegratedMissionSystemsMemberus-gaap:TransferredOverTimeMember2020-01-042020-07-030000202058hrs:IntegratedMissionSyst</w:t>
      </w:r>
      <w:r>
        <w:rPr>
          <w:rFonts w:eastAsia="Times New Roman"/>
          <w:vanish/>
        </w:rPr>
        <w:t>emsMemberus-gaap:TransferredOverTimeMemberhrs:CostreimbursableMember2021-04-032021-07-020000202058hrs:IntegratedMissionSystemsMemberus-gaap:TransferredOverTimeMemberhrs:CostreimbursableMember2020-04-042020-07-030000202058hrs:IntegratedMissionSystemsMemberu</w:t>
      </w:r>
      <w:r>
        <w:rPr>
          <w:rFonts w:eastAsia="Times New Roman"/>
          <w:vanish/>
        </w:rPr>
        <w:t>s-gaap:TransferredOverTimeMemberhrs:CostreimbursableMember2021-01-022021-07-020000202058hrs:IntegratedMissionSystemsMemberus-gaap:TransferredOverTimeMemberhrs:CostreimbursableMember2020-01-042020-07-030000202058hrs:IntegratedMissionSystemsMembercountry:USu</w:t>
      </w:r>
      <w:r>
        <w:rPr>
          <w:rFonts w:eastAsia="Times New Roman"/>
          <w:vanish/>
        </w:rPr>
        <w:t>s-gaap:TransferredOverTimeMember2021-04-032021-07-020000202058hrs:IntegratedMissionSystemsMembercountry:USus-gaap:TransferredOverTimeMember2020-04-042020-07-030000202058hrs:IntegratedMissionSystemsMembercountry:USus-gaap:TransferredOverTimeMember2021-01-02</w:t>
      </w:r>
      <w:r>
        <w:rPr>
          <w:rFonts w:eastAsia="Times New Roman"/>
          <w:vanish/>
        </w:rPr>
        <w:t>2021-07-020000202058hrs:IntegratedMissionSystemsMembercountry:USus-gaap:TransferredOverTimeMember2020-01-042020-07-030000202058hrs:IntegratedMissionSystemsMemberus-gaap:TransferredOverTimeMemberus-gaap:NonUsMember2021-04-032021-07-020000202058hrs:Integrate</w:t>
      </w:r>
      <w:r>
        <w:rPr>
          <w:rFonts w:eastAsia="Times New Roman"/>
          <w:vanish/>
        </w:rPr>
        <w:t>dMissionSystemsMemberus-gaap:TransferredOverTimeMemberus-gaap:NonUsMember2020-04-042020-07-030000202058hrs:IntegratedMissionSystemsMemberus-gaap:TransferredOverTimeMemberus-gaap:NonUsMember2021-01-022021-07-020000202058hrs:IntegratedMissionSystemsMemberus-</w:t>
      </w:r>
      <w:r>
        <w:rPr>
          <w:rFonts w:eastAsia="Times New Roman"/>
          <w:vanish/>
        </w:rPr>
        <w:t>gaap:TransferredOverTimeMemberus-gaap:NonUsMember2020-01-042020-07-030000202058hrs:SpaceandAirborneSystemsMemberus-gaap:TransferredOverTimeMemberus-gaap:SalesChannelDirectlyToConsumerMember2021-04-032021-07-020000202058hrs:SpaceandAirborneSystemsMemberus-g</w:t>
      </w:r>
      <w:r>
        <w:rPr>
          <w:rFonts w:eastAsia="Times New Roman"/>
          <w:vanish/>
        </w:rPr>
        <w:t>aap:TransferredOverTimeMemberus-gaap:SalesChannelDirectlyToConsumerMember2020-04-042020-07-030000202058hrs:SpaceandAirborneSystemsMemberus-gaap:TransferredOverTimeMemberus-gaap:SalesChannelDirectlyToConsumerMember2021-01-022021-07-020000202058hrs:SpaceandA</w:t>
      </w:r>
      <w:r>
        <w:rPr>
          <w:rFonts w:eastAsia="Times New Roman"/>
          <w:vanish/>
        </w:rPr>
        <w:t>irborneSystemsMemberus-gaap:TransferredOverTimeMemberus-gaap:SalesChannelDirectlyToConsumerMember2020-01-042020-07-030000202058hrs:SpaceandAirborneSystemsMemberus-gaap:TransferredOverTimeMemberus-gaap:SalesChannelThroughIntermediaryMember2021-04-032021-07-</w:t>
      </w:r>
      <w:r>
        <w:rPr>
          <w:rFonts w:eastAsia="Times New Roman"/>
          <w:vanish/>
        </w:rPr>
        <w:t>020000202058hrs:SpaceandAirborneSystemsMemberus-gaap:TransferredOverTimeMemberus-gaap:SalesChannelThroughIntermediaryMember2020-04-042020-07-030000202058hrs:SpaceandAirborneSystemsMemberus-gaap:TransferredOverTimeMemberus-gaap:SalesChannelThroughIntermedia</w:t>
      </w:r>
      <w:r>
        <w:rPr>
          <w:rFonts w:eastAsia="Times New Roman"/>
          <w:vanish/>
        </w:rPr>
        <w:t>ryMember2021-01-022021-07-020000202058hrs:SpaceandAirborneSystemsMemberus-gaap:TransferredOverTimeMemberus-gaap:SalesChannelThroughIntermediaryMember2020-01-042020-07-030000202058hrs:SpaceandAirborneSystemsMemberus-gaap:TransferredOverTimeMemberus-gaap:Int</w:t>
      </w:r>
      <w:r>
        <w:rPr>
          <w:rFonts w:eastAsia="Times New Roman"/>
          <w:vanish/>
        </w:rPr>
        <w:t>ersegmentEliminationMember2021-04-032021-07-020000202058hrs:SpaceandAirborneSystemsMemberus-gaap:TransferredOverTimeMemberus-gaap:IntersegmentEliminationMember2020-04-042020-07-030000202058hrs:SpaceandAirborneSystemsMemberus-gaap:TransferredOverTimeMemberu</w:t>
      </w:r>
      <w:r>
        <w:rPr>
          <w:rFonts w:eastAsia="Times New Roman"/>
          <w:vanish/>
        </w:rPr>
        <w:t>s-gaap:IntersegmentEliminationMember2021-01-022021-07-020000202058hrs:SpaceandAirborneSystemsMemberus-gaap:TransferredOverTimeMemberus-gaap:IntersegmentEliminationMember2020-01-042020-07-030000202058hrs:SpaceandAirborneSystemsMemberus-gaap:TransferredOverT</w:t>
      </w:r>
      <w:r>
        <w:rPr>
          <w:rFonts w:eastAsia="Times New Roman"/>
          <w:vanish/>
        </w:rPr>
        <w:t>imeMember2021-04-032021-07-020000202058hrs:SpaceandAirborneSystemsMemberus-gaap:TransferredOverTimeMember2020-04-042020-07-030000202058hrs:SpaceandAirborneSystemsMemberus-gaap:TransferredOverTimeMember2021-01-022021-07-020000202058hrs:SpaceandAirborneSyste</w:t>
      </w:r>
      <w:r>
        <w:rPr>
          <w:rFonts w:eastAsia="Times New Roman"/>
          <w:vanish/>
        </w:rPr>
        <w:t>msMemberus-gaap:TransferredOverTimeMember2020-01-042020-07-030000202058hrs:SpaceandAirborneSystemsMemberus-gaap:FixedPriceContractMemberus-gaap:TransferredOverTimeMember2021-04-032021-07-020000202058hrs:SpaceandAirborneSystemsMemberus-gaap:FixedPriceContra</w:t>
      </w:r>
      <w:r>
        <w:rPr>
          <w:rFonts w:eastAsia="Times New Roman"/>
          <w:vanish/>
        </w:rPr>
        <w:t>ctMemberus-gaap:TransferredOverTimeMember2020-04-042020-07-030000202058hrs:SpaceandAirborneSystemsMemberus-gaap:FixedPriceContractMemberus-gaap:TransferredOverTimeMember2021-01-022021-07-020000202058hrs:SpaceandAirborneSystemsMemberus-gaap:FixedPriceContra</w:t>
      </w:r>
      <w:r>
        <w:rPr>
          <w:rFonts w:eastAsia="Times New Roman"/>
          <w:vanish/>
        </w:rPr>
        <w:t>ctMemberus-gaap:TransferredOverTimeMember2020-01-042020-07-030000202058hrs:SpaceandAirborneSystemsMemberus-gaap:TransferredOverTimeMemberhrs:CostreimbursableMember2021-04-032021-07-020000202058hrs:SpaceandAirborneSystemsMemberus-gaap:TransferredOverTimeMem</w:t>
      </w:r>
      <w:r>
        <w:rPr>
          <w:rFonts w:eastAsia="Times New Roman"/>
          <w:vanish/>
        </w:rPr>
        <w:t>berhrs:CostreimbursableMember2020-04-042020-07-030000202058hrs:SpaceandAirborneSystemsMemberus-gaap:TransferredOverTimeMemberhrs:CostreimbursableMember2021-01-022021-07-020000202058hrs:SpaceandAirborneSystemsMemberus-gaap:TransferredOverTimeMemberhrs:Costr</w:t>
      </w:r>
      <w:r>
        <w:rPr>
          <w:rFonts w:eastAsia="Times New Roman"/>
          <w:vanish/>
        </w:rPr>
        <w:t>eimbursableMember2020-01-042020-07-030000202058hrs:SpaceandAirborneSystemsMembercountry:USus-gaap:TransferredOverTimeMember2021-04-032021-07-020000202058hrs:SpaceandAirborneSystemsMembercountry:USus-gaap:TransferredOverTimeMember2020-04-042020-07-030000202</w:t>
      </w:r>
      <w:r>
        <w:rPr>
          <w:rFonts w:eastAsia="Times New Roman"/>
          <w:vanish/>
        </w:rPr>
        <w:t>058hrs:SpaceandAirborneSystemsMembercountry:USus-gaap:TransferredOverTimeMember2021-01-022021-07-020000202058hrs:SpaceandAirborneSystemsMembercountry:USus-gaap:TransferredOverTimeMember2020-01-042020-07-030000202058hrs:SpaceandAirborneSystemsMemberus-gaap:</w:t>
      </w:r>
      <w:r>
        <w:rPr>
          <w:rFonts w:eastAsia="Times New Roman"/>
          <w:vanish/>
        </w:rPr>
        <w:t>TransferredOverTimeMemberus-gaap:NonUsMember2021-04-032021-07-020000202058hrs:SpaceandAirborneSystemsMemberus-gaap:TransferredOverTimeMemberus-gaap:NonUsMember2020-04-042020-07-030000202058hrs:SpaceandAirborneSystemsMemberus-gaap:TransferredOverTimeMemberu</w:t>
      </w:r>
      <w:r>
        <w:rPr>
          <w:rFonts w:eastAsia="Times New Roman"/>
          <w:vanish/>
        </w:rPr>
        <w:t>s-gaap:NonUsMember2021-01-022021-07-020000202058hrs:SpaceandAirborneSystemsMemberus-gaap:TransferredOverTimeMemberus-gaap:NonUsMember2020-01-042020-07-030000202058hrs:CommunicationSystemsMemberhrs:TransferredAtPointInTimeAndOverTimeMemberus-gaap:SalesChann</w:t>
      </w:r>
      <w:r>
        <w:rPr>
          <w:rFonts w:eastAsia="Times New Roman"/>
          <w:vanish/>
        </w:rPr>
        <w:t>elDirectlyToConsumerMember2021-04-032021-07-020000202058hrs:CommunicationSystemsMemberhrs:TransferredAtPointInTimeAndOverTimeMemberus-gaap:SalesChannelDirectlyToConsumerMember2020-04-042020-07-030000202058hrs:CommunicationSystemsMemberhrs:TransferredAtPoin</w:t>
      </w:r>
      <w:r>
        <w:rPr>
          <w:rFonts w:eastAsia="Times New Roman"/>
          <w:vanish/>
        </w:rPr>
        <w:t>tInTimeAndOverTimeMemberus-gaap:SalesChannelDirectlyToConsumerMember2021-01-022021-07-020000202058hrs:CommunicationSystemsMemberhrs:TransferredAtPointInTimeAndOverTimeMemberus-gaap:SalesChannelDirectlyToConsumerMember2020-01-042020-07-030000202058hrs:Commu</w:t>
      </w:r>
      <w:r>
        <w:rPr>
          <w:rFonts w:eastAsia="Times New Roman"/>
          <w:vanish/>
        </w:rPr>
        <w:t>nicationSystemsMemberus-gaap:SalesChannelThroughIntermediaryMemberhrs:TransferredAtPointInTimeAndOverTimeMember2021-04-032021-07-020000202058hrs:CommunicationSystemsMemberus-gaap:SalesChannelThroughIntermediaryMemberhrs:TransferredAtPointInTimeAndOverTimeM</w:t>
      </w:r>
      <w:r>
        <w:rPr>
          <w:rFonts w:eastAsia="Times New Roman"/>
          <w:vanish/>
        </w:rPr>
        <w:t>ember2020-04-042020-07-030000202058hrs:CommunicationSystemsMemberus-gaap:SalesChannelThroughIntermediaryMemberhrs:TransferredAtPointInTimeAndOverTimeMember2021-01-022021-07-020000202058hrs:CommunicationSystemsMemberus-gaap:SalesChannelThroughIntermediaryMe</w:t>
      </w:r>
      <w:r>
        <w:rPr>
          <w:rFonts w:eastAsia="Times New Roman"/>
          <w:vanish/>
        </w:rPr>
        <w:t>mberhrs:TransferredAtPointInTimeAndOverTimeMember2020-01-042020-07-030000202058hrs:CommunicationSystemsMemberus-gaap:IntersegmentEliminationMemberhrs:TransferredAtPointInTimeAndOverTimeMember2021-04-032021-07-020000202058hrs:CommunicationSystemsMemberus-ga</w:t>
      </w:r>
      <w:r>
        <w:rPr>
          <w:rFonts w:eastAsia="Times New Roman"/>
          <w:vanish/>
        </w:rPr>
        <w:t>ap:IntersegmentEliminationMemberhrs:TransferredAtPointInTimeAndOverTimeMember2020-04-042020-07-030000202058hrs:CommunicationSystemsMemberus-gaap:IntersegmentEliminationMemberhrs:TransferredAtPointInTimeAndOverTimeMember2021-01-022021-07-020000202058hrs:Com</w:t>
      </w:r>
      <w:r>
        <w:rPr>
          <w:rFonts w:eastAsia="Times New Roman"/>
          <w:vanish/>
        </w:rPr>
        <w:t>municationSystemsMemberus-gaap:IntersegmentEliminationMemberhrs:TransferredAtPointInTimeAndOverTimeMember2020-01-042020-07-030000202058hrs:CommunicationSystemsMemberhrs:TransferredAtPointInTimeAndOverTimeMember2021-04-032021-07-020000202058hrs:Communicatio</w:t>
      </w:r>
      <w:r>
        <w:rPr>
          <w:rFonts w:eastAsia="Times New Roman"/>
          <w:vanish/>
        </w:rPr>
        <w:t>nSystemsMemberhrs:TransferredAtPointInTimeAndOverTimeMember2020-04-042020-07-030000202058hrs:CommunicationSystemsMemberhrs:TransferredAtPointInTimeAndOverTimeMember2021-01-022021-07-020000202058hrs:CommunicationSystemsMemberhrs:TransferredAtPointInTimeAndO</w:t>
      </w:r>
      <w:r>
        <w:rPr>
          <w:rFonts w:eastAsia="Times New Roman"/>
          <w:vanish/>
        </w:rPr>
        <w:t>verTimeMember2020-01-042020-07-030000202058us-gaap:FixedPriceContractMemberhrs:CommunicationSystemsMemberhrs:TransferredAtPointInTimeAndOverTimeMember2021-04-032021-07-020000202058us-gaap:FixedPriceContractMemberhrs:CommunicationSystemsMemberhrs:Transferre</w:t>
      </w:r>
      <w:r>
        <w:rPr>
          <w:rFonts w:eastAsia="Times New Roman"/>
          <w:vanish/>
        </w:rPr>
        <w:t>dAtPointInTimeAndOverTimeMember2020-04-042020-07-030000202058us-gaap:FixedPriceContractMemberhrs:CommunicationSystemsMemberhrs:TransferredAtPointInTimeAndOverTimeMember2021-01-022021-07-020000202058us-gaap:FixedPriceContractMemberhrs:CommunicationSystemsMe</w:t>
      </w:r>
      <w:r>
        <w:rPr>
          <w:rFonts w:eastAsia="Times New Roman"/>
          <w:vanish/>
        </w:rPr>
        <w:t>mberhrs:TransferredAtPointInTimeAndOverTimeMember2020-01-042020-07-030000202058hrs:CostreimbursableMemberhrs:CommunicationSystemsMemberhrs:TransferredAtPointInTimeAndOverTimeMember2021-04-032021-07-020000202058hrs:CostreimbursableMemberhrs:CommunicationSys</w:t>
      </w:r>
      <w:r>
        <w:rPr>
          <w:rFonts w:eastAsia="Times New Roman"/>
          <w:vanish/>
        </w:rPr>
        <w:t>temsMemberhrs:TransferredAtPointInTimeAndOverTimeMember2020-04-042020-07-030000202058hrs:CostreimbursableMemberhrs:CommunicationSystemsMemberhrs:TransferredAtPointInTimeAndOverTimeMember2021-01-022021-07-020000202058hrs:CostreimbursableMemberhrs:Communicat</w:t>
      </w:r>
      <w:r>
        <w:rPr>
          <w:rFonts w:eastAsia="Times New Roman"/>
          <w:vanish/>
        </w:rPr>
        <w:t>ionSystemsMemberhrs:TransferredAtPointInTimeAndOverTimeMember2020-01-042020-07-030000202058country:UShrs:CommunicationSystemsMemberhrs:TransferredAtPointInTimeAndOverTimeMember2021-04-032021-07-020000202058country:UShrs:CommunicationSystemsMemberhrs:Transf</w:t>
      </w:r>
      <w:r>
        <w:rPr>
          <w:rFonts w:eastAsia="Times New Roman"/>
          <w:vanish/>
        </w:rPr>
        <w:t>erredAtPointInTimeAndOverTimeMember2020-04-042020-07-030000202058country:UShrs:CommunicationSystemsMemberhrs:TransferredAtPointInTimeAndOverTimeMember2021-01-022021-07-020000202058country:UShrs:CommunicationSystemsMemberhrs:TransferredAtPointInTimeAndOverT</w:t>
      </w:r>
      <w:r>
        <w:rPr>
          <w:rFonts w:eastAsia="Times New Roman"/>
          <w:vanish/>
        </w:rPr>
        <w:t>imeMember2020-01-042020-07-030000202058us-gaap:NonUsMemberhrs:CommunicationSystemsMemberhrs:TransferredAtPointInTimeAndOverTimeMember2021-04-032021-07-020000202058us-gaap:NonUsMemberhrs:CommunicationSystemsMemberhrs:TransferredAtPointInTimeAndOverTimeMembe</w:t>
      </w:r>
      <w:r>
        <w:rPr>
          <w:rFonts w:eastAsia="Times New Roman"/>
          <w:vanish/>
        </w:rPr>
        <w:t>r2020-04-042020-07-030000202058us-gaap:NonUsMemberhrs:CommunicationSystemsMemberhrs:TransferredAtPointInTimeAndOverTimeMember2021-01-022021-07-020000202058us-gaap:NonUsMemberhrs:CommunicationSystemsMemberhrs:TransferredAtPointInTimeAndOverTimeMember2020-01</w:t>
      </w:r>
      <w:r>
        <w:rPr>
          <w:rFonts w:eastAsia="Times New Roman"/>
          <w:vanish/>
        </w:rPr>
        <w:t>-042020-07-030000202058hrs:AviationSystemsMemberhrs:TransferredAtPointInTimeAndOverTimeMemberus-gaap:SalesChannelDirectlyToConsumerMember2021-04-032021-07-020000202058hrs:AviationSystemsMemberhrs:TransferredAtPointInTimeAndOverTimeMemberus-gaap:SalesChanne</w:t>
      </w:r>
      <w:r>
        <w:rPr>
          <w:rFonts w:eastAsia="Times New Roman"/>
          <w:vanish/>
        </w:rPr>
        <w:t>lDirectlyToConsumerMember2020-04-042020-07-030000202058hrs:AviationSystemsMemberhrs:TransferredAtPointInTimeAndOverTimeMemberus-gaap:SalesChannelDirectlyToConsumerMember2021-01-022021-07-020000202058hrs:AviationSystemsMemberhrs:TransferredAtPointInTimeAndO</w:t>
      </w:r>
      <w:r>
        <w:rPr>
          <w:rFonts w:eastAsia="Times New Roman"/>
          <w:vanish/>
        </w:rPr>
        <w:t>verTimeMemberus-gaap:SalesChannelDirectlyToConsumerMember2020-01-042020-07-030000202058hrs:AviationSystemsMemberus-gaap:SalesChannelThroughIntermediaryMemberhrs:TransferredAtPointInTimeAndOverTimeMember2021-04-032021-07-020000202058hrs:AviationSystemsMembe</w:t>
      </w:r>
      <w:r>
        <w:rPr>
          <w:rFonts w:eastAsia="Times New Roman"/>
          <w:vanish/>
        </w:rPr>
        <w:t>rus-gaap:SalesChannelThroughIntermediaryMemberhrs:TransferredAtPointInTimeAndOverTimeMember2020-04-042020-07-030000202058hrs:AviationSystemsMemberus-gaap:SalesChannelThroughIntermediaryMemberhrs:TransferredAtPointInTimeAndOverTimeMember2021-01-022021-07-02</w:t>
      </w:r>
      <w:r>
        <w:rPr>
          <w:rFonts w:eastAsia="Times New Roman"/>
          <w:vanish/>
        </w:rPr>
        <w:t>0000202058hrs:AviationSystemsMemberus-gaap:SalesChannelThroughIntermediaryMemberhrs:TransferredAtPointInTimeAndOverTimeMember2020-01-042020-07-030000202058hrs:AviationSystemsMemberus-gaap:IntersegmentEliminationMemberhrs:TransferredAtPointInTimeAndOverTime</w:t>
      </w:r>
      <w:r>
        <w:rPr>
          <w:rFonts w:eastAsia="Times New Roman"/>
          <w:vanish/>
        </w:rPr>
        <w:t>Member2021-04-032021-07-020000202058hrs:AviationSystemsMemberus-gaap:IntersegmentEliminationMemberhrs:TransferredAtPointInTimeAndOverTimeMember2020-04-042020-07-030000202058hrs:AviationSystemsMemberus-gaap:IntersegmentEliminationMemberhrs:TransferredAtPoin</w:t>
      </w:r>
      <w:r>
        <w:rPr>
          <w:rFonts w:eastAsia="Times New Roman"/>
          <w:vanish/>
        </w:rPr>
        <w:t>tInTimeAndOverTimeMember2021-01-022021-07-020000202058hrs:AviationSystemsMemberus-gaap:IntersegmentEliminationMemberhrs:TransferredAtPointInTimeAndOverTimeMember2020-01-042020-07-030000202058hrs:AviationSystemsMemberhrs:TransferredAtPointInTimeAndOverTimeM</w:t>
      </w:r>
      <w:r>
        <w:rPr>
          <w:rFonts w:eastAsia="Times New Roman"/>
          <w:vanish/>
        </w:rPr>
        <w:t>ember2021-04-032021-07-020000202058hrs:AviationSystemsMemberhrs:TransferredAtPointInTimeAndOverTimeMember2020-04-042020-07-030000202058hrs:AviationSystemsMemberhrs:TransferredAtPointInTimeAndOverTimeMember2021-01-022021-07-020000202058hrs:AviationSystemsMe</w:t>
      </w:r>
      <w:r>
        <w:rPr>
          <w:rFonts w:eastAsia="Times New Roman"/>
          <w:vanish/>
        </w:rPr>
        <w:t>mberhrs:TransferredAtPointInTimeAndOverTimeMember2020-01-042020-07-030000202058us-gaap:FixedPriceContractMemberhrs:AviationSystemsMemberhrs:TransferredAtPointInTimeAndOverTimeMember2021-04-032021-07-020000202058us-gaap:FixedPriceContractMemberhrs:AviationS</w:t>
      </w:r>
      <w:r>
        <w:rPr>
          <w:rFonts w:eastAsia="Times New Roman"/>
          <w:vanish/>
        </w:rPr>
        <w:t>ystemsMemberhrs:TransferredAtPointInTimeAndOverTimeMember2020-04-042020-07-030000202058us-gaap:FixedPriceContractMemberhrs:AviationSystemsMemberhrs:TransferredAtPointInTimeAndOverTimeMember2021-01-022021-07-020000202058us-gaap:FixedPriceContractMemberhrs:A</w:t>
      </w:r>
      <w:r>
        <w:rPr>
          <w:rFonts w:eastAsia="Times New Roman"/>
          <w:vanish/>
        </w:rPr>
        <w:t>viationSystemsMemberhrs:TransferredAtPointInTimeAndOverTimeMember2020-01-042020-07-030000202058hrs:AviationSystemsMemberhrs:CostreimbursableMemberhrs:TransferredAtPointInTimeAndOverTimeMember2021-04-032021-07-020000202058hrs:AviationSystemsMemberhrs:Costre</w:t>
      </w:r>
      <w:r>
        <w:rPr>
          <w:rFonts w:eastAsia="Times New Roman"/>
          <w:vanish/>
        </w:rPr>
        <w:t>imbursableMemberhrs:TransferredAtPointInTimeAndOverTimeMember2020-04-042020-07-030000202058hrs:AviationSystemsMemberhrs:CostreimbursableMemberhrs:TransferredAtPointInTimeAndOverTimeMember2021-01-022021-07-020000202058hrs:AviationSystemsMemberhrs:Costreimbu</w:t>
      </w:r>
      <w:r>
        <w:rPr>
          <w:rFonts w:eastAsia="Times New Roman"/>
          <w:vanish/>
        </w:rPr>
        <w:t>rsableMemberhrs:TransferredAtPointInTimeAndOverTimeMember2020-01-042020-07-030000202058hrs:AviationSystemsMembercountry:UShrs:TransferredAtPointInTimeAndOverTimeMember2021-04-032021-07-020000202058hrs:AviationSystemsMembercountry:UShrs:TransferredAtPointIn</w:t>
      </w:r>
      <w:r>
        <w:rPr>
          <w:rFonts w:eastAsia="Times New Roman"/>
          <w:vanish/>
        </w:rPr>
        <w:t>TimeAndOverTimeMember2020-04-042020-07-030000202058hrs:AviationSystemsMembercountry:UShrs:TransferredAtPointInTimeAndOverTimeMember2021-01-022021-07-020000202058hrs:AviationSystemsMembercountry:UShrs:TransferredAtPointInTimeAndOverTimeMember2020-01-042020-</w:t>
      </w:r>
      <w:r>
        <w:rPr>
          <w:rFonts w:eastAsia="Times New Roman"/>
          <w:vanish/>
        </w:rPr>
        <w:t>07-030000202058hrs:AviationSystemsMemberus-gaap:NonUsMemberhrs:TransferredAtPointInTimeAndOverTimeMember2021-04-032021-07-020000202058hrs:AviationSystemsMemberus-gaap:NonUsMemberhrs:TransferredAtPointInTimeAndOverTimeMember2020-04-042020-07-030000202058hrs</w:t>
      </w:r>
      <w:r>
        <w:rPr>
          <w:rFonts w:eastAsia="Times New Roman"/>
          <w:vanish/>
        </w:rPr>
        <w:t>:AviationSystemsMemberus-gaap:NonUsMemberhrs:TransferredAtPointInTimeAndOverTimeMember2021-01-022021-07-020000202058hrs:AviationSystemsMemberus-gaap:NonUsMemberhrs:TransferredAtPointInTimeAndOverTimeMember2020-01-042020-07-030000202058hrs:IntegratedMission</w:t>
      </w:r>
      <w:r>
        <w:rPr>
          <w:rFonts w:eastAsia="Times New Roman"/>
          <w:vanish/>
        </w:rPr>
        <w:t>SystemsMemberus-gaap:OperatingSegmentsMember2021-07-020000202058hrs:IntegratedMissionSystemsMemberus-gaap:OperatingSegmentsMember2021-01-010000202058hrs:SpaceandAirborneSystemsMemberus-gaap:OperatingSegmentsMember2021-07-020000202058hrs:SpaceandAirborneSys</w:t>
      </w:r>
      <w:r>
        <w:rPr>
          <w:rFonts w:eastAsia="Times New Roman"/>
          <w:vanish/>
        </w:rPr>
        <w:t>temsMemberus-gaap:OperatingSegmentsMember2021-01-010000202058us-gaap:OperatingSegmentsMemberhrs:CommunicationSystemsMember2021-07-020000202058us-gaap:OperatingSegmentsMemberhrs:CommunicationSystemsMember2021-01-010000202058hrs:AviationSystemsMemberus-gaap:</w:t>
      </w:r>
      <w:r>
        <w:rPr>
          <w:rFonts w:eastAsia="Times New Roman"/>
          <w:vanish/>
        </w:rPr>
        <w:t>OperatingSegmentsMember2021-07-020000202058hrs:AviationSystemsMemberus-gaap:OperatingSegmentsMember2021-01-010000202058us-gaap:CorporateNonSegmentMember2021-07-020000202058us-gaap:CorporateNonSegmentMember2021-01-010000202058us-gaap:CorporateNonSegmentMemb</w:t>
      </w:r>
      <w:r>
        <w:rPr>
          <w:rFonts w:eastAsia="Times New Roman"/>
          <w:vanish/>
        </w:rPr>
        <w:t>erhrs:ExelisMember2021-07-020000202058us-gaap:CorporateNonSegmentMemberhrs:ExelisMember2021-01-01hrs:responsible_party0000202058hrs:ExelisMemberhrs:PassaicRiverAlaskaMember2016-03-012016-03-31</w:t>
      </w:r>
    </w:p>
    <w:p w:rsidR="00000000" w:rsidRDefault="00B11388">
      <w:pPr>
        <w:ind w:firstLine="450"/>
        <w:jc w:val="center"/>
        <w:divId w:val="1642543166"/>
        <w:rPr>
          <w:rFonts w:eastAsia="Times New Roman"/>
        </w:rPr>
      </w:pPr>
    </w:p>
    <w:p w:rsidR="00000000" w:rsidRDefault="00B11388">
      <w:pPr>
        <w:ind w:firstLine="450"/>
        <w:jc w:val="center"/>
        <w:divId w:val="1243224485"/>
        <w:rPr>
          <w:rFonts w:eastAsia="Times New Roman"/>
        </w:rPr>
      </w:pPr>
    </w:p>
    <w:p w:rsidR="00000000" w:rsidRDefault="00B11388">
      <w:pPr>
        <w:ind w:firstLine="450"/>
        <w:jc w:val="center"/>
        <w:divId w:val="1530292731"/>
        <w:rPr>
          <w:rFonts w:eastAsia="Times New Roman"/>
        </w:rPr>
      </w:pPr>
    </w:p>
    <w:p w:rsidR="00000000" w:rsidRDefault="00B11388">
      <w:pPr>
        <w:ind w:firstLine="450"/>
        <w:jc w:val="center"/>
        <w:divId w:val="1863668602"/>
        <w:rPr>
          <w:rFonts w:eastAsia="Times New Roman"/>
        </w:rPr>
      </w:pPr>
    </w:p>
    <w:p w:rsidR="00000000" w:rsidRDefault="00B11388">
      <w:pPr>
        <w:ind w:firstLine="450"/>
        <w:jc w:val="center"/>
        <w:divId w:val="477310536"/>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11388">
      <w:pPr>
        <w:ind w:firstLine="450"/>
        <w:jc w:val="center"/>
        <w:divId w:val="551620601"/>
        <w:rPr>
          <w:rFonts w:eastAsia="Times New Roman"/>
        </w:rPr>
      </w:pPr>
      <w:r>
        <w:rPr>
          <w:rFonts w:eastAsia="Times New Roman"/>
          <w:b/>
          <w:bCs/>
          <w:color w:val="000000"/>
          <w:sz w:val="32"/>
          <w:szCs w:val="32"/>
        </w:rPr>
        <w:t>UNITED STATES</w:t>
      </w:r>
    </w:p>
    <w:p w:rsidR="00000000" w:rsidRDefault="00B11388">
      <w:pPr>
        <w:ind w:firstLine="450"/>
        <w:jc w:val="center"/>
        <w:divId w:val="1363288732"/>
        <w:rPr>
          <w:rFonts w:eastAsia="Times New Roman"/>
        </w:rPr>
      </w:pPr>
      <w:r>
        <w:rPr>
          <w:rFonts w:eastAsia="Times New Roman"/>
          <w:b/>
          <w:bCs/>
          <w:color w:val="000000"/>
          <w:sz w:val="32"/>
          <w:szCs w:val="32"/>
        </w:rPr>
        <w:t>SECURITIES AND EXCHANGE COMMISSION</w:t>
      </w:r>
    </w:p>
    <w:p w:rsidR="00000000" w:rsidRDefault="00B11388">
      <w:pPr>
        <w:ind w:firstLine="450"/>
        <w:jc w:val="center"/>
        <w:divId w:val="1427384511"/>
        <w:rPr>
          <w:rFonts w:eastAsia="Times New Roman"/>
        </w:rPr>
      </w:pPr>
      <w:r>
        <w:rPr>
          <w:rFonts w:eastAsia="Times New Roman"/>
          <w:b/>
          <w:bCs/>
          <w:color w:val="000000"/>
        </w:rPr>
        <w:t>Washington, D.C. 20549</w:t>
      </w:r>
    </w:p>
    <w:p w:rsidR="00000000" w:rsidRDefault="00B11388">
      <w:pPr>
        <w:ind w:firstLine="450"/>
        <w:jc w:val="center"/>
        <w:divId w:val="701593882"/>
        <w:rPr>
          <w:rFonts w:eastAsia="Times New Roman"/>
        </w:rPr>
      </w:pPr>
      <w:r>
        <w:rPr>
          <w:rFonts w:eastAsia="Times New Roman"/>
          <w:b/>
          <w:bCs/>
          <w:color w:val="000000"/>
          <w:sz w:val="32"/>
          <w:szCs w:val="32"/>
        </w:rPr>
        <w:t xml:space="preserve">FORM 10-Q </w:t>
      </w:r>
    </w:p>
    <w:p w:rsidR="00000000" w:rsidRDefault="00B11388">
      <w:pPr>
        <w:divId w:val="178394585"/>
        <w:rPr>
          <w:rFonts w:eastAsia="Times New Roman"/>
        </w:rPr>
      </w:pPr>
      <w:r>
        <w:rPr>
          <w:rFonts w:eastAsia="Times New Roman"/>
          <w:color w:val="000000"/>
          <w:sz w:val="20"/>
          <w:szCs w:val="20"/>
        </w:rPr>
        <w:t>(Mark One)</w:t>
      </w:r>
    </w:p>
    <w:tbl>
      <w:tblPr>
        <w:tblW w:w="4992" w:type="pct"/>
        <w:jc w:val="center"/>
        <w:tblCellMar>
          <w:top w:w="15" w:type="dxa"/>
          <w:left w:w="15" w:type="dxa"/>
          <w:bottom w:w="15" w:type="dxa"/>
          <w:right w:w="15" w:type="dxa"/>
        </w:tblCellMar>
        <w:tblLook w:val="04A0" w:firstRow="1" w:lastRow="0" w:firstColumn="1" w:lastColumn="0" w:noHBand="0" w:noVBand="1"/>
      </w:tblPr>
      <w:tblGrid>
        <w:gridCol w:w="94"/>
        <w:gridCol w:w="267"/>
        <w:gridCol w:w="36"/>
        <w:gridCol w:w="37"/>
        <w:gridCol w:w="7823"/>
        <w:gridCol w:w="36"/>
      </w:tblGrid>
      <w:tr w:rsidR="00000000">
        <w:trPr>
          <w:divId w:val="1700426767"/>
          <w:jc w:val="center"/>
        </w:trPr>
        <w:tc>
          <w:tcPr>
            <w:tcW w:w="50" w:type="pct"/>
            <w:vAlign w:val="center"/>
            <w:hideMark/>
          </w:tcPr>
          <w:p w:rsidR="00000000" w:rsidRDefault="00B11388">
            <w:pPr>
              <w:rPr>
                <w:rFonts w:eastAsia="Times New Roman"/>
              </w:rPr>
            </w:pPr>
          </w:p>
        </w:tc>
        <w:tc>
          <w:tcPr>
            <w:tcW w:w="14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4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700426767"/>
          <w:jc w:val="center"/>
        </w:trPr>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QUARTERLY REPORT PURSUANT TO SECTION 13 OR 15(d) OF THE SE</w:t>
            </w:r>
            <w:r>
              <w:rPr>
                <w:rFonts w:eastAsia="Times New Roman"/>
                <w:color w:val="000000"/>
                <w:sz w:val="20"/>
                <w:szCs w:val="20"/>
              </w:rPr>
              <w:t>CURITIES EXCHANGE ACT OF 1934</w:t>
            </w:r>
          </w:p>
        </w:tc>
      </w:tr>
      <w:tr w:rsidR="00000000">
        <w:trPr>
          <w:divId w:val="1700426767"/>
          <w:jc w:val="center"/>
        </w:trPr>
        <w:tc>
          <w:tcPr>
            <w:tcW w:w="0" w:type="auto"/>
            <w:gridSpan w:val="6"/>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b/>
                <w:bCs/>
                <w:color w:val="000000"/>
                <w:sz w:val="20"/>
                <w:szCs w:val="20"/>
              </w:rPr>
              <w:t>For the quarterly period ended July 2, 2021</w:t>
            </w:r>
          </w:p>
        </w:tc>
      </w:tr>
    </w:tbl>
    <w:p w:rsidR="00000000" w:rsidRDefault="00B11388">
      <w:pPr>
        <w:ind w:firstLine="450"/>
        <w:jc w:val="center"/>
        <w:divId w:val="1700426767"/>
        <w:rPr>
          <w:rFonts w:eastAsia="Times New Roman"/>
        </w:rPr>
      </w:pPr>
      <w:r>
        <w:rPr>
          <w:rFonts w:eastAsia="Times New Roman"/>
          <w:b/>
          <w:bCs/>
          <w:color w:val="000000"/>
          <w:sz w:val="20"/>
          <w:szCs w:val="20"/>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222"/>
        <w:gridCol w:w="36"/>
        <w:gridCol w:w="69"/>
        <w:gridCol w:w="7861"/>
        <w:gridCol w:w="37"/>
      </w:tblGrid>
      <w:tr w:rsidR="00000000">
        <w:trPr>
          <w:divId w:val="803473045"/>
          <w:jc w:val="center"/>
        </w:trPr>
        <w:tc>
          <w:tcPr>
            <w:tcW w:w="50" w:type="pct"/>
            <w:vAlign w:val="center"/>
            <w:hideMark/>
          </w:tcPr>
          <w:p w:rsidR="00000000" w:rsidRDefault="00B11388">
            <w:pPr>
              <w:ind w:firstLine="450"/>
              <w:jc w:val="center"/>
              <w:rPr>
                <w:rFonts w:eastAsia="Times New Roman"/>
              </w:rPr>
            </w:pPr>
          </w:p>
        </w:tc>
        <w:tc>
          <w:tcPr>
            <w:tcW w:w="14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4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803473045"/>
          <w:jc w:val="center"/>
        </w:trPr>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TRANSITION REPORT PURSUANT TO SECTION 13 OR 15(d) OF THE SECURITIES EXCHANGE ACT OF 1934</w:t>
            </w:r>
          </w:p>
        </w:tc>
      </w:tr>
      <w:tr w:rsidR="00000000">
        <w:trPr>
          <w:divId w:val="803473045"/>
          <w:jc w:val="center"/>
        </w:trPr>
        <w:tc>
          <w:tcPr>
            <w:tcW w:w="0" w:type="auto"/>
            <w:gridSpan w:val="6"/>
            <w:tcMar>
              <w:top w:w="30" w:type="dxa"/>
              <w:left w:w="20" w:type="dxa"/>
              <w:bottom w:w="30" w:type="dxa"/>
              <w:right w:w="20" w:type="dxa"/>
            </w:tcMar>
            <w:hideMark/>
          </w:tcPr>
          <w:p w:rsidR="00000000" w:rsidRDefault="00B11388">
            <w:pPr>
              <w:spacing w:after="100"/>
              <w:jc w:val="center"/>
              <w:divId w:val="535045783"/>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p>
        </w:tc>
      </w:tr>
    </w:tbl>
    <w:p w:rsidR="00000000" w:rsidRDefault="00B11388">
      <w:pPr>
        <w:ind w:firstLine="450"/>
        <w:jc w:val="center"/>
        <w:divId w:val="803473045"/>
        <w:rPr>
          <w:rFonts w:eastAsia="Times New Roman"/>
        </w:rPr>
      </w:pPr>
      <w:r>
        <w:rPr>
          <w:rFonts w:eastAsia="Times New Roman"/>
          <w:color w:val="000000"/>
          <w:sz w:val="20"/>
          <w:szCs w:val="20"/>
        </w:rPr>
        <w:t xml:space="preserve">Commission File Number: 1-3863 </w:t>
      </w:r>
    </w:p>
    <w:p w:rsidR="00000000" w:rsidRDefault="00B11388">
      <w:pPr>
        <w:ind w:firstLine="450"/>
        <w:jc w:val="center"/>
        <w:divId w:val="229116992"/>
        <w:rPr>
          <w:rFonts w:eastAsia="Times New Roman"/>
        </w:rPr>
      </w:pPr>
      <w:r>
        <w:rPr>
          <w:rFonts w:ascii="Arial" w:eastAsia="Times New Roman" w:hAnsi="Arial" w:cs="Arial"/>
          <w:b/>
          <w:bCs/>
          <w:color w:val="000000"/>
          <w:sz w:val="44"/>
          <w:szCs w:val="44"/>
        </w:rPr>
        <w:t xml:space="preserve">L3HARRIS TECHNOLOGIES, INC. </w:t>
      </w:r>
    </w:p>
    <w:p w:rsidR="00000000" w:rsidRDefault="00B11388">
      <w:pPr>
        <w:ind w:firstLine="450"/>
        <w:jc w:val="center"/>
        <w:divId w:val="2043556742"/>
        <w:rPr>
          <w:rFonts w:eastAsia="Times New Roman"/>
        </w:rPr>
      </w:pPr>
      <w:r>
        <w:rPr>
          <w:rFonts w:eastAsia="Times New Roman"/>
          <w:color w:val="000000"/>
          <w:sz w:val="18"/>
          <w:szCs w:val="18"/>
        </w:rPr>
        <w:t>(Exact name of registrant as specified in its charter)</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3038"/>
        <w:gridCol w:w="38"/>
        <w:gridCol w:w="69"/>
        <w:gridCol w:w="660"/>
        <w:gridCol w:w="36"/>
        <w:gridCol w:w="69"/>
        <w:gridCol w:w="1170"/>
        <w:gridCol w:w="36"/>
        <w:gridCol w:w="69"/>
        <w:gridCol w:w="2966"/>
        <w:gridCol w:w="37"/>
      </w:tblGrid>
      <w:tr w:rsidR="00000000">
        <w:trPr>
          <w:divId w:val="1490293376"/>
          <w:jc w:val="center"/>
        </w:trPr>
        <w:tc>
          <w:tcPr>
            <w:tcW w:w="50" w:type="pct"/>
            <w:vAlign w:val="center"/>
            <w:hideMark/>
          </w:tcPr>
          <w:p w:rsidR="00000000" w:rsidRDefault="00B11388">
            <w:pPr>
              <w:ind w:firstLine="450"/>
              <w:jc w:val="center"/>
              <w:rPr>
                <w:rFonts w:eastAsia="Times New Roman"/>
              </w:rPr>
            </w:pPr>
          </w:p>
        </w:tc>
        <w:tc>
          <w:tcPr>
            <w:tcW w:w="184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0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71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80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490293376"/>
          <w:jc w:val="center"/>
        </w:trPr>
        <w:tc>
          <w:tcPr>
            <w:tcW w:w="0" w:type="auto"/>
            <w:gridSpan w:val="6"/>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b/>
                <w:bCs/>
                <w:color w:val="000000"/>
                <w:sz w:val="18"/>
                <w:szCs w:val="18"/>
              </w:rPr>
              <w:t>34-0276860</w:t>
            </w:r>
          </w:p>
        </w:tc>
      </w:tr>
      <w:tr w:rsidR="00000000">
        <w:trPr>
          <w:divId w:val="1490293376"/>
          <w:jc w:val="center"/>
        </w:trPr>
        <w:tc>
          <w:tcPr>
            <w:tcW w:w="0" w:type="auto"/>
            <w:gridSpan w:val="6"/>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color w:val="000000"/>
                <w:sz w:val="16"/>
                <w:szCs w:val="16"/>
              </w:rPr>
              <w:t>(I.R.S. Employer Identification No.)</w:t>
            </w:r>
          </w:p>
        </w:tc>
      </w:tr>
    </w:tbl>
    <w:p w:rsidR="00000000" w:rsidRDefault="00B11388">
      <w:pPr>
        <w:ind w:firstLine="450"/>
        <w:jc w:val="center"/>
        <w:divId w:val="1490293376"/>
        <w:rPr>
          <w:rFonts w:eastAsia="Times New Roman"/>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62"/>
        <w:gridCol w:w="1735"/>
        <w:gridCol w:w="38"/>
        <w:gridCol w:w="85"/>
        <w:gridCol w:w="517"/>
        <w:gridCol w:w="37"/>
        <w:gridCol w:w="62"/>
        <w:gridCol w:w="1104"/>
        <w:gridCol w:w="36"/>
        <w:gridCol w:w="63"/>
        <w:gridCol w:w="1407"/>
        <w:gridCol w:w="36"/>
        <w:gridCol w:w="63"/>
        <w:gridCol w:w="2964"/>
        <w:gridCol w:w="36"/>
      </w:tblGrid>
      <w:tr w:rsidR="00000000">
        <w:trPr>
          <w:divId w:val="1490293376"/>
          <w:jc w:val="center"/>
        </w:trPr>
        <w:tc>
          <w:tcPr>
            <w:tcW w:w="50" w:type="pct"/>
            <w:vAlign w:val="center"/>
            <w:hideMark/>
          </w:tcPr>
          <w:p w:rsidR="00000000" w:rsidRDefault="00B11388">
            <w:pPr>
              <w:ind w:firstLine="450"/>
              <w:jc w:val="center"/>
              <w:rPr>
                <w:rFonts w:eastAsia="Times New Roman"/>
              </w:rPr>
            </w:pPr>
          </w:p>
        </w:tc>
        <w:tc>
          <w:tcPr>
            <w:tcW w:w="10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0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86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80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490293376"/>
          <w:jc w:val="center"/>
        </w:trPr>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90293376"/>
          <w:jc w:val="center"/>
        </w:trPr>
        <w:tc>
          <w:tcPr>
            <w:tcW w:w="0" w:type="auto"/>
            <w:gridSpan w:val="3"/>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8"/>
                <w:szCs w:val="18"/>
              </w:rPr>
              <w:t>32919</w:t>
            </w:r>
          </w:p>
        </w:tc>
      </w:tr>
      <w:tr w:rsidR="00000000">
        <w:trPr>
          <w:divId w:val="1490293376"/>
          <w:jc w:val="center"/>
        </w:trPr>
        <w:tc>
          <w:tcPr>
            <w:tcW w:w="0" w:type="auto"/>
            <w:gridSpan w:val="9"/>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r>
              <w:rPr>
                <w:rFonts w:eastAsia="Times New Roman"/>
                <w:color w:val="000000"/>
                <w:sz w:val="16"/>
                <w:szCs w:val="16"/>
              </w:rPr>
              <w:t>(Zip Code)</w:t>
            </w:r>
          </w:p>
        </w:tc>
      </w:tr>
    </w:tbl>
    <w:p w:rsidR="00000000" w:rsidRDefault="00B11388">
      <w:pPr>
        <w:ind w:firstLine="450"/>
        <w:jc w:val="center"/>
        <w:divId w:val="946933486"/>
        <w:rPr>
          <w:rFonts w:eastAsia="Times New Roman"/>
        </w:rPr>
      </w:pPr>
      <w:r>
        <w:rPr>
          <w:rFonts w:eastAsia="Times New Roman"/>
          <w:b/>
          <w:bCs/>
          <w:color w:val="000000"/>
          <w:sz w:val="18"/>
          <w:szCs w:val="18"/>
        </w:rPr>
        <w:t>Registrant’</w:t>
      </w:r>
      <w:r>
        <w:rPr>
          <w:rFonts w:eastAsia="Times New Roman"/>
          <w:b/>
          <w:bCs/>
          <w:color w:val="000000"/>
          <w:sz w:val="18"/>
          <w:szCs w:val="18"/>
        </w:rPr>
        <w:t xml:space="preserve">s telephone number, including area code: (321) 727-9100 </w:t>
      </w:r>
    </w:p>
    <w:tbl>
      <w:tblPr>
        <w:tblW w:w="4978" w:type="pct"/>
        <w:tblCellMar>
          <w:top w:w="15" w:type="dxa"/>
          <w:left w:w="15" w:type="dxa"/>
          <w:bottom w:w="15" w:type="dxa"/>
          <w:right w:w="15" w:type="dxa"/>
        </w:tblCellMar>
        <w:tblLook w:val="04A0" w:firstRow="1" w:lastRow="0" w:firstColumn="1" w:lastColumn="0" w:noHBand="0" w:noVBand="1"/>
      </w:tblPr>
      <w:tblGrid>
        <w:gridCol w:w="68"/>
        <w:gridCol w:w="2894"/>
        <w:gridCol w:w="39"/>
        <w:gridCol w:w="68"/>
        <w:gridCol w:w="221"/>
        <w:gridCol w:w="37"/>
        <w:gridCol w:w="68"/>
        <w:gridCol w:w="1509"/>
        <w:gridCol w:w="37"/>
        <w:gridCol w:w="69"/>
        <w:gridCol w:w="222"/>
        <w:gridCol w:w="36"/>
        <w:gridCol w:w="69"/>
        <w:gridCol w:w="2895"/>
        <w:gridCol w:w="37"/>
      </w:tblGrid>
      <w:tr w:rsidR="00000000">
        <w:trPr>
          <w:divId w:val="120804457"/>
        </w:trPr>
        <w:tc>
          <w:tcPr>
            <w:tcW w:w="50" w:type="pct"/>
            <w:vAlign w:val="center"/>
            <w:hideMark/>
          </w:tcPr>
          <w:p w:rsidR="00000000" w:rsidRDefault="00B11388">
            <w:pPr>
              <w:ind w:firstLine="450"/>
              <w:jc w:val="center"/>
              <w:rPr>
                <w:rFonts w:eastAsia="Times New Roman"/>
              </w:rPr>
            </w:pPr>
          </w:p>
        </w:tc>
        <w:tc>
          <w:tcPr>
            <w:tcW w:w="175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4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92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4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75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20804457"/>
        </w:trPr>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Securities registered pursuant to Section 12(b) of the Act:</w:t>
            </w:r>
          </w:p>
        </w:tc>
      </w:tr>
      <w:tr w:rsidR="00000000">
        <w:trPr>
          <w:divId w:val="120804457"/>
        </w:trPr>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12080445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color w:val="000000"/>
                <w:sz w:val="16"/>
                <w:szCs w:val="16"/>
              </w:rPr>
              <w:t>New York Stock Exchange</w:t>
            </w:r>
          </w:p>
        </w:tc>
      </w:tr>
    </w:tbl>
    <w:p w:rsidR="00000000" w:rsidRDefault="00B11388">
      <w:pPr>
        <w:ind w:firstLine="450"/>
        <w:divId w:val="120804457"/>
        <w:rPr>
          <w:rFonts w:eastAsia="Times New Roman"/>
        </w:rPr>
      </w:pPr>
      <w:r>
        <w:rPr>
          <w:rFonts w:eastAsia="Times New Roman"/>
          <w:color w:val="000000"/>
          <w:sz w:val="18"/>
          <w:szCs w:val="18"/>
        </w:rPr>
        <w:t>Indicate by check mark whether the registrant (l)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rsidR="00000000" w:rsidRDefault="00B11388">
      <w:pPr>
        <w:divId w:val="1508976894"/>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w:t>
      </w:r>
      <w:r>
        <w:rPr>
          <w:rFonts w:eastAsia="Times New Roman"/>
          <w:color w:val="000000"/>
          <w:sz w:val="18"/>
          <w:szCs w:val="18"/>
        </w:rPr>
        <w:t>ing the preceding 12 months (or for such shorter period that the registrant was required to submit such files).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rsidR="00000000" w:rsidRDefault="00B11388">
      <w:pPr>
        <w:divId w:val="1275598731"/>
        <w:rPr>
          <w:rFonts w:eastAsia="Times New Roman"/>
        </w:rPr>
      </w:pPr>
      <w:r>
        <w:rPr>
          <w:rFonts w:eastAsia="Times New Roman"/>
          <w:color w:val="000000"/>
          <w:sz w:val="18"/>
          <w:szCs w:val="18"/>
        </w:rPr>
        <w:lastRenderedPageBreak/>
        <w:t xml:space="preserve">Indicate by check mark whether the registrant is a large accelerated filer, </w:t>
      </w:r>
      <w:r>
        <w:rPr>
          <w:rFonts w:eastAsia="Times New Roman"/>
          <w:color w:val="000000"/>
          <w:sz w:val="18"/>
          <w:szCs w:val="18"/>
        </w:rPr>
        <w:t>an accelerated filer, a non-accelerated filer, a smaller reporting company, or an emerging growth company. See the definitions of “large accelerated filer,” “accelerated filer,” “smaller reporting company” and “emerging growth company” in Rule 12b-2 of the</w:t>
      </w:r>
      <w:r>
        <w:rPr>
          <w:rFonts w:eastAsia="Times New Roman"/>
          <w:color w:val="000000"/>
          <w:sz w:val="18"/>
          <w:szCs w:val="18"/>
        </w:rPr>
        <w:t xml:space="preserve"> Exchange Act.</w:t>
      </w:r>
    </w:p>
    <w:tbl>
      <w:tblPr>
        <w:tblW w:w="4883" w:type="pct"/>
        <w:tblCellMar>
          <w:top w:w="15" w:type="dxa"/>
          <w:left w:w="15" w:type="dxa"/>
          <w:bottom w:w="15" w:type="dxa"/>
          <w:right w:w="15" w:type="dxa"/>
        </w:tblCellMar>
        <w:tblLook w:val="04A0" w:firstRow="1" w:lastRow="0" w:firstColumn="1" w:lastColumn="0" w:noHBand="0" w:noVBand="1"/>
      </w:tblPr>
      <w:tblGrid>
        <w:gridCol w:w="37"/>
        <w:gridCol w:w="1747"/>
        <w:gridCol w:w="36"/>
        <w:gridCol w:w="36"/>
        <w:gridCol w:w="110"/>
        <w:gridCol w:w="36"/>
        <w:gridCol w:w="37"/>
        <w:gridCol w:w="188"/>
        <w:gridCol w:w="36"/>
        <w:gridCol w:w="37"/>
        <w:gridCol w:w="119"/>
        <w:gridCol w:w="36"/>
        <w:gridCol w:w="36"/>
        <w:gridCol w:w="3287"/>
        <w:gridCol w:w="36"/>
        <w:gridCol w:w="93"/>
        <w:gridCol w:w="1908"/>
        <w:gridCol w:w="36"/>
        <w:gridCol w:w="37"/>
        <w:gridCol w:w="188"/>
        <w:gridCol w:w="36"/>
      </w:tblGrid>
      <w:tr w:rsidR="00000000">
        <w:trPr>
          <w:divId w:val="1275598731"/>
        </w:trPr>
        <w:tc>
          <w:tcPr>
            <w:tcW w:w="50" w:type="pct"/>
            <w:vAlign w:val="center"/>
            <w:hideMark/>
          </w:tcPr>
          <w:p w:rsidR="00000000" w:rsidRDefault="00B11388">
            <w:pPr>
              <w:rPr>
                <w:rFonts w:eastAsia="Times New Roman"/>
              </w:rPr>
            </w:pPr>
          </w:p>
        </w:tc>
        <w:tc>
          <w:tcPr>
            <w:tcW w:w="114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1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3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1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210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03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3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27559873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ascii="Wingdings" w:eastAsia="Times New Roman" w:hAnsi="Wingdings"/>
                <w:color w:val="000000"/>
                <w:sz w:val="18"/>
                <w:szCs w:val="18"/>
              </w:rPr>
              <w:t>o</w:t>
            </w:r>
          </w:p>
        </w:tc>
      </w:tr>
      <w:tr w:rsidR="00000000">
        <w:trPr>
          <w:divId w:val="127559873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ascii="Wingdings" w:eastAsia="Times New Roman" w:hAnsi="Wingdings"/>
                <w:color w:val="000000"/>
                <w:sz w:val="18"/>
                <w:szCs w:val="18"/>
              </w:rPr>
              <w:t>☐</w:t>
            </w:r>
          </w:p>
        </w:tc>
      </w:tr>
      <w:tr w:rsidR="00000000">
        <w:trPr>
          <w:divId w:val="1275598731"/>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ascii="Wingdings" w:eastAsia="Times New Roman" w:hAnsi="Wingdings"/>
                <w:color w:val="000000"/>
                <w:sz w:val="18"/>
                <w:szCs w:val="18"/>
              </w:rPr>
              <w:t>☐</w:t>
            </w:r>
          </w:p>
        </w:tc>
      </w:tr>
    </w:tbl>
    <w:p w:rsidR="00000000" w:rsidRDefault="00B11388">
      <w:pPr>
        <w:divId w:val="1269199333"/>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o</w:t>
      </w:r>
    </w:p>
    <w:p w:rsidR="00000000" w:rsidRDefault="00B11388">
      <w:pPr>
        <w:divId w:val="52899650"/>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Yes   </w:t>
      </w:r>
      <w:r>
        <w:rPr>
          <w:rFonts w:ascii="Wingdings" w:eastAsia="Times New Roman" w:hAnsi="Wingdings"/>
          <w:color w:val="000000"/>
          <w:sz w:val="18"/>
          <w:szCs w:val="18"/>
        </w:rPr>
        <w:t>þ</w:t>
      </w:r>
      <w:r>
        <w:rPr>
          <w:rFonts w:eastAsia="Times New Roman"/>
          <w:color w:val="000000"/>
          <w:sz w:val="18"/>
          <w:szCs w:val="18"/>
        </w:rPr>
        <w:t>  No</w:t>
      </w:r>
    </w:p>
    <w:p w:rsidR="00000000" w:rsidRDefault="00B11388">
      <w:pPr>
        <w:divId w:val="123472519"/>
        <w:rPr>
          <w:rFonts w:eastAsia="Times New Roman"/>
        </w:rPr>
      </w:pPr>
      <w:r>
        <w:rPr>
          <w:rFonts w:eastAsia="Times New Roman"/>
          <w:color w:val="000000"/>
          <w:sz w:val="18"/>
          <w:szCs w:val="18"/>
        </w:rPr>
        <w:t xml:space="preserve">The number of shares outstanding of the registrant’s common stock as of July 30, 2021 was 200,943,675 shares. </w:t>
      </w:r>
    </w:p>
    <w:p w:rsidR="00000000" w:rsidRDefault="00B11388">
      <w:pPr>
        <w:ind w:firstLine="450"/>
        <w:divId w:val="1566722846"/>
        <w:rPr>
          <w:rFonts w:eastAsia="Times New Roman"/>
        </w:rPr>
      </w:pPr>
    </w:p>
    <w:p w:rsidR="00000000" w:rsidRDefault="00B11388">
      <w:pPr>
        <w:rPr>
          <w:rFonts w:eastAsia="Times New Roman"/>
        </w:rPr>
      </w:pPr>
      <w:r>
        <w:rPr>
          <w:rFonts w:eastAsia="Times New Roman"/>
        </w:rPr>
        <w:pict>
          <v:rect id="_x0000_i1026" style="width:0;height:1.5pt" o:hralign="center" o:hrstd="t" o:hr="t" fillcolor="#a0a0a0" stroked="f"/>
        </w:pict>
      </w:r>
    </w:p>
    <w:p w:rsidR="00000000" w:rsidRDefault="00B11388">
      <w:pPr>
        <w:ind w:firstLine="450"/>
        <w:divId w:val="1091513989"/>
        <w:rPr>
          <w:rFonts w:eastAsia="Times New Roman"/>
        </w:rPr>
      </w:pPr>
    </w:p>
    <w:p w:rsidR="00000000" w:rsidRDefault="00B11388">
      <w:pPr>
        <w:ind w:firstLine="450"/>
        <w:divId w:val="1276254821"/>
        <w:rPr>
          <w:rFonts w:eastAsia="Times New Roman"/>
        </w:rPr>
      </w:pPr>
    </w:p>
    <w:p w:rsidR="00000000" w:rsidRDefault="00B11388">
      <w:pPr>
        <w:ind w:firstLine="450"/>
        <w:jc w:val="center"/>
        <w:divId w:val="955647552"/>
        <w:rPr>
          <w:rFonts w:eastAsia="Times New Roman"/>
        </w:rPr>
      </w:pPr>
      <w:r>
        <w:rPr>
          <w:rFonts w:eastAsia="Times New Roman"/>
          <w:b/>
          <w:bCs/>
          <w:color w:val="000000"/>
          <w:sz w:val="20"/>
          <w:szCs w:val="20"/>
        </w:rPr>
        <w:t>L3HARRIS TECHNOLOGIES, INC.</w:t>
      </w:r>
    </w:p>
    <w:p w:rsidR="00000000" w:rsidRDefault="00B11388">
      <w:pPr>
        <w:ind w:firstLine="450"/>
        <w:jc w:val="center"/>
        <w:divId w:val="1318732311"/>
        <w:rPr>
          <w:rFonts w:eastAsia="Times New Roman"/>
        </w:rPr>
      </w:pPr>
      <w:r>
        <w:rPr>
          <w:rFonts w:eastAsia="Times New Roman"/>
          <w:b/>
          <w:bCs/>
          <w:color w:val="000000"/>
          <w:sz w:val="20"/>
          <w:szCs w:val="20"/>
        </w:rPr>
        <w:t>FORM 10-Q</w:t>
      </w:r>
    </w:p>
    <w:p w:rsidR="00000000" w:rsidRDefault="00B11388">
      <w:pPr>
        <w:ind w:firstLine="450"/>
        <w:jc w:val="center"/>
        <w:divId w:val="2013606081"/>
        <w:rPr>
          <w:rFonts w:eastAsia="Times New Roman"/>
        </w:rPr>
      </w:pPr>
      <w:r>
        <w:rPr>
          <w:rFonts w:eastAsia="Times New Roman"/>
          <w:b/>
          <w:bCs/>
          <w:color w:val="000000"/>
          <w:sz w:val="20"/>
          <w:szCs w:val="20"/>
        </w:rPr>
        <w:t xml:space="preserve">For the Quarter Ended July 2, 2021 </w:t>
      </w:r>
    </w:p>
    <w:p w:rsidR="00000000" w:rsidRDefault="00B11388">
      <w:pPr>
        <w:ind w:firstLine="450"/>
        <w:jc w:val="center"/>
        <w:divId w:val="1692950052"/>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569"/>
        <w:gridCol w:w="38"/>
        <w:gridCol w:w="69"/>
        <w:gridCol w:w="526"/>
        <w:gridCol w:w="36"/>
      </w:tblGrid>
      <w:tr w:rsidR="00000000">
        <w:trPr>
          <w:divId w:val="588077158"/>
          <w:jc w:val="center"/>
        </w:trPr>
        <w:tc>
          <w:tcPr>
            <w:tcW w:w="50" w:type="pct"/>
            <w:vAlign w:val="center"/>
            <w:hideMark/>
          </w:tcPr>
          <w:p w:rsidR="00000000" w:rsidRDefault="00B11388">
            <w:pPr>
              <w:ind w:firstLine="450"/>
              <w:jc w:val="center"/>
              <w:rPr>
                <w:rFonts w:eastAsia="Times New Roman"/>
              </w:rPr>
            </w:pPr>
          </w:p>
        </w:tc>
        <w:tc>
          <w:tcPr>
            <w:tcW w:w="45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588077158"/>
          <w:jc w:val="center"/>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8"/>
                <w:szCs w:val="18"/>
              </w:rPr>
              <w:t>Page</w:t>
            </w:r>
            <w:r>
              <w:rPr>
                <w:rFonts w:eastAsia="Times New Roman"/>
                <w:b/>
                <w:bCs/>
                <w:color w:val="000000"/>
                <w:sz w:val="18"/>
                <w:szCs w:val="18"/>
              </w:rPr>
              <w:br/>
              <w:t>No.</w:t>
            </w:r>
          </w:p>
        </w:tc>
      </w:tr>
      <w:tr w:rsidR="00000000">
        <w:trPr>
          <w:divId w:val="588077158"/>
          <w:jc w:val="center"/>
        </w:trPr>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b/>
                <w:bCs/>
                <w:color w:val="000000"/>
                <w:sz w:val="18"/>
                <w:szCs w:val="18"/>
              </w:rPr>
              <w:t>Part I. Financial Information:</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1. Financial Statements (Unaudited):</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r>
      <w:tr w:rsidR="00000000">
        <w:trPr>
          <w:divId w:val="588077158"/>
          <w:jc w:val="center"/>
        </w:trPr>
        <w:tc>
          <w:tcPr>
            <w:tcW w:w="0" w:type="auto"/>
            <w:gridSpan w:val="3"/>
            <w:tcMar>
              <w:top w:w="30" w:type="dxa"/>
              <w:left w:w="20" w:type="dxa"/>
              <w:bottom w:w="30" w:type="dxa"/>
              <w:right w:w="20" w:type="dxa"/>
            </w:tcMar>
            <w:hideMark/>
          </w:tcPr>
          <w:p w:rsidR="00000000" w:rsidRDefault="00B11388">
            <w:pPr>
              <w:spacing w:after="100"/>
              <w:divId w:val="954362993"/>
              <w:rPr>
                <w:rFonts w:eastAsia="Times New Roman"/>
              </w:rPr>
            </w:pPr>
            <w:r>
              <w:rPr>
                <w:rFonts w:eastAsia="Times New Roman"/>
                <w:color w:val="000000"/>
                <w:sz w:val="18"/>
                <w:szCs w:val="18"/>
              </w:rPr>
              <w:t>Condensed Consolidated Statement of Income for the Quarter and Two Quarters Ended July 2, 2021 and July 3, 2020</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6" w:history="1">
              <w:r>
                <w:rPr>
                  <w:rStyle w:val="a3"/>
                  <w:rFonts w:eastAsia="Times New Roman"/>
                  <w:color w:val="000000"/>
                  <w:sz w:val="18"/>
                  <w:szCs w:val="18"/>
                  <w:u w:val="none"/>
                </w:rPr>
                <w:t>1</w:t>
              </w:r>
            </w:hyperlink>
          </w:p>
        </w:tc>
      </w:tr>
      <w:tr w:rsidR="00000000">
        <w:trPr>
          <w:divId w:val="588077158"/>
          <w:jc w:val="center"/>
        </w:trPr>
        <w:tc>
          <w:tcPr>
            <w:tcW w:w="0" w:type="auto"/>
            <w:gridSpan w:val="3"/>
            <w:tcMar>
              <w:top w:w="30" w:type="dxa"/>
              <w:left w:w="20" w:type="dxa"/>
              <w:bottom w:w="30" w:type="dxa"/>
              <w:right w:w="20" w:type="dxa"/>
            </w:tcMar>
            <w:hideMark/>
          </w:tcPr>
          <w:p w:rsidR="00000000" w:rsidRDefault="00B11388">
            <w:pPr>
              <w:spacing w:after="100"/>
              <w:divId w:val="1260723560"/>
              <w:rPr>
                <w:rFonts w:eastAsia="Times New Roman"/>
              </w:rPr>
            </w:pPr>
            <w:r>
              <w:rPr>
                <w:rFonts w:eastAsia="Times New Roman"/>
                <w:color w:val="000000"/>
                <w:sz w:val="18"/>
                <w:szCs w:val="18"/>
              </w:rPr>
              <w:t>Condensed Consolidated Statement of Comprehensive Income for the Quarter and T</w:t>
            </w:r>
            <w:r>
              <w:rPr>
                <w:rFonts w:eastAsia="Times New Roman"/>
                <w:color w:val="000000"/>
                <w:sz w:val="18"/>
                <w:szCs w:val="18"/>
              </w:rPr>
              <w:t>wo Quarters Ended July 2, 2021 and July 3, 2020</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hyperlink w:anchor="if19107e92d64470b9104a0eb084bc506_19" w:history="1">
              <w:r>
                <w:rPr>
                  <w:rStyle w:val="a3"/>
                  <w:rFonts w:eastAsia="Times New Roman"/>
                  <w:color w:val="000000"/>
                  <w:sz w:val="18"/>
                  <w:szCs w:val="18"/>
                  <w:u w:val="none"/>
                </w:rPr>
                <w:t>2</w:t>
              </w:r>
            </w:hyperlink>
          </w:p>
        </w:tc>
      </w:tr>
      <w:tr w:rsidR="00000000">
        <w:trPr>
          <w:divId w:val="588077158"/>
          <w:jc w:val="center"/>
        </w:trPr>
        <w:tc>
          <w:tcPr>
            <w:tcW w:w="0" w:type="auto"/>
            <w:gridSpan w:val="3"/>
            <w:tcMar>
              <w:top w:w="30" w:type="dxa"/>
              <w:left w:w="20" w:type="dxa"/>
              <w:bottom w:w="30" w:type="dxa"/>
              <w:right w:w="20" w:type="dxa"/>
            </w:tcMar>
            <w:hideMark/>
          </w:tcPr>
          <w:p w:rsidR="00000000" w:rsidRDefault="00B11388">
            <w:pPr>
              <w:spacing w:after="100"/>
              <w:divId w:val="865749256"/>
              <w:rPr>
                <w:rFonts w:eastAsia="Times New Roman"/>
              </w:rPr>
            </w:pPr>
            <w:r>
              <w:rPr>
                <w:rFonts w:eastAsia="Times New Roman"/>
                <w:color w:val="000000"/>
                <w:sz w:val="18"/>
                <w:szCs w:val="18"/>
              </w:rPr>
              <w:t>Condensed Consolidated Balance Sheet at July 2, 2021 and January 1, 2021</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22" w:history="1">
              <w:r>
                <w:rPr>
                  <w:rStyle w:val="a3"/>
                  <w:rFonts w:eastAsia="Times New Roman"/>
                  <w:color w:val="000000"/>
                  <w:sz w:val="18"/>
                  <w:szCs w:val="18"/>
                  <w:u w:val="none"/>
                </w:rPr>
                <w:t>3</w:t>
              </w:r>
            </w:hyperlink>
          </w:p>
        </w:tc>
      </w:tr>
      <w:tr w:rsidR="00000000">
        <w:trPr>
          <w:divId w:val="588077158"/>
          <w:jc w:val="center"/>
        </w:trPr>
        <w:tc>
          <w:tcPr>
            <w:tcW w:w="0" w:type="auto"/>
            <w:gridSpan w:val="3"/>
            <w:tcMar>
              <w:top w:w="30" w:type="dxa"/>
              <w:left w:w="20" w:type="dxa"/>
              <w:bottom w:w="30" w:type="dxa"/>
              <w:right w:w="20" w:type="dxa"/>
            </w:tcMar>
            <w:hideMark/>
          </w:tcPr>
          <w:p w:rsidR="00000000" w:rsidRDefault="00B11388">
            <w:pPr>
              <w:spacing w:after="100"/>
              <w:divId w:val="1291326771"/>
              <w:rPr>
                <w:rFonts w:eastAsia="Times New Roman"/>
              </w:rPr>
            </w:pPr>
            <w:r>
              <w:rPr>
                <w:rFonts w:eastAsia="Times New Roman"/>
                <w:color w:val="000000"/>
                <w:sz w:val="18"/>
                <w:szCs w:val="18"/>
              </w:rPr>
              <w:t>Condensed Consolidated Statement of Cash Flows for the Two Quarters Ended July 2, 2021 and July 3, 2020</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25" w:history="1">
              <w:r>
                <w:rPr>
                  <w:rStyle w:val="a3"/>
                  <w:rFonts w:eastAsia="Times New Roman"/>
                  <w:color w:val="000000"/>
                  <w:sz w:val="18"/>
                  <w:szCs w:val="18"/>
                  <w:u w:val="none"/>
                </w:rPr>
                <w:t>4</w:t>
              </w:r>
            </w:hyperlink>
          </w:p>
        </w:tc>
      </w:tr>
      <w:tr w:rsidR="00000000">
        <w:trPr>
          <w:divId w:val="588077158"/>
          <w:jc w:val="center"/>
        </w:trPr>
        <w:tc>
          <w:tcPr>
            <w:tcW w:w="0" w:type="auto"/>
            <w:gridSpan w:val="3"/>
            <w:tcMar>
              <w:top w:w="30" w:type="dxa"/>
              <w:left w:w="20" w:type="dxa"/>
              <w:bottom w:w="30" w:type="dxa"/>
              <w:right w:w="20" w:type="dxa"/>
            </w:tcMar>
            <w:hideMark/>
          </w:tcPr>
          <w:p w:rsidR="00000000" w:rsidRDefault="00B11388">
            <w:pPr>
              <w:spacing w:after="100"/>
              <w:divId w:val="1682538368"/>
              <w:rPr>
                <w:rFonts w:eastAsia="Times New Roman"/>
              </w:rPr>
            </w:pPr>
            <w:r>
              <w:rPr>
                <w:rFonts w:eastAsia="Times New Roman"/>
                <w:color w:val="000000"/>
                <w:sz w:val="18"/>
                <w:szCs w:val="18"/>
              </w:rPr>
              <w:t>Condensed Consolidated Statement of Equity for the Quarter and Two Quarters Ended July 2, 2021 and July 3, 2020</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hyperlink w:anchor="if19107e92d64470b9104a0eb084bc506_28" w:history="1">
              <w:r>
                <w:rPr>
                  <w:rStyle w:val="a3"/>
                  <w:rFonts w:eastAsia="Times New Roman"/>
                  <w:color w:val="000000"/>
                  <w:sz w:val="18"/>
                  <w:szCs w:val="18"/>
                  <w:u w:val="none"/>
                </w:rPr>
                <w:t>5</w:t>
              </w:r>
            </w:hyperlink>
          </w:p>
        </w:tc>
      </w:tr>
      <w:tr w:rsidR="00000000">
        <w:trPr>
          <w:divId w:val="588077158"/>
          <w:jc w:val="center"/>
        </w:trPr>
        <w:tc>
          <w:tcPr>
            <w:tcW w:w="0" w:type="auto"/>
            <w:gridSpan w:val="3"/>
            <w:tcMar>
              <w:top w:w="30" w:type="dxa"/>
              <w:left w:w="245" w:type="dxa"/>
              <w:bottom w:w="30" w:type="dxa"/>
              <w:right w:w="20" w:type="dxa"/>
            </w:tcMar>
            <w:hideMark/>
          </w:tcPr>
          <w:p w:rsidR="00000000" w:rsidRDefault="00B11388">
            <w:pPr>
              <w:spacing w:after="100"/>
              <w:rPr>
                <w:rFonts w:eastAsia="Times New Roman"/>
              </w:rPr>
            </w:pPr>
            <w:r>
              <w:rPr>
                <w:rFonts w:eastAsia="Times New Roman"/>
                <w:color w:val="000000"/>
                <w:sz w:val="18"/>
                <w:szCs w:val="18"/>
              </w:rPr>
              <w:t>Notes to Conde</w:t>
            </w:r>
            <w:r>
              <w:rPr>
                <w:rFonts w:eastAsia="Times New Roman"/>
                <w:color w:val="000000"/>
                <w:sz w:val="18"/>
                <w:szCs w:val="18"/>
              </w:rPr>
              <w:t>nsed Consolidated Financial Statements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31" w:history="1">
              <w:r>
                <w:rPr>
                  <w:rStyle w:val="a3"/>
                  <w:rFonts w:eastAsia="Times New Roman"/>
                  <w:color w:val="000000"/>
                  <w:sz w:val="18"/>
                  <w:szCs w:val="18"/>
                  <w:u w:val="none"/>
                </w:rPr>
                <w:t>6</w:t>
              </w:r>
            </w:hyperlink>
          </w:p>
        </w:tc>
      </w:tr>
      <w:tr w:rsidR="00000000">
        <w:trPr>
          <w:divId w:val="588077158"/>
          <w:jc w:val="center"/>
        </w:trPr>
        <w:tc>
          <w:tcPr>
            <w:tcW w:w="0" w:type="auto"/>
            <w:gridSpan w:val="3"/>
            <w:tcMar>
              <w:top w:w="30" w:type="dxa"/>
              <w:left w:w="245" w:type="dxa"/>
              <w:bottom w:w="30" w:type="dxa"/>
              <w:right w:w="20" w:type="dxa"/>
            </w:tcMar>
            <w:hideMark/>
          </w:tcPr>
          <w:p w:rsidR="00000000" w:rsidRDefault="00B11388">
            <w:pPr>
              <w:spacing w:after="100"/>
              <w:rPr>
                <w:rFonts w:eastAsia="Times New Roman"/>
              </w:rPr>
            </w:pPr>
            <w:r>
              <w:rPr>
                <w:rFonts w:eastAsia="Times New Roman"/>
                <w:color w:val="000000"/>
                <w:sz w:val="18"/>
                <w:szCs w:val="18"/>
              </w:rPr>
              <w:t>Report of Independent Registered Public Accounting Firm</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12" w:history="1">
              <w:r>
                <w:rPr>
                  <w:rStyle w:val="a3"/>
                  <w:rFonts w:eastAsia="Times New Roman"/>
                  <w:color w:val="000000"/>
                  <w:sz w:val="18"/>
                  <w:szCs w:val="18"/>
                  <w:u w:val="none"/>
                </w:rPr>
                <w:t>26</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w:t>
            </w:r>
            <w:r>
              <w:rPr>
                <w:rFonts w:eastAsia="Times New Roman"/>
                <w:color w:val="000000"/>
                <w:sz w:val="18"/>
                <w:szCs w:val="18"/>
              </w:rPr>
              <w:t>2. Management’s Discussion and Analysis of Financial Condition and Results of Operations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15" w:history="1">
              <w:r>
                <w:rPr>
                  <w:rStyle w:val="a3"/>
                  <w:rFonts w:eastAsia="Times New Roman"/>
                  <w:color w:val="000000"/>
                  <w:sz w:val="18"/>
                  <w:szCs w:val="18"/>
                  <w:u w:val="none"/>
                </w:rPr>
                <w:t>27</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3. Quantitative and Qualitative Disclosures About Market Risk</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33" w:history="1">
              <w:r>
                <w:rPr>
                  <w:rStyle w:val="a3"/>
                  <w:rFonts w:eastAsia="Times New Roman"/>
                  <w:color w:val="000000"/>
                  <w:sz w:val="18"/>
                  <w:szCs w:val="18"/>
                  <w:u w:val="none"/>
                </w:rPr>
                <w:t>41</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4. Controls and Procedures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36" w:history="1">
              <w:r>
                <w:rPr>
                  <w:rStyle w:val="a3"/>
                  <w:rFonts w:eastAsia="Times New Roman"/>
                  <w:color w:val="000000"/>
                  <w:sz w:val="18"/>
                  <w:szCs w:val="18"/>
                  <w:u w:val="none"/>
                </w:rPr>
                <w:t>42</w:t>
              </w:r>
            </w:hyperlink>
          </w:p>
        </w:tc>
      </w:tr>
      <w:tr w:rsidR="00000000">
        <w:trPr>
          <w:divId w:val="588077158"/>
          <w:trHeight w:val="60"/>
          <w:jc w:val="center"/>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588077158"/>
          <w:jc w:val="center"/>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8"/>
                <w:szCs w:val="18"/>
              </w:rPr>
              <w:t>Part II. Other Information:</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1. Legal Proceedings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42" w:history="1">
              <w:r>
                <w:rPr>
                  <w:rStyle w:val="a3"/>
                  <w:rFonts w:eastAsia="Times New Roman"/>
                  <w:color w:val="000000"/>
                  <w:sz w:val="18"/>
                  <w:szCs w:val="18"/>
                  <w:u w:val="none"/>
                </w:rPr>
                <w:t>43</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1A. Risk Factors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45" w:history="1">
              <w:r>
                <w:rPr>
                  <w:rStyle w:val="a3"/>
                  <w:rFonts w:eastAsia="Times New Roman"/>
                  <w:color w:val="000000"/>
                  <w:sz w:val="18"/>
                  <w:szCs w:val="18"/>
                  <w:u w:val="none"/>
                </w:rPr>
                <w:t>43</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w:t>
            </w:r>
            <w:r>
              <w:rPr>
                <w:rFonts w:eastAsia="Times New Roman"/>
                <w:color w:val="000000"/>
                <w:sz w:val="18"/>
                <w:szCs w:val="18"/>
              </w:rPr>
              <w:t>2. Unregistered Sales of Equity Securities and Use of Proceeds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48" w:history="1">
              <w:r>
                <w:rPr>
                  <w:rStyle w:val="a3"/>
                  <w:rFonts w:eastAsia="Times New Roman"/>
                  <w:color w:val="000000"/>
                  <w:sz w:val="18"/>
                  <w:szCs w:val="18"/>
                  <w:u w:val="none"/>
                </w:rPr>
                <w:t>43</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lastRenderedPageBreak/>
              <w:t>Item 3. Defaults Upon Senior Securities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51" w:history="1">
              <w:r>
                <w:rPr>
                  <w:rStyle w:val="a3"/>
                  <w:rFonts w:eastAsia="Times New Roman"/>
                  <w:color w:val="000000"/>
                  <w:sz w:val="18"/>
                  <w:szCs w:val="18"/>
                  <w:u w:val="none"/>
                </w:rPr>
                <w:t>44</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4. Mine Safe</w:t>
            </w:r>
            <w:r>
              <w:rPr>
                <w:rFonts w:eastAsia="Times New Roman"/>
                <w:color w:val="000000"/>
                <w:sz w:val="18"/>
                <w:szCs w:val="18"/>
              </w:rPr>
              <w:t>ty Disclosures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54" w:history="1">
              <w:r>
                <w:rPr>
                  <w:rStyle w:val="a3"/>
                  <w:rFonts w:eastAsia="Times New Roman"/>
                  <w:color w:val="000000"/>
                  <w:sz w:val="18"/>
                  <w:szCs w:val="18"/>
                  <w:u w:val="none"/>
                </w:rPr>
                <w:t>44</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5. Other Information</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57" w:history="1">
              <w:r>
                <w:rPr>
                  <w:rStyle w:val="a3"/>
                  <w:rFonts w:eastAsia="Times New Roman"/>
                  <w:color w:val="000000"/>
                  <w:sz w:val="18"/>
                  <w:szCs w:val="18"/>
                  <w:u w:val="none"/>
                </w:rPr>
                <w:t>44</w:t>
              </w:r>
            </w:hyperlink>
          </w:p>
        </w:tc>
      </w:tr>
      <w:tr w:rsidR="00000000">
        <w:trPr>
          <w:divId w:val="588077158"/>
          <w:jc w:val="center"/>
        </w:trPr>
        <w:tc>
          <w:tcPr>
            <w:tcW w:w="0" w:type="auto"/>
            <w:gridSpan w:val="3"/>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18"/>
                <w:szCs w:val="18"/>
              </w:rPr>
              <w:t>Item 6. Exhibits</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60" w:history="1">
              <w:r>
                <w:rPr>
                  <w:rStyle w:val="a3"/>
                  <w:rFonts w:eastAsia="Times New Roman"/>
                  <w:color w:val="000000"/>
                  <w:sz w:val="18"/>
                  <w:szCs w:val="18"/>
                  <w:u w:val="none"/>
                </w:rPr>
                <w:t>44</w:t>
              </w:r>
            </w:hyperlink>
          </w:p>
        </w:tc>
      </w:tr>
      <w:tr w:rsidR="00000000">
        <w:trPr>
          <w:divId w:val="588077158"/>
          <w:trHeight w:val="60"/>
          <w:jc w:val="center"/>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588077158"/>
          <w:jc w:val="center"/>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8"/>
                <w:szCs w:val="18"/>
              </w:rPr>
              <w:t>Signature</w:t>
            </w:r>
          </w:p>
        </w:tc>
        <w:tc>
          <w:tcPr>
            <w:tcW w:w="0" w:type="auto"/>
            <w:gridSpan w:val="3"/>
            <w:tcMar>
              <w:top w:w="30" w:type="dxa"/>
              <w:left w:w="20" w:type="dxa"/>
              <w:bottom w:w="30" w:type="dxa"/>
              <w:right w:w="20" w:type="dxa"/>
            </w:tcMar>
            <w:hideMark/>
          </w:tcPr>
          <w:p w:rsidR="00000000" w:rsidRDefault="00B11388">
            <w:pPr>
              <w:spacing w:after="100"/>
              <w:jc w:val="center"/>
              <w:rPr>
                <w:rFonts w:eastAsia="Times New Roman"/>
              </w:rPr>
            </w:pPr>
            <w:hyperlink w:anchor="if19107e92d64470b9104a0eb084bc506_163" w:history="1">
              <w:r>
                <w:rPr>
                  <w:rStyle w:val="a3"/>
                  <w:rFonts w:eastAsia="Times New Roman"/>
                  <w:color w:val="000000"/>
                  <w:sz w:val="18"/>
                  <w:szCs w:val="18"/>
                  <w:u w:val="none"/>
                </w:rPr>
                <w:t>45</w:t>
              </w:r>
            </w:hyperlink>
          </w:p>
        </w:tc>
      </w:tr>
    </w:tbl>
    <w:p w:rsidR="00000000" w:rsidRDefault="00B11388">
      <w:pPr>
        <w:ind w:firstLine="450"/>
        <w:divId w:val="1378235643"/>
        <w:rPr>
          <w:rFonts w:eastAsia="Times New Roman"/>
        </w:rPr>
      </w:pPr>
      <w:r>
        <w:rPr>
          <w:rFonts w:eastAsia="Times New Roman"/>
          <w:color w:val="000000"/>
          <w:sz w:val="18"/>
          <w:szCs w:val="18"/>
        </w:rPr>
        <w:t xml:space="preserve">This Report contains trademarks, service marks and registered marks of L3Harris Technologies, Inc. and its subsidiaries. All other trademarks are the property of their respective owners. </w:t>
      </w:r>
    </w:p>
    <w:p w:rsidR="00000000" w:rsidRDefault="00B11388">
      <w:pPr>
        <w:ind w:firstLine="450"/>
        <w:divId w:val="518468055"/>
        <w:rPr>
          <w:rFonts w:eastAsia="Times New Roman"/>
        </w:rPr>
      </w:pPr>
    </w:p>
    <w:p w:rsidR="00000000" w:rsidRDefault="00B11388">
      <w:pPr>
        <w:ind w:firstLine="450"/>
        <w:divId w:val="480930674"/>
        <w:rPr>
          <w:rFonts w:eastAsia="Times New Roman"/>
        </w:rPr>
      </w:pPr>
    </w:p>
    <w:p w:rsidR="00000000" w:rsidRDefault="00B11388">
      <w:pPr>
        <w:ind w:firstLine="450"/>
        <w:jc w:val="center"/>
        <w:divId w:val="571162131"/>
        <w:rPr>
          <w:rFonts w:eastAsia="Times New Roman"/>
        </w:rPr>
      </w:pPr>
    </w:p>
    <w:p w:rsidR="00000000" w:rsidRDefault="00B11388">
      <w:pPr>
        <w:rPr>
          <w:rFonts w:eastAsia="Times New Roman"/>
        </w:rPr>
      </w:pPr>
      <w:r>
        <w:rPr>
          <w:rFonts w:eastAsia="Times New Roman"/>
        </w:rPr>
        <w:pict>
          <v:rect id="_x0000_i1027" style="width:0;height:1.5pt" o:hralign="center" o:hrstd="t" o:hr="t" fillcolor="#a0a0a0" stroked="f"/>
        </w:pict>
      </w:r>
    </w:p>
    <w:p w:rsidR="00000000" w:rsidRDefault="00B11388">
      <w:pPr>
        <w:ind w:firstLine="450"/>
        <w:divId w:val="491874535"/>
        <w:rPr>
          <w:rFonts w:eastAsia="Times New Roman"/>
        </w:rPr>
      </w:pPr>
    </w:p>
    <w:p w:rsidR="00000000" w:rsidRDefault="00B11388">
      <w:pPr>
        <w:ind w:firstLine="450"/>
        <w:divId w:val="381757515"/>
        <w:rPr>
          <w:rFonts w:eastAsia="Times New Roman"/>
        </w:rPr>
      </w:pPr>
    </w:p>
    <w:p w:rsidR="00000000" w:rsidRDefault="00B11388">
      <w:pPr>
        <w:ind w:firstLine="450"/>
        <w:jc w:val="center"/>
        <w:divId w:val="1086149508"/>
        <w:rPr>
          <w:rFonts w:eastAsia="Times New Roman"/>
        </w:rPr>
      </w:pPr>
      <w:r>
        <w:rPr>
          <w:rFonts w:eastAsia="Times New Roman"/>
          <w:b/>
          <w:bCs/>
          <w:color w:val="000000"/>
          <w:sz w:val="20"/>
          <w:szCs w:val="20"/>
        </w:rPr>
        <w:t>PART I. FINANCIAL INFO</w:t>
      </w:r>
      <w:r>
        <w:rPr>
          <w:rFonts w:eastAsia="Times New Roman"/>
          <w:b/>
          <w:bCs/>
          <w:color w:val="000000"/>
          <w:sz w:val="20"/>
          <w:szCs w:val="20"/>
        </w:rPr>
        <w:t>RMATION</w:t>
      </w:r>
    </w:p>
    <w:p w:rsidR="00000000" w:rsidRDefault="00B11388">
      <w:pPr>
        <w:divId w:val="240415275"/>
        <w:rPr>
          <w:rFonts w:eastAsia="Times New Roman"/>
        </w:rPr>
      </w:pPr>
      <w:r>
        <w:rPr>
          <w:rFonts w:eastAsia="Times New Roman"/>
          <w:b/>
          <w:bCs/>
          <w:color w:val="000000"/>
          <w:sz w:val="20"/>
          <w:szCs w:val="20"/>
        </w:rPr>
        <w:t>Item 1. Financial Statements (Unaudited).</w:t>
      </w:r>
    </w:p>
    <w:p w:rsidR="00000000" w:rsidRDefault="00B11388">
      <w:pPr>
        <w:ind w:firstLine="450"/>
        <w:jc w:val="center"/>
        <w:divId w:val="2003389368"/>
        <w:rPr>
          <w:rFonts w:eastAsia="Times New Roman"/>
        </w:rPr>
      </w:pPr>
      <w:r>
        <w:rPr>
          <w:rFonts w:eastAsia="Times New Roman"/>
          <w:b/>
          <w:bCs/>
          <w:color w:val="000000"/>
          <w:sz w:val="20"/>
          <w:szCs w:val="20"/>
        </w:rPr>
        <w:t>L3HARRIS TECHNOLOGIES, INC. AND SUBSIDIARIES</w:t>
      </w:r>
    </w:p>
    <w:p w:rsidR="00000000" w:rsidRDefault="00B11388">
      <w:pPr>
        <w:ind w:firstLine="450"/>
        <w:jc w:val="center"/>
        <w:rPr>
          <w:rFonts w:eastAsia="Times New Roman"/>
        </w:rPr>
      </w:pPr>
      <w:r>
        <w:rPr>
          <w:rFonts w:eastAsia="Times New Roman"/>
          <w:b/>
          <w:bCs/>
          <w:color w:val="000000"/>
          <w:sz w:val="20"/>
          <w:szCs w:val="20"/>
        </w:rPr>
        <w:t>CONDENSED CONSOLIDATED STATEMENT OF INCOME</w:t>
      </w:r>
    </w:p>
    <w:p w:rsidR="00000000" w:rsidRDefault="00B11388">
      <w:pPr>
        <w:ind w:firstLine="450"/>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432"/>
        <w:gridCol w:w="39"/>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1"/>
        <w:gridCol w:w="36"/>
      </w:tblGrid>
      <w:tr w:rsidR="00000000">
        <w:trPr>
          <w:divId w:val="716976981"/>
        </w:trPr>
        <w:tc>
          <w:tcPr>
            <w:tcW w:w="50" w:type="pct"/>
            <w:vAlign w:val="center"/>
            <w:hideMark/>
          </w:tcPr>
          <w:p w:rsidR="00000000" w:rsidRDefault="00B11388">
            <w:pPr>
              <w:ind w:firstLine="450"/>
              <w:jc w:val="center"/>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71697698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716976981"/>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4,668 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4,445 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9,235 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9,071 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(3,251)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(3,175)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(6,464)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(6,473)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(891)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(855)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(1,692)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(1,667)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(394)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Height w:val="300"/>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6976981"/>
        </w:trPr>
        <w:tc>
          <w:tcPr>
            <w:tcW w:w="0" w:type="auto"/>
            <w:gridSpan w:val="24"/>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Amounts attributable to L3Harris Technologies, Inc. common shareholders</w:t>
            </w: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lastRenderedPageBreak/>
              <w:t>Income from continuing operations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Height w:val="30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6976981"/>
        </w:trPr>
        <w:tc>
          <w:tcPr>
            <w:tcW w:w="0" w:type="auto"/>
            <w:gridSpan w:val="24"/>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Net income per common share attributable to L3Harris Technologies, Inc. common shareholders</w:t>
            </w:r>
          </w:p>
        </w:tc>
      </w:tr>
      <w:tr w:rsidR="00000000">
        <w:trPr>
          <w:divId w:val="716976981"/>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Height w:val="30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71697698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215.9 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205.2 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216.7 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697698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Diluted weighted 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205.6 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217.8 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218.7 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jc w:val="center"/>
        <w:divId w:val="1470903254"/>
        <w:rPr>
          <w:rFonts w:eastAsia="Times New Roman"/>
        </w:rPr>
      </w:pPr>
      <w:r>
        <w:rPr>
          <w:rFonts w:eastAsia="Times New Roman"/>
          <w:color w:val="000000"/>
          <w:sz w:val="20"/>
          <w:szCs w:val="20"/>
        </w:rPr>
        <w:t>See accompanying Notes to Condensed Consolidated Financial Statements (Unaudited).</w:t>
      </w:r>
    </w:p>
    <w:p w:rsidR="00000000" w:rsidRDefault="00B11388">
      <w:pPr>
        <w:ind w:firstLine="450"/>
        <w:jc w:val="center"/>
        <w:divId w:val="964889627"/>
        <w:rPr>
          <w:rFonts w:eastAsia="Times New Roman"/>
        </w:rPr>
      </w:pPr>
      <w:r>
        <w:rPr>
          <w:rFonts w:eastAsia="Times New Roman"/>
          <w:color w:val="000000"/>
          <w:sz w:val="20"/>
          <w:szCs w:val="20"/>
        </w:rPr>
        <w:t>1</w:t>
      </w:r>
    </w:p>
    <w:p w:rsidR="00000000" w:rsidRDefault="00B11388">
      <w:pPr>
        <w:rPr>
          <w:rFonts w:eastAsia="Times New Roman"/>
        </w:rPr>
      </w:pPr>
      <w:r>
        <w:rPr>
          <w:rFonts w:eastAsia="Times New Roman"/>
        </w:rPr>
        <w:pict>
          <v:rect id="_x0000_i1028" style="width:0;height:1.5pt" o:hralign="center" o:hrstd="t" o:hr="t" fillcolor="#a0a0a0" stroked="f"/>
        </w:pict>
      </w:r>
    </w:p>
    <w:p w:rsidR="00000000" w:rsidRDefault="00B11388">
      <w:pPr>
        <w:ind w:firstLine="450"/>
        <w:divId w:val="1029837147"/>
        <w:rPr>
          <w:rFonts w:eastAsia="Times New Roman"/>
        </w:rPr>
      </w:pPr>
    </w:p>
    <w:p w:rsidR="00000000" w:rsidRDefault="00B11388">
      <w:pPr>
        <w:ind w:firstLine="450"/>
        <w:divId w:val="1435394046"/>
        <w:rPr>
          <w:rFonts w:eastAsia="Times New Roman"/>
        </w:rPr>
      </w:pPr>
    </w:p>
    <w:p w:rsidR="00000000" w:rsidRDefault="00B11388">
      <w:pPr>
        <w:ind w:firstLine="450"/>
        <w:jc w:val="center"/>
        <w:rPr>
          <w:rFonts w:eastAsia="Times New Roman"/>
        </w:rPr>
      </w:pPr>
      <w:r>
        <w:rPr>
          <w:rFonts w:eastAsia="Times New Roman"/>
          <w:b/>
          <w:bCs/>
          <w:color w:val="000000"/>
          <w:sz w:val="20"/>
          <w:szCs w:val="20"/>
        </w:rPr>
        <w:t>L3HARRIS TECHNOLOGIES, INC. AND SUBSIDIARIES</w:t>
      </w:r>
    </w:p>
    <w:p w:rsidR="00000000" w:rsidRDefault="00B11388">
      <w:pPr>
        <w:ind w:firstLine="135"/>
        <w:jc w:val="center"/>
        <w:rPr>
          <w:rFonts w:eastAsia="Times New Roman"/>
        </w:rPr>
      </w:pPr>
      <w:r>
        <w:rPr>
          <w:rFonts w:eastAsia="Times New Roman"/>
          <w:b/>
          <w:bCs/>
          <w:color w:val="000000"/>
          <w:sz w:val="20"/>
          <w:szCs w:val="20"/>
        </w:rPr>
        <w:t>CONDENSED CONSOLIDATED STATEMENT OF COMPREHENSIVE INCOME</w:t>
      </w:r>
    </w:p>
    <w:p w:rsidR="00000000" w:rsidRDefault="00B11388">
      <w:pPr>
        <w:ind w:firstLine="450"/>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4433"/>
        <w:gridCol w:w="38"/>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1"/>
        <w:gridCol w:w="36"/>
      </w:tblGrid>
      <w:tr w:rsidR="00000000">
        <w:trPr>
          <w:divId w:val="1037587899"/>
        </w:trPr>
        <w:tc>
          <w:tcPr>
            <w:tcW w:w="50" w:type="pct"/>
            <w:vAlign w:val="center"/>
            <w:hideMark/>
          </w:tcPr>
          <w:p w:rsidR="00000000" w:rsidRDefault="00B11388">
            <w:pPr>
              <w:ind w:firstLine="450"/>
              <w:jc w:val="center"/>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037587899"/>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037587899"/>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037587899"/>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037587899"/>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879 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037587899"/>
        </w:trPr>
        <w:tc>
          <w:tcPr>
            <w:tcW w:w="0" w:type="auto"/>
            <w:gridSpan w:val="3"/>
            <w:shd w:val="clear" w:color="auto" w:fill="CCEE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Foreign currency translation gain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FFFF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Net unrealized gain (loss)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CCEE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Net unrecognized (loss) gain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comprehensive income (loss)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CCEE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Reclassification adjustments for losses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FFFFFF"/>
            <w:tcMar>
              <w:top w:w="30" w:type="dxa"/>
              <w:left w:w="5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lastRenderedPageBreak/>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CCEEFF"/>
            <w:tcMar>
              <w:top w:w="30" w:type="dxa"/>
              <w:left w:w="5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Comprehensive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37587899"/>
        </w:trPr>
        <w:tc>
          <w:tcPr>
            <w:tcW w:w="0" w:type="auto"/>
            <w:gridSpan w:val="3"/>
            <w:shd w:val="clear" w:color="auto" w:fill="CCEEFF"/>
            <w:tcMar>
              <w:top w:w="30" w:type="dxa"/>
              <w:left w:w="30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jc w:val="center"/>
        <w:divId w:val="197008557"/>
        <w:rPr>
          <w:rFonts w:eastAsia="Times New Roman"/>
        </w:rPr>
      </w:pPr>
      <w:r>
        <w:rPr>
          <w:rFonts w:eastAsia="Times New Roman"/>
          <w:color w:val="000000"/>
          <w:sz w:val="20"/>
          <w:szCs w:val="20"/>
        </w:rPr>
        <w:t>See accompanying Notes to Condensed Consolidated Financial Statements (Unaudited).</w:t>
      </w:r>
    </w:p>
    <w:p w:rsidR="00000000" w:rsidRDefault="00B11388">
      <w:pPr>
        <w:ind w:firstLine="450"/>
        <w:jc w:val="center"/>
        <w:divId w:val="642000733"/>
        <w:rPr>
          <w:rFonts w:eastAsia="Times New Roman"/>
        </w:rPr>
      </w:pPr>
      <w:r>
        <w:rPr>
          <w:rFonts w:eastAsia="Times New Roman"/>
          <w:color w:val="000000"/>
          <w:sz w:val="20"/>
          <w:szCs w:val="20"/>
        </w:rPr>
        <w:t>2</w:t>
      </w:r>
    </w:p>
    <w:p w:rsidR="00000000" w:rsidRDefault="00B11388">
      <w:pPr>
        <w:rPr>
          <w:rFonts w:eastAsia="Times New Roman"/>
        </w:rPr>
      </w:pPr>
      <w:r>
        <w:rPr>
          <w:rFonts w:eastAsia="Times New Roman"/>
        </w:rPr>
        <w:pict>
          <v:rect id="_x0000_i1029" style="width:0;height:1.5pt" o:hralign="center" o:hrstd="t" o:hr="t" fillcolor="#a0a0a0" stroked="f"/>
        </w:pict>
      </w:r>
    </w:p>
    <w:p w:rsidR="00000000" w:rsidRDefault="00B11388">
      <w:pPr>
        <w:ind w:firstLine="450"/>
        <w:divId w:val="1367873887"/>
        <w:rPr>
          <w:rFonts w:eastAsia="Times New Roman"/>
        </w:rPr>
      </w:pPr>
    </w:p>
    <w:p w:rsidR="00000000" w:rsidRDefault="00B11388">
      <w:pPr>
        <w:ind w:firstLine="450"/>
        <w:divId w:val="1744986132"/>
        <w:rPr>
          <w:rFonts w:eastAsia="Times New Roman"/>
        </w:rPr>
      </w:pPr>
    </w:p>
    <w:p w:rsidR="00000000" w:rsidRDefault="00B11388">
      <w:pPr>
        <w:ind w:firstLine="450"/>
        <w:jc w:val="center"/>
        <w:rPr>
          <w:rFonts w:eastAsia="Times New Roman"/>
        </w:rPr>
      </w:pPr>
      <w:r>
        <w:rPr>
          <w:rFonts w:eastAsia="Times New Roman"/>
          <w:b/>
          <w:bCs/>
          <w:color w:val="000000"/>
          <w:sz w:val="20"/>
          <w:szCs w:val="20"/>
        </w:rPr>
        <w:t>L3HARRIS TECHNOLOGIES, INC. AND SUBSIDIARIES</w:t>
      </w:r>
    </w:p>
    <w:p w:rsidR="00000000" w:rsidRDefault="00B11388">
      <w:pPr>
        <w:ind w:firstLine="450"/>
        <w:jc w:val="center"/>
        <w:rPr>
          <w:rFonts w:eastAsia="Times New Roman"/>
        </w:rPr>
      </w:pPr>
      <w:r>
        <w:rPr>
          <w:rFonts w:eastAsia="Times New Roman"/>
          <w:b/>
          <w:bCs/>
          <w:color w:val="000000"/>
          <w:sz w:val="20"/>
          <w:szCs w:val="20"/>
        </w:rPr>
        <w:t xml:space="preserve">CONDENSED CONSOLIDATED BALANCE SHEET </w:t>
      </w:r>
    </w:p>
    <w:p w:rsidR="00000000" w:rsidRDefault="00B11388">
      <w:pPr>
        <w:ind w:firstLine="450"/>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903"/>
        <w:gridCol w:w="36"/>
        <w:gridCol w:w="120"/>
        <w:gridCol w:w="971"/>
        <w:gridCol w:w="36"/>
        <w:gridCol w:w="36"/>
        <w:gridCol w:w="36"/>
        <w:gridCol w:w="36"/>
        <w:gridCol w:w="120"/>
        <w:gridCol w:w="936"/>
        <w:gridCol w:w="36"/>
      </w:tblGrid>
      <w:tr w:rsidR="00000000">
        <w:trPr>
          <w:divId w:val="601189420"/>
        </w:trPr>
        <w:tc>
          <w:tcPr>
            <w:tcW w:w="50" w:type="pct"/>
            <w:vAlign w:val="center"/>
            <w:hideMark/>
          </w:tcPr>
          <w:p w:rsidR="00000000" w:rsidRDefault="00B11388">
            <w:pPr>
              <w:ind w:firstLine="450"/>
              <w:jc w:val="center"/>
              <w:rPr>
                <w:rFonts w:eastAsia="Times New Roman"/>
              </w:rPr>
            </w:pPr>
          </w:p>
        </w:tc>
        <w:tc>
          <w:tcPr>
            <w:tcW w:w="35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1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1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w:t>
            </w:r>
            <w:r>
              <w:rPr>
                <w:rFonts w:eastAsia="Times New Roman"/>
                <w:b/>
                <w:bCs/>
                <w:color w:val="000000"/>
                <w:sz w:val="16"/>
                <w:szCs w:val="16"/>
              </w:rPr>
              <w:t>except shares)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601189420"/>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1,197 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2,648 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872 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Inventory prepayments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xml:space="preserve">Assets of disposal groups held for sale </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Non-current Assets</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2,102 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18,234 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18,876 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6,958 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7,908 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lastRenderedPageBreak/>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Short-term debt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1,205 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1,198 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1,044 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1,066 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Current portion of long-term debt, net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xml:space="preserve">Liabilities of disposal groups held for sale </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Defined benefit plans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1,714 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1,906 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7,061 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1,096 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Shareholders’ Equity:</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601189420"/>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507982491"/>
              <w:rPr>
                <w:rFonts w:eastAsia="Times New Roman"/>
              </w:rPr>
            </w:pPr>
            <w:r>
              <w:rPr>
                <w:rFonts w:eastAsia="Times New Roman"/>
                <w:color w:val="000000"/>
                <w:sz w:val="20"/>
                <w:szCs w:val="20"/>
              </w:rPr>
              <w:t xml:space="preserve">Preferred stock, without par value; 1,000,000 shares authorized; none issued </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ind w:hanging="270"/>
              <w:divId w:val="22294245"/>
              <w:rPr>
                <w:rFonts w:eastAsia="Times New Roman"/>
              </w:rPr>
            </w:pPr>
            <w:r>
              <w:rPr>
                <w:rFonts w:eastAsia="Times New Roman"/>
                <w:color w:val="000000"/>
                <w:sz w:val="20"/>
                <w:szCs w:val="20"/>
              </w:rPr>
              <w:t xml:space="preserve">Common stock, $1.00 par value; 500,000,000 </w:t>
            </w:r>
            <w:r>
              <w:rPr>
                <w:rFonts w:eastAsia="Times New Roman"/>
                <w:color w:val="000000"/>
                <w:sz w:val="20"/>
                <w:szCs w:val="20"/>
              </w:rPr>
              <w:t>shares authorized; issued and outstanding 201,643,891 and 208,230,353 shares at July 2, 2021 and January 1, 2021, respectively</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capital</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17,863 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19,008 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2,633 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2,347 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(835)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19,863 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601189420"/>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jc w:val="center"/>
        <w:divId w:val="1857114274"/>
        <w:rPr>
          <w:rFonts w:eastAsia="Times New Roman"/>
        </w:rPr>
      </w:pPr>
      <w:r>
        <w:rPr>
          <w:rFonts w:eastAsia="Times New Roman"/>
          <w:color w:val="000000"/>
          <w:sz w:val="18"/>
          <w:szCs w:val="18"/>
        </w:rPr>
        <w:t>See accompanying Notes to Condensed Consolidated Financial Statements (Unaudited).</w:t>
      </w:r>
    </w:p>
    <w:p w:rsidR="00000000" w:rsidRDefault="00B11388">
      <w:pPr>
        <w:ind w:firstLine="450"/>
        <w:jc w:val="center"/>
        <w:divId w:val="2022656507"/>
        <w:rPr>
          <w:rFonts w:eastAsia="Times New Roman"/>
        </w:rPr>
      </w:pPr>
      <w:r>
        <w:rPr>
          <w:rFonts w:eastAsia="Times New Roman"/>
          <w:color w:val="000000"/>
          <w:sz w:val="20"/>
          <w:szCs w:val="20"/>
        </w:rPr>
        <w:t>3</w:t>
      </w:r>
    </w:p>
    <w:p w:rsidR="00000000" w:rsidRDefault="00B11388">
      <w:pPr>
        <w:rPr>
          <w:rFonts w:eastAsia="Times New Roman"/>
        </w:rPr>
      </w:pPr>
      <w:r>
        <w:rPr>
          <w:rFonts w:eastAsia="Times New Roman"/>
        </w:rPr>
        <w:pict>
          <v:rect id="_x0000_i1030" style="width:0;height:1.5pt" o:hralign="center" o:hrstd="t" o:hr="t" fillcolor="#a0a0a0" stroked="f"/>
        </w:pict>
      </w:r>
    </w:p>
    <w:p w:rsidR="00000000" w:rsidRDefault="00B11388">
      <w:pPr>
        <w:ind w:firstLine="450"/>
        <w:divId w:val="421607954"/>
        <w:rPr>
          <w:rFonts w:eastAsia="Times New Roman"/>
        </w:rPr>
      </w:pPr>
    </w:p>
    <w:p w:rsidR="00000000" w:rsidRDefault="00B11388">
      <w:pPr>
        <w:ind w:firstLine="450"/>
        <w:divId w:val="1622570367"/>
        <w:rPr>
          <w:rFonts w:eastAsia="Times New Roman"/>
        </w:rPr>
      </w:pPr>
    </w:p>
    <w:p w:rsidR="00000000" w:rsidRDefault="00B11388">
      <w:pPr>
        <w:ind w:firstLine="450"/>
        <w:jc w:val="center"/>
        <w:rPr>
          <w:rFonts w:eastAsia="Times New Roman"/>
        </w:rPr>
      </w:pPr>
      <w:r>
        <w:rPr>
          <w:rFonts w:eastAsia="Times New Roman"/>
          <w:b/>
          <w:bCs/>
          <w:color w:val="000000"/>
          <w:sz w:val="20"/>
          <w:szCs w:val="20"/>
        </w:rPr>
        <w:t>L3HARRIS TECHNOLOGIES, INC. AND SUBSIDIARIES</w:t>
      </w:r>
    </w:p>
    <w:p w:rsidR="00000000" w:rsidRDefault="00B11388">
      <w:pPr>
        <w:ind w:firstLine="450"/>
        <w:jc w:val="center"/>
        <w:rPr>
          <w:rFonts w:eastAsia="Times New Roman"/>
        </w:rPr>
      </w:pPr>
      <w:r>
        <w:rPr>
          <w:rFonts w:eastAsia="Times New Roman"/>
          <w:b/>
          <w:bCs/>
          <w:color w:val="000000"/>
          <w:sz w:val="20"/>
          <w:szCs w:val="20"/>
        </w:rPr>
        <w:t>CONDENSED CONSOLIDATED STATEMENT OF CASH FLOWS</w:t>
      </w:r>
    </w:p>
    <w:p w:rsidR="00000000" w:rsidRDefault="00B11388">
      <w:pPr>
        <w:ind w:firstLine="450"/>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681"/>
        <w:gridCol w:w="40"/>
        <w:gridCol w:w="120"/>
        <w:gridCol w:w="1078"/>
        <w:gridCol w:w="36"/>
        <w:gridCol w:w="36"/>
        <w:gridCol w:w="36"/>
        <w:gridCol w:w="36"/>
        <w:gridCol w:w="120"/>
        <w:gridCol w:w="1045"/>
        <w:gridCol w:w="36"/>
      </w:tblGrid>
      <w:tr w:rsidR="00000000">
        <w:trPr>
          <w:divId w:val="1736316593"/>
        </w:trPr>
        <w:tc>
          <w:tcPr>
            <w:tcW w:w="50" w:type="pct"/>
            <w:vAlign w:val="center"/>
            <w:hideMark/>
          </w:tcPr>
          <w:p w:rsidR="00000000" w:rsidRDefault="00B11388">
            <w:pPr>
              <w:ind w:firstLine="450"/>
              <w:jc w:val="center"/>
              <w:rPr>
                <w:rFonts w:eastAsia="Times New Roman"/>
              </w:rPr>
            </w:pPr>
          </w:p>
        </w:tc>
        <w:tc>
          <w:tcPr>
            <w:tcW w:w="344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736316593"/>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736316593"/>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879 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Investment and asset impairment charges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FFFF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(438)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CCEE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60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Additions of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Proceeds from sale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Proceeds from sales of businesses, net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963 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(1,550)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36316593"/>
        </w:trPr>
        <w:tc>
          <w:tcPr>
            <w:tcW w:w="0" w:type="auto"/>
            <w:gridSpan w:val="3"/>
            <w:shd w:val="clear" w:color="auto" w:fill="FFFFFF"/>
            <w:tcMar>
              <w:top w:w="30" w:type="dxa"/>
              <w:left w:w="15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Net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73631659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jc w:val="center"/>
        <w:divId w:val="501430599"/>
        <w:rPr>
          <w:rFonts w:eastAsia="Times New Roman"/>
        </w:rPr>
      </w:pPr>
      <w:r>
        <w:rPr>
          <w:rFonts w:eastAsia="Times New Roman"/>
          <w:color w:val="000000"/>
          <w:sz w:val="20"/>
          <w:szCs w:val="20"/>
        </w:rPr>
        <w:t>See accompanying Notes to Condensed Consolidated Financial Statements (Unaudited).</w:t>
      </w:r>
    </w:p>
    <w:p w:rsidR="00000000" w:rsidRDefault="00B11388">
      <w:pPr>
        <w:ind w:firstLine="450"/>
        <w:jc w:val="center"/>
        <w:divId w:val="1931889021"/>
        <w:rPr>
          <w:rFonts w:eastAsia="Times New Roman"/>
        </w:rPr>
      </w:pPr>
      <w:r>
        <w:rPr>
          <w:rFonts w:eastAsia="Times New Roman"/>
          <w:color w:val="000000"/>
          <w:sz w:val="20"/>
          <w:szCs w:val="20"/>
        </w:rPr>
        <w:t>4</w:t>
      </w:r>
    </w:p>
    <w:p w:rsidR="00000000" w:rsidRDefault="00B11388">
      <w:pPr>
        <w:rPr>
          <w:rFonts w:eastAsia="Times New Roman"/>
        </w:rPr>
      </w:pPr>
      <w:r>
        <w:rPr>
          <w:rFonts w:eastAsia="Times New Roman"/>
        </w:rPr>
        <w:pict>
          <v:rect id="_x0000_i1031" style="width:0;height:1.5pt" o:hralign="center" o:hrstd="t" o:hr="t" fillcolor="#a0a0a0" stroked="f"/>
        </w:pict>
      </w:r>
    </w:p>
    <w:p w:rsidR="00000000" w:rsidRDefault="00B11388">
      <w:pPr>
        <w:ind w:firstLine="450"/>
        <w:divId w:val="1249119737"/>
        <w:rPr>
          <w:rFonts w:eastAsia="Times New Roman"/>
        </w:rPr>
      </w:pPr>
    </w:p>
    <w:p w:rsidR="00000000" w:rsidRDefault="00B11388">
      <w:pPr>
        <w:ind w:firstLine="450"/>
        <w:divId w:val="268855747"/>
        <w:rPr>
          <w:rFonts w:eastAsia="Times New Roman"/>
        </w:rPr>
      </w:pPr>
    </w:p>
    <w:p w:rsidR="00000000" w:rsidRDefault="00B11388">
      <w:pPr>
        <w:ind w:firstLine="720"/>
        <w:jc w:val="center"/>
        <w:rPr>
          <w:rFonts w:eastAsia="Times New Roman"/>
        </w:rPr>
      </w:pPr>
      <w:r>
        <w:rPr>
          <w:rFonts w:eastAsia="Times New Roman"/>
          <w:b/>
          <w:bCs/>
          <w:color w:val="000000"/>
          <w:sz w:val="20"/>
          <w:szCs w:val="20"/>
        </w:rPr>
        <w:t>L3HARRIS TECHNOLOGIES, INC. AND SUBSIDIARIES</w:t>
      </w:r>
    </w:p>
    <w:p w:rsidR="00000000" w:rsidRDefault="00B11388">
      <w:pPr>
        <w:ind w:firstLine="450"/>
        <w:jc w:val="center"/>
        <w:rPr>
          <w:rFonts w:eastAsia="Times New Roman"/>
        </w:rPr>
      </w:pPr>
      <w:r>
        <w:rPr>
          <w:rFonts w:eastAsia="Times New Roman"/>
          <w:b/>
          <w:bCs/>
          <w:color w:val="000000"/>
          <w:sz w:val="20"/>
          <w:szCs w:val="20"/>
        </w:rPr>
        <w:t>CONDENSED CONSOLIDATED STATEMENT OF EQUITY</w:t>
      </w:r>
    </w:p>
    <w:p w:rsidR="00000000" w:rsidRDefault="00B11388">
      <w:pPr>
        <w:ind w:firstLine="450"/>
        <w:jc w:val="center"/>
        <w:rPr>
          <w:rFonts w:eastAsia="Times New Roman"/>
        </w:rPr>
      </w:pPr>
      <w:r>
        <w:rPr>
          <w:rFonts w:eastAsia="Times New Roman"/>
          <w:b/>
          <w:bCs/>
          <w:color w:val="000000"/>
          <w:sz w:val="20"/>
          <w:szCs w:val="20"/>
        </w:rPr>
        <w:t xml:space="preserve">(Unaudited)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2853"/>
        <w:gridCol w:w="37"/>
        <w:gridCol w:w="111"/>
        <w:gridCol w:w="585"/>
        <w:gridCol w:w="36"/>
        <w:gridCol w:w="36"/>
        <w:gridCol w:w="36"/>
        <w:gridCol w:w="36"/>
        <w:gridCol w:w="110"/>
        <w:gridCol w:w="540"/>
        <w:gridCol w:w="36"/>
        <w:gridCol w:w="36"/>
        <w:gridCol w:w="36"/>
        <w:gridCol w:w="36"/>
        <w:gridCol w:w="111"/>
        <w:gridCol w:w="581"/>
        <w:gridCol w:w="36"/>
        <w:gridCol w:w="36"/>
        <w:gridCol w:w="36"/>
        <w:gridCol w:w="36"/>
        <w:gridCol w:w="111"/>
        <w:gridCol w:w="1022"/>
        <w:gridCol w:w="36"/>
        <w:gridCol w:w="36"/>
        <w:gridCol w:w="36"/>
        <w:gridCol w:w="36"/>
        <w:gridCol w:w="111"/>
        <w:gridCol w:w="690"/>
        <w:gridCol w:w="36"/>
        <w:gridCol w:w="36"/>
        <w:gridCol w:w="36"/>
        <w:gridCol w:w="36"/>
        <w:gridCol w:w="110"/>
        <w:gridCol w:w="540"/>
        <w:gridCol w:w="36"/>
      </w:tblGrid>
      <w:tr w:rsidR="00000000">
        <w:trPr>
          <w:divId w:val="141195371"/>
        </w:trPr>
        <w:tc>
          <w:tcPr>
            <w:tcW w:w="50" w:type="pct"/>
            <w:vAlign w:val="center"/>
            <w:hideMark/>
          </w:tcPr>
          <w:p w:rsidR="00000000" w:rsidRDefault="00B11388">
            <w:pPr>
              <w:ind w:firstLine="450"/>
              <w:jc w:val="center"/>
              <w:rPr>
                <w:rFonts w:eastAsia="Times New Roman"/>
              </w:rPr>
            </w:pPr>
          </w:p>
        </w:tc>
        <w:tc>
          <w:tcPr>
            <w:tcW w:w="187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9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5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9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9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141195371"/>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April 2, 2021</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18,487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2,529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(854)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20,482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(744)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(850)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divId w:val="1635865467"/>
              <w:rPr>
                <w:rFonts w:eastAsia="Times New Roman"/>
              </w:rPr>
            </w:pPr>
            <w:r>
              <w:rPr>
                <w:rFonts w:eastAsia="Times New Roman"/>
                <w:color w:val="000000"/>
                <w:sz w:val="18"/>
                <w:szCs w:val="18"/>
              </w:rPr>
              <w:t>Cash dividends ($1.02 per share)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(207)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(207)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425"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July 2,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17,863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2,633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(835)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19,976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Height w:val="16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April 3, 2020</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2,151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(651)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22,027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divId w:val="666177951"/>
              <w:rPr>
                <w:rFonts w:eastAsia="Times New Roman"/>
              </w:rPr>
            </w:pPr>
            <w:r>
              <w:rPr>
                <w:rFonts w:eastAsia="Times New Roman"/>
                <w:color w:val="000000"/>
                <w:sz w:val="18"/>
                <w:szCs w:val="18"/>
              </w:rPr>
              <w:t>Cash dividends ($.85 per share)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(184)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(184)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425"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July 3,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20,260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(624)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22,226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Height w:val="160"/>
        </w:trPr>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141195371"/>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January 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19,008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2,347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(839)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20,841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881 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879 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(1,364)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(178)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(1,550)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divId w:val="91247027"/>
              <w:rPr>
                <w:rFonts w:eastAsia="Times New Roman"/>
              </w:rPr>
            </w:pPr>
            <w:r>
              <w:rPr>
                <w:rFonts w:eastAsia="Times New Roman"/>
                <w:color w:val="000000"/>
                <w:sz w:val="18"/>
                <w:szCs w:val="18"/>
              </w:rPr>
              <w:t>Cash dividends ($2.04 per share)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(416)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(416)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425"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July 2,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17,863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2,633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(835)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19,976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Height w:val="16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January 3, 2020</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20,694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(508)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22,744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472 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(116)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(116)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170" w:type="dxa"/>
              <w:bottom w:w="30" w:type="dxa"/>
              <w:right w:w="20" w:type="dxa"/>
            </w:tcMar>
            <w:vAlign w:val="center"/>
            <w:hideMark/>
          </w:tcPr>
          <w:p w:rsidR="00000000" w:rsidRDefault="00B11388">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(631)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(66)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(700)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divId w:val="1889028978"/>
              <w:rPr>
                <w:rFonts w:eastAsia="Times New Roman"/>
              </w:rPr>
            </w:pPr>
            <w:r>
              <w:rPr>
                <w:rFonts w:eastAsia="Times New Roman"/>
                <w:color w:val="000000"/>
                <w:sz w:val="18"/>
                <w:szCs w:val="18"/>
              </w:rPr>
              <w:t>Cash dividends ($1.70 per share)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(367)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(367)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1195371"/>
        </w:trPr>
        <w:tc>
          <w:tcPr>
            <w:tcW w:w="0" w:type="auto"/>
            <w:gridSpan w:val="3"/>
            <w:shd w:val="clear" w:color="auto" w:fill="CCEEFF"/>
            <w:tcMar>
              <w:top w:w="30" w:type="dxa"/>
              <w:left w:w="425"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1195371"/>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b/>
                <w:bCs/>
                <w:color w:val="000000"/>
                <w:sz w:val="18"/>
                <w:szCs w:val="18"/>
              </w:rPr>
              <w:t>Balance at July 3,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20,260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(624)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18"/>
                <w:szCs w:val="18"/>
              </w:rPr>
              <w:t>22,226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jc w:val="center"/>
        <w:divId w:val="1514493112"/>
        <w:rPr>
          <w:rFonts w:eastAsia="Times New Roman"/>
        </w:rPr>
      </w:pPr>
      <w:r>
        <w:rPr>
          <w:rFonts w:eastAsia="Times New Roman"/>
          <w:color w:val="000000"/>
          <w:sz w:val="20"/>
          <w:szCs w:val="20"/>
        </w:rPr>
        <w:t>See accompanying Notes to Condensed Consolidated Financial Statemen</w:t>
      </w:r>
      <w:r>
        <w:rPr>
          <w:rFonts w:eastAsia="Times New Roman"/>
          <w:color w:val="000000"/>
          <w:sz w:val="20"/>
          <w:szCs w:val="20"/>
        </w:rPr>
        <w:t>ts (Unaudited).</w:t>
      </w:r>
    </w:p>
    <w:p w:rsidR="00000000" w:rsidRDefault="00B11388">
      <w:pPr>
        <w:ind w:firstLine="450"/>
        <w:jc w:val="center"/>
        <w:divId w:val="1106654297"/>
        <w:rPr>
          <w:rFonts w:eastAsia="Times New Roman"/>
        </w:rPr>
      </w:pPr>
      <w:r>
        <w:rPr>
          <w:rFonts w:eastAsia="Times New Roman"/>
          <w:color w:val="000000"/>
          <w:sz w:val="20"/>
          <w:szCs w:val="20"/>
        </w:rPr>
        <w:t>5</w:t>
      </w:r>
    </w:p>
    <w:p w:rsidR="00000000" w:rsidRDefault="00B11388">
      <w:pPr>
        <w:rPr>
          <w:rFonts w:eastAsia="Times New Roman"/>
        </w:rPr>
      </w:pPr>
      <w:r>
        <w:rPr>
          <w:rFonts w:eastAsia="Times New Roman"/>
        </w:rPr>
        <w:pict>
          <v:rect id="_x0000_i1032" style="width:0;height:1.5pt" o:hralign="center" o:hrstd="t" o:hr="t" fillcolor="#a0a0a0" stroked="f"/>
        </w:pict>
      </w:r>
    </w:p>
    <w:p w:rsidR="00000000" w:rsidRDefault="00B11388">
      <w:pPr>
        <w:ind w:firstLine="450"/>
        <w:divId w:val="1085228147"/>
        <w:rPr>
          <w:rFonts w:eastAsia="Times New Roman"/>
        </w:rPr>
      </w:pPr>
    </w:p>
    <w:p w:rsidR="00000000" w:rsidRDefault="00B11388">
      <w:pPr>
        <w:ind w:firstLine="450"/>
        <w:divId w:val="2063558003"/>
        <w:rPr>
          <w:rFonts w:eastAsia="Times New Roman"/>
        </w:rPr>
      </w:pPr>
    </w:p>
    <w:p w:rsidR="00000000" w:rsidRDefault="00B11388">
      <w:pPr>
        <w:ind w:firstLine="720"/>
        <w:divId w:val="1477448726"/>
        <w:rPr>
          <w:rFonts w:eastAsia="Times New Roman"/>
        </w:rPr>
      </w:pPr>
      <w:r>
        <w:rPr>
          <w:rFonts w:eastAsia="Times New Roman"/>
          <w:b/>
          <w:bCs/>
          <w:color w:val="000000"/>
          <w:sz w:val="20"/>
          <w:szCs w:val="20"/>
        </w:rPr>
        <w:t>NOTES TO CONDENSED CONSOLIDATED FINANCIAL STATEMENTS (UNAUDITED)</w:t>
      </w:r>
    </w:p>
    <w:p w:rsidR="00000000" w:rsidRDefault="00B11388">
      <w:pPr>
        <w:divId w:val="704017275"/>
        <w:rPr>
          <w:rFonts w:eastAsia="Times New Roman"/>
        </w:rPr>
      </w:pPr>
      <w:r>
        <w:rPr>
          <w:rFonts w:eastAsia="Times New Roman"/>
          <w:b/>
          <w:bCs/>
          <w:color w:val="000000"/>
          <w:sz w:val="20"/>
          <w:szCs w:val="20"/>
        </w:rPr>
        <w:t xml:space="preserve">Note A — </w:t>
      </w:r>
      <w:r>
        <w:rPr>
          <w:rFonts w:eastAsia="Times New Roman"/>
          <w:b/>
          <w:bCs/>
          <w:color w:val="000000"/>
          <w:sz w:val="20"/>
          <w:szCs w:val="20"/>
        </w:rPr>
        <w:t xml:space="preserve">Significant Accounting Policies and Recent Accounting Standards </w:t>
      </w:r>
    </w:p>
    <w:p w:rsidR="00000000" w:rsidRDefault="00B11388">
      <w:pPr>
        <w:divId w:val="1496646957"/>
        <w:rPr>
          <w:rFonts w:eastAsia="Times New Roman"/>
        </w:rPr>
      </w:pPr>
      <w:r>
        <w:rPr>
          <w:rFonts w:eastAsia="Times New Roman"/>
          <w:b/>
          <w:bCs/>
          <w:color w:val="000000"/>
          <w:sz w:val="20"/>
          <w:szCs w:val="20"/>
        </w:rPr>
        <w:t>Basis of Presentation</w:t>
      </w:r>
    </w:p>
    <w:p w:rsidR="00000000" w:rsidRDefault="00B11388">
      <w:pPr>
        <w:ind w:firstLine="450"/>
        <w:divId w:val="431702376"/>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w:t>
      </w:r>
      <w:r>
        <w:rPr>
          <w:rFonts w:eastAsia="Times New Roman"/>
          <w:color w:val="000000"/>
          <w:sz w:val="20"/>
          <w:szCs w:val="20"/>
        </w:rPr>
        <w:t>n these Notes to Condensed Consolidated Financial Statements (Unaudited) (these “Notes”), the terms “L3Harris,” “Company,” “we,” “our” and “us” refer to L3Harris Technologies, Inc. and its consolidated subsidiaries. Intracompany transactions and accounts h</w:t>
      </w:r>
      <w:r>
        <w:rPr>
          <w:rFonts w:eastAsia="Times New Roman"/>
          <w:color w:val="000000"/>
          <w:sz w:val="20"/>
          <w:szCs w:val="20"/>
        </w:rPr>
        <w:t>ave been eliminated in consolidation. The accompanying Condensed Consolidated Financial Statements (Unaudited) have been prepared by L3Harris, without an audit, in accordance with U.S. generally accepted accounting principles (“GAAP”) for interim financial</w:t>
      </w:r>
      <w:r>
        <w:rPr>
          <w:rFonts w:eastAsia="Times New Roman"/>
          <w:color w:val="000000"/>
          <w:sz w:val="20"/>
          <w:szCs w:val="20"/>
        </w:rPr>
        <w:t xml:space="preserve"> information and with the rules and regulations of the Securities and Exchange Commission (“SEC”). Accordingly, such interim financial statements do not include all information and footnotes necessary for a complete presentation of financial condition, res</w:t>
      </w:r>
      <w:r>
        <w:rPr>
          <w:rFonts w:eastAsia="Times New Roman"/>
          <w:color w:val="000000"/>
          <w:sz w:val="20"/>
          <w:szCs w:val="20"/>
        </w:rPr>
        <w:t>ults of operations, cash flows and equity in conformity with GAAP for annual financial statements. In the opinion of management, such interim financial statements reflect all adjustments (consisting of normal recurring adjustments) considered necessary for</w:t>
      </w:r>
      <w:r>
        <w:rPr>
          <w:rFonts w:eastAsia="Times New Roman"/>
          <w:color w:val="000000"/>
          <w:sz w:val="20"/>
          <w:szCs w:val="20"/>
        </w:rPr>
        <w:t xml:space="preserve"> a fair presentation of our financial condition, results of operations, cash flows and equity for the periods presented therein. The results for the quarter and two quarters ended July 2, 2021 are not necessarily indicative of the results that may be expec</w:t>
      </w:r>
      <w:r>
        <w:rPr>
          <w:rFonts w:eastAsia="Times New Roman"/>
          <w:color w:val="000000"/>
          <w:sz w:val="20"/>
          <w:szCs w:val="20"/>
        </w:rPr>
        <w:t xml:space="preserve">ted for the full fiscal year or any subsequent period. The balance sheet at January 1, 2021 has been derived from our audited financial statements, but does not include all of the information and footnotes required by GAAP for annual financial statements. </w:t>
      </w:r>
      <w:r>
        <w:rPr>
          <w:rFonts w:eastAsia="Times New Roman"/>
          <w:color w:val="000000"/>
          <w:sz w:val="20"/>
          <w:szCs w:val="20"/>
        </w:rPr>
        <w:t>We provide complete, audited financial statements in our Annual Report on Form 10-K, which includes information and footnotes required by the rules and regulations of the SEC. The information included in this Quarterly Report on Form 10-Q (this “Report”) s</w:t>
      </w:r>
      <w:r>
        <w:rPr>
          <w:rFonts w:eastAsia="Times New Roman"/>
          <w:color w:val="000000"/>
          <w:sz w:val="20"/>
          <w:szCs w:val="20"/>
        </w:rPr>
        <w:t xml:space="preserve">hould be read in conjunction with the Management’s Discussion and Analysis of Financial Condition and Results of Operations and the Consolidated Financial Statements and accompanying Notes to Consolidated Financial Statements included in our Annual Report </w:t>
      </w:r>
      <w:r>
        <w:rPr>
          <w:rFonts w:eastAsia="Times New Roman"/>
          <w:color w:val="000000"/>
          <w:sz w:val="20"/>
          <w:szCs w:val="20"/>
        </w:rPr>
        <w:t xml:space="preserve">on Form 10-K for the fiscal year ended January 1, 2021 (our “Fiscal 2020 Form 10-K”). </w:t>
      </w:r>
    </w:p>
    <w:p w:rsidR="00000000" w:rsidRDefault="00B11388">
      <w:pPr>
        <w:ind w:firstLine="450"/>
        <w:divId w:val="1496258944"/>
        <w:rPr>
          <w:rFonts w:eastAsia="Times New Roman"/>
        </w:rPr>
      </w:pPr>
      <w:r>
        <w:rPr>
          <w:rFonts w:eastAsia="Times New Roman"/>
          <w:color w:val="000000"/>
          <w:sz w:val="20"/>
          <w:szCs w:val="20"/>
        </w:rPr>
        <w:t>Amounts contained in this Report may not always add to totals due to rounding.</w:t>
      </w:r>
    </w:p>
    <w:p w:rsidR="00000000" w:rsidRDefault="00B11388">
      <w:pPr>
        <w:divId w:val="1347441858"/>
        <w:rPr>
          <w:rFonts w:eastAsia="Times New Roman"/>
        </w:rPr>
      </w:pPr>
      <w:r>
        <w:rPr>
          <w:rFonts w:eastAsia="Times New Roman"/>
          <w:b/>
          <w:bCs/>
          <w:color w:val="000000"/>
          <w:sz w:val="20"/>
          <w:szCs w:val="20"/>
        </w:rPr>
        <w:t>L3Harris Merger</w:t>
      </w:r>
    </w:p>
    <w:p w:rsidR="00000000" w:rsidRDefault="00B11388">
      <w:pPr>
        <w:ind w:firstLine="450"/>
        <w:divId w:val="658578827"/>
        <w:rPr>
          <w:rFonts w:eastAsia="Times New Roman"/>
        </w:rPr>
      </w:pPr>
      <w:r>
        <w:rPr>
          <w:rFonts w:eastAsia="Times New Roman"/>
          <w:color w:val="000000"/>
          <w:sz w:val="20"/>
          <w:szCs w:val="20"/>
        </w:rPr>
        <w:t>As discussed in more detail in our Fiscal 2020 Form 10-K, Harris Corporati</w:t>
      </w:r>
      <w:r>
        <w:rPr>
          <w:rFonts w:eastAsia="Times New Roman"/>
          <w:color w:val="000000"/>
          <w:sz w:val="20"/>
          <w:szCs w:val="20"/>
        </w:rPr>
        <w:t>on (“Harris”) and L3 Technologies, Inc. (“L3”) combined their respective businesses on June 29, 2019, in an all-stock merger (“L3Harris Merger”) that resulted in our combined Company, L3Harris Technologies, Inc.</w:t>
      </w:r>
    </w:p>
    <w:p w:rsidR="00000000" w:rsidRDefault="00B11388">
      <w:pPr>
        <w:ind w:firstLine="450"/>
        <w:divId w:val="1662779883"/>
        <w:rPr>
          <w:rFonts w:eastAsia="Times New Roman"/>
        </w:rPr>
      </w:pPr>
      <w:r>
        <w:rPr>
          <w:rFonts w:eastAsia="Times New Roman"/>
          <w:color w:val="000000"/>
          <w:sz w:val="20"/>
          <w:szCs w:val="20"/>
        </w:rPr>
        <w:t>L3Harris Merger-related expenses for the qua</w:t>
      </w:r>
      <w:r>
        <w:rPr>
          <w:rFonts w:eastAsia="Times New Roman"/>
          <w:color w:val="000000"/>
          <w:sz w:val="20"/>
          <w:szCs w:val="20"/>
        </w:rPr>
        <w:t>rter and two quarters ended July 2, 2021 and July 3,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434"/>
        <w:gridCol w:w="37"/>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2"/>
        <w:gridCol w:w="36"/>
      </w:tblGrid>
      <w:tr w:rsidR="00000000">
        <w:trPr>
          <w:divId w:val="463498873"/>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463498873"/>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46349887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463498873"/>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463498873"/>
        </w:trPr>
        <w:tc>
          <w:tcPr>
            <w:tcW w:w="0" w:type="auto"/>
            <w:gridSpan w:val="3"/>
            <w:shd w:val="clear" w:color="auto" w:fill="CCEEFF"/>
            <w:tcMar>
              <w:top w:w="30" w:type="dxa"/>
              <w:left w:w="410"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Additional cost of sales related to fair value step-up in inventory sold</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63498873"/>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63498873"/>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Integration costs, recognized as incurred</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6349887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L3Harris Merger-related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1391146857"/>
        <w:rPr>
          <w:rFonts w:eastAsia="Times New Roman"/>
        </w:rPr>
      </w:pPr>
      <w:r>
        <w:rPr>
          <w:rFonts w:eastAsia="Times New Roman"/>
          <w:color w:val="000000"/>
          <w:sz w:val="20"/>
          <w:szCs w:val="20"/>
        </w:rPr>
        <w:t xml:space="preserve">Because the L3Harris Merger benefited the entire Company as opposed to any individual business segment, the above costs were not </w:t>
      </w:r>
      <w:r>
        <w:rPr>
          <w:rFonts w:eastAsia="Times New Roman"/>
          <w:color w:val="000000"/>
          <w:sz w:val="20"/>
          <w:szCs w:val="20"/>
        </w:rPr>
        <w:t>allocated to any business segment. All of the above costs were recorded in the “Engineering, selling and administrative expenses” line item in our Condensed Consolidated Statement of Income (Unaudited), except for the additional cost of sales related to fa</w:t>
      </w:r>
      <w:r>
        <w:rPr>
          <w:rFonts w:eastAsia="Times New Roman"/>
          <w:color w:val="000000"/>
          <w:sz w:val="20"/>
          <w:szCs w:val="20"/>
        </w:rPr>
        <w:t>ir value step-up in inventory sold, which is included in the “Cost of product sales and services” line item in our Condensed Consolidated Statement of Income (Unaudited).</w:t>
      </w:r>
    </w:p>
    <w:p w:rsidR="00000000" w:rsidRDefault="00B11388">
      <w:pPr>
        <w:ind w:firstLine="450"/>
        <w:divId w:val="1133063783"/>
        <w:rPr>
          <w:rFonts w:eastAsia="Times New Roman"/>
        </w:rPr>
      </w:pPr>
      <w:r>
        <w:rPr>
          <w:rFonts w:eastAsia="Times New Roman"/>
          <w:color w:val="000000"/>
          <w:sz w:val="20"/>
          <w:szCs w:val="20"/>
        </w:rPr>
        <w:t xml:space="preserve">For additional information, see </w:t>
      </w:r>
      <w:r>
        <w:rPr>
          <w:rFonts w:eastAsia="Times New Roman"/>
          <w:i/>
          <w:iCs/>
          <w:color w:val="000000"/>
          <w:sz w:val="20"/>
          <w:szCs w:val="20"/>
        </w:rPr>
        <w:t>Note 5: “Business Combination”</w:t>
      </w:r>
      <w:r>
        <w:rPr>
          <w:rFonts w:eastAsia="Times New Roman"/>
          <w:color w:val="000000"/>
          <w:sz w:val="20"/>
          <w:szCs w:val="20"/>
        </w:rPr>
        <w:t xml:space="preserve"> in the Notes to Consol</w:t>
      </w:r>
      <w:r>
        <w:rPr>
          <w:rFonts w:eastAsia="Times New Roman"/>
          <w:color w:val="000000"/>
          <w:sz w:val="20"/>
          <w:szCs w:val="20"/>
        </w:rPr>
        <w:t>idated Financial Statements in our Fiscal 2020 Form 10-K.</w:t>
      </w:r>
    </w:p>
    <w:p w:rsidR="00000000" w:rsidRDefault="00B11388">
      <w:pPr>
        <w:divId w:val="780801063"/>
        <w:rPr>
          <w:rFonts w:eastAsia="Times New Roman"/>
        </w:rPr>
      </w:pPr>
      <w:r>
        <w:rPr>
          <w:rFonts w:eastAsia="Times New Roman"/>
          <w:b/>
          <w:bCs/>
          <w:color w:val="000000"/>
          <w:sz w:val="20"/>
          <w:szCs w:val="20"/>
        </w:rPr>
        <w:t>Divestitures</w:t>
      </w:r>
    </w:p>
    <w:p w:rsidR="00000000" w:rsidRDefault="00B11388">
      <w:pPr>
        <w:ind w:firstLine="450"/>
        <w:divId w:val="516432571"/>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in these Notes for information regarding the following businesses divested or classified as held for sale in fiscal 2020 and 2021: </w:t>
      </w:r>
    </w:p>
    <w:p w:rsidR="00000000" w:rsidRDefault="00B11388">
      <w:pPr>
        <w:ind w:hanging="180"/>
        <w:divId w:val="1882395607"/>
        <w:rPr>
          <w:rFonts w:eastAsia="Times New Roman"/>
        </w:rPr>
      </w:pPr>
      <w:r>
        <w:rPr>
          <w:rFonts w:eastAsia="Times New Roman"/>
          <w:color w:val="000000"/>
          <w:sz w:val="20"/>
          <w:szCs w:val="20"/>
        </w:rPr>
        <w:t xml:space="preserve">•Airport security </w:t>
      </w:r>
      <w:r>
        <w:rPr>
          <w:rFonts w:eastAsia="Times New Roman"/>
          <w:color w:val="000000"/>
          <w:sz w:val="20"/>
          <w:szCs w:val="20"/>
        </w:rPr>
        <w:t>and automation business, divested on May 4, 2020;</w:t>
      </w:r>
    </w:p>
    <w:p w:rsidR="00000000" w:rsidRDefault="00B11388">
      <w:pPr>
        <w:ind w:hanging="180"/>
        <w:divId w:val="544215395"/>
        <w:rPr>
          <w:rFonts w:eastAsia="Times New Roman"/>
        </w:rPr>
      </w:pPr>
      <w:r>
        <w:rPr>
          <w:rFonts w:eastAsia="Times New Roman"/>
          <w:color w:val="000000"/>
          <w:sz w:val="20"/>
          <w:szCs w:val="20"/>
        </w:rPr>
        <w:t>•Applied Kilovolts and Analytical Instrumentation business, divested on May 15, 2020;</w:t>
      </w:r>
    </w:p>
    <w:p w:rsidR="00000000" w:rsidRDefault="00B11388">
      <w:pPr>
        <w:ind w:hanging="180"/>
        <w:divId w:val="150879189"/>
        <w:rPr>
          <w:rFonts w:eastAsia="Times New Roman"/>
        </w:rPr>
      </w:pPr>
      <w:r>
        <w:rPr>
          <w:rFonts w:eastAsia="Times New Roman"/>
          <w:color w:val="000000"/>
          <w:sz w:val="20"/>
          <w:szCs w:val="20"/>
        </w:rPr>
        <w:t>•EOTech business, divested on July 31, 2020;</w:t>
      </w:r>
    </w:p>
    <w:p w:rsidR="00000000" w:rsidRDefault="00B11388">
      <w:pPr>
        <w:ind w:hanging="180"/>
        <w:divId w:val="46071965"/>
        <w:rPr>
          <w:rFonts w:eastAsia="Times New Roman"/>
        </w:rPr>
      </w:pPr>
      <w:r>
        <w:rPr>
          <w:rFonts w:eastAsia="Times New Roman"/>
          <w:color w:val="000000"/>
          <w:sz w:val="20"/>
          <w:szCs w:val="20"/>
        </w:rPr>
        <w:t xml:space="preserve">•Military training business, divested on July 2, 2021; </w:t>
      </w:r>
    </w:p>
    <w:p w:rsidR="00000000" w:rsidRDefault="00B11388">
      <w:pPr>
        <w:ind w:firstLine="450"/>
        <w:jc w:val="center"/>
        <w:divId w:val="22948919"/>
        <w:rPr>
          <w:rFonts w:eastAsia="Times New Roman"/>
        </w:rPr>
      </w:pPr>
      <w:r>
        <w:rPr>
          <w:rFonts w:eastAsia="Times New Roman"/>
          <w:color w:val="000000"/>
          <w:sz w:val="20"/>
          <w:szCs w:val="20"/>
        </w:rPr>
        <w:t>6</w:t>
      </w:r>
    </w:p>
    <w:p w:rsidR="00000000" w:rsidRDefault="00B11388">
      <w:pPr>
        <w:rPr>
          <w:rFonts w:eastAsia="Times New Roman"/>
        </w:rPr>
      </w:pPr>
      <w:r>
        <w:rPr>
          <w:rFonts w:eastAsia="Times New Roman"/>
        </w:rPr>
        <w:pict>
          <v:rect id="_x0000_i1033" style="width:0;height:1.5pt" o:hralign="center" o:hrstd="t" o:hr="t" fillcolor="#a0a0a0" stroked="f"/>
        </w:pict>
      </w:r>
    </w:p>
    <w:p w:rsidR="00000000" w:rsidRDefault="00B11388">
      <w:pPr>
        <w:ind w:firstLine="450"/>
        <w:divId w:val="1242371351"/>
        <w:rPr>
          <w:rFonts w:eastAsia="Times New Roman"/>
        </w:rPr>
      </w:pPr>
    </w:p>
    <w:p w:rsidR="00000000" w:rsidRDefault="00B11388">
      <w:pPr>
        <w:ind w:firstLine="450"/>
        <w:divId w:val="365525317"/>
        <w:rPr>
          <w:rFonts w:eastAsia="Times New Roman"/>
        </w:rPr>
      </w:pPr>
    </w:p>
    <w:p w:rsidR="00000000" w:rsidRDefault="00B11388">
      <w:pPr>
        <w:ind w:hanging="180"/>
        <w:divId w:val="381638326"/>
        <w:rPr>
          <w:rFonts w:eastAsia="Times New Roman"/>
        </w:rPr>
      </w:pPr>
      <w:r>
        <w:rPr>
          <w:rFonts w:eastAsia="Times New Roman"/>
          <w:i/>
          <w:iCs/>
          <w:color w:val="000000"/>
          <w:sz w:val="20"/>
          <w:szCs w:val="20"/>
        </w:rPr>
        <w:t>•</w:t>
      </w:r>
      <w:r>
        <w:rPr>
          <w:rFonts w:eastAsia="Times New Roman"/>
          <w:color w:val="000000"/>
          <w:sz w:val="20"/>
          <w:szCs w:val="20"/>
        </w:rPr>
        <w:t>Combat Propulsion Systems and related businesses (“CPS business”), divested on July 2, 2021;</w:t>
      </w:r>
    </w:p>
    <w:p w:rsidR="00000000" w:rsidRDefault="00B11388">
      <w:pPr>
        <w:ind w:hanging="180"/>
        <w:divId w:val="778524429"/>
        <w:rPr>
          <w:rFonts w:eastAsia="Times New Roman"/>
        </w:rPr>
      </w:pPr>
      <w:r>
        <w:rPr>
          <w:rFonts w:eastAsia="Times New Roman"/>
          <w:color w:val="000000"/>
          <w:sz w:val="20"/>
          <w:szCs w:val="20"/>
        </w:rPr>
        <w:t>•Voice Switch Enterprise disposal group (“VSE disposal group”), definitive agreement entered into on February 23, 2021 and</w:t>
      </w:r>
      <w:r>
        <w:rPr>
          <w:rFonts w:eastAsia="Times New Roman"/>
          <w:color w:val="000000"/>
          <w:sz w:val="20"/>
          <w:szCs w:val="20"/>
        </w:rPr>
        <w:t xml:space="preserve"> divestiture partially completed during the quarter ended July 2, 2021, with the remainder classified as held for sale;</w:t>
      </w:r>
    </w:p>
    <w:p w:rsidR="00000000" w:rsidRDefault="00B11388">
      <w:pPr>
        <w:ind w:hanging="180"/>
        <w:divId w:val="983387950"/>
        <w:rPr>
          <w:rFonts w:eastAsia="Times New Roman"/>
        </w:rPr>
      </w:pPr>
      <w:r>
        <w:rPr>
          <w:rFonts w:eastAsia="Times New Roman"/>
          <w:i/>
          <w:iCs/>
          <w:color w:val="000000"/>
          <w:sz w:val="20"/>
          <w:szCs w:val="20"/>
        </w:rPr>
        <w:t>•</w:t>
      </w:r>
      <w:r>
        <w:rPr>
          <w:rFonts w:eastAsia="Times New Roman"/>
          <w:color w:val="000000"/>
          <w:sz w:val="20"/>
          <w:szCs w:val="20"/>
        </w:rPr>
        <w:t>Electron Devices and Narda Microwave-West divisions (“Electron Devices business”), definitive agreement entered into on July 2, 2021 an</w:t>
      </w:r>
      <w:r>
        <w:rPr>
          <w:rFonts w:eastAsia="Times New Roman"/>
          <w:color w:val="000000"/>
          <w:sz w:val="20"/>
          <w:szCs w:val="20"/>
        </w:rPr>
        <w:t>d classified as held for sale during the quarter ended July 2, 2021; and</w:t>
      </w:r>
    </w:p>
    <w:p w:rsidR="00000000" w:rsidRDefault="00B11388">
      <w:pPr>
        <w:ind w:hanging="180"/>
        <w:divId w:val="705719819"/>
        <w:rPr>
          <w:rFonts w:eastAsia="Times New Roman"/>
        </w:rPr>
      </w:pPr>
      <w:r>
        <w:rPr>
          <w:rFonts w:eastAsia="Times New Roman"/>
          <w:i/>
          <w:iCs/>
          <w:color w:val="000000"/>
          <w:sz w:val="20"/>
          <w:szCs w:val="20"/>
        </w:rPr>
        <w:t>•</w:t>
      </w:r>
      <w:r>
        <w:rPr>
          <w:rFonts w:eastAsia="Times New Roman"/>
          <w:color w:val="000000"/>
          <w:sz w:val="20"/>
          <w:szCs w:val="20"/>
        </w:rPr>
        <w:t>Aerospace Products disposal groups (“AP disposal groups”), classified as held for sale during the quarter ended July 2, 2021.</w:t>
      </w:r>
    </w:p>
    <w:p w:rsidR="00000000" w:rsidRDefault="00B11388">
      <w:pPr>
        <w:divId w:val="1059717558"/>
        <w:rPr>
          <w:rFonts w:eastAsia="Times New Roman"/>
        </w:rPr>
      </w:pPr>
      <w:r>
        <w:rPr>
          <w:rFonts w:eastAsia="Times New Roman"/>
          <w:b/>
          <w:bCs/>
          <w:color w:val="000000"/>
          <w:sz w:val="20"/>
          <w:szCs w:val="20"/>
        </w:rPr>
        <w:t>Supplemental Cash Flow Information</w:t>
      </w:r>
    </w:p>
    <w:p w:rsidR="00000000" w:rsidRDefault="00B11388">
      <w:pPr>
        <w:ind w:firstLine="450"/>
        <w:divId w:val="1015499263"/>
        <w:rPr>
          <w:rFonts w:eastAsia="Times New Roman"/>
        </w:rPr>
      </w:pPr>
      <w:r>
        <w:rPr>
          <w:rFonts w:eastAsia="Times New Roman"/>
          <w:color w:val="000000"/>
          <w:sz w:val="20"/>
          <w:szCs w:val="20"/>
        </w:rPr>
        <w:t>Non-cash investing an</w:t>
      </w:r>
      <w:r>
        <w:rPr>
          <w:rFonts w:eastAsia="Times New Roman"/>
          <w:color w:val="000000"/>
          <w:sz w:val="20"/>
          <w:szCs w:val="20"/>
        </w:rPr>
        <w:t>d financing activities during the two quarters ended July 2, 2021 included a $120 million right-of-use asset we obtained in exchange for a corresponding finance lease liability. These non-cash investing and financing activities are excluded from the “Addit</w:t>
      </w:r>
      <w:r>
        <w:rPr>
          <w:rFonts w:eastAsia="Times New Roman"/>
          <w:color w:val="000000"/>
          <w:sz w:val="20"/>
          <w:szCs w:val="20"/>
        </w:rPr>
        <w:t xml:space="preserve">ions of property, plant and equipment” and “Net proceeds from borrowings” line items in our Condensed Consolidated Statement of Cash Flows (Unaudited). There were no material non-cash investing or financing activities during the two quarters ended July 3, </w:t>
      </w:r>
      <w:r>
        <w:rPr>
          <w:rFonts w:eastAsia="Times New Roman"/>
          <w:color w:val="000000"/>
          <w:sz w:val="20"/>
          <w:szCs w:val="20"/>
        </w:rPr>
        <w:t>2020. Right-of-use assets for finance leases are included in the “Property, plant and equipment, net” line item and the corresponding finance lease liabilities are included in the “Current portion of long-term debt, net” and “Long-term debt, net” line item</w:t>
      </w:r>
      <w:r>
        <w:rPr>
          <w:rFonts w:eastAsia="Times New Roman"/>
          <w:color w:val="000000"/>
          <w:sz w:val="20"/>
          <w:szCs w:val="20"/>
        </w:rPr>
        <w:t>s in our Condensed Consolidated Balance Sheet (Unaudited).</w:t>
      </w:r>
    </w:p>
    <w:p w:rsidR="00000000" w:rsidRDefault="00B11388">
      <w:pPr>
        <w:divId w:val="1686469530"/>
        <w:rPr>
          <w:rFonts w:eastAsia="Times New Roman"/>
        </w:rPr>
      </w:pPr>
      <w:r>
        <w:rPr>
          <w:rFonts w:eastAsia="Times New Roman"/>
          <w:b/>
          <w:bCs/>
          <w:color w:val="000000"/>
          <w:sz w:val="20"/>
          <w:szCs w:val="20"/>
        </w:rPr>
        <w:t>Reclassifications</w:t>
      </w:r>
      <w:r>
        <w:rPr>
          <w:rFonts w:eastAsia="Times New Roman"/>
          <w:color w:val="000000"/>
          <w:sz w:val="20"/>
          <w:szCs w:val="20"/>
        </w:rPr>
        <w:t xml:space="preserve"> </w:t>
      </w:r>
    </w:p>
    <w:p w:rsidR="00000000" w:rsidRDefault="00B11388">
      <w:pPr>
        <w:ind w:firstLine="450"/>
        <w:divId w:val="1900745221"/>
        <w:rPr>
          <w:rFonts w:eastAsia="Times New Roman"/>
        </w:rPr>
      </w:pPr>
      <w:r>
        <w:rPr>
          <w:rFonts w:eastAsia="Times New Roman"/>
          <w:color w:val="000000"/>
          <w:sz w:val="20"/>
          <w:szCs w:val="20"/>
        </w:rPr>
        <w:t>The classification of certain prior-year amounts have been adjusted in our Condensed Consolidated Financial Statements (Unaudited) to conform to current-year classifications. Rec</w:t>
      </w:r>
      <w:r>
        <w:rPr>
          <w:rFonts w:eastAsia="Times New Roman"/>
          <w:color w:val="000000"/>
          <w:sz w:val="20"/>
          <w:szCs w:val="20"/>
        </w:rPr>
        <w:t>lassifications include finance lease liabilities that were previously included in the “Other accrued items” and “Other long-term liabilities” line items and are now reflected in the “Current portion of long-term debt, net” and “Long-term debt, net” line it</w:t>
      </w:r>
      <w:r>
        <w:rPr>
          <w:rFonts w:eastAsia="Times New Roman"/>
          <w:color w:val="000000"/>
          <w:sz w:val="20"/>
          <w:szCs w:val="20"/>
        </w:rPr>
        <w:t>ems in our Condensed Consolidated Balance Sheet (Unaudited).</w:t>
      </w:r>
    </w:p>
    <w:p w:rsidR="00000000" w:rsidRDefault="00B11388">
      <w:pPr>
        <w:divId w:val="1649895214"/>
        <w:rPr>
          <w:rFonts w:eastAsia="Times New Roman"/>
        </w:rPr>
      </w:pPr>
      <w:r>
        <w:rPr>
          <w:rFonts w:eastAsia="Times New Roman"/>
          <w:b/>
          <w:bCs/>
          <w:color w:val="000000"/>
          <w:sz w:val="20"/>
          <w:szCs w:val="20"/>
        </w:rPr>
        <w:t>Use of Estimates</w:t>
      </w:r>
    </w:p>
    <w:p w:rsidR="00000000" w:rsidRDefault="00B11388">
      <w:pPr>
        <w:ind w:firstLine="450"/>
        <w:divId w:val="1957591849"/>
        <w:rPr>
          <w:rFonts w:eastAsia="Times New Roman"/>
        </w:rPr>
      </w:pPr>
      <w:r>
        <w:rPr>
          <w:rFonts w:eastAsia="Times New Roman"/>
          <w:color w:val="000000"/>
          <w:sz w:val="20"/>
          <w:szCs w:val="20"/>
        </w:rPr>
        <w:t>The preparation of financial statements in accordance with GAAP requires us to make estimates and assumptions that affect the amounts reported in the accompanying Condensed Conso</w:t>
      </w:r>
      <w:r>
        <w:rPr>
          <w:rFonts w:eastAsia="Times New Roman"/>
          <w:color w:val="000000"/>
          <w:sz w:val="20"/>
          <w:szCs w:val="20"/>
        </w:rPr>
        <w:t>lidated Financial Statements (Unaudited) and these Notes and related disclosures. These estimates and assumptions are based on experience and other information available prior to issuance of the accompanying Condensed Consolidated Financial Statements (Una</w:t>
      </w:r>
      <w:r>
        <w:rPr>
          <w:rFonts w:eastAsia="Times New Roman"/>
          <w:color w:val="000000"/>
          <w:sz w:val="20"/>
          <w:szCs w:val="20"/>
        </w:rPr>
        <w:t xml:space="preserve">udited) and these Notes. Materially different results can occur as circumstances change and additional information becomes known. </w:t>
      </w:r>
    </w:p>
    <w:p w:rsidR="00000000" w:rsidRDefault="00B11388">
      <w:pPr>
        <w:divId w:val="1842430989"/>
        <w:rPr>
          <w:rFonts w:eastAsia="Times New Roman"/>
        </w:rPr>
      </w:pPr>
      <w:r>
        <w:rPr>
          <w:rFonts w:eastAsia="Times New Roman"/>
          <w:b/>
          <w:bCs/>
          <w:color w:val="000000"/>
          <w:sz w:val="20"/>
          <w:szCs w:val="20"/>
        </w:rPr>
        <w:t>Significant Accounting Policies Update</w:t>
      </w:r>
    </w:p>
    <w:p w:rsidR="00000000" w:rsidRDefault="00B11388">
      <w:pPr>
        <w:ind w:firstLine="450"/>
        <w:divId w:val="867332952"/>
        <w:rPr>
          <w:rFonts w:eastAsia="Times New Roman"/>
        </w:rPr>
      </w:pPr>
      <w:r>
        <w:rPr>
          <w:rFonts w:eastAsia="Times New Roman"/>
          <w:color w:val="000000"/>
          <w:sz w:val="20"/>
          <w:szCs w:val="20"/>
        </w:rPr>
        <w:t>There have been no material changes to our significant accounting policies described in our Fiscal 2020 Form 10-K.</w:t>
      </w:r>
      <w:r>
        <w:rPr>
          <w:rFonts w:eastAsia="Times New Roman"/>
          <w:b/>
          <w:bCs/>
          <w:color w:val="000000"/>
          <w:sz w:val="20"/>
          <w:szCs w:val="20"/>
        </w:rPr>
        <w:t xml:space="preserve"> </w:t>
      </w:r>
    </w:p>
    <w:p w:rsidR="00000000" w:rsidRDefault="00B11388">
      <w:pPr>
        <w:divId w:val="593171402"/>
        <w:rPr>
          <w:rFonts w:eastAsia="Times New Roman"/>
        </w:rPr>
      </w:pPr>
      <w:r>
        <w:rPr>
          <w:rFonts w:eastAsia="Times New Roman"/>
          <w:b/>
          <w:bCs/>
          <w:color w:val="000000"/>
          <w:sz w:val="20"/>
          <w:szCs w:val="20"/>
        </w:rPr>
        <w:t xml:space="preserve">Note B — Business Divestitures </w:t>
      </w:r>
    </w:p>
    <w:p w:rsidR="00000000" w:rsidRDefault="00B11388">
      <w:pPr>
        <w:divId w:val="1208489800"/>
        <w:rPr>
          <w:rFonts w:eastAsia="Times New Roman"/>
        </w:rPr>
      </w:pPr>
      <w:r>
        <w:rPr>
          <w:rFonts w:eastAsia="Times New Roman"/>
          <w:b/>
          <w:bCs/>
          <w:color w:val="000000"/>
          <w:sz w:val="20"/>
          <w:szCs w:val="20"/>
        </w:rPr>
        <w:t>2021 Divestitures</w:t>
      </w:r>
    </w:p>
    <w:p w:rsidR="00000000" w:rsidRDefault="00B11388">
      <w:pPr>
        <w:divId w:val="1020088676"/>
        <w:rPr>
          <w:rFonts w:eastAsia="Times New Roman"/>
        </w:rPr>
      </w:pPr>
      <w:r>
        <w:rPr>
          <w:rFonts w:eastAsia="Times New Roman"/>
          <w:b/>
          <w:bCs/>
          <w:i/>
          <w:iCs/>
          <w:color w:val="000000"/>
          <w:sz w:val="20"/>
          <w:szCs w:val="20"/>
        </w:rPr>
        <w:t>Held for Sale Businesses</w:t>
      </w:r>
    </w:p>
    <w:p w:rsidR="00000000" w:rsidRDefault="00B11388">
      <w:pPr>
        <w:ind w:firstLine="450"/>
        <w:divId w:val="113520614"/>
        <w:rPr>
          <w:rFonts w:eastAsia="Times New Roman"/>
        </w:rPr>
      </w:pPr>
      <w:r>
        <w:rPr>
          <w:rFonts w:eastAsia="Times New Roman"/>
          <w:i/>
          <w:iCs/>
          <w:color w:val="000000"/>
          <w:sz w:val="20"/>
          <w:szCs w:val="20"/>
        </w:rPr>
        <w:t xml:space="preserve">Electron Devices business. </w:t>
      </w:r>
      <w:r>
        <w:rPr>
          <w:rFonts w:eastAsia="Times New Roman"/>
          <w:color w:val="000000"/>
          <w:sz w:val="20"/>
          <w:szCs w:val="20"/>
        </w:rPr>
        <w:t>On July 2, 2021, we entered into a def</w:t>
      </w:r>
      <w:r>
        <w:rPr>
          <w:rFonts w:eastAsia="Times New Roman"/>
          <w:color w:val="000000"/>
          <w:sz w:val="20"/>
          <w:szCs w:val="20"/>
        </w:rPr>
        <w:t>initive agreement to sell our Electron Devices business to an affiliate of Arlington Capital Partners for $185 million, subject to customary purchase price adjustments and closing conditions as set forth in the definitive agreement. The Electron Devices bu</w:t>
      </w:r>
      <w:r>
        <w:rPr>
          <w:rFonts w:eastAsia="Times New Roman"/>
          <w:color w:val="000000"/>
          <w:sz w:val="20"/>
          <w:szCs w:val="20"/>
        </w:rPr>
        <w:t>siness, which is reported as part of our Aviation Systems segment, manufactures microwave devices for ground-based, airborne and satellite communications and radar. We expect to complete the sale of the Electron Devices business in the second half of fisca</w:t>
      </w:r>
      <w:r>
        <w:rPr>
          <w:rFonts w:eastAsia="Times New Roman"/>
          <w:color w:val="000000"/>
          <w:sz w:val="20"/>
          <w:szCs w:val="20"/>
        </w:rPr>
        <w:t>l 2021.</w:t>
      </w:r>
    </w:p>
    <w:p w:rsidR="00000000" w:rsidRDefault="00B11388">
      <w:pPr>
        <w:ind w:firstLine="450"/>
        <w:divId w:val="669992514"/>
        <w:rPr>
          <w:rFonts w:eastAsia="Times New Roman"/>
        </w:rPr>
      </w:pPr>
      <w:r>
        <w:rPr>
          <w:rFonts w:eastAsia="Times New Roman"/>
          <w:i/>
          <w:iCs/>
          <w:color w:val="000000"/>
          <w:sz w:val="20"/>
          <w:szCs w:val="20"/>
        </w:rPr>
        <w:t xml:space="preserve">Aerospace Products disposal groups. </w:t>
      </w:r>
      <w:r>
        <w:rPr>
          <w:rFonts w:eastAsia="Times New Roman"/>
          <w:color w:val="000000"/>
          <w:sz w:val="20"/>
          <w:szCs w:val="20"/>
        </w:rPr>
        <w:t xml:space="preserve">During the quarter ended July 2, 2021, we determined the criteria to be classified as held for sale were met with respect to two businesses within our Aviation Systems segment, which we refer to together in this </w:t>
      </w:r>
      <w:r>
        <w:rPr>
          <w:rFonts w:eastAsia="Times New Roman"/>
          <w:color w:val="000000"/>
          <w:sz w:val="20"/>
          <w:szCs w:val="20"/>
        </w:rPr>
        <w:t xml:space="preserve">Report as the “AP disposal groups”. We expect to complete the sale of the AP disposal groups in the next twelve months. </w:t>
      </w:r>
    </w:p>
    <w:p w:rsidR="00000000" w:rsidRDefault="00B11388">
      <w:pPr>
        <w:ind w:firstLine="450"/>
        <w:divId w:val="1773016089"/>
        <w:rPr>
          <w:rFonts w:eastAsia="Times New Roman"/>
        </w:rPr>
      </w:pPr>
      <w:r>
        <w:rPr>
          <w:rFonts w:eastAsia="Times New Roman"/>
          <w:i/>
          <w:iCs/>
          <w:color w:val="000000"/>
          <w:sz w:val="20"/>
          <w:szCs w:val="20"/>
        </w:rPr>
        <w:t>VSE disposal group</w:t>
      </w:r>
      <w:r>
        <w:rPr>
          <w:rFonts w:eastAsia="Times New Roman"/>
          <w:color w:val="000000"/>
          <w:sz w:val="20"/>
          <w:szCs w:val="20"/>
        </w:rPr>
        <w:t>. On February 23, 2021, we entered into a definitive agreement to sell the VSE disposal group for $20 million, subjec</w:t>
      </w:r>
      <w:r>
        <w:rPr>
          <w:rFonts w:eastAsia="Times New Roman"/>
          <w:color w:val="000000"/>
          <w:sz w:val="20"/>
          <w:szCs w:val="20"/>
        </w:rPr>
        <w:t>t to customary purchase price adjustments and closing conditions as set forth in the definitive agreement. The definitive agreement includes provisions to accommodate, as necessary, closing the transactions contemplated by the agreement on a deferred basis</w:t>
      </w:r>
      <w:r>
        <w:rPr>
          <w:rFonts w:eastAsia="Times New Roman"/>
          <w:color w:val="000000"/>
          <w:sz w:val="20"/>
          <w:szCs w:val="20"/>
        </w:rPr>
        <w:t xml:space="preserve"> if local consents and regulatory approvals in certain jurisdictions are obtained at a later date than in other jurisdictions. </w:t>
      </w:r>
    </w:p>
    <w:p w:rsidR="00000000" w:rsidRDefault="00B11388">
      <w:pPr>
        <w:ind w:firstLine="450"/>
        <w:divId w:val="343870626"/>
        <w:rPr>
          <w:rFonts w:eastAsia="Times New Roman"/>
        </w:rPr>
      </w:pPr>
      <w:r>
        <w:rPr>
          <w:rFonts w:eastAsia="Times New Roman"/>
          <w:color w:val="000000"/>
          <w:sz w:val="20"/>
          <w:szCs w:val="20"/>
        </w:rPr>
        <w:t>The VSE disposal group, which is reported as part of our Aviation Systems segment, provides voice over internet protocol systems</w:t>
      </w:r>
      <w:r>
        <w:rPr>
          <w:rFonts w:eastAsia="Times New Roman"/>
          <w:color w:val="000000"/>
          <w:sz w:val="20"/>
          <w:szCs w:val="20"/>
        </w:rPr>
        <w:t xml:space="preserve"> for air traffic management communications. During the quarter ended July 2, 2021, as contemplated by the definitive agreement, we consummated transactions in several jurisdictions for net cash proceeds of $2 million. (We consummated the closing in the fin</w:t>
      </w:r>
      <w:r>
        <w:rPr>
          <w:rFonts w:eastAsia="Times New Roman"/>
          <w:color w:val="000000"/>
          <w:sz w:val="20"/>
          <w:szCs w:val="20"/>
        </w:rPr>
        <w:t xml:space="preserve">al jurisdiction on July 30, 2021). </w:t>
      </w:r>
    </w:p>
    <w:p w:rsidR="00000000" w:rsidRDefault="00B11388">
      <w:pPr>
        <w:ind w:firstLine="450"/>
        <w:jc w:val="center"/>
        <w:divId w:val="770586878"/>
        <w:rPr>
          <w:rFonts w:eastAsia="Times New Roman"/>
        </w:rPr>
      </w:pPr>
      <w:r>
        <w:rPr>
          <w:rFonts w:eastAsia="Times New Roman"/>
          <w:color w:val="000000"/>
          <w:sz w:val="20"/>
          <w:szCs w:val="20"/>
        </w:rPr>
        <w:t>7</w:t>
      </w:r>
    </w:p>
    <w:p w:rsidR="00000000" w:rsidRDefault="00B11388">
      <w:pPr>
        <w:rPr>
          <w:rFonts w:eastAsia="Times New Roman"/>
        </w:rPr>
      </w:pPr>
      <w:r>
        <w:rPr>
          <w:rFonts w:eastAsia="Times New Roman"/>
        </w:rPr>
        <w:pict>
          <v:rect id="_x0000_i1034" style="width:0;height:1.5pt" o:hralign="center" o:hrstd="t" o:hr="t" fillcolor="#a0a0a0" stroked="f"/>
        </w:pict>
      </w:r>
    </w:p>
    <w:p w:rsidR="00000000" w:rsidRDefault="00B11388">
      <w:pPr>
        <w:ind w:firstLine="450"/>
        <w:divId w:val="583800575"/>
        <w:rPr>
          <w:rFonts w:eastAsia="Times New Roman"/>
        </w:rPr>
      </w:pPr>
    </w:p>
    <w:p w:rsidR="00000000" w:rsidRDefault="00B11388">
      <w:pPr>
        <w:ind w:firstLine="450"/>
        <w:divId w:val="906768100"/>
        <w:rPr>
          <w:rFonts w:eastAsia="Times New Roman"/>
        </w:rPr>
      </w:pPr>
    </w:p>
    <w:p w:rsidR="00000000" w:rsidRDefault="00B11388">
      <w:pPr>
        <w:ind w:firstLine="450"/>
        <w:divId w:val="979068305"/>
        <w:rPr>
          <w:rFonts w:eastAsia="Times New Roman"/>
        </w:rPr>
      </w:pPr>
      <w:r>
        <w:rPr>
          <w:rFonts w:eastAsia="Times New Roman"/>
          <w:color w:val="000000"/>
          <w:sz w:val="20"/>
          <w:szCs w:val="20"/>
        </w:rPr>
        <w:t>Because the divestiture of the VSE disposal group represents the disposal of a portion of a reporting unit within our Aviation Systems segment, we assigned $14 million of goodwil</w:t>
      </w:r>
      <w:r>
        <w:rPr>
          <w:rFonts w:eastAsia="Times New Roman"/>
          <w:color w:val="000000"/>
          <w:sz w:val="20"/>
          <w:szCs w:val="20"/>
        </w:rPr>
        <w:t>l to the VSE disposal group on a relative fair value basis during the quarter ended July 3, 2020 when the held for sale criteria were met. In connection with the preparation of our financial statements for fiscal 2020, we recognized a $32 million pre-tax l</w:t>
      </w:r>
      <w:r>
        <w:rPr>
          <w:rFonts w:eastAsia="Times New Roman"/>
          <w:color w:val="000000"/>
          <w:sz w:val="20"/>
          <w:szCs w:val="20"/>
        </w:rPr>
        <w:t xml:space="preserve">oss to reduce the net assets of the VSE disposal group to fair value less costs to sell, which included a non-cash goodwill impairment charge of $14 million (based on the excess of the carrying value of the business over estimated net cash proceeds, after </w:t>
      </w:r>
      <w:r>
        <w:rPr>
          <w:rFonts w:eastAsia="Times New Roman"/>
          <w:color w:val="000000"/>
          <w:sz w:val="20"/>
          <w:szCs w:val="20"/>
        </w:rPr>
        <w:t>estimated purchase price adjustments) and an $18 million non-cash remeasurement loss. During the quarter and two quarters ended July 2, 2021, we recorded additional pre-tax losses of $18 million and $26 million, respectively, for non-cash remeasurement los</w:t>
      </w:r>
      <w:r>
        <w:rPr>
          <w:rFonts w:eastAsia="Times New Roman"/>
          <w:color w:val="000000"/>
          <w:sz w:val="20"/>
          <w:szCs w:val="20"/>
        </w:rPr>
        <w:t>ses. The non-cash goodwill impairment is included in the “Impairment of goodwill and other assets” line item in our Condensed Consolidated Statement of Income (Unaudited).</w:t>
      </w:r>
    </w:p>
    <w:p w:rsidR="00000000" w:rsidRDefault="00B11388">
      <w:pPr>
        <w:ind w:firstLine="450"/>
        <w:divId w:val="6373707"/>
        <w:rPr>
          <w:rFonts w:eastAsia="Times New Roman"/>
        </w:rPr>
      </w:pPr>
      <w:r>
        <w:rPr>
          <w:rFonts w:eastAsia="Times New Roman"/>
          <w:color w:val="000000"/>
          <w:sz w:val="20"/>
          <w:szCs w:val="20"/>
        </w:rPr>
        <w:t>The carrying amounts of the major classes of assets and liabilities for the businesses classified as held for sale included in our Condensed Consolidated Balance Sheet (Unaudited) at July 2,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363"/>
        <w:gridCol w:w="36"/>
        <w:gridCol w:w="121"/>
        <w:gridCol w:w="1072"/>
        <w:gridCol w:w="36"/>
        <w:gridCol w:w="36"/>
        <w:gridCol w:w="36"/>
        <w:gridCol w:w="36"/>
        <w:gridCol w:w="121"/>
        <w:gridCol w:w="1028"/>
        <w:gridCol w:w="36"/>
        <w:gridCol w:w="36"/>
        <w:gridCol w:w="36"/>
        <w:gridCol w:w="36"/>
        <w:gridCol w:w="121"/>
        <w:gridCol w:w="870"/>
        <w:gridCol w:w="36"/>
        <w:gridCol w:w="36"/>
        <w:gridCol w:w="36"/>
        <w:gridCol w:w="36"/>
        <w:gridCol w:w="121"/>
        <w:gridCol w:w="947"/>
        <w:gridCol w:w="36"/>
      </w:tblGrid>
      <w:tr w:rsidR="00000000">
        <w:trPr>
          <w:divId w:val="518659892"/>
        </w:trPr>
        <w:tc>
          <w:tcPr>
            <w:tcW w:w="50" w:type="pct"/>
            <w:vAlign w:val="center"/>
            <w:hideMark/>
          </w:tcPr>
          <w:p w:rsidR="00000000" w:rsidRDefault="00B11388">
            <w:pPr>
              <w:ind w:firstLine="450"/>
              <w:rPr>
                <w:rFonts w:eastAsia="Times New Roman"/>
              </w:rPr>
            </w:pPr>
          </w:p>
        </w:tc>
        <w:tc>
          <w:tcPr>
            <w:tcW w:w="205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5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2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518659892"/>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Electron Devices business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AP disposal groups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VSE disposal group</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Consolidated Total</w:t>
            </w:r>
          </w:p>
        </w:tc>
      </w:tr>
      <w:tr w:rsidR="00000000">
        <w:trPr>
          <w:divId w:val="518659892"/>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Receivables, net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Deferred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Assets of disposal group held for sale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Deferred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18659892"/>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Liabilities of disposal group held for sale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721950400"/>
        <w:rPr>
          <w:rFonts w:eastAsia="Times New Roman"/>
        </w:rPr>
      </w:pPr>
      <w:r>
        <w:rPr>
          <w:rFonts w:eastAsia="Times New Roman"/>
          <w:color w:val="000000"/>
          <w:sz w:val="20"/>
          <w:szCs w:val="20"/>
        </w:rPr>
        <w:t>The carrying amounts of the assets and liabilities of the VSE disposal group classified as held for sale in our Consolidated Balance Sheet were $35 million and $13 million, respectively, at January 1, 2021.</w:t>
      </w:r>
    </w:p>
    <w:p w:rsidR="00000000" w:rsidRDefault="00B11388">
      <w:pPr>
        <w:divId w:val="1437672783"/>
        <w:rPr>
          <w:rFonts w:eastAsia="Times New Roman"/>
        </w:rPr>
      </w:pPr>
      <w:r>
        <w:rPr>
          <w:rFonts w:eastAsia="Times New Roman"/>
          <w:b/>
          <w:bCs/>
          <w:i/>
          <w:iCs/>
          <w:color w:val="000000"/>
          <w:sz w:val="20"/>
          <w:szCs w:val="20"/>
        </w:rPr>
        <w:t>Completed Divestitures</w:t>
      </w:r>
    </w:p>
    <w:p w:rsidR="00000000" w:rsidRDefault="00B11388">
      <w:pPr>
        <w:ind w:firstLine="450"/>
        <w:divId w:val="1494957107"/>
        <w:rPr>
          <w:rFonts w:eastAsia="Times New Roman"/>
        </w:rPr>
      </w:pPr>
      <w:r>
        <w:rPr>
          <w:rFonts w:eastAsia="Times New Roman"/>
          <w:i/>
          <w:iCs/>
          <w:color w:val="000000"/>
          <w:sz w:val="20"/>
          <w:szCs w:val="20"/>
        </w:rPr>
        <w:t xml:space="preserve">CPS business. </w:t>
      </w:r>
      <w:r>
        <w:rPr>
          <w:rFonts w:eastAsia="Times New Roman"/>
          <w:color w:val="000000"/>
          <w:sz w:val="20"/>
          <w:szCs w:val="20"/>
        </w:rPr>
        <w:t>On July 2, 2</w:t>
      </w:r>
      <w:r>
        <w:rPr>
          <w:rFonts w:eastAsia="Times New Roman"/>
          <w:color w:val="000000"/>
          <w:sz w:val="20"/>
          <w:szCs w:val="20"/>
        </w:rPr>
        <w:t>021, we completed the divestiture of the CPS business to RENK AG for $398 million (net proceeds of $347 million after selling costs and estimated purchase price adjustments, including $6 million of accrued selling costs). The CPS business engineers, design</w:t>
      </w:r>
      <w:r>
        <w:rPr>
          <w:rFonts w:eastAsia="Times New Roman"/>
          <w:color w:val="000000"/>
          <w:sz w:val="20"/>
          <w:szCs w:val="20"/>
        </w:rPr>
        <w:t>s and manufactures engines, transmissions, suspensions and turret drive systems for tracked and wheeled combat vehicle systems. The operating results of the CPS business through the date of divestiture were reported as part of our Aviation Systems segment.</w:t>
      </w:r>
      <w:r>
        <w:rPr>
          <w:rFonts w:eastAsia="Times New Roman"/>
          <w:color w:val="000000"/>
          <w:sz w:val="20"/>
          <w:szCs w:val="20"/>
        </w:rPr>
        <w:t xml:space="preserve"> </w:t>
      </w:r>
    </w:p>
    <w:p w:rsidR="00000000" w:rsidRDefault="00B11388">
      <w:pPr>
        <w:ind w:firstLine="450"/>
        <w:divId w:val="2068599582"/>
        <w:rPr>
          <w:rFonts w:eastAsia="Times New Roman"/>
        </w:rPr>
      </w:pPr>
      <w:r>
        <w:rPr>
          <w:rFonts w:eastAsia="Times New Roman"/>
          <w:color w:val="000000"/>
          <w:sz w:val="20"/>
          <w:szCs w:val="20"/>
        </w:rPr>
        <w:t>Because the then-pending divestiture of the CPS business represented the disposal of a portion of a reporting unit within our Aviation Systems segment, we assigned $174 million of goodwill to the CPS business on a relative fair value basis during the qua</w:t>
      </w:r>
      <w:r>
        <w:rPr>
          <w:rFonts w:eastAsia="Times New Roman"/>
          <w:color w:val="000000"/>
          <w:sz w:val="20"/>
          <w:szCs w:val="20"/>
        </w:rPr>
        <w:t>rter ended April 2, 2021, when the held for sale criteria were met, and we recognized a non-cash goodwill impairment charge of $62 million (based on the excess of the carrying value of the business over estimated net cash proceeds, after estimated purchase</w:t>
      </w:r>
      <w:r>
        <w:rPr>
          <w:rFonts w:eastAsia="Times New Roman"/>
          <w:color w:val="000000"/>
          <w:sz w:val="20"/>
          <w:szCs w:val="20"/>
        </w:rPr>
        <w:t xml:space="preserve"> price adjustments), which is included in the “Impairment of goodwill and other assets” line item in our Condensed Consolidated Statement of Income (Unaudited).</w:t>
      </w:r>
    </w:p>
    <w:p w:rsidR="00000000" w:rsidRDefault="00B11388">
      <w:pPr>
        <w:ind w:firstLine="450"/>
        <w:divId w:val="1090352775"/>
        <w:rPr>
          <w:rFonts w:eastAsia="Times New Roman"/>
        </w:rPr>
      </w:pPr>
      <w:r>
        <w:rPr>
          <w:rFonts w:eastAsia="Times New Roman"/>
          <w:i/>
          <w:iCs/>
          <w:color w:val="000000"/>
          <w:sz w:val="20"/>
          <w:szCs w:val="20"/>
        </w:rPr>
        <w:t xml:space="preserve">Military training business. </w:t>
      </w:r>
      <w:r>
        <w:rPr>
          <w:rFonts w:eastAsia="Times New Roman"/>
          <w:color w:val="000000"/>
          <w:sz w:val="20"/>
          <w:szCs w:val="20"/>
        </w:rPr>
        <w:t>On July 2, 2021, we completed the divestiture of the military training business to CAE USA Inc., a subsidiary of CAE Inc., for $1,050 million (net proceeds of $1,057 million after selling costs and estimated purchase price adjustments, including $17 millio</w:t>
      </w:r>
      <w:r>
        <w:rPr>
          <w:rFonts w:eastAsia="Times New Roman"/>
          <w:color w:val="000000"/>
          <w:sz w:val="20"/>
          <w:szCs w:val="20"/>
        </w:rPr>
        <w:t xml:space="preserve">n of accrued selling costs). The military training business provides flight simulation solutions and training services to the U.S. Department of Defense (“DoD”) and foreign military agencies. The operating results of the military training business through </w:t>
      </w:r>
      <w:r>
        <w:rPr>
          <w:rFonts w:eastAsia="Times New Roman"/>
          <w:color w:val="000000"/>
          <w:sz w:val="20"/>
          <w:szCs w:val="20"/>
        </w:rPr>
        <w:t xml:space="preserve">the date of divestiture were reported as part of our Aviation Systems segment. </w:t>
      </w:r>
    </w:p>
    <w:p w:rsidR="00000000" w:rsidRDefault="00B11388">
      <w:pPr>
        <w:ind w:firstLine="450"/>
        <w:jc w:val="center"/>
        <w:divId w:val="1435635711"/>
        <w:rPr>
          <w:rFonts w:eastAsia="Times New Roman"/>
        </w:rPr>
      </w:pPr>
      <w:r>
        <w:rPr>
          <w:rFonts w:eastAsia="Times New Roman"/>
          <w:color w:val="000000"/>
          <w:sz w:val="20"/>
          <w:szCs w:val="20"/>
        </w:rPr>
        <w:t>8</w:t>
      </w:r>
    </w:p>
    <w:p w:rsidR="00000000" w:rsidRDefault="00B11388">
      <w:pPr>
        <w:rPr>
          <w:rFonts w:eastAsia="Times New Roman"/>
        </w:rPr>
      </w:pPr>
      <w:r>
        <w:rPr>
          <w:rFonts w:eastAsia="Times New Roman"/>
        </w:rPr>
        <w:pict>
          <v:rect id="_x0000_i1035" style="width:0;height:1.5pt" o:hralign="center" o:hrstd="t" o:hr="t" fillcolor="#a0a0a0" stroked="f"/>
        </w:pict>
      </w:r>
    </w:p>
    <w:p w:rsidR="00000000" w:rsidRDefault="00B11388">
      <w:pPr>
        <w:ind w:firstLine="450"/>
        <w:divId w:val="1421876697"/>
        <w:rPr>
          <w:rFonts w:eastAsia="Times New Roman"/>
        </w:rPr>
      </w:pPr>
    </w:p>
    <w:p w:rsidR="00000000" w:rsidRDefault="00B11388">
      <w:pPr>
        <w:ind w:firstLine="450"/>
        <w:divId w:val="391082464"/>
        <w:rPr>
          <w:rFonts w:eastAsia="Times New Roman"/>
        </w:rPr>
      </w:pPr>
    </w:p>
    <w:p w:rsidR="00000000" w:rsidRDefault="00B11388">
      <w:pPr>
        <w:divId w:val="502622414"/>
        <w:rPr>
          <w:rFonts w:eastAsia="Times New Roman"/>
        </w:rPr>
      </w:pPr>
      <w:r>
        <w:rPr>
          <w:rFonts w:eastAsia="Times New Roman"/>
          <w:b/>
          <w:bCs/>
          <w:color w:val="000000"/>
          <w:sz w:val="20"/>
          <w:szCs w:val="20"/>
        </w:rPr>
        <w:t>2020 Divestitures</w:t>
      </w:r>
    </w:p>
    <w:p w:rsidR="00000000" w:rsidRDefault="00B11388">
      <w:pPr>
        <w:ind w:firstLine="450"/>
        <w:divId w:val="1123309566"/>
        <w:rPr>
          <w:rFonts w:eastAsia="Times New Roman"/>
        </w:rPr>
      </w:pPr>
      <w:r>
        <w:rPr>
          <w:rFonts w:eastAsia="Times New Roman"/>
          <w:i/>
          <w:iCs/>
          <w:color w:val="000000"/>
          <w:sz w:val="20"/>
          <w:szCs w:val="20"/>
        </w:rPr>
        <w:t xml:space="preserve">EOTech business. </w:t>
      </w:r>
      <w:r>
        <w:rPr>
          <w:rFonts w:eastAsia="Times New Roman"/>
          <w:color w:val="000000"/>
          <w:sz w:val="20"/>
          <w:szCs w:val="20"/>
        </w:rPr>
        <w:t>On July 31, 2020, we completed the divestiture of the EOTech business for $42 million (net cash pro</w:t>
      </w:r>
      <w:r>
        <w:rPr>
          <w:rFonts w:eastAsia="Times New Roman"/>
          <w:color w:val="000000"/>
          <w:sz w:val="20"/>
          <w:szCs w:val="20"/>
        </w:rPr>
        <w:t>ceeds of $40 million after selling costs and estimated purchase price adjustments), subject to final customary purchase price adjustments. The EOTech business manufactures holographic sighting systems, magnified field optics and accessories for military, l</w:t>
      </w:r>
      <w:r>
        <w:rPr>
          <w:rFonts w:eastAsia="Times New Roman"/>
          <w:color w:val="000000"/>
          <w:sz w:val="20"/>
          <w:szCs w:val="20"/>
        </w:rPr>
        <w:t>aw enforcement and commercial markets around the world. The operating results of the EOTech business through the date of divestiture were reported as part of our Communication Systems segment.</w:t>
      </w:r>
    </w:p>
    <w:p w:rsidR="00000000" w:rsidRDefault="00B11388">
      <w:pPr>
        <w:ind w:firstLine="450"/>
        <w:divId w:val="1197888129"/>
        <w:rPr>
          <w:rFonts w:eastAsia="Times New Roman"/>
        </w:rPr>
      </w:pPr>
      <w:r>
        <w:rPr>
          <w:rFonts w:eastAsia="Times New Roman"/>
          <w:i/>
          <w:iCs/>
          <w:color w:val="000000"/>
          <w:sz w:val="20"/>
          <w:szCs w:val="20"/>
        </w:rPr>
        <w:t>Applied Kilovolts and Analytical Instrumentation business.</w:t>
      </w:r>
      <w:r>
        <w:rPr>
          <w:rFonts w:eastAsia="Times New Roman"/>
          <w:color w:val="000000"/>
          <w:sz w:val="20"/>
          <w:szCs w:val="20"/>
        </w:rPr>
        <w:t xml:space="preserve"> On M</w:t>
      </w:r>
      <w:r>
        <w:rPr>
          <w:rFonts w:eastAsia="Times New Roman"/>
          <w:color w:val="000000"/>
          <w:sz w:val="20"/>
          <w:szCs w:val="20"/>
        </w:rPr>
        <w:t>ay 15, 2020, we completed the divestiture of the Applied Kilovolts and Analytical Instrumentation business for net cash proceeds of $12 million, after selling costs and purchase price adjustments. In connection with the preparation of our financial stateme</w:t>
      </w:r>
      <w:r>
        <w:rPr>
          <w:rFonts w:eastAsia="Times New Roman"/>
          <w:color w:val="000000"/>
          <w:sz w:val="20"/>
          <w:szCs w:val="20"/>
        </w:rPr>
        <w:t>nts for the quarter ended April 3, 2020, we tested goodwill assigned to the Applied Kilovolts and Analytical Instrumentation business disposal group and goodwill assigned to the retained businesses of the reporting unit for impairment and concluded that go</w:t>
      </w:r>
      <w:r>
        <w:rPr>
          <w:rFonts w:eastAsia="Times New Roman"/>
          <w:color w:val="000000"/>
          <w:sz w:val="20"/>
          <w:szCs w:val="20"/>
        </w:rPr>
        <w:t>odwill related to the disposal group was impaired. As a result, we recorded a non-cash impairment charge of $5 million, which is included in the “Impairment of goodwill and other assets” line item in our Condensed Consolidated Statement of Income (Unaudite</w:t>
      </w:r>
      <w:r>
        <w:rPr>
          <w:rFonts w:eastAsia="Times New Roman"/>
          <w:color w:val="000000"/>
          <w:sz w:val="20"/>
          <w:szCs w:val="20"/>
        </w:rPr>
        <w:t xml:space="preserve">d). The operating results of the Applied Kilovolts and Analytical Instrumentation business through the date of divestiture were reported as part of our Space and Airborne Systems segment. </w:t>
      </w:r>
    </w:p>
    <w:p w:rsidR="00000000" w:rsidRDefault="00B11388">
      <w:pPr>
        <w:ind w:firstLine="450"/>
        <w:divId w:val="969365510"/>
        <w:rPr>
          <w:rFonts w:eastAsia="Times New Roman"/>
        </w:rPr>
      </w:pPr>
      <w:r>
        <w:rPr>
          <w:rFonts w:eastAsia="Times New Roman"/>
          <w:i/>
          <w:iCs/>
          <w:color w:val="000000"/>
          <w:sz w:val="20"/>
          <w:szCs w:val="20"/>
        </w:rPr>
        <w:t xml:space="preserve">Airport security and automation business. </w:t>
      </w:r>
      <w:r>
        <w:rPr>
          <w:rFonts w:eastAsia="Times New Roman"/>
          <w:color w:val="000000"/>
          <w:sz w:val="20"/>
          <w:szCs w:val="20"/>
        </w:rPr>
        <w:t>On May 4, 2020, we comple</w:t>
      </w:r>
      <w:r>
        <w:rPr>
          <w:rFonts w:eastAsia="Times New Roman"/>
          <w:color w:val="000000"/>
          <w:sz w:val="20"/>
          <w:szCs w:val="20"/>
        </w:rPr>
        <w:t xml:space="preserve">ted the divestiture of the airport security and automation business to Leidos, Inc. for $1 billion (net cash proceeds of $987 million after selling costs and purchase price adjustments). The airport security and automation business provides solutions used </w:t>
      </w:r>
      <w:r>
        <w:rPr>
          <w:rFonts w:eastAsia="Times New Roman"/>
          <w:color w:val="000000"/>
          <w:sz w:val="20"/>
          <w:szCs w:val="20"/>
        </w:rPr>
        <w:t xml:space="preserve">by the aviation and transportation industries, regulatory and customs authorities, government and law enforcement agencies and commercial and other high-security facilities. The operating results of the airport security and automation business through the </w:t>
      </w:r>
      <w:r>
        <w:rPr>
          <w:rFonts w:eastAsia="Times New Roman"/>
          <w:color w:val="000000"/>
          <w:sz w:val="20"/>
          <w:szCs w:val="20"/>
        </w:rPr>
        <w:t xml:space="preserve">date of divestiture were reported as part of our Aviation Systems segment. </w:t>
      </w:r>
    </w:p>
    <w:p w:rsidR="00000000" w:rsidRDefault="00B11388">
      <w:pPr>
        <w:ind w:firstLine="450"/>
        <w:divId w:val="2022660897"/>
        <w:rPr>
          <w:rFonts w:eastAsia="Times New Roman"/>
        </w:rPr>
      </w:pPr>
      <w:r>
        <w:rPr>
          <w:rFonts w:eastAsia="Times New Roman"/>
          <w:color w:val="000000"/>
          <w:sz w:val="20"/>
          <w:szCs w:val="20"/>
        </w:rPr>
        <w:t>For purposes of allocating goodwill to the disposal groups, we determined the fair value of each disposal group based on the respective negotiated selling price (or estimated net c</w:t>
      </w:r>
      <w:r>
        <w:rPr>
          <w:rFonts w:eastAsia="Times New Roman"/>
          <w:color w:val="000000"/>
          <w:sz w:val="20"/>
          <w:szCs w:val="20"/>
        </w:rPr>
        <w:t>ash proceeds, in the case of no negotiated selling price), and the fair value of the retained businesses of the respective reporting unit based on a combination of market-based valuation techniques, utilizing quoted market prices and comparable publicly re</w:t>
      </w:r>
      <w:r>
        <w:rPr>
          <w:rFonts w:eastAsia="Times New Roman"/>
          <w:color w:val="000000"/>
          <w:sz w:val="20"/>
          <w:szCs w:val="20"/>
        </w:rPr>
        <w:t xml:space="preserve">ported transactions, and projected discounted cash flows. These fair value determinations are categorized as Level 3 in the fair value hierarchy due to their use of internal projections and unobservable measurement inputs. See </w:t>
      </w:r>
      <w:r>
        <w:rPr>
          <w:rFonts w:eastAsia="Times New Roman"/>
          <w:i/>
          <w:iCs/>
          <w:color w:val="000000"/>
          <w:sz w:val="20"/>
          <w:szCs w:val="20"/>
        </w:rPr>
        <w:t>Note 1: “Significant Accounti</w:t>
      </w:r>
      <w:r>
        <w:rPr>
          <w:rFonts w:eastAsia="Times New Roman"/>
          <w:i/>
          <w:iCs/>
          <w:color w:val="000000"/>
          <w:sz w:val="20"/>
          <w:szCs w:val="20"/>
        </w:rPr>
        <w:t>ng Policies”</w:t>
      </w:r>
      <w:r>
        <w:rPr>
          <w:rFonts w:eastAsia="Times New Roman"/>
          <w:color w:val="000000"/>
          <w:sz w:val="20"/>
          <w:szCs w:val="20"/>
        </w:rPr>
        <w:t xml:space="preserve"> in the Notes to Consolidated Financial Statements in our Fiscal 2020 Form 10-K for additional information regarding the fair value hierarchy. For additional information regarding the impairment of goodwill related to our business and disposal </w:t>
      </w:r>
      <w:r>
        <w:rPr>
          <w:rFonts w:eastAsia="Times New Roman"/>
          <w:color w:val="000000"/>
          <w:sz w:val="20"/>
          <w:szCs w:val="20"/>
        </w:rPr>
        <w:t xml:space="preserve">group divestitures, see </w:t>
      </w:r>
      <w:r>
        <w:rPr>
          <w:rFonts w:eastAsia="Times New Roman"/>
          <w:i/>
          <w:iCs/>
          <w:color w:val="000000"/>
          <w:sz w:val="20"/>
          <w:szCs w:val="20"/>
        </w:rPr>
        <w:t>Note I — Goodwill and Other Intangible Assets</w:t>
      </w:r>
      <w:r>
        <w:rPr>
          <w:rFonts w:eastAsia="Times New Roman"/>
          <w:color w:val="000000"/>
          <w:sz w:val="20"/>
          <w:szCs w:val="20"/>
        </w:rPr>
        <w:t xml:space="preserve"> in these Notes</w:t>
      </w:r>
      <w:r>
        <w:rPr>
          <w:rFonts w:eastAsia="Times New Roman"/>
          <w:i/>
          <w:iCs/>
          <w:color w:val="000000"/>
          <w:sz w:val="20"/>
          <w:szCs w:val="20"/>
        </w:rPr>
        <w:t>.</w:t>
      </w:r>
    </w:p>
    <w:p w:rsidR="00000000" w:rsidRDefault="00B11388">
      <w:pPr>
        <w:ind w:firstLine="450"/>
        <w:divId w:val="466431865"/>
        <w:rPr>
          <w:rFonts w:eastAsia="Times New Roman"/>
        </w:rPr>
      </w:pPr>
      <w:r>
        <w:rPr>
          <w:rFonts w:eastAsia="Times New Roman"/>
          <w:color w:val="000000"/>
          <w:sz w:val="20"/>
          <w:szCs w:val="20"/>
        </w:rPr>
        <w:t xml:space="preserve">The following table presents the amount of income (loss) before income taxes attributable to businesses divested or held for sale in our Condensed Consolidated Statement </w:t>
      </w:r>
      <w:r>
        <w:rPr>
          <w:rFonts w:eastAsia="Times New Roman"/>
          <w:color w:val="000000"/>
          <w:sz w:val="20"/>
          <w:szCs w:val="20"/>
        </w:rPr>
        <w:t>of Income (Unaudited):</w:t>
      </w:r>
    </w:p>
    <w:tbl>
      <w:tblPr>
        <w:tblW w:w="4978" w:type="pct"/>
        <w:tblCellMar>
          <w:top w:w="15" w:type="dxa"/>
          <w:left w:w="15" w:type="dxa"/>
          <w:bottom w:w="15" w:type="dxa"/>
          <w:right w:w="15" w:type="dxa"/>
        </w:tblCellMar>
        <w:tblLook w:val="04A0" w:firstRow="1" w:lastRow="0" w:firstColumn="1" w:lastColumn="0" w:noHBand="0" w:noVBand="1"/>
      </w:tblPr>
      <w:tblGrid>
        <w:gridCol w:w="39"/>
        <w:gridCol w:w="4377"/>
        <w:gridCol w:w="38"/>
        <w:gridCol w:w="120"/>
        <w:gridCol w:w="716"/>
        <w:gridCol w:w="36"/>
        <w:gridCol w:w="36"/>
        <w:gridCol w:w="36"/>
        <w:gridCol w:w="36"/>
        <w:gridCol w:w="121"/>
        <w:gridCol w:w="716"/>
        <w:gridCol w:w="37"/>
        <w:gridCol w:w="36"/>
        <w:gridCol w:w="36"/>
        <w:gridCol w:w="36"/>
        <w:gridCol w:w="120"/>
        <w:gridCol w:w="716"/>
        <w:gridCol w:w="36"/>
        <w:gridCol w:w="36"/>
        <w:gridCol w:w="36"/>
        <w:gridCol w:w="36"/>
        <w:gridCol w:w="120"/>
        <w:gridCol w:w="717"/>
        <w:gridCol w:w="36"/>
      </w:tblGrid>
      <w:tr w:rsidR="00000000">
        <w:trPr>
          <w:divId w:val="2061662962"/>
        </w:trPr>
        <w:tc>
          <w:tcPr>
            <w:tcW w:w="50" w:type="pct"/>
            <w:vAlign w:val="center"/>
            <w:hideMark/>
          </w:tcPr>
          <w:p w:rsidR="00000000" w:rsidRDefault="00B11388">
            <w:pPr>
              <w:ind w:firstLine="450"/>
              <w:rPr>
                <w:rFonts w:eastAsia="Times New Roman"/>
              </w:rPr>
            </w:pPr>
          </w:p>
        </w:tc>
        <w:tc>
          <w:tcPr>
            <w:tcW w:w="271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2061662962"/>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2061662962"/>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2061662962"/>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2061662962"/>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384717015"/>
              <w:rPr>
                <w:rFonts w:eastAsia="Times New Roman"/>
              </w:rPr>
            </w:pPr>
            <w:r>
              <w:rPr>
                <w:rFonts w:eastAsia="Times New Roman"/>
                <w:color w:val="000000"/>
                <w:sz w:val="20"/>
                <w:szCs w:val="20"/>
              </w:rPr>
              <w:t>Electron Devices business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061662962"/>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2061662962"/>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2061662962"/>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divId w:val="724838800"/>
              <w:rPr>
                <w:rFonts w:eastAsia="Times New Roman"/>
              </w:rPr>
            </w:pPr>
            <w:r>
              <w:rPr>
                <w:rFonts w:eastAsia="Times New Roman"/>
                <w:color w:val="000000"/>
                <w:sz w:val="20"/>
                <w:szCs w:val="20"/>
              </w:rPr>
              <w:t>CPS business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061662962"/>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Military training business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061662962"/>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2061662962"/>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2061662962"/>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1416050773"/>
        <w:rPr>
          <w:rFonts w:eastAsia="Times New Roman"/>
        </w:rPr>
      </w:pPr>
    </w:p>
    <w:p w:rsidR="00000000" w:rsidRDefault="00B11388">
      <w:pPr>
        <w:ind w:firstLine="450"/>
        <w:jc w:val="center"/>
        <w:divId w:val="804202975"/>
        <w:rPr>
          <w:rFonts w:eastAsia="Times New Roman"/>
        </w:rPr>
      </w:pPr>
      <w:r>
        <w:rPr>
          <w:rFonts w:eastAsia="Times New Roman"/>
          <w:color w:val="000000"/>
          <w:sz w:val="20"/>
          <w:szCs w:val="20"/>
        </w:rPr>
        <w:t>9</w:t>
      </w:r>
    </w:p>
    <w:p w:rsidR="00000000" w:rsidRDefault="00B11388">
      <w:pPr>
        <w:rPr>
          <w:rFonts w:eastAsia="Times New Roman"/>
        </w:rPr>
      </w:pPr>
      <w:r>
        <w:rPr>
          <w:rFonts w:eastAsia="Times New Roman"/>
        </w:rPr>
        <w:pict>
          <v:rect id="_x0000_i1036" style="width:0;height:1.5pt" o:hralign="center" o:hrstd="t" o:hr="t" fillcolor="#a0a0a0" stroked="f"/>
        </w:pict>
      </w:r>
    </w:p>
    <w:p w:rsidR="00000000" w:rsidRDefault="00B11388">
      <w:pPr>
        <w:ind w:firstLine="450"/>
        <w:divId w:val="425155848"/>
        <w:rPr>
          <w:rFonts w:eastAsia="Times New Roman"/>
        </w:rPr>
      </w:pPr>
    </w:p>
    <w:p w:rsidR="00000000" w:rsidRDefault="00B11388">
      <w:pPr>
        <w:ind w:firstLine="450"/>
        <w:divId w:val="223489650"/>
        <w:rPr>
          <w:rFonts w:eastAsia="Times New Roman"/>
        </w:rPr>
      </w:pPr>
    </w:p>
    <w:p w:rsidR="00000000" w:rsidRDefault="00B11388">
      <w:pPr>
        <w:ind w:firstLine="450"/>
        <w:divId w:val="226455292"/>
        <w:rPr>
          <w:rFonts w:eastAsia="Times New Roman"/>
        </w:rPr>
      </w:pPr>
      <w:r>
        <w:rPr>
          <w:rFonts w:eastAsia="Times New Roman"/>
          <w:color w:val="000000"/>
          <w:sz w:val="20"/>
          <w:szCs w:val="20"/>
        </w:rPr>
        <w:t>The “Business divestiture-related gains (losses)” line item in our Condensed Consolidated Statement of Income (Unaudited) is comprised of the following pre-tax gains (losses) associated with businesses divested or he</w:t>
      </w:r>
      <w:r>
        <w:rPr>
          <w:rFonts w:eastAsia="Times New Roman"/>
          <w:color w:val="000000"/>
          <w:sz w:val="20"/>
          <w:szCs w:val="20"/>
        </w:rPr>
        <w:t xml:space="preserve">ld for sale: </w:t>
      </w:r>
    </w:p>
    <w:tbl>
      <w:tblPr>
        <w:tblW w:w="4985" w:type="pct"/>
        <w:tblCellMar>
          <w:top w:w="15" w:type="dxa"/>
          <w:left w:w="15" w:type="dxa"/>
          <w:bottom w:w="15" w:type="dxa"/>
          <w:right w:w="15" w:type="dxa"/>
        </w:tblCellMar>
        <w:tblLook w:val="04A0" w:firstRow="1" w:lastRow="0" w:firstColumn="1" w:lastColumn="0" w:noHBand="0" w:noVBand="1"/>
      </w:tblPr>
      <w:tblGrid>
        <w:gridCol w:w="39"/>
        <w:gridCol w:w="4399"/>
        <w:gridCol w:w="38"/>
        <w:gridCol w:w="120"/>
        <w:gridCol w:w="729"/>
        <w:gridCol w:w="36"/>
        <w:gridCol w:w="36"/>
        <w:gridCol w:w="36"/>
        <w:gridCol w:w="36"/>
        <w:gridCol w:w="120"/>
        <w:gridCol w:w="729"/>
        <w:gridCol w:w="36"/>
        <w:gridCol w:w="36"/>
        <w:gridCol w:w="36"/>
        <w:gridCol w:w="36"/>
        <w:gridCol w:w="120"/>
        <w:gridCol w:w="729"/>
        <w:gridCol w:w="36"/>
        <w:gridCol w:w="36"/>
        <w:gridCol w:w="36"/>
        <w:gridCol w:w="36"/>
        <w:gridCol w:w="120"/>
        <w:gridCol w:w="670"/>
        <w:gridCol w:w="36"/>
      </w:tblGrid>
      <w:tr w:rsidR="00000000">
        <w:trPr>
          <w:divId w:val="1049495098"/>
        </w:trPr>
        <w:tc>
          <w:tcPr>
            <w:tcW w:w="50" w:type="pct"/>
            <w:vAlign w:val="center"/>
            <w:hideMark/>
          </w:tcPr>
          <w:p w:rsidR="00000000" w:rsidRDefault="00B11388">
            <w:pPr>
              <w:ind w:firstLine="450"/>
              <w:rPr>
                <w:rFonts w:eastAsia="Times New Roman"/>
              </w:rPr>
            </w:pPr>
          </w:p>
        </w:tc>
        <w:tc>
          <w:tcPr>
            <w:tcW w:w="270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049495098"/>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049495098"/>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049495098"/>
          <w:trHeight w:val="6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049495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942175782"/>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w:t>
            </w: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49495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divId w:val="100492413"/>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49495098"/>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Military training business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49495098"/>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049495098"/>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049495098"/>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49495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200783045"/>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49495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Business divestiture-related gain (losses)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49495098"/>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bl>
    <w:p w:rsidR="00000000" w:rsidRDefault="00B11388">
      <w:pPr>
        <w:divId w:val="1550914602"/>
        <w:rPr>
          <w:rFonts w:eastAsia="Times New Roman"/>
        </w:rPr>
      </w:pPr>
      <w:r>
        <w:rPr>
          <w:rFonts w:eastAsia="Times New Roman"/>
          <w:color w:val="000000"/>
          <w:sz w:val="16"/>
          <w:szCs w:val="16"/>
        </w:rPr>
        <w:t>_______________</w:t>
      </w:r>
    </w:p>
    <w:p w:rsidR="00000000" w:rsidRDefault="00B11388">
      <w:pPr>
        <w:ind w:hanging="270"/>
        <w:divId w:val="225726251"/>
        <w:rPr>
          <w:rFonts w:eastAsia="Times New Roman"/>
        </w:rPr>
      </w:pPr>
      <w:r>
        <w:rPr>
          <w:rFonts w:eastAsia="Times New Roman"/>
          <w:color w:val="000000"/>
          <w:sz w:val="16"/>
          <w:szCs w:val="16"/>
        </w:rPr>
        <w:t>(1)During the quarter ended July 3, 2020, upon classifying the VSE disposal group as held for sale, we recorded a non-cash impairment charge of $14 million, which is included in the “Impairment of goodwill and other assets” line item</w:t>
      </w:r>
      <w:r>
        <w:rPr>
          <w:rFonts w:eastAsia="Times New Roman"/>
          <w:color w:val="000000"/>
          <w:sz w:val="16"/>
          <w:szCs w:val="16"/>
        </w:rPr>
        <w:t xml:space="preserve"> in our Condensed Consolidated Statement of Income (Unaudited) for the quarter ended July 3, 2020. We recognized an $18 million non-cash remeasurement loss related to the VSE disposal group during the year ended January 1, 2021.</w:t>
      </w:r>
    </w:p>
    <w:p w:rsidR="00000000" w:rsidRDefault="00B11388">
      <w:pPr>
        <w:ind w:hanging="270"/>
        <w:divId w:val="1094939490"/>
        <w:rPr>
          <w:rFonts w:eastAsia="Times New Roman"/>
        </w:rPr>
      </w:pPr>
      <w:r>
        <w:rPr>
          <w:rFonts w:eastAsia="Times New Roman"/>
          <w:color w:val="000000"/>
          <w:sz w:val="16"/>
          <w:szCs w:val="16"/>
        </w:rPr>
        <w:t>(2)During the quarter ended</w:t>
      </w:r>
      <w:r>
        <w:rPr>
          <w:rFonts w:eastAsia="Times New Roman"/>
          <w:color w:val="000000"/>
          <w:sz w:val="16"/>
          <w:szCs w:val="16"/>
        </w:rPr>
        <w:t xml:space="preserve"> April 2, 2021, upon classifying the CPS business as held for sale, we recorded a non-cash impairment charge of $62 million, which is included in the “Impairment of goodwill and other assets” line item in our Condensed Consolidated Statement of Income (Una</w:t>
      </w:r>
      <w:r>
        <w:rPr>
          <w:rFonts w:eastAsia="Times New Roman"/>
          <w:color w:val="000000"/>
          <w:sz w:val="16"/>
          <w:szCs w:val="16"/>
        </w:rPr>
        <w:t>udited). See</w:t>
      </w:r>
      <w:r>
        <w:rPr>
          <w:rFonts w:eastAsia="Times New Roman"/>
          <w:i/>
          <w:iCs/>
          <w:color w:val="000000"/>
          <w:sz w:val="16"/>
          <w:szCs w:val="16"/>
        </w:rPr>
        <w:t xml:space="preserve"> Note I — Goodwill and Other Intangible Assets</w:t>
      </w:r>
      <w:r>
        <w:rPr>
          <w:rFonts w:eastAsia="Times New Roman"/>
          <w:color w:val="000000"/>
          <w:sz w:val="16"/>
          <w:szCs w:val="16"/>
        </w:rPr>
        <w:t xml:space="preserve"> in these Notes for additional information.</w:t>
      </w:r>
    </w:p>
    <w:p w:rsidR="00000000" w:rsidRDefault="00B11388">
      <w:pPr>
        <w:ind w:hanging="270"/>
        <w:divId w:val="491457955"/>
        <w:rPr>
          <w:rFonts w:eastAsia="Times New Roman"/>
        </w:rPr>
      </w:pPr>
      <w:r>
        <w:rPr>
          <w:rFonts w:eastAsia="Times New Roman"/>
          <w:color w:val="000000"/>
          <w:sz w:val="16"/>
          <w:szCs w:val="16"/>
        </w:rPr>
        <w:t>(3)Reflects adjustments to the gains and losses on completed divestitures not shown above, including for fiscal 2020, $12 million for finalization of purc</w:t>
      </w:r>
      <w:r>
        <w:rPr>
          <w:rFonts w:eastAsia="Times New Roman"/>
          <w:color w:val="000000"/>
          <w:sz w:val="16"/>
          <w:szCs w:val="16"/>
        </w:rPr>
        <w:t xml:space="preserve">hase price adjustments and recognition of a non-cash adjustment related to working capital, which decreased the gain initially recognized on the sale of the Harris Night Vision business divested on September 13, 2019. </w:t>
      </w:r>
    </w:p>
    <w:p w:rsidR="00000000" w:rsidRDefault="00B11388">
      <w:pPr>
        <w:divId w:val="630019831"/>
        <w:rPr>
          <w:rFonts w:eastAsia="Times New Roman"/>
        </w:rPr>
      </w:pPr>
      <w:r>
        <w:rPr>
          <w:rFonts w:eastAsia="Times New Roman"/>
          <w:b/>
          <w:bCs/>
          <w:color w:val="000000"/>
          <w:sz w:val="20"/>
          <w:szCs w:val="20"/>
        </w:rPr>
        <w:t>Note C — Stock Options and Other Shar</w:t>
      </w:r>
      <w:r>
        <w:rPr>
          <w:rFonts w:eastAsia="Times New Roman"/>
          <w:b/>
          <w:bCs/>
          <w:color w:val="000000"/>
          <w:sz w:val="20"/>
          <w:szCs w:val="20"/>
        </w:rPr>
        <w:t xml:space="preserve">e-Based Compensation </w:t>
      </w:r>
    </w:p>
    <w:p w:rsidR="00000000" w:rsidRDefault="00B11388">
      <w:pPr>
        <w:ind w:firstLine="450"/>
        <w:divId w:val="1748918120"/>
        <w:rPr>
          <w:rFonts w:eastAsia="Times New Roman"/>
        </w:rPr>
      </w:pPr>
      <w:r>
        <w:rPr>
          <w:rFonts w:eastAsia="Times New Roman"/>
          <w:color w:val="000000"/>
          <w:sz w:val="20"/>
          <w:szCs w:val="20"/>
        </w:rPr>
        <w:t>As of July 2, 2021, we had options or other share-based compensation outstanding under two Harris shareholder-approved stock incentive plans (“SIPs”) , the Harris Corporation 2005 Equity Incentive Plan (As Amended and Restated Effecti</w:t>
      </w:r>
      <w:r>
        <w:rPr>
          <w:rFonts w:eastAsia="Times New Roman"/>
          <w:color w:val="000000"/>
          <w:sz w:val="20"/>
          <w:szCs w:val="20"/>
        </w:rPr>
        <w:t>ve August 27, 2010) and the L3Harris Technologies, Inc. 2015 Equity Incentive Plan (As Amended and Restated Effective as of August 28, 2020) (the “2015 EIP”), as well as under employee stock incentive plans of L3 assumed by L3Harris (collectively, “L3Harri</w:t>
      </w:r>
      <w:r>
        <w:rPr>
          <w:rFonts w:eastAsia="Times New Roman"/>
          <w:color w:val="000000"/>
          <w:sz w:val="20"/>
          <w:szCs w:val="20"/>
        </w:rPr>
        <w:t xml:space="preserve">s SIPs”). We believe that share-based awards more closely align the interests of participants with those of shareholders. </w:t>
      </w:r>
    </w:p>
    <w:p w:rsidR="00000000" w:rsidRDefault="00B11388">
      <w:pPr>
        <w:ind w:firstLine="450"/>
        <w:divId w:val="1304314811"/>
        <w:rPr>
          <w:rFonts w:eastAsia="Times New Roman"/>
        </w:rPr>
      </w:pPr>
      <w:r>
        <w:rPr>
          <w:rFonts w:eastAsia="Times New Roman"/>
          <w:color w:val="000000"/>
          <w:sz w:val="20"/>
          <w:szCs w:val="20"/>
        </w:rPr>
        <w:t>The compensation cost related to our share-based awards that was charged against income was $34 million and $67 million for the quart</w:t>
      </w:r>
      <w:r>
        <w:rPr>
          <w:rFonts w:eastAsia="Times New Roman"/>
          <w:color w:val="000000"/>
          <w:sz w:val="20"/>
          <w:szCs w:val="20"/>
        </w:rPr>
        <w:t>er and two quarters ended July 2, 2021, respectively, and $24 million and $40 million for the quarter and two quarters ended July 3, 2020, respectively. The aggregate number of shares of our common stock issued under L3Harris SIPs, net of shares withheld f</w:t>
      </w:r>
      <w:r>
        <w:rPr>
          <w:rFonts w:eastAsia="Times New Roman"/>
          <w:color w:val="000000"/>
          <w:sz w:val="20"/>
          <w:szCs w:val="20"/>
        </w:rPr>
        <w:t xml:space="preserve">or tax purposes, was 0.4 million and 0.5 million for the quarter and two quarters ended July 2, 2021, respectively, and 0.5 million for the two quarters ended July 3, 2020. Shares issued for the quarter ended July 3, 2020 were not material. </w:t>
      </w:r>
    </w:p>
    <w:p w:rsidR="00000000" w:rsidRDefault="00B11388">
      <w:pPr>
        <w:ind w:firstLine="450"/>
        <w:divId w:val="1853297397"/>
        <w:rPr>
          <w:rFonts w:eastAsia="Times New Roman"/>
        </w:rPr>
      </w:pPr>
      <w:r>
        <w:rPr>
          <w:rFonts w:eastAsia="Times New Roman"/>
          <w:color w:val="000000"/>
          <w:sz w:val="20"/>
          <w:szCs w:val="20"/>
        </w:rPr>
        <w:t>Awards granted</w:t>
      </w:r>
      <w:r>
        <w:rPr>
          <w:rFonts w:eastAsia="Times New Roman"/>
          <w:color w:val="000000"/>
          <w:sz w:val="20"/>
          <w:szCs w:val="20"/>
        </w:rPr>
        <w:t xml:space="preserve"> to participants under L3Harris SIPs during the quarter ended July 2, 2021 consisted of 0.1 million restricted stock units and no stock options or performance stock units. Awards granted to participants under L3Harris SIPs during the two quarters ended Jul</w:t>
      </w:r>
      <w:r>
        <w:rPr>
          <w:rFonts w:eastAsia="Times New Roman"/>
          <w:color w:val="000000"/>
          <w:sz w:val="20"/>
          <w:szCs w:val="20"/>
        </w:rPr>
        <w:t xml:space="preserve">y 2, 2021 consisted of 0.5 million stock options, 0.2 million performance stock units and 0.2 million restricted stock units. The fair value as of the grant date of each stock option award was determined using the Black-Scholes-Merton option-pricing model </w:t>
      </w:r>
      <w:r>
        <w:rPr>
          <w:rFonts w:eastAsia="Times New Roman"/>
          <w:color w:val="000000"/>
          <w:sz w:val="20"/>
          <w:szCs w:val="20"/>
        </w:rPr>
        <w:t>and the following assumptions: expected dividend yield of 1.99 percent; expected volatility of 31.71 percent; risk-free interest rates averaging 0.75 percent; and expected term of 5.05 years. The fair value as of the grant date of each restricted stock uni</w:t>
      </w:r>
      <w:r>
        <w:rPr>
          <w:rFonts w:eastAsia="Times New Roman"/>
          <w:color w:val="000000"/>
          <w:sz w:val="20"/>
          <w:szCs w:val="20"/>
        </w:rPr>
        <w:t xml:space="preserve">t award was based on the closing price of our common stock on the grant date. The fair value as of the grant date of each performance stock unit award was determined based on the fair value from a multifactor Monte Carlo valuation model that simulates our </w:t>
      </w:r>
      <w:r>
        <w:rPr>
          <w:rFonts w:eastAsia="Times New Roman"/>
          <w:color w:val="000000"/>
          <w:sz w:val="20"/>
          <w:szCs w:val="20"/>
        </w:rPr>
        <w:t>stock price and total shareholder return (“TSR”) relative to companies in our TSR peer group.</w:t>
      </w:r>
    </w:p>
    <w:p w:rsidR="00000000" w:rsidRDefault="00B11388">
      <w:pPr>
        <w:ind w:firstLine="450"/>
        <w:jc w:val="center"/>
        <w:divId w:val="1369642693"/>
        <w:rPr>
          <w:rFonts w:eastAsia="Times New Roman"/>
        </w:rPr>
      </w:pPr>
      <w:r>
        <w:rPr>
          <w:rFonts w:eastAsia="Times New Roman"/>
          <w:color w:val="000000"/>
          <w:sz w:val="20"/>
          <w:szCs w:val="20"/>
        </w:rPr>
        <w:t>10</w:t>
      </w:r>
    </w:p>
    <w:p w:rsidR="00000000" w:rsidRDefault="00B11388">
      <w:pPr>
        <w:rPr>
          <w:rFonts w:eastAsia="Times New Roman"/>
        </w:rPr>
      </w:pPr>
      <w:r>
        <w:rPr>
          <w:rFonts w:eastAsia="Times New Roman"/>
        </w:rPr>
        <w:pict>
          <v:rect id="_x0000_i1037" style="width:0;height:1.5pt" o:hralign="center" o:hrstd="t" o:hr="t" fillcolor="#a0a0a0" stroked="f"/>
        </w:pict>
      </w:r>
    </w:p>
    <w:p w:rsidR="00000000" w:rsidRDefault="00B11388">
      <w:pPr>
        <w:ind w:firstLine="450"/>
        <w:divId w:val="1414430295"/>
        <w:rPr>
          <w:rFonts w:eastAsia="Times New Roman"/>
        </w:rPr>
      </w:pPr>
    </w:p>
    <w:p w:rsidR="00000000" w:rsidRDefault="00B11388">
      <w:pPr>
        <w:ind w:firstLine="450"/>
        <w:divId w:val="1946182808"/>
        <w:rPr>
          <w:rFonts w:eastAsia="Times New Roman"/>
        </w:rPr>
      </w:pPr>
    </w:p>
    <w:p w:rsidR="00000000" w:rsidRDefault="00B11388">
      <w:pPr>
        <w:divId w:val="906188117"/>
        <w:rPr>
          <w:rFonts w:eastAsia="Times New Roman"/>
        </w:rPr>
      </w:pPr>
      <w:r>
        <w:rPr>
          <w:rFonts w:eastAsia="Times New Roman"/>
          <w:b/>
          <w:bCs/>
          <w:color w:val="000000"/>
          <w:sz w:val="20"/>
          <w:szCs w:val="20"/>
        </w:rPr>
        <w:t xml:space="preserve">Note D — Accumulated Other Comprehensive Income (Loss) (“AOCI”) </w:t>
      </w:r>
    </w:p>
    <w:p w:rsidR="00000000" w:rsidRDefault="00B11388">
      <w:pPr>
        <w:ind w:firstLine="450"/>
        <w:divId w:val="1362197915"/>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4254"/>
        <w:gridCol w:w="39"/>
        <w:gridCol w:w="121"/>
        <w:gridCol w:w="728"/>
        <w:gridCol w:w="36"/>
        <w:gridCol w:w="36"/>
        <w:gridCol w:w="36"/>
        <w:gridCol w:w="36"/>
        <w:gridCol w:w="121"/>
        <w:gridCol w:w="731"/>
        <w:gridCol w:w="36"/>
        <w:gridCol w:w="36"/>
        <w:gridCol w:w="36"/>
        <w:gridCol w:w="36"/>
        <w:gridCol w:w="121"/>
        <w:gridCol w:w="953"/>
        <w:gridCol w:w="36"/>
        <w:gridCol w:w="36"/>
        <w:gridCol w:w="36"/>
        <w:gridCol w:w="36"/>
        <w:gridCol w:w="120"/>
        <w:gridCol w:w="610"/>
        <w:gridCol w:w="36"/>
      </w:tblGrid>
      <w:tr w:rsidR="00000000">
        <w:trPr>
          <w:divId w:val="2125541604"/>
        </w:trPr>
        <w:tc>
          <w:tcPr>
            <w:tcW w:w="50" w:type="pct"/>
            <w:vAlign w:val="center"/>
            <w:hideMark/>
          </w:tcPr>
          <w:p w:rsidR="00000000" w:rsidRDefault="00B11388">
            <w:pPr>
              <w:ind w:firstLine="450"/>
              <w:rPr>
                <w:rFonts w:eastAsia="Times New Roman"/>
              </w:rPr>
            </w:pPr>
          </w:p>
        </w:tc>
        <w:tc>
          <w:tcPr>
            <w:tcW w:w="261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51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52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212554160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 AOCI</w:t>
            </w:r>
          </w:p>
        </w:tc>
      </w:tr>
      <w:tr w:rsidR="00000000">
        <w:trPr>
          <w:divId w:val="2125541604"/>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212554160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comprehensive (loss) income, before 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Other comprehensive (loss) income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ind w:hanging="270"/>
              <w:divId w:val="1121653229"/>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Balance at July 2,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Height w:val="30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212554160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comprehensive 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ind w:hanging="270"/>
              <w:divId w:val="1144808971"/>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12554160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Balance at July 3,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956595468"/>
        <w:rPr>
          <w:rFonts w:eastAsia="Times New Roman"/>
        </w:rPr>
      </w:pPr>
      <w:r>
        <w:rPr>
          <w:rFonts w:eastAsia="Times New Roman"/>
          <w:color w:val="000000"/>
          <w:sz w:val="16"/>
          <w:szCs w:val="16"/>
        </w:rPr>
        <w:t>_______________</w:t>
      </w:r>
    </w:p>
    <w:p w:rsidR="00000000" w:rsidRDefault="00B11388">
      <w:pPr>
        <w:ind w:hanging="360"/>
        <w:divId w:val="1515920302"/>
        <w:rPr>
          <w:rFonts w:eastAsia="Times New Roman"/>
        </w:rPr>
      </w:pPr>
      <w:r>
        <w:rPr>
          <w:rFonts w:eastAsia="Times New Roman"/>
          <w:color w:val="000000"/>
          <w:sz w:val="16"/>
          <w:szCs w:val="16"/>
        </w:rPr>
        <w:t xml:space="preserve">(1)Losses (gains) reclassified to earnings are included in the “Revenue </w:t>
      </w:r>
      <w:r>
        <w:rPr>
          <w:rFonts w:eastAsia="Times New Roman"/>
          <w:color w:val="000000"/>
          <w:sz w:val="16"/>
          <w:szCs w:val="16"/>
        </w:rPr>
        <w:t>from product sales and services,” “Business divestiture-related gains (losses),” “Interest expense, net” and “Non-operating income” line items in our Condensed Consolidated Statement of Income (Unaudited).</w:t>
      </w:r>
    </w:p>
    <w:p w:rsidR="00000000" w:rsidRDefault="00B11388">
      <w:pPr>
        <w:divId w:val="1791823059"/>
        <w:rPr>
          <w:rFonts w:eastAsia="Times New Roman"/>
        </w:rPr>
      </w:pPr>
      <w:r>
        <w:rPr>
          <w:rFonts w:eastAsia="Times New Roman"/>
          <w:b/>
          <w:bCs/>
          <w:color w:val="000000"/>
          <w:sz w:val="20"/>
          <w:szCs w:val="20"/>
        </w:rPr>
        <w:t xml:space="preserve">Note E — Receivables, net </w:t>
      </w:r>
    </w:p>
    <w:p w:rsidR="00000000" w:rsidRDefault="00B11388">
      <w:pPr>
        <w:ind w:firstLine="450"/>
        <w:jc w:val="both"/>
        <w:divId w:val="76875853"/>
        <w:rPr>
          <w:rFonts w:eastAsia="Times New Roman"/>
        </w:rPr>
      </w:pPr>
      <w:r>
        <w:rPr>
          <w:rFonts w:eastAsia="Times New Roman"/>
          <w:color w:val="000000"/>
          <w:sz w:val="20"/>
          <w:szCs w:val="20"/>
        </w:rPr>
        <w:t>Receivables, net are su</w:t>
      </w:r>
      <w:r>
        <w:rPr>
          <w:rFonts w:eastAsia="Times New Roman"/>
          <w:color w:val="000000"/>
          <w:sz w:val="20"/>
          <w:szCs w:val="20"/>
        </w:rPr>
        <w:t>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trPr>
          <w:divId w:val="2095349534"/>
        </w:trPr>
        <w:tc>
          <w:tcPr>
            <w:tcW w:w="50" w:type="pct"/>
            <w:vAlign w:val="center"/>
            <w:hideMark/>
          </w:tcPr>
          <w:p w:rsidR="00000000" w:rsidRDefault="00B11388">
            <w:pPr>
              <w:ind w:firstLine="450"/>
              <w:jc w:val="both"/>
              <w:rPr>
                <w:rFonts w:eastAsia="Times New Roman"/>
              </w:rPr>
            </w:pPr>
          </w:p>
        </w:tc>
        <w:tc>
          <w:tcPr>
            <w:tcW w:w="344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209534953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2095349534"/>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2095349534"/>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1,227 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1,369 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095349534"/>
        </w:trPr>
        <w:tc>
          <w:tcPr>
            <w:tcW w:w="0" w:type="auto"/>
            <w:gridSpan w:val="3"/>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w:t>
            </w:r>
          </w:p>
        </w:tc>
        <w:tc>
          <w:tcPr>
            <w:tcW w:w="0" w:type="auto"/>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095349534"/>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1421680238"/>
        <w:rPr>
          <w:rFonts w:eastAsia="Times New Roman"/>
        </w:rPr>
      </w:pPr>
      <w:r>
        <w:rPr>
          <w:rFonts w:eastAsia="Times New Roman"/>
          <w:color w:val="000000"/>
          <w:sz w:val="20"/>
          <w:szCs w:val="20"/>
        </w:rPr>
        <w:t xml:space="preserve">We have two </w:t>
      </w:r>
      <w:r>
        <w:rPr>
          <w:rFonts w:eastAsia="Times New Roman"/>
          <w:color w:val="000000"/>
          <w:sz w:val="20"/>
          <w:szCs w:val="20"/>
        </w:rPr>
        <w:t>receivables sale agreements (“RSAs”) with third-party financial institutions that permit us to sell, on a non-recourse basis, up to $100 million each of outstanding receivables at any given time. From time to time, we have sold certain customer receivables</w:t>
      </w:r>
      <w:r>
        <w:rPr>
          <w:rFonts w:eastAsia="Times New Roman"/>
          <w:color w:val="000000"/>
          <w:sz w:val="20"/>
          <w:szCs w:val="20"/>
        </w:rPr>
        <w:t xml:space="preserve"> under the RSAs, which we continue to service and collect on behalf of the third-party financial institutions and which we account for as sales of receivables with sale proceeds included in net cash from operating activities. Outstanding accounts receivabl</w:t>
      </w:r>
      <w:r>
        <w:rPr>
          <w:rFonts w:eastAsia="Times New Roman"/>
          <w:color w:val="000000"/>
          <w:sz w:val="20"/>
          <w:szCs w:val="20"/>
        </w:rPr>
        <w:t>e sold pursuant to the RSAs were not material at July 2, 2021 or January 1, 2021.</w:t>
      </w:r>
    </w:p>
    <w:p w:rsidR="00000000" w:rsidRDefault="00B11388">
      <w:pPr>
        <w:divId w:val="1961959664"/>
        <w:rPr>
          <w:rFonts w:eastAsia="Times New Roman"/>
        </w:rPr>
      </w:pPr>
      <w:r>
        <w:rPr>
          <w:rFonts w:eastAsia="Times New Roman"/>
          <w:b/>
          <w:bCs/>
          <w:color w:val="000000"/>
          <w:sz w:val="20"/>
          <w:szCs w:val="20"/>
        </w:rPr>
        <w:t xml:space="preserve">Note F — Contract Assets and Contract Liabilities </w:t>
      </w:r>
    </w:p>
    <w:p w:rsidR="00000000" w:rsidRDefault="00B11388">
      <w:pPr>
        <w:ind w:firstLine="450"/>
        <w:divId w:val="887686097"/>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percentage of completion (“POC”) cost-to-cost revenue recognition method. We bill customers as work progr</w:t>
      </w:r>
      <w:r>
        <w:rPr>
          <w:rFonts w:eastAsia="Times New Roman"/>
          <w:color w:val="000000"/>
          <w:sz w:val="20"/>
          <w:szCs w:val="20"/>
        </w:rPr>
        <w:t>esses in accordance with agreed-upon contractual terms, either at periodic intervals, upon achievement of contractual milestones or upon deliveries and, in certain arrangements, the customer may withhold payment of a small portion of the contract price unt</w:t>
      </w:r>
      <w:r>
        <w:rPr>
          <w:rFonts w:eastAsia="Times New Roman"/>
          <w:color w:val="000000"/>
          <w:sz w:val="20"/>
          <w:szCs w:val="20"/>
        </w:rPr>
        <w:t xml:space="preserve">il contract completion. Contract liabilities include advance payments and billings in excess of </w:t>
      </w:r>
    </w:p>
    <w:p w:rsidR="00000000" w:rsidRDefault="00B11388">
      <w:pPr>
        <w:ind w:firstLine="450"/>
        <w:jc w:val="center"/>
        <w:divId w:val="1639413336"/>
        <w:rPr>
          <w:rFonts w:eastAsia="Times New Roman"/>
        </w:rPr>
      </w:pPr>
      <w:r>
        <w:rPr>
          <w:rFonts w:eastAsia="Times New Roman"/>
          <w:color w:val="000000"/>
          <w:sz w:val="20"/>
          <w:szCs w:val="20"/>
        </w:rPr>
        <w:t>11</w:t>
      </w:r>
    </w:p>
    <w:p w:rsidR="00000000" w:rsidRDefault="00B11388">
      <w:pPr>
        <w:rPr>
          <w:rFonts w:eastAsia="Times New Roman"/>
        </w:rPr>
      </w:pPr>
      <w:r>
        <w:rPr>
          <w:rFonts w:eastAsia="Times New Roman"/>
        </w:rPr>
        <w:pict>
          <v:rect id="_x0000_i1038" style="width:0;height:1.5pt" o:hralign="center" o:hrstd="t" o:hr="t" fillcolor="#a0a0a0" stroked="f"/>
        </w:pict>
      </w:r>
    </w:p>
    <w:p w:rsidR="00000000" w:rsidRDefault="00B11388">
      <w:pPr>
        <w:ind w:firstLine="450"/>
        <w:divId w:val="545487301"/>
        <w:rPr>
          <w:rFonts w:eastAsia="Times New Roman"/>
        </w:rPr>
      </w:pPr>
    </w:p>
    <w:p w:rsidR="00000000" w:rsidRDefault="00B11388">
      <w:pPr>
        <w:ind w:firstLine="450"/>
        <w:divId w:val="691149416"/>
        <w:rPr>
          <w:rFonts w:eastAsia="Times New Roman"/>
        </w:rPr>
      </w:pPr>
    </w:p>
    <w:p w:rsidR="00000000" w:rsidRDefault="00B11388">
      <w:pPr>
        <w:divId w:val="89937972"/>
        <w:rPr>
          <w:rFonts w:eastAsia="Times New Roman"/>
        </w:rPr>
      </w:pPr>
      <w:r>
        <w:rPr>
          <w:rFonts w:eastAsia="Times New Roman"/>
          <w:color w:val="000000"/>
          <w:sz w:val="20"/>
          <w:szCs w:val="20"/>
        </w:rPr>
        <w:t>revenue recognized, including deferred revenue associated with extended product warranties. Contract assets and liab</w:t>
      </w:r>
      <w:r>
        <w:rPr>
          <w:rFonts w:eastAsia="Times New Roman"/>
          <w:color w:val="000000"/>
          <w:sz w:val="20"/>
          <w:szCs w:val="20"/>
        </w:rPr>
        <w:t xml:space="preserve">ilities are reported on a contract-by-contract basis at the end of each reporting period. </w:t>
      </w:r>
    </w:p>
    <w:p w:rsidR="00000000" w:rsidRDefault="00B11388">
      <w:pPr>
        <w:ind w:firstLine="450"/>
        <w:divId w:val="1386297167"/>
        <w:rPr>
          <w:rFonts w:eastAsia="Times New Roman"/>
        </w:rPr>
      </w:pPr>
      <w:r>
        <w:rPr>
          <w:rFonts w:eastAsia="Times New Roman"/>
          <w:color w:val="000000"/>
          <w:sz w:val="20"/>
          <w:szCs w:val="20"/>
        </w:rPr>
        <w:t>Contract assets and liabilities in the two quarters ended July 2, 2021 were impacted primarily by reclassifications to assets and liabilities of disposal groups held</w:t>
      </w:r>
      <w:r>
        <w:rPr>
          <w:rFonts w:eastAsia="Times New Roman"/>
          <w:color w:val="000000"/>
          <w:sz w:val="20"/>
          <w:szCs w:val="20"/>
        </w:rPr>
        <w:t xml:space="preserve"> for sale, accelerated progress payments due to the U.S. Government’s temporary increase in the progress payment rate from 80 percent to 90 percent and the timing of contractual billing milestones. See </w:t>
      </w:r>
      <w:r>
        <w:rPr>
          <w:rFonts w:eastAsia="Times New Roman"/>
          <w:i/>
          <w:iCs/>
          <w:color w:val="000000"/>
          <w:sz w:val="20"/>
          <w:szCs w:val="20"/>
        </w:rPr>
        <w:t>Note B — Business Divestitures</w:t>
      </w:r>
      <w:r>
        <w:rPr>
          <w:rFonts w:eastAsia="Times New Roman"/>
          <w:color w:val="000000"/>
          <w:sz w:val="20"/>
          <w:szCs w:val="20"/>
        </w:rPr>
        <w:t xml:space="preserve"> in these Notes for addi</w:t>
      </w:r>
      <w:r>
        <w:rPr>
          <w:rFonts w:eastAsia="Times New Roman"/>
          <w:color w:val="000000"/>
          <w:sz w:val="20"/>
          <w:szCs w:val="20"/>
        </w:rPr>
        <w:t xml:space="preserve">tional information regarding assets and liabilities classified as held for sale. </w:t>
      </w:r>
    </w:p>
    <w:p w:rsidR="00000000" w:rsidRDefault="00B11388">
      <w:pPr>
        <w:ind w:firstLine="450"/>
        <w:jc w:val="both"/>
        <w:divId w:val="1490560355"/>
        <w:rPr>
          <w:rFonts w:eastAsia="Times New Roman"/>
        </w:rPr>
      </w:pPr>
      <w:r>
        <w:rPr>
          <w:rFonts w:eastAsia="Times New Roman"/>
          <w:color w:val="000000"/>
          <w:sz w:val="20"/>
          <w:szCs w:val="20"/>
        </w:rPr>
        <w:t>Contract assets and contract liabilities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1"/>
        <w:gridCol w:w="36"/>
        <w:gridCol w:w="36"/>
        <w:gridCol w:w="36"/>
        <w:gridCol w:w="36"/>
        <w:gridCol w:w="120"/>
        <w:gridCol w:w="1046"/>
        <w:gridCol w:w="36"/>
      </w:tblGrid>
      <w:tr w:rsidR="00000000">
        <w:trPr>
          <w:divId w:val="721251506"/>
        </w:trPr>
        <w:tc>
          <w:tcPr>
            <w:tcW w:w="50" w:type="pct"/>
            <w:vAlign w:val="center"/>
            <w:hideMark/>
          </w:tcPr>
          <w:p w:rsidR="00000000" w:rsidRDefault="00B11388">
            <w:pPr>
              <w:ind w:firstLine="450"/>
              <w:jc w:val="both"/>
              <w:rPr>
                <w:rFonts w:eastAsia="Times New Roman"/>
              </w:rPr>
            </w:pPr>
          </w:p>
        </w:tc>
        <w:tc>
          <w:tcPr>
            <w:tcW w:w="34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721251506"/>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721251506"/>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21251506"/>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2,648 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21251506"/>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(1,205)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(1,198)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21251506"/>
        </w:trPr>
        <w:tc>
          <w:tcPr>
            <w:tcW w:w="0" w:type="auto"/>
            <w:gridSpan w:val="3"/>
            <w:shd w:val="clear" w:color="auto" w:fill="CCEEFF"/>
            <w:tcMar>
              <w:top w:w="30" w:type="dxa"/>
              <w:left w:w="20" w:type="dxa"/>
              <w:bottom w:w="30" w:type="dxa"/>
              <w:right w:w="20" w:type="dxa"/>
            </w:tcMar>
            <w:hideMark/>
          </w:tcPr>
          <w:p w:rsidR="00000000" w:rsidRDefault="00B11388">
            <w:pPr>
              <w:spacing w:after="100"/>
              <w:divId w:val="1210923854"/>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21251506"/>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317615800"/>
        <w:rPr>
          <w:rFonts w:eastAsia="Times New Roman"/>
        </w:rPr>
      </w:pPr>
      <w:r>
        <w:rPr>
          <w:rFonts w:eastAsia="Times New Roman"/>
          <w:color w:val="000000"/>
          <w:sz w:val="16"/>
          <w:szCs w:val="16"/>
        </w:rPr>
        <w:t>_______________</w:t>
      </w:r>
    </w:p>
    <w:p w:rsidR="00000000" w:rsidRDefault="00B11388">
      <w:pPr>
        <w:ind w:hanging="360"/>
        <w:divId w:val="655380987"/>
        <w:rPr>
          <w:rFonts w:eastAsia="Times New Roman"/>
        </w:rPr>
      </w:pPr>
      <w:r>
        <w:rPr>
          <w:rFonts w:eastAsia="Times New Roman"/>
          <w:color w:val="000000"/>
          <w:sz w:val="16"/>
          <w:szCs w:val="16"/>
        </w:rPr>
        <w:t>(1)</w:t>
      </w:r>
      <w:r>
        <w:rPr>
          <w:rFonts w:eastAsia="Times New Roman"/>
          <w:color w:val="000000"/>
          <w:sz w:val="16"/>
          <w:szCs w:val="16"/>
        </w:rPr>
        <w:t>The non-current portion of contract liabilities is included as a component of the “Other long-term liabilities” line item in our Condensed Consolidated Balance Sheet (Unaudited).</w:t>
      </w:r>
    </w:p>
    <w:p w:rsidR="00000000" w:rsidRDefault="00B11388">
      <w:pPr>
        <w:ind w:firstLine="450"/>
        <w:jc w:val="both"/>
        <w:divId w:val="779956300"/>
        <w:rPr>
          <w:rFonts w:eastAsia="Times New Roman"/>
        </w:rPr>
      </w:pPr>
      <w:r>
        <w:rPr>
          <w:rFonts w:eastAsia="Times New Roman"/>
          <w:color w:val="000000"/>
          <w:sz w:val="20"/>
          <w:szCs w:val="20"/>
        </w:rPr>
        <w:t>The components of contract assets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7"/>
        <w:gridCol w:w="37"/>
        <w:gridCol w:w="120"/>
        <w:gridCol w:w="1081"/>
        <w:gridCol w:w="36"/>
        <w:gridCol w:w="36"/>
        <w:gridCol w:w="36"/>
        <w:gridCol w:w="36"/>
        <w:gridCol w:w="120"/>
        <w:gridCol w:w="1046"/>
        <w:gridCol w:w="36"/>
      </w:tblGrid>
      <w:tr w:rsidR="00000000">
        <w:trPr>
          <w:divId w:val="536234352"/>
        </w:trPr>
        <w:tc>
          <w:tcPr>
            <w:tcW w:w="50" w:type="pct"/>
            <w:vAlign w:val="center"/>
            <w:hideMark/>
          </w:tcPr>
          <w:p w:rsidR="00000000" w:rsidRDefault="00B11388">
            <w:pPr>
              <w:ind w:firstLine="450"/>
              <w:jc w:val="both"/>
              <w:rPr>
                <w:rFonts w:eastAsia="Times New Roman"/>
              </w:rPr>
            </w:pPr>
          </w:p>
        </w:tc>
        <w:tc>
          <w:tcPr>
            <w:tcW w:w="34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536234352"/>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536234352"/>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536234352"/>
        </w:trPr>
        <w:tc>
          <w:tcPr>
            <w:tcW w:w="0" w:type="auto"/>
            <w:gridSpan w:val="3"/>
            <w:shd w:val="clear" w:color="auto" w:fill="CCEEFF"/>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4,377 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4,268 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36234352"/>
        </w:trPr>
        <w:tc>
          <w:tcPr>
            <w:tcW w:w="0" w:type="auto"/>
            <w:gridSpan w:val="3"/>
            <w:shd w:val="clear" w:color="auto" w:fill="FFFFFF"/>
            <w:tcMar>
              <w:top w:w="30" w:type="dxa"/>
              <w:left w:w="155" w:type="dxa"/>
              <w:bottom w:w="30" w:type="dxa"/>
              <w:right w:w="20" w:type="dxa"/>
            </w:tcMar>
            <w:hideMark/>
          </w:tcPr>
          <w:p w:rsidR="00000000" w:rsidRDefault="00B11388">
            <w:pPr>
              <w:spacing w:after="100"/>
              <w:rPr>
                <w:rFonts w:eastAsia="Times New Roman"/>
              </w:rPr>
            </w:pPr>
            <w:r>
              <w:rPr>
                <w:rFonts w:eastAsia="Times New Roman"/>
                <w:color w:val="00000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(1,729)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(1,831)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536234352"/>
        </w:trPr>
        <w:tc>
          <w:tcPr>
            <w:tcW w:w="0" w:type="auto"/>
            <w:gridSpan w:val="3"/>
            <w:shd w:val="clear" w:color="auto" w:fill="CCEEFF"/>
            <w:tcMar>
              <w:top w:w="30" w:type="dxa"/>
              <w:left w:w="35" w:type="dxa"/>
              <w:bottom w:w="30" w:type="dxa"/>
              <w:right w:w="20" w:type="dxa"/>
            </w:tcMar>
            <w:hideMark/>
          </w:tcPr>
          <w:p w:rsidR="00000000" w:rsidRDefault="00B11388">
            <w:pPr>
              <w:spacing w:after="100"/>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1831141481"/>
        <w:rPr>
          <w:rFonts w:eastAsia="Times New Roman"/>
        </w:rPr>
      </w:pPr>
      <w:r>
        <w:rPr>
          <w:rFonts w:eastAsia="Times New Roman"/>
          <w:color w:val="000000"/>
          <w:sz w:val="20"/>
          <w:szCs w:val="20"/>
        </w:rPr>
        <w:t>Impairment losses related to our contract assets were not material for the quarter or two quarters ended July 2, 2021 or July 3, 2020. Contract liabilities recognized as revenue that were outstanding at the end of the prior fiscal year were $219 million an</w:t>
      </w:r>
      <w:r>
        <w:rPr>
          <w:rFonts w:eastAsia="Times New Roman"/>
          <w:color w:val="000000"/>
          <w:sz w:val="20"/>
          <w:szCs w:val="20"/>
        </w:rPr>
        <w:t>d $727 million for the quarter and two quarters ended July 2, 2021, respectively, and $301 million and $785 million for the quarter and two quarters ended July 3, 2020, respectively.</w:t>
      </w:r>
    </w:p>
    <w:p w:rsidR="00000000" w:rsidRDefault="00B11388">
      <w:pPr>
        <w:divId w:val="1314486791"/>
        <w:rPr>
          <w:rFonts w:eastAsia="Times New Roman"/>
        </w:rPr>
      </w:pPr>
      <w:r>
        <w:rPr>
          <w:rFonts w:eastAsia="Times New Roman"/>
          <w:b/>
          <w:bCs/>
          <w:color w:val="000000"/>
          <w:sz w:val="20"/>
          <w:szCs w:val="20"/>
        </w:rPr>
        <w:t xml:space="preserve">Note G — Inventories </w:t>
      </w:r>
    </w:p>
    <w:p w:rsidR="00000000" w:rsidRDefault="00B11388">
      <w:pPr>
        <w:ind w:firstLine="450"/>
        <w:divId w:val="30040014"/>
        <w:rPr>
          <w:rFonts w:eastAsia="Times New Roman"/>
        </w:rPr>
      </w:pPr>
      <w:r>
        <w:rPr>
          <w:rFonts w:eastAsia="Times New Roman"/>
          <w:color w:val="000000"/>
          <w:sz w:val="20"/>
          <w:szCs w:val="20"/>
        </w:rPr>
        <w:t>Inventories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0"/>
        <w:gridCol w:w="36"/>
        <w:gridCol w:w="36"/>
        <w:gridCol w:w="36"/>
        <w:gridCol w:w="36"/>
        <w:gridCol w:w="121"/>
        <w:gridCol w:w="1046"/>
        <w:gridCol w:w="36"/>
      </w:tblGrid>
      <w:tr w:rsidR="00000000">
        <w:trPr>
          <w:divId w:val="370344045"/>
        </w:trPr>
        <w:tc>
          <w:tcPr>
            <w:tcW w:w="50" w:type="pct"/>
            <w:vAlign w:val="center"/>
            <w:hideMark/>
          </w:tcPr>
          <w:p w:rsidR="00000000" w:rsidRDefault="00B11388">
            <w:pPr>
              <w:ind w:firstLine="450"/>
              <w:rPr>
                <w:rFonts w:eastAsia="Times New Roman"/>
              </w:rPr>
            </w:pPr>
          </w:p>
        </w:tc>
        <w:tc>
          <w:tcPr>
            <w:tcW w:w="34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370344045"/>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370344045"/>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370344045"/>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70344045"/>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70344045"/>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435 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70344045"/>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1662927411"/>
        <w:rPr>
          <w:rFonts w:eastAsia="Times New Roman"/>
        </w:rPr>
      </w:pPr>
      <w:r>
        <w:rPr>
          <w:rFonts w:eastAsia="Times New Roman"/>
          <w:b/>
          <w:bCs/>
          <w:color w:val="000000"/>
          <w:sz w:val="20"/>
          <w:szCs w:val="20"/>
        </w:rPr>
        <w:t xml:space="preserve">Note H — Property, Plant and Equipment, net </w:t>
      </w:r>
    </w:p>
    <w:p w:rsidR="00000000" w:rsidRDefault="00B11388">
      <w:pPr>
        <w:ind w:firstLine="450"/>
        <w:jc w:val="both"/>
        <w:divId w:val="1123504833"/>
        <w:rPr>
          <w:rFonts w:eastAsia="Times New Roman"/>
        </w:rPr>
      </w:pPr>
      <w:r>
        <w:rPr>
          <w:rFonts w:eastAsia="Times New Roman"/>
          <w:color w:val="000000"/>
          <w:sz w:val="20"/>
          <w:szCs w:val="20"/>
        </w:rPr>
        <w:t>Property, plant and equipment, net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7"/>
        <w:gridCol w:w="37"/>
        <w:gridCol w:w="120"/>
        <w:gridCol w:w="1081"/>
        <w:gridCol w:w="36"/>
        <w:gridCol w:w="36"/>
        <w:gridCol w:w="36"/>
        <w:gridCol w:w="36"/>
        <w:gridCol w:w="120"/>
        <w:gridCol w:w="1046"/>
        <w:gridCol w:w="36"/>
      </w:tblGrid>
      <w:tr w:rsidR="00000000">
        <w:trPr>
          <w:divId w:val="1837767100"/>
        </w:trPr>
        <w:tc>
          <w:tcPr>
            <w:tcW w:w="50" w:type="pct"/>
            <w:vAlign w:val="center"/>
            <w:hideMark/>
          </w:tcPr>
          <w:p w:rsidR="00000000" w:rsidRDefault="00B11388">
            <w:pPr>
              <w:ind w:firstLine="450"/>
              <w:jc w:val="both"/>
              <w:rPr>
                <w:rFonts w:eastAsia="Times New Roman"/>
              </w:rPr>
            </w:pPr>
          </w:p>
        </w:tc>
        <w:tc>
          <w:tcPr>
            <w:tcW w:w="34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8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837767100"/>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1837767100"/>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837767100"/>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37767100"/>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37767100"/>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1,186 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1,097 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37767100"/>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2,265 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37767100"/>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37767100"/>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(1,878)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(1,767)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37767100"/>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jc w:val="center"/>
        <w:divId w:val="1263755821"/>
        <w:rPr>
          <w:rFonts w:eastAsia="Times New Roman"/>
        </w:rPr>
      </w:pPr>
      <w:r>
        <w:rPr>
          <w:rFonts w:eastAsia="Times New Roman"/>
          <w:color w:val="000000"/>
          <w:sz w:val="20"/>
          <w:szCs w:val="20"/>
        </w:rPr>
        <w:t>12</w:t>
      </w:r>
    </w:p>
    <w:p w:rsidR="00000000" w:rsidRDefault="00B11388">
      <w:pPr>
        <w:rPr>
          <w:rFonts w:eastAsia="Times New Roman"/>
        </w:rPr>
      </w:pPr>
      <w:r>
        <w:rPr>
          <w:rFonts w:eastAsia="Times New Roman"/>
        </w:rPr>
        <w:pict>
          <v:rect id="_x0000_i1039" style="width:0;height:1.5pt" o:hralign="center" o:hrstd="t" o:hr="t" fillcolor="#a0a0a0" stroked="f"/>
        </w:pict>
      </w:r>
    </w:p>
    <w:p w:rsidR="00000000" w:rsidRDefault="00B11388">
      <w:pPr>
        <w:ind w:firstLine="450"/>
        <w:divId w:val="102002463"/>
        <w:rPr>
          <w:rFonts w:eastAsia="Times New Roman"/>
        </w:rPr>
      </w:pPr>
    </w:p>
    <w:p w:rsidR="00000000" w:rsidRDefault="00B11388">
      <w:pPr>
        <w:ind w:firstLine="450"/>
        <w:divId w:val="449784261"/>
        <w:rPr>
          <w:rFonts w:eastAsia="Times New Roman"/>
        </w:rPr>
      </w:pPr>
    </w:p>
    <w:p w:rsidR="00000000" w:rsidRDefault="00B11388">
      <w:pPr>
        <w:ind w:firstLine="450"/>
        <w:divId w:val="1445877685"/>
        <w:rPr>
          <w:rFonts w:eastAsia="Times New Roman"/>
        </w:rPr>
      </w:pPr>
      <w:r>
        <w:rPr>
          <w:rFonts w:eastAsia="Times New Roman"/>
          <w:color w:val="000000"/>
          <w:sz w:val="20"/>
          <w:szCs w:val="20"/>
        </w:rPr>
        <w:t xml:space="preserve">Depreciation and amortization expense related to property, plant and equipment was $80 million and $164 million for the quarter and two quarters ended July 2, 2021, respectively, and $78 million and $154 million for </w:t>
      </w:r>
      <w:r>
        <w:rPr>
          <w:rFonts w:eastAsia="Times New Roman"/>
          <w:color w:val="000000"/>
          <w:sz w:val="20"/>
          <w:szCs w:val="20"/>
        </w:rPr>
        <w:t>the quarter and two quarters ended July 3, 2020, respectively.</w:t>
      </w:r>
    </w:p>
    <w:p w:rsidR="00000000" w:rsidRDefault="00B11388">
      <w:pPr>
        <w:ind w:firstLine="450"/>
        <w:divId w:val="1618102276"/>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I — Goodwill and Other Intangible Assets</w:t>
      </w:r>
      <w:r>
        <w:rPr>
          <w:rFonts w:eastAsia="Times New Roman"/>
          <w:color w:val="000000"/>
          <w:sz w:val="20"/>
          <w:szCs w:val="20"/>
        </w:rPr>
        <w:t xml:space="preserve"> in these Notes, in conjunction with, and in advance of, the tests of goodwill related to our Commercial Training Sol</w:t>
      </w:r>
      <w:r>
        <w:rPr>
          <w:rFonts w:eastAsia="Times New Roman"/>
          <w:color w:val="000000"/>
          <w:sz w:val="20"/>
          <w:szCs w:val="20"/>
        </w:rPr>
        <w:t>utions reporting unit (“CTS reporting unit”), we recorded an $82 million non-cash impairment charge for long-lived assets, consisting of $19 million, $56 million and $7 million of impairment charges for right of use assets, property, plant and equipment an</w:t>
      </w:r>
      <w:r>
        <w:rPr>
          <w:rFonts w:eastAsia="Times New Roman"/>
          <w:color w:val="000000"/>
          <w:sz w:val="20"/>
          <w:szCs w:val="20"/>
        </w:rPr>
        <w:t>d software, respectively, which is included in the “Impairment of goodwill and other assets” line item in our Condensed Consolidated Statement of Income (Unaudited) for the quarter and two quarters ended July 2, 2021.</w:t>
      </w:r>
    </w:p>
    <w:p w:rsidR="00000000" w:rsidRDefault="00B11388">
      <w:pPr>
        <w:divId w:val="1553423325"/>
        <w:rPr>
          <w:rFonts w:eastAsia="Times New Roman"/>
        </w:rPr>
      </w:pPr>
      <w:r>
        <w:rPr>
          <w:rFonts w:eastAsia="Times New Roman"/>
          <w:b/>
          <w:bCs/>
          <w:color w:val="000000"/>
          <w:sz w:val="20"/>
          <w:szCs w:val="20"/>
        </w:rPr>
        <w:t>Note I — Goodwill and Other Intangible</w:t>
      </w:r>
      <w:r>
        <w:rPr>
          <w:rFonts w:eastAsia="Times New Roman"/>
          <w:b/>
          <w:bCs/>
          <w:color w:val="000000"/>
          <w:sz w:val="20"/>
          <w:szCs w:val="20"/>
        </w:rPr>
        <w:t xml:space="preserve"> Assets </w:t>
      </w:r>
    </w:p>
    <w:p w:rsidR="00000000" w:rsidRDefault="00B11388">
      <w:pPr>
        <w:divId w:val="1569684228"/>
        <w:rPr>
          <w:rFonts w:eastAsia="Times New Roman"/>
        </w:rPr>
      </w:pPr>
      <w:r>
        <w:rPr>
          <w:rFonts w:eastAsia="Times New Roman"/>
          <w:b/>
          <w:bCs/>
          <w:color w:val="000000"/>
          <w:sz w:val="20"/>
          <w:szCs w:val="20"/>
        </w:rPr>
        <w:t>Goodwill</w:t>
      </w:r>
    </w:p>
    <w:p w:rsidR="00000000" w:rsidRDefault="00B11388">
      <w:pPr>
        <w:ind w:firstLine="450"/>
        <w:divId w:val="1949238545"/>
        <w:rPr>
          <w:rFonts w:eastAsia="Times New Roman"/>
        </w:rPr>
      </w:pPr>
      <w:r>
        <w:rPr>
          <w:rFonts w:eastAsia="Times New Roman"/>
          <w:color w:val="000000"/>
          <w:sz w:val="20"/>
          <w:szCs w:val="20"/>
        </w:rPr>
        <w:t>The assignment of goodwill by business segment, and changes in the carrying amount of goodwill by business segment, were as follows:</w:t>
      </w:r>
    </w:p>
    <w:tbl>
      <w:tblPr>
        <w:tblW w:w="4912" w:type="pct"/>
        <w:tblCellMar>
          <w:top w:w="15" w:type="dxa"/>
          <w:left w:w="15" w:type="dxa"/>
          <w:bottom w:w="15" w:type="dxa"/>
          <w:right w:w="15" w:type="dxa"/>
        </w:tblCellMar>
        <w:tblLook w:val="04A0" w:firstRow="1" w:lastRow="0" w:firstColumn="1" w:lastColumn="0" w:noHBand="0" w:noVBand="1"/>
      </w:tblPr>
      <w:tblGrid>
        <w:gridCol w:w="39"/>
        <w:gridCol w:w="3225"/>
        <w:gridCol w:w="38"/>
        <w:gridCol w:w="121"/>
        <w:gridCol w:w="712"/>
        <w:gridCol w:w="36"/>
        <w:gridCol w:w="36"/>
        <w:gridCol w:w="36"/>
        <w:gridCol w:w="36"/>
        <w:gridCol w:w="121"/>
        <w:gridCol w:w="650"/>
        <w:gridCol w:w="36"/>
        <w:gridCol w:w="36"/>
        <w:gridCol w:w="36"/>
        <w:gridCol w:w="36"/>
        <w:gridCol w:w="121"/>
        <w:gridCol w:w="1041"/>
        <w:gridCol w:w="36"/>
        <w:gridCol w:w="36"/>
        <w:gridCol w:w="36"/>
        <w:gridCol w:w="36"/>
        <w:gridCol w:w="120"/>
        <w:gridCol w:w="589"/>
        <w:gridCol w:w="36"/>
        <w:gridCol w:w="36"/>
        <w:gridCol w:w="36"/>
        <w:gridCol w:w="36"/>
        <w:gridCol w:w="120"/>
        <w:gridCol w:w="651"/>
        <w:gridCol w:w="36"/>
      </w:tblGrid>
      <w:tr w:rsidR="00000000">
        <w:trPr>
          <w:divId w:val="1051808970"/>
        </w:trPr>
        <w:tc>
          <w:tcPr>
            <w:tcW w:w="50" w:type="pct"/>
            <w:vAlign w:val="center"/>
            <w:hideMark/>
          </w:tcPr>
          <w:p w:rsidR="00000000" w:rsidRDefault="00B11388">
            <w:pPr>
              <w:ind w:firstLine="450"/>
              <w:rPr>
                <w:rFonts w:eastAsia="Times New Roman"/>
              </w:rPr>
            </w:pPr>
          </w:p>
        </w:tc>
        <w:tc>
          <w:tcPr>
            <w:tcW w:w="20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56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7"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051808970"/>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Space and Airborne Systems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Aviation Systems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w:t>
            </w:r>
          </w:p>
        </w:tc>
      </w:tr>
      <w:tr w:rsidR="00000000">
        <w:trPr>
          <w:divId w:val="1051808970"/>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051808970"/>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6,499 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5,232 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4,153 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2,992 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18,876 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divId w:val="1831218073"/>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CCEEFF"/>
            <w:tcMar>
              <w:top w:w="30" w:type="dxa"/>
              <w:left w:w="20" w:type="dxa"/>
              <w:bottom w:w="30" w:type="dxa"/>
              <w:right w:w="20" w:type="dxa"/>
            </w:tcMar>
            <w:hideMark/>
          </w:tcPr>
          <w:p w:rsidR="00000000" w:rsidRDefault="00B11388">
            <w:pPr>
              <w:spacing w:after="100"/>
              <w:ind w:hanging="180"/>
              <w:divId w:val="760028465"/>
              <w:rPr>
                <w:rFonts w:eastAsia="Times New Roman"/>
              </w:rPr>
            </w:pPr>
            <w:r>
              <w:rPr>
                <w:rFonts w:eastAsia="Times New Roman"/>
                <w:color w:val="000000"/>
                <w:sz w:val="20"/>
                <w:szCs w:val="20"/>
              </w:rPr>
              <w:t>Decrease from reclassification to assets of disposal group held for sal</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w:t>
            </w: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051808970"/>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Balance at July 2,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18,234 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Height w:val="24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051808970"/>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5,768 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4,859 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20,001 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FFFFFF"/>
            <w:tcMar>
              <w:top w:w="30" w:type="dxa"/>
              <w:left w:w="20" w:type="dxa"/>
              <w:bottom w:w="30" w:type="dxa"/>
              <w:right w:w="20" w:type="dxa"/>
            </w:tcMar>
            <w:hideMark/>
          </w:tcPr>
          <w:p w:rsidR="00000000" w:rsidRDefault="00B11388">
            <w:pPr>
              <w:spacing w:after="100"/>
              <w:ind w:firstLine="120"/>
              <w:divId w:val="1621838566"/>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CCEEFF"/>
            <w:tcMar>
              <w:top w:w="30" w:type="dxa"/>
              <w:left w:w="20" w:type="dxa"/>
              <w:bottom w:w="30" w:type="dxa"/>
              <w:right w:w="20" w:type="dxa"/>
            </w:tcMar>
            <w:hideMark/>
          </w:tcPr>
          <w:p w:rsidR="00000000" w:rsidRDefault="00B11388">
            <w:pPr>
              <w:spacing w:after="100"/>
              <w:ind w:hanging="180"/>
              <w:divId w:val="1902864232"/>
              <w:rPr>
                <w:rFonts w:eastAsia="Times New Roman"/>
              </w:rPr>
            </w:pPr>
            <w:r>
              <w:rPr>
                <w:rFonts w:eastAsia="Times New Roman"/>
                <w:color w:val="000000"/>
                <w:sz w:val="20"/>
                <w:szCs w:val="20"/>
              </w:rPr>
              <w:t>Decrease from reclassification to assets of disposal group held for sal</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FFFFFF"/>
            <w:tcMar>
              <w:top w:w="30" w:type="dxa"/>
              <w:left w:w="320" w:type="dxa"/>
              <w:bottom w:w="30" w:type="dxa"/>
              <w:right w:w="20" w:type="dxa"/>
            </w:tcMar>
            <w:hideMark/>
          </w:tcPr>
          <w:p w:rsidR="00000000" w:rsidRDefault="00B11388">
            <w:pPr>
              <w:spacing w:after="100"/>
              <w:ind w:hanging="180"/>
              <w:rPr>
                <w:rFonts w:eastAsia="Times New Roman"/>
              </w:rPr>
            </w:pPr>
            <w:r>
              <w:rPr>
                <w:rFonts w:eastAsia="Times New Roman"/>
                <w:color w:val="000000"/>
                <w:sz w:val="20"/>
                <w:szCs w:val="20"/>
              </w:rPr>
              <w:t>Other (including adjustments to previously estimated fair value of assets acquired and liabilities assumed)</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(847)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51808970"/>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Balance at July 3,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19,015 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1661688100"/>
        <w:rPr>
          <w:rFonts w:eastAsia="Times New Roman"/>
        </w:rPr>
      </w:pPr>
      <w:r>
        <w:rPr>
          <w:rFonts w:eastAsia="Times New Roman"/>
          <w:color w:val="000000"/>
          <w:sz w:val="16"/>
          <w:szCs w:val="16"/>
        </w:rPr>
        <w:t>_______________</w:t>
      </w:r>
    </w:p>
    <w:p w:rsidR="00000000" w:rsidRDefault="00B11388">
      <w:pPr>
        <w:ind w:hanging="270"/>
        <w:divId w:val="1558976952"/>
        <w:rPr>
          <w:rFonts w:eastAsia="Times New Roman"/>
        </w:rPr>
      </w:pPr>
      <w:r>
        <w:rPr>
          <w:rFonts w:eastAsia="Times New Roman"/>
          <w:color w:val="000000"/>
          <w:sz w:val="16"/>
          <w:szCs w:val="16"/>
        </w:rPr>
        <w:t>(1)During the two quarters ended July 2, 2021, we completed the divestitures of our CPS business and military training business and derecognized $538 million of goodwill as part of determining the gain or loss on the sales of these</w:t>
      </w:r>
      <w:r>
        <w:rPr>
          <w:rFonts w:eastAsia="Times New Roman"/>
          <w:color w:val="000000"/>
          <w:sz w:val="16"/>
          <w:szCs w:val="16"/>
        </w:rPr>
        <w:t xml:space="preserve"> businesses. During the two quarters ended July 3, 2020, we completed the divestitures of our airport security and automation business and our Applied Kilovolts and Analytical Instrumentation business and derecognized $533 million of goodwill as part of de</w:t>
      </w:r>
      <w:r>
        <w:rPr>
          <w:rFonts w:eastAsia="Times New Roman"/>
          <w:color w:val="000000"/>
          <w:sz w:val="16"/>
          <w:szCs w:val="16"/>
        </w:rPr>
        <w:t>termining the gain or loss on the sales of these businesses.</w:t>
      </w:r>
    </w:p>
    <w:p w:rsidR="00000000" w:rsidRDefault="00B11388">
      <w:pPr>
        <w:ind w:hanging="270"/>
        <w:divId w:val="636910274"/>
        <w:rPr>
          <w:rFonts w:eastAsia="Times New Roman"/>
        </w:rPr>
      </w:pPr>
      <w:r>
        <w:rPr>
          <w:rFonts w:eastAsia="Times New Roman"/>
          <w:color w:val="000000"/>
          <w:sz w:val="16"/>
          <w:szCs w:val="16"/>
        </w:rPr>
        <w:t>(2)During the two quarters ended July 2, 2021 and July 3, 2020, we assigned $26 million and $9 million, respectively, of goodwill associated with pending divestitures to “Assets of disposal group</w:t>
      </w:r>
      <w:r>
        <w:rPr>
          <w:rFonts w:eastAsia="Times New Roman"/>
          <w:color w:val="000000"/>
          <w:sz w:val="16"/>
          <w:szCs w:val="16"/>
        </w:rPr>
        <w:t>s held for sale” in our Condensed Consolidated Balance Sheet (Unaudited). See</w:t>
      </w:r>
      <w:r>
        <w:rPr>
          <w:rFonts w:eastAsia="Times New Roman"/>
          <w:i/>
          <w:iCs/>
          <w:color w:val="000000"/>
          <w:sz w:val="16"/>
          <w:szCs w:val="16"/>
        </w:rPr>
        <w:t xml:space="preserve"> Note B — Business Divestitures</w:t>
      </w:r>
      <w:r>
        <w:rPr>
          <w:rFonts w:eastAsia="Times New Roman"/>
          <w:color w:val="000000"/>
          <w:sz w:val="16"/>
          <w:szCs w:val="16"/>
        </w:rPr>
        <w:t xml:space="preserve"> in these Notes for additional information.</w:t>
      </w:r>
    </w:p>
    <w:p w:rsidR="00000000" w:rsidRDefault="00B11388">
      <w:pPr>
        <w:ind w:firstLine="495"/>
        <w:divId w:val="252708332"/>
        <w:rPr>
          <w:rFonts w:eastAsia="Times New Roman"/>
        </w:rPr>
      </w:pPr>
      <w:r>
        <w:rPr>
          <w:rFonts w:eastAsia="Times New Roman"/>
          <w:i/>
          <w:iCs/>
          <w:color w:val="000000"/>
          <w:sz w:val="20"/>
          <w:szCs w:val="20"/>
        </w:rPr>
        <w:t>CPS Business Impairment.</w:t>
      </w:r>
      <w:r>
        <w:rPr>
          <w:rFonts w:eastAsia="Times New Roman"/>
          <w:color w:val="000000"/>
          <w:sz w:val="20"/>
          <w:szCs w:val="20"/>
        </w:rPr>
        <w:t xml:space="preserve"> During the quarter ended April 2, 2021, we determined the criteria to be classi</w:t>
      </w:r>
      <w:r>
        <w:rPr>
          <w:rFonts w:eastAsia="Times New Roman"/>
          <w:color w:val="000000"/>
          <w:sz w:val="20"/>
          <w:szCs w:val="20"/>
        </w:rPr>
        <w:t>fied as held for sale were met with respect to the CPS business within our Aviation Systems segment and assigned $174 million of goodwill to the disposal group on a relative fair value basis. In connection with the preparation of our financial statements f</w:t>
      </w:r>
      <w:r>
        <w:rPr>
          <w:rFonts w:eastAsia="Times New Roman"/>
          <w:color w:val="000000"/>
          <w:sz w:val="20"/>
          <w:szCs w:val="20"/>
        </w:rPr>
        <w:t>or the quarter ended April 2, 2021, we concluded that goodwill related to the CPS business was impaired and we recorded a non-cash impairment charge of $62 million, which is included in the “Impairment of goodwill and other assets” line item in our Condens</w:t>
      </w:r>
      <w:r>
        <w:rPr>
          <w:rFonts w:eastAsia="Times New Roman"/>
          <w:color w:val="000000"/>
          <w:sz w:val="20"/>
          <w:szCs w:val="20"/>
        </w:rPr>
        <w:t xml:space="preserve">ed Consolidated Statement of Income (Unaudited). See </w:t>
      </w:r>
      <w:r>
        <w:rPr>
          <w:rFonts w:eastAsia="Times New Roman"/>
          <w:i/>
          <w:iCs/>
          <w:color w:val="000000"/>
          <w:sz w:val="20"/>
          <w:szCs w:val="20"/>
        </w:rPr>
        <w:t>Note B — Business Divestitures</w:t>
      </w:r>
      <w:r>
        <w:rPr>
          <w:rFonts w:eastAsia="Times New Roman"/>
          <w:color w:val="000000"/>
          <w:sz w:val="20"/>
          <w:szCs w:val="20"/>
        </w:rPr>
        <w:t xml:space="preserve"> in these Notes for additional information.</w:t>
      </w:r>
    </w:p>
    <w:p w:rsidR="00000000" w:rsidRDefault="00B11388">
      <w:pPr>
        <w:ind w:firstLine="450"/>
        <w:divId w:val="846604564"/>
        <w:rPr>
          <w:rFonts w:eastAsia="Times New Roman"/>
        </w:rPr>
      </w:pPr>
      <w:r>
        <w:rPr>
          <w:rFonts w:eastAsia="Times New Roman"/>
          <w:i/>
          <w:iCs/>
          <w:color w:val="000000"/>
          <w:sz w:val="20"/>
          <w:szCs w:val="20"/>
        </w:rPr>
        <w:t>Commercial Aviation Solutions Impairment.</w:t>
      </w:r>
      <w:r>
        <w:rPr>
          <w:rFonts w:eastAsia="Times New Roman"/>
          <w:color w:val="000000"/>
          <w:sz w:val="20"/>
          <w:szCs w:val="20"/>
        </w:rPr>
        <w:t xml:space="preserve"> Indications of potential impairment of goodwill related to our Commercial Aviation Solu</w:t>
      </w:r>
      <w:r>
        <w:rPr>
          <w:rFonts w:eastAsia="Times New Roman"/>
          <w:color w:val="000000"/>
          <w:sz w:val="20"/>
          <w:szCs w:val="20"/>
        </w:rPr>
        <w:t xml:space="preserve">tions sector (which is part of our Aviation Systems segment) were present at April 3, 2020 due to COVID and its impact on global air traffic and customer operations, resulting in a decrease in fiscal 2020 outlook for the sector, which we </w:t>
      </w:r>
    </w:p>
    <w:p w:rsidR="00000000" w:rsidRDefault="00B11388">
      <w:pPr>
        <w:ind w:firstLine="450"/>
        <w:jc w:val="center"/>
        <w:divId w:val="1984195316"/>
        <w:rPr>
          <w:rFonts w:eastAsia="Times New Roman"/>
        </w:rPr>
      </w:pPr>
      <w:r>
        <w:rPr>
          <w:rFonts w:eastAsia="Times New Roman"/>
          <w:color w:val="000000"/>
          <w:sz w:val="20"/>
          <w:szCs w:val="20"/>
        </w:rPr>
        <w:t>13</w:t>
      </w:r>
    </w:p>
    <w:p w:rsidR="00000000" w:rsidRDefault="00B11388">
      <w:pPr>
        <w:rPr>
          <w:rFonts w:eastAsia="Times New Roman"/>
        </w:rPr>
      </w:pPr>
      <w:r>
        <w:rPr>
          <w:rFonts w:eastAsia="Times New Roman"/>
        </w:rPr>
        <w:pict>
          <v:rect id="_x0000_i1040" style="width:0;height:1.5pt" o:hralign="center" o:hrstd="t" o:hr="t" fillcolor="#a0a0a0" stroked="f"/>
        </w:pict>
      </w:r>
    </w:p>
    <w:p w:rsidR="00000000" w:rsidRDefault="00B11388">
      <w:pPr>
        <w:ind w:firstLine="450"/>
        <w:divId w:val="2020157108"/>
        <w:rPr>
          <w:rFonts w:eastAsia="Times New Roman"/>
        </w:rPr>
      </w:pPr>
    </w:p>
    <w:p w:rsidR="00000000" w:rsidRDefault="00B11388">
      <w:pPr>
        <w:ind w:firstLine="450"/>
        <w:divId w:val="1392266163"/>
        <w:rPr>
          <w:rFonts w:eastAsia="Times New Roman"/>
        </w:rPr>
      </w:pPr>
    </w:p>
    <w:p w:rsidR="00000000" w:rsidRDefault="00B11388">
      <w:pPr>
        <w:divId w:val="1010645549"/>
        <w:rPr>
          <w:rFonts w:eastAsia="Times New Roman"/>
        </w:rPr>
      </w:pPr>
      <w:r>
        <w:rPr>
          <w:rFonts w:eastAsia="Times New Roman"/>
          <w:color w:val="000000"/>
          <w:sz w:val="20"/>
          <w:szCs w:val="20"/>
        </w:rPr>
        <w:t>considered to be a triggering event requiring an interim impairment test. Consequently, in connection with the preparation of our financial statements for the quarter ended April 3, 2020, we performed a quantitative impairment tes</w:t>
      </w:r>
      <w:r>
        <w:rPr>
          <w:rFonts w:eastAsia="Times New Roman"/>
          <w:color w:val="000000"/>
          <w:sz w:val="20"/>
          <w:szCs w:val="20"/>
        </w:rPr>
        <w:t>t. To test for potential impairment of goodwill related to Commercial Aviation Solutions sector, we prepared an estimate of the fair value of the sector based on a combination of market-based valuation techniques, utilizing quoted market prices and compara</w:t>
      </w:r>
      <w:r>
        <w:rPr>
          <w:rFonts w:eastAsia="Times New Roman"/>
          <w:color w:val="000000"/>
          <w:sz w:val="20"/>
          <w:szCs w:val="20"/>
        </w:rPr>
        <w:t xml:space="preserve">ble publicly reported transactions, and projected discounted cash flows. Our methodology for determining the fair value of the sector placed the greatest weight on the expected fair value technique, and was dependent on our best estimates of future sales, </w:t>
      </w:r>
      <w:r>
        <w:rPr>
          <w:rFonts w:eastAsia="Times New Roman"/>
          <w:color w:val="000000"/>
          <w:sz w:val="20"/>
          <w:szCs w:val="20"/>
        </w:rPr>
        <w:t>operating costs and balance sheet metrics under a range of scenarios for future economic conditions. We assigned a probability to each scenario to calculate a set of probability-weighted projected cash flows, and an appropriate discount rate reflecting the</w:t>
      </w:r>
      <w:r>
        <w:rPr>
          <w:rFonts w:eastAsia="Times New Roman"/>
          <w:color w:val="000000"/>
          <w:sz w:val="20"/>
          <w:szCs w:val="20"/>
        </w:rPr>
        <w:t xml:space="preserve"> risk in the projected cash flows was used to discount the expected cash flows to present value. </w:t>
      </w:r>
    </w:p>
    <w:p w:rsidR="00000000" w:rsidRDefault="00B11388">
      <w:pPr>
        <w:ind w:firstLine="450"/>
        <w:divId w:val="1938128787"/>
        <w:rPr>
          <w:rFonts w:eastAsia="Times New Roman"/>
        </w:rPr>
      </w:pPr>
      <w:r>
        <w:rPr>
          <w:rFonts w:eastAsia="Times New Roman"/>
          <w:color w:val="000000"/>
          <w:sz w:val="20"/>
          <w:szCs w:val="20"/>
        </w:rPr>
        <w:t>As adverse global economic and market conditions attributable to COVID, including projected declines and subsequent recovery in commercial air traffic and ori</w:t>
      </w:r>
      <w:r>
        <w:rPr>
          <w:rFonts w:eastAsia="Times New Roman"/>
          <w:color w:val="000000"/>
          <w:sz w:val="20"/>
          <w:szCs w:val="20"/>
        </w:rPr>
        <w:t>ginal equipment manufacturer production volumes, continued to develop during fiscal 2020, we continued to monitor for facts and circumstances that could negatively impact key valuation assumptions in determining the fair value of Commercial Aviation Soluti</w:t>
      </w:r>
      <w:r>
        <w:rPr>
          <w:rFonts w:eastAsia="Times New Roman"/>
          <w:color w:val="000000"/>
          <w:sz w:val="20"/>
          <w:szCs w:val="20"/>
        </w:rPr>
        <w:t>ons, including valuations, expectations regarding the timing of a return to pre-COVID commercial flight activity and the associated level of uncertainty, long-term revenue and profitability projections, discount rates and general industry, market and macro</w:t>
      </w:r>
      <w:r>
        <w:rPr>
          <w:rFonts w:eastAsia="Times New Roman"/>
          <w:color w:val="000000"/>
          <w:sz w:val="20"/>
          <w:szCs w:val="20"/>
        </w:rPr>
        <w:t>economic conditions. As a result, we determined indications of further impairment of assets related to Commercial Aviation Solutions existed as of July 3, 2020.</w:t>
      </w:r>
    </w:p>
    <w:p w:rsidR="00000000" w:rsidRDefault="00B11388">
      <w:pPr>
        <w:ind w:firstLine="450"/>
        <w:divId w:val="1740909041"/>
        <w:rPr>
          <w:rFonts w:eastAsia="Times New Roman"/>
        </w:rPr>
      </w:pPr>
      <w:r>
        <w:rPr>
          <w:rFonts w:eastAsia="Times New Roman"/>
          <w:color w:val="000000"/>
          <w:sz w:val="20"/>
          <w:szCs w:val="20"/>
        </w:rPr>
        <w:t>As a result of these impairment tests, we concluded that goodwill related to our Commercial Avi</w:t>
      </w:r>
      <w:r>
        <w:rPr>
          <w:rFonts w:eastAsia="Times New Roman"/>
          <w:color w:val="000000"/>
          <w:sz w:val="20"/>
          <w:szCs w:val="20"/>
        </w:rPr>
        <w:t>ation Solutions sector was impaired as of April 3, 2020 and July 3, 2020, and we recorded non-cash impairment charges of $296 million and $54 million, respectively (including $28 million and $8 million, respectively, attributable to noncontrolling interest</w:t>
      </w:r>
      <w:r>
        <w:rPr>
          <w:rFonts w:eastAsia="Times New Roman"/>
          <w:color w:val="000000"/>
          <w:sz w:val="20"/>
          <w:szCs w:val="20"/>
        </w:rPr>
        <w:t>), in the “Impairment of goodwill and other assets” line item in our Condensed Consolidated Statement of Income (Unaudited) for the quarter and two quarters ended July 3, 2020. The goodwill impairment charges were primarily not deductible for tax purposes.</w:t>
      </w:r>
    </w:p>
    <w:p w:rsidR="00000000" w:rsidRDefault="00B11388">
      <w:pPr>
        <w:ind w:firstLine="450"/>
        <w:divId w:val="419376363"/>
        <w:rPr>
          <w:rFonts w:eastAsia="Times New Roman"/>
        </w:rPr>
      </w:pPr>
      <w:r>
        <w:rPr>
          <w:rFonts w:eastAsia="Times New Roman"/>
          <w:i/>
          <w:iCs/>
          <w:color w:val="000000"/>
          <w:sz w:val="20"/>
          <w:szCs w:val="20"/>
        </w:rPr>
        <w:t>VSE Disposal Group Impairment.</w:t>
      </w:r>
      <w:r>
        <w:rPr>
          <w:rFonts w:eastAsia="Times New Roman"/>
          <w:color w:val="000000"/>
          <w:sz w:val="20"/>
          <w:szCs w:val="20"/>
        </w:rPr>
        <w:t xml:space="preserve"> During the quarter ended July 3, 2020, we determined the criteria to be classified as held for sale were met with respect to the VSE disposal group within our Aviation Systems segment and assigned $14 million of goodwill to </w:t>
      </w:r>
      <w:r>
        <w:rPr>
          <w:rFonts w:eastAsia="Times New Roman"/>
          <w:color w:val="000000"/>
          <w:sz w:val="20"/>
          <w:szCs w:val="20"/>
        </w:rPr>
        <w:t>the VSE disposal group on a relative fair value basis. In connection with the preparation of our financial statements for the quarter ended July 3, 2020, we concluded that goodwill related to the VSE disposal group was impaired and recorded a non-cash impa</w:t>
      </w:r>
      <w:r>
        <w:rPr>
          <w:rFonts w:eastAsia="Times New Roman"/>
          <w:color w:val="000000"/>
          <w:sz w:val="20"/>
          <w:szCs w:val="20"/>
        </w:rPr>
        <w:t>irment charge of $14 million, which is included in the “Impairment of goodwill and other assets” line item in our Condensed Consolidated Statement of Income (Unaudited) for the quarter ended July 3, 2020.</w:t>
      </w:r>
    </w:p>
    <w:p w:rsidR="00000000" w:rsidRDefault="00B11388">
      <w:pPr>
        <w:divId w:val="1059093379"/>
        <w:rPr>
          <w:rFonts w:eastAsia="Times New Roman"/>
        </w:rPr>
      </w:pPr>
      <w:r>
        <w:rPr>
          <w:rFonts w:eastAsia="Times New Roman"/>
          <w:b/>
          <w:bCs/>
          <w:color w:val="000000"/>
          <w:sz w:val="20"/>
          <w:szCs w:val="20"/>
        </w:rPr>
        <w:t>Identifiable Intangible Assets </w:t>
      </w:r>
    </w:p>
    <w:p w:rsidR="00000000" w:rsidRDefault="00B11388">
      <w:pPr>
        <w:ind w:firstLine="450"/>
        <w:divId w:val="136802697"/>
        <w:rPr>
          <w:rFonts w:eastAsia="Times New Roman"/>
        </w:rPr>
      </w:pPr>
      <w:r>
        <w:rPr>
          <w:rFonts w:eastAsia="Times New Roman"/>
          <w:color w:val="000000"/>
          <w:sz w:val="20"/>
          <w:szCs w:val="20"/>
        </w:rPr>
        <w:t>The most significan</w:t>
      </w:r>
      <w:r>
        <w:rPr>
          <w:rFonts w:eastAsia="Times New Roman"/>
          <w:color w:val="000000"/>
          <w:sz w:val="20"/>
          <w:szCs w:val="20"/>
        </w:rPr>
        <w:t>t identifiable intangible asset that is separately recognized for our business combinations is customer relationships. Our customer relationships are established through written customer contracts (revenue arrangements). The fair value for customer relatio</w:t>
      </w:r>
      <w:r>
        <w:rPr>
          <w:rFonts w:eastAsia="Times New Roman"/>
          <w:color w:val="000000"/>
          <w:sz w:val="20"/>
          <w:szCs w:val="20"/>
        </w:rPr>
        <w:t>nships is determined, as of the date of acquisition, based on estimates and judgments regarding expectations for the estimated future after-tax earnings and cash flows arising from the follow-on sales expected from the customer relationships over the estim</w:t>
      </w:r>
      <w:r>
        <w:rPr>
          <w:rFonts w:eastAsia="Times New Roman"/>
          <w:color w:val="000000"/>
          <w:sz w:val="20"/>
          <w:szCs w:val="20"/>
        </w:rPr>
        <w:t>ated lives, including the probability of expected future contract renewals and sales, less a contributory asset charge, all of which is discounted to present value. We assess the recoverability of the carrying value of our finite-lived identifiable intangi</w:t>
      </w:r>
      <w:r>
        <w:rPr>
          <w:rFonts w:eastAsia="Times New Roman"/>
          <w:color w:val="000000"/>
          <w:sz w:val="20"/>
          <w:szCs w:val="20"/>
        </w:rPr>
        <w:t>ble assets whenever events or changes in circumstances indicate the carrying amount of the assets may not be recoverable. We assess the recoverability of the carrying value of indefinite-lived identifiable intangible assets annually, or under certain circu</w:t>
      </w:r>
      <w:r>
        <w:rPr>
          <w:rFonts w:eastAsia="Times New Roman"/>
          <w:color w:val="000000"/>
          <w:sz w:val="20"/>
          <w:szCs w:val="20"/>
        </w:rPr>
        <w:t>mstances more frequently, such as when events and circumstances indicate there may be an impairment.</w:t>
      </w:r>
    </w:p>
    <w:p w:rsidR="00000000" w:rsidRDefault="00B11388">
      <w:pPr>
        <w:ind w:firstLine="450"/>
        <w:divId w:val="1249266360"/>
        <w:rPr>
          <w:rFonts w:eastAsia="Times New Roman"/>
        </w:rPr>
      </w:pPr>
      <w:r>
        <w:rPr>
          <w:rFonts w:eastAsia="Times New Roman"/>
          <w:i/>
          <w:iCs/>
          <w:color w:val="000000"/>
          <w:sz w:val="20"/>
          <w:szCs w:val="20"/>
        </w:rPr>
        <w:t>Commercial Training Solutions Impairment.</w:t>
      </w:r>
      <w:r>
        <w:rPr>
          <w:rFonts w:eastAsia="Times New Roman"/>
          <w:color w:val="000000"/>
          <w:sz w:val="20"/>
          <w:szCs w:val="20"/>
        </w:rPr>
        <w:t xml:space="preserve"> During the quarter ended July 2, 2021, we adjusted our Aviation Systems segment reporting to better align our bus</w:t>
      </w:r>
      <w:r>
        <w:rPr>
          <w:rFonts w:eastAsia="Times New Roman"/>
          <w:color w:val="000000"/>
          <w:sz w:val="20"/>
          <w:szCs w:val="20"/>
        </w:rPr>
        <w:t>inesses and separated the Commercial Training Solutions (“CTS”) business from our Commercial Aviation Solutions reporting unit, creating a new reporting unit within the Commercial Aviation Solutions sector of our Aviation Systems segment. Immediately befor</w:t>
      </w:r>
      <w:r>
        <w:rPr>
          <w:rFonts w:eastAsia="Times New Roman"/>
          <w:color w:val="000000"/>
          <w:sz w:val="20"/>
          <w:szCs w:val="20"/>
        </w:rPr>
        <w:t xml:space="preserve">e and after our goodwill assignments, we completed an assessment of any potential goodwill impairment under our former and new reporting unit structure and determined that no impairment existed. </w:t>
      </w:r>
    </w:p>
    <w:p w:rsidR="00000000" w:rsidRDefault="00B11388">
      <w:pPr>
        <w:divId w:val="630015693"/>
        <w:rPr>
          <w:rFonts w:eastAsia="Times New Roman"/>
        </w:rPr>
      </w:pPr>
      <w:r>
        <w:rPr>
          <w:rFonts w:eastAsia="Times New Roman"/>
          <w:color w:val="000000"/>
          <w:sz w:val="20"/>
          <w:szCs w:val="20"/>
        </w:rPr>
        <w:t>To test for potential impairment of the long-lived assets, i</w:t>
      </w:r>
      <w:r>
        <w:rPr>
          <w:rFonts w:eastAsia="Times New Roman"/>
          <w:color w:val="000000"/>
          <w:sz w:val="20"/>
          <w:szCs w:val="20"/>
        </w:rPr>
        <w:t>ncluding identifiable intangible assets and property, plant and equipment, related to CTS, we compared the estimated future cash flows (on an undiscounted basis) to be generated from the use and hypothetical eventual disposition of the asset group to its c</w:t>
      </w:r>
      <w:r>
        <w:rPr>
          <w:rFonts w:eastAsia="Times New Roman"/>
          <w:color w:val="000000"/>
          <w:sz w:val="20"/>
          <w:szCs w:val="20"/>
        </w:rPr>
        <w:t xml:space="preserve">arrying value and, as a result, we determined the carrying value of the CTS asset group was not recoverable. Next, we prepared an estimate of the fair value of CTS based on a combination of market-based valuation techniques, utilizing quoted market prices </w:t>
      </w:r>
      <w:r>
        <w:rPr>
          <w:rFonts w:eastAsia="Times New Roman"/>
          <w:color w:val="000000"/>
          <w:sz w:val="20"/>
          <w:szCs w:val="20"/>
        </w:rPr>
        <w:t>and comparable publicly reported transactions and projected discounted cash flows. We compared the fair value of CTS to our carrying value and recorded a $145 million non-cash charge for the impairment of CTS long-lived assets, including $63 million for im</w:t>
      </w:r>
      <w:r>
        <w:rPr>
          <w:rFonts w:eastAsia="Times New Roman"/>
          <w:color w:val="000000"/>
          <w:sz w:val="20"/>
          <w:szCs w:val="20"/>
        </w:rPr>
        <w:t>pairment of identifiable intangible assets, which is included in the “Impairment of goodwill and other assets” line item in our Condensed Consolidated Statement of Income (Unaudited) for the quarter and two quarters ended July 2, 2021. See Note H — Propert</w:t>
      </w:r>
      <w:r>
        <w:rPr>
          <w:rFonts w:eastAsia="Times New Roman"/>
          <w:color w:val="000000"/>
          <w:sz w:val="20"/>
          <w:szCs w:val="20"/>
        </w:rPr>
        <w:t>y, Plant and Equipment, net in these Notes for additional information.</w:t>
      </w:r>
    </w:p>
    <w:p w:rsidR="00000000" w:rsidRDefault="00B11388">
      <w:pPr>
        <w:ind w:firstLine="450"/>
        <w:jc w:val="center"/>
        <w:divId w:val="887765085"/>
        <w:rPr>
          <w:rFonts w:eastAsia="Times New Roman"/>
        </w:rPr>
      </w:pPr>
      <w:r>
        <w:rPr>
          <w:rFonts w:eastAsia="Times New Roman"/>
          <w:color w:val="000000"/>
          <w:sz w:val="20"/>
          <w:szCs w:val="20"/>
        </w:rPr>
        <w:t>14</w:t>
      </w:r>
    </w:p>
    <w:p w:rsidR="00000000" w:rsidRDefault="00B11388">
      <w:pPr>
        <w:rPr>
          <w:rFonts w:eastAsia="Times New Roman"/>
        </w:rPr>
      </w:pPr>
      <w:r>
        <w:rPr>
          <w:rFonts w:eastAsia="Times New Roman"/>
        </w:rPr>
        <w:pict>
          <v:rect id="_x0000_i1041" style="width:0;height:1.5pt" o:hralign="center" o:hrstd="t" o:hr="t" fillcolor="#a0a0a0" stroked="f"/>
        </w:pict>
      </w:r>
    </w:p>
    <w:p w:rsidR="00000000" w:rsidRDefault="00B11388">
      <w:pPr>
        <w:ind w:firstLine="450"/>
        <w:divId w:val="34349614"/>
        <w:rPr>
          <w:rFonts w:eastAsia="Times New Roman"/>
        </w:rPr>
      </w:pPr>
    </w:p>
    <w:p w:rsidR="00000000" w:rsidRDefault="00B11388">
      <w:pPr>
        <w:ind w:firstLine="450"/>
        <w:divId w:val="1635913288"/>
        <w:rPr>
          <w:rFonts w:eastAsia="Times New Roman"/>
        </w:rPr>
      </w:pPr>
    </w:p>
    <w:p w:rsidR="00000000" w:rsidRDefault="00B11388">
      <w:pPr>
        <w:ind w:firstLine="450"/>
        <w:divId w:val="1327857120"/>
        <w:rPr>
          <w:rFonts w:eastAsia="Times New Roman"/>
        </w:rPr>
      </w:pPr>
      <w:r>
        <w:rPr>
          <w:rFonts w:eastAsia="Times New Roman"/>
          <w:color w:val="000000"/>
          <w:sz w:val="20"/>
          <w:szCs w:val="20"/>
        </w:rPr>
        <w:t>Identifiable intangible assets are summarized below:</w:t>
      </w:r>
    </w:p>
    <w:tbl>
      <w:tblPr>
        <w:tblW w:w="4992" w:type="pct"/>
        <w:tblCellMar>
          <w:top w:w="15" w:type="dxa"/>
          <w:left w:w="15" w:type="dxa"/>
          <w:bottom w:w="15" w:type="dxa"/>
          <w:right w:w="15" w:type="dxa"/>
        </w:tblCellMar>
        <w:tblLook w:val="04A0" w:firstRow="1" w:lastRow="0" w:firstColumn="1" w:lastColumn="0" w:noHBand="0" w:noVBand="1"/>
      </w:tblPr>
      <w:tblGrid>
        <w:gridCol w:w="40"/>
        <w:gridCol w:w="2513"/>
        <w:gridCol w:w="37"/>
        <w:gridCol w:w="121"/>
        <w:gridCol w:w="665"/>
        <w:gridCol w:w="36"/>
        <w:gridCol w:w="36"/>
        <w:gridCol w:w="36"/>
        <w:gridCol w:w="36"/>
        <w:gridCol w:w="121"/>
        <w:gridCol w:w="854"/>
        <w:gridCol w:w="36"/>
        <w:gridCol w:w="36"/>
        <w:gridCol w:w="36"/>
        <w:gridCol w:w="36"/>
        <w:gridCol w:w="121"/>
        <w:gridCol w:w="642"/>
        <w:gridCol w:w="36"/>
        <w:gridCol w:w="36"/>
        <w:gridCol w:w="36"/>
        <w:gridCol w:w="36"/>
        <w:gridCol w:w="121"/>
        <w:gridCol w:w="602"/>
        <w:gridCol w:w="36"/>
        <w:gridCol w:w="36"/>
        <w:gridCol w:w="36"/>
        <w:gridCol w:w="36"/>
        <w:gridCol w:w="121"/>
        <w:gridCol w:w="856"/>
        <w:gridCol w:w="36"/>
        <w:gridCol w:w="36"/>
        <w:gridCol w:w="36"/>
        <w:gridCol w:w="36"/>
        <w:gridCol w:w="121"/>
        <w:gridCol w:w="602"/>
        <w:gridCol w:w="36"/>
      </w:tblGrid>
      <w:tr w:rsidR="00000000">
        <w:trPr>
          <w:divId w:val="324944611"/>
        </w:trPr>
        <w:tc>
          <w:tcPr>
            <w:tcW w:w="50" w:type="pct"/>
            <w:vAlign w:val="center"/>
            <w:hideMark/>
          </w:tcPr>
          <w:p w:rsidR="00000000" w:rsidRDefault="00B11388">
            <w:pPr>
              <w:ind w:firstLine="450"/>
              <w:rPr>
                <w:rFonts w:eastAsia="Times New Roman"/>
              </w:rPr>
            </w:pPr>
          </w:p>
        </w:tc>
        <w:tc>
          <w:tcPr>
            <w:tcW w:w="160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32494461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32494461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Net Carrying 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Net Carrying Amount</w:t>
            </w:r>
          </w:p>
        </w:tc>
      </w:tr>
      <w:tr w:rsidR="00000000">
        <w:trPr>
          <w:divId w:val="324944611"/>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324944611"/>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6,207 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1,450 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4,757 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6,863 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5,606 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Contract backlog</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FFFFFF"/>
            <w:tcMar>
              <w:top w:w="30" w:type="dxa"/>
              <w:left w:w="290"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Total identifiable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In-process 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32494461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identifiable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8,758 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362101471"/>
        <w:rPr>
          <w:rFonts w:eastAsia="Times New Roman"/>
        </w:rPr>
      </w:pPr>
      <w:r>
        <w:rPr>
          <w:rFonts w:eastAsia="Times New Roman"/>
          <w:color w:val="000000"/>
          <w:sz w:val="16"/>
          <w:szCs w:val="16"/>
        </w:rPr>
        <w:t>_______________</w:t>
      </w:r>
    </w:p>
    <w:p w:rsidR="00000000" w:rsidRDefault="00B11388">
      <w:pPr>
        <w:ind w:hanging="270"/>
        <w:divId w:val="657467538"/>
        <w:rPr>
          <w:rFonts w:eastAsia="Times New Roman"/>
        </w:rPr>
      </w:pPr>
      <w:r>
        <w:rPr>
          <w:rFonts w:eastAsia="Times New Roman"/>
          <w:color w:val="000000"/>
          <w:sz w:val="16"/>
          <w:szCs w:val="16"/>
        </w:rPr>
        <w:t>(1)During the two quarters ended July </w:t>
      </w:r>
      <w:r>
        <w:rPr>
          <w:rFonts w:eastAsia="Times New Roman"/>
          <w:color w:val="000000"/>
          <w:sz w:val="16"/>
          <w:szCs w:val="16"/>
        </w:rPr>
        <w:t>2, 2021, we derecognized $486 million of intangible assets associated with completed divestitures and reclassified $91 million of intangible assets associated with pending divestitures to “Assets of disposal groups held for sale” in our Condensed Consolida</w:t>
      </w:r>
      <w:r>
        <w:rPr>
          <w:rFonts w:eastAsia="Times New Roman"/>
          <w:color w:val="000000"/>
          <w:sz w:val="16"/>
          <w:szCs w:val="16"/>
        </w:rPr>
        <w:t xml:space="preserve">ted Balance Sheet (Unaudited). See </w:t>
      </w:r>
      <w:r>
        <w:rPr>
          <w:rFonts w:eastAsia="Times New Roman"/>
          <w:i/>
          <w:iCs/>
          <w:color w:val="000000"/>
          <w:sz w:val="16"/>
          <w:szCs w:val="16"/>
        </w:rPr>
        <w:t>Note B — Business Divestitures</w:t>
      </w:r>
      <w:r>
        <w:rPr>
          <w:rFonts w:eastAsia="Times New Roman"/>
          <w:color w:val="000000"/>
          <w:sz w:val="16"/>
          <w:szCs w:val="16"/>
        </w:rPr>
        <w:t xml:space="preserve"> in these Notes for additional information regarding divestitures.</w:t>
      </w:r>
    </w:p>
    <w:p w:rsidR="00000000" w:rsidRDefault="00B11388">
      <w:pPr>
        <w:ind w:firstLine="450"/>
        <w:divId w:val="2039546508"/>
        <w:rPr>
          <w:rFonts w:eastAsia="Times New Roman"/>
        </w:rPr>
      </w:pPr>
      <w:r>
        <w:rPr>
          <w:rFonts w:eastAsia="Times New Roman"/>
          <w:color w:val="000000"/>
          <w:sz w:val="20"/>
          <w:szCs w:val="20"/>
        </w:rPr>
        <w:t>Amortization expense for identifiable intangible assets, which primarily relates to the L3Harris Merger, was $156 million and $320 million for the quarter and two quarters ended July 2, 2021, respectively, and was $209 million and $367 million for the quar</w:t>
      </w:r>
      <w:r>
        <w:rPr>
          <w:rFonts w:eastAsia="Times New Roman"/>
          <w:color w:val="000000"/>
          <w:sz w:val="20"/>
          <w:szCs w:val="20"/>
        </w:rPr>
        <w:t>ter and two quarters ended July 3, 2020, respectively.</w:t>
      </w:r>
    </w:p>
    <w:p w:rsidR="00000000" w:rsidRDefault="00B11388">
      <w:pPr>
        <w:ind w:firstLine="450"/>
        <w:divId w:val="734357143"/>
        <w:rPr>
          <w:rFonts w:eastAsia="Times New Roman"/>
        </w:rPr>
      </w:pPr>
      <w:r>
        <w:rPr>
          <w:rFonts w:eastAsia="Times New Roman"/>
          <w:color w:val="000000"/>
          <w:sz w:val="20"/>
          <w:szCs w:val="20"/>
        </w:rPr>
        <w:t>Future estimated amortization expense for identifiable intangible assets subject to amortization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69"/>
        <w:gridCol w:w="36"/>
        <w:gridCol w:w="120"/>
        <w:gridCol w:w="1093"/>
        <w:gridCol w:w="36"/>
      </w:tblGrid>
      <w:tr w:rsidR="00000000">
        <w:trPr>
          <w:divId w:val="1554199377"/>
          <w:jc w:val="center"/>
        </w:trPr>
        <w:tc>
          <w:tcPr>
            <w:tcW w:w="50" w:type="pct"/>
            <w:vAlign w:val="center"/>
            <w:hideMark/>
          </w:tcPr>
          <w:p w:rsidR="00000000" w:rsidRDefault="00B11388">
            <w:pPr>
              <w:ind w:firstLine="450"/>
              <w:rPr>
                <w:rFonts w:eastAsia="Times New Roman"/>
              </w:rPr>
            </w:pPr>
          </w:p>
        </w:tc>
        <w:tc>
          <w:tcPr>
            <w:tcW w:w="421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554199377"/>
          <w:jc w:val="center"/>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(In millions)</w:t>
            </w:r>
          </w:p>
        </w:tc>
      </w:tr>
      <w:tr w:rsidR="00000000">
        <w:trPr>
          <w:divId w:val="1554199377"/>
          <w:trHeight w:val="60"/>
          <w:jc w:val="center"/>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54199377"/>
          <w:jc w:val="center"/>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610 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54199377"/>
          <w:jc w:val="center"/>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54199377"/>
          <w:jc w:val="center"/>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54199377"/>
          <w:jc w:val="center"/>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543 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54199377"/>
          <w:jc w:val="center"/>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Year 5</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54199377"/>
          <w:jc w:val="center"/>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54199377"/>
          <w:jc w:val="center"/>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878202718"/>
        <w:rPr>
          <w:rFonts w:eastAsia="Times New Roman"/>
        </w:rPr>
      </w:pPr>
      <w:r>
        <w:rPr>
          <w:rFonts w:eastAsia="Times New Roman"/>
          <w:b/>
          <w:bCs/>
          <w:color w:val="000000"/>
          <w:sz w:val="20"/>
          <w:szCs w:val="20"/>
        </w:rPr>
        <w:t xml:space="preserve">Note J — Accrued Warranties </w:t>
      </w:r>
    </w:p>
    <w:p w:rsidR="00000000" w:rsidRDefault="00B11388">
      <w:pPr>
        <w:ind w:firstLine="450"/>
        <w:divId w:val="1518814395"/>
        <w:rPr>
          <w:rFonts w:eastAsia="Times New Roman"/>
        </w:rPr>
      </w:pPr>
      <w:r>
        <w:rPr>
          <w:rFonts w:eastAsia="Times New Roman"/>
          <w:color w:val="000000"/>
          <w:sz w:val="20"/>
          <w:szCs w:val="20"/>
        </w:rPr>
        <w:t>Our liability for standard product warranties is included as a component of the “Other accrued items” and “Other long-term liabilities” line items in our Condensed Consolidated Balance Sheet (Unaudited). Changes in our liability for standard product warran</w:t>
      </w:r>
      <w:r>
        <w:rPr>
          <w:rFonts w:eastAsia="Times New Roman"/>
          <w:color w:val="000000"/>
          <w:sz w:val="20"/>
          <w:szCs w:val="20"/>
        </w:rPr>
        <w:t>ties during the two quarters ended July 2,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69"/>
        <w:gridCol w:w="37"/>
        <w:gridCol w:w="121"/>
        <w:gridCol w:w="1092"/>
        <w:gridCol w:w="36"/>
      </w:tblGrid>
      <w:tr w:rsidR="00000000">
        <w:trPr>
          <w:divId w:val="1466043163"/>
        </w:trPr>
        <w:tc>
          <w:tcPr>
            <w:tcW w:w="50" w:type="pct"/>
            <w:vAlign w:val="center"/>
            <w:hideMark/>
          </w:tcPr>
          <w:p w:rsidR="00000000" w:rsidRDefault="00B11388">
            <w:pPr>
              <w:ind w:firstLine="450"/>
              <w:rPr>
                <w:rFonts w:eastAsia="Times New Roman"/>
              </w:rPr>
            </w:pPr>
          </w:p>
        </w:tc>
        <w:tc>
          <w:tcPr>
            <w:tcW w:w="421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466043163"/>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B11388">
            <w:pPr>
              <w:spacing w:after="100"/>
              <w:jc w:val="center"/>
              <w:rPr>
                <w:rFonts w:eastAsia="Times New Roman"/>
              </w:rPr>
            </w:pPr>
            <w:r>
              <w:rPr>
                <w:rFonts w:eastAsia="Times New Roman"/>
                <w:b/>
                <w:bCs/>
                <w:color w:val="000000"/>
                <w:sz w:val="16"/>
                <w:szCs w:val="16"/>
              </w:rPr>
              <w:t>(In millions)</w:t>
            </w:r>
          </w:p>
        </w:tc>
      </w:tr>
      <w:tr w:rsidR="00000000">
        <w:trPr>
          <w:divId w:val="1466043163"/>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66043163"/>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66043163"/>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66043163"/>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Decrease from divestitures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66043163"/>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66043163"/>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Settlements made during the period</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466043163"/>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466043163"/>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Balance at July 2,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jc w:val="center"/>
        <w:divId w:val="437064938"/>
        <w:rPr>
          <w:rFonts w:eastAsia="Times New Roman"/>
        </w:rPr>
      </w:pPr>
      <w:r>
        <w:rPr>
          <w:rFonts w:eastAsia="Times New Roman"/>
          <w:color w:val="000000"/>
          <w:sz w:val="20"/>
          <w:szCs w:val="20"/>
        </w:rPr>
        <w:t>15</w:t>
      </w:r>
    </w:p>
    <w:p w:rsidR="00000000" w:rsidRDefault="00B11388">
      <w:pPr>
        <w:rPr>
          <w:rFonts w:eastAsia="Times New Roman"/>
        </w:rPr>
      </w:pPr>
      <w:r>
        <w:rPr>
          <w:rFonts w:eastAsia="Times New Roman"/>
        </w:rPr>
        <w:pict>
          <v:rect id="_x0000_i1042" style="width:0;height:1.5pt" o:hralign="center" o:hrstd="t" o:hr="t" fillcolor="#a0a0a0" stroked="f"/>
        </w:pict>
      </w:r>
    </w:p>
    <w:p w:rsidR="00000000" w:rsidRDefault="00B11388">
      <w:pPr>
        <w:ind w:firstLine="450"/>
        <w:divId w:val="11345416"/>
        <w:rPr>
          <w:rFonts w:eastAsia="Times New Roman"/>
        </w:rPr>
      </w:pPr>
    </w:p>
    <w:p w:rsidR="00000000" w:rsidRDefault="00B11388">
      <w:pPr>
        <w:ind w:firstLine="450"/>
        <w:divId w:val="862406427"/>
        <w:rPr>
          <w:rFonts w:eastAsia="Times New Roman"/>
        </w:rPr>
      </w:pPr>
    </w:p>
    <w:p w:rsidR="00000000" w:rsidRDefault="00B11388">
      <w:pPr>
        <w:divId w:val="1696804855"/>
        <w:rPr>
          <w:rFonts w:eastAsia="Times New Roman"/>
        </w:rPr>
      </w:pPr>
      <w:r>
        <w:rPr>
          <w:rFonts w:eastAsia="Times New Roman"/>
          <w:b/>
          <w:bCs/>
          <w:color w:val="000000"/>
          <w:sz w:val="20"/>
          <w:szCs w:val="20"/>
        </w:rPr>
        <w:t xml:space="preserve">Note K — Postretirement Benefit Plans </w:t>
      </w:r>
    </w:p>
    <w:p w:rsidR="00000000" w:rsidRDefault="00B11388">
      <w:pPr>
        <w:ind w:firstLine="450"/>
        <w:divId w:val="1052269144"/>
        <w:rPr>
          <w:rFonts w:eastAsia="Times New Roman"/>
        </w:rPr>
      </w:pPr>
      <w:r>
        <w:rPr>
          <w:rFonts w:eastAsia="Times New Roman"/>
          <w:color w:val="000000"/>
          <w:sz w:val="20"/>
          <w:szCs w:val="20"/>
        </w:rPr>
        <w:t xml:space="preserve">The following tables provide the components of our net periodic benefit income for our defined benefit plans, including defined benefit pension plans and other postretirement defined benefit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3097"/>
        <w:gridCol w:w="39"/>
        <w:gridCol w:w="121"/>
        <w:gridCol w:w="1043"/>
        <w:gridCol w:w="37"/>
        <w:gridCol w:w="36"/>
        <w:gridCol w:w="36"/>
        <w:gridCol w:w="36"/>
        <w:gridCol w:w="121"/>
        <w:gridCol w:w="1043"/>
        <w:gridCol w:w="37"/>
        <w:gridCol w:w="36"/>
        <w:gridCol w:w="36"/>
        <w:gridCol w:w="36"/>
        <w:gridCol w:w="120"/>
        <w:gridCol w:w="1044"/>
        <w:gridCol w:w="36"/>
        <w:gridCol w:w="36"/>
        <w:gridCol w:w="36"/>
        <w:gridCol w:w="36"/>
        <w:gridCol w:w="121"/>
        <w:gridCol w:w="1046"/>
        <w:gridCol w:w="37"/>
      </w:tblGrid>
      <w:tr w:rsidR="00000000">
        <w:trPr>
          <w:divId w:val="994383494"/>
        </w:trPr>
        <w:tc>
          <w:tcPr>
            <w:tcW w:w="50" w:type="pct"/>
            <w:vAlign w:val="center"/>
            <w:hideMark/>
          </w:tcPr>
          <w:p w:rsidR="00000000" w:rsidRDefault="00B11388">
            <w:pPr>
              <w:ind w:firstLine="450"/>
              <w:rPr>
                <w:rFonts w:eastAsia="Times New Roman"/>
              </w:rPr>
            </w:pPr>
          </w:p>
        </w:tc>
        <w:tc>
          <w:tcPr>
            <w:tcW w:w="193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994383494"/>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 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 July 2, 2021</w:t>
            </w:r>
          </w:p>
        </w:tc>
      </w:tr>
      <w:tr w:rsidR="00000000">
        <w:trPr>
          <w:divId w:val="99438349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Other Benefits</w:t>
            </w:r>
          </w:p>
        </w:tc>
      </w:tr>
      <w:tr w:rsidR="00000000">
        <w:trPr>
          <w:divId w:val="994383494"/>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994383494"/>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994383494"/>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94383494"/>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94383494"/>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94383494"/>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94383494"/>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94383494"/>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994383494"/>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Net gain from curtailments and settlements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94383494"/>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90"/>
        <w:divId w:val="34539947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255"/>
        <w:gridCol w:w="39"/>
        <w:gridCol w:w="121"/>
        <w:gridCol w:w="1044"/>
        <w:gridCol w:w="37"/>
        <w:gridCol w:w="36"/>
        <w:gridCol w:w="36"/>
        <w:gridCol w:w="36"/>
        <w:gridCol w:w="121"/>
        <w:gridCol w:w="1044"/>
        <w:gridCol w:w="37"/>
        <w:gridCol w:w="36"/>
        <w:gridCol w:w="36"/>
        <w:gridCol w:w="36"/>
        <w:gridCol w:w="120"/>
        <w:gridCol w:w="1044"/>
        <w:gridCol w:w="36"/>
        <w:gridCol w:w="36"/>
        <w:gridCol w:w="36"/>
        <w:gridCol w:w="36"/>
        <w:gridCol w:w="121"/>
        <w:gridCol w:w="886"/>
        <w:gridCol w:w="37"/>
      </w:tblGrid>
      <w:tr w:rsidR="00000000">
        <w:trPr>
          <w:divId w:val="1384671086"/>
        </w:trPr>
        <w:tc>
          <w:tcPr>
            <w:tcW w:w="50" w:type="pct"/>
            <w:vAlign w:val="center"/>
            <w:hideMark/>
          </w:tcPr>
          <w:p w:rsidR="00000000" w:rsidRDefault="00B11388">
            <w:pPr>
              <w:ind w:firstLine="90"/>
              <w:rPr>
                <w:rFonts w:eastAsia="Times New Roman"/>
              </w:rPr>
            </w:pPr>
          </w:p>
        </w:tc>
        <w:tc>
          <w:tcPr>
            <w:tcW w:w="202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58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384671086"/>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 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 July 3, 2020</w:t>
            </w:r>
          </w:p>
        </w:tc>
      </w:tr>
      <w:tr w:rsidR="00000000">
        <w:trPr>
          <w:divId w:val="1384671086"/>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Other Benefits</w:t>
            </w:r>
          </w:p>
        </w:tc>
      </w:tr>
      <w:tr w:rsidR="00000000">
        <w:trPr>
          <w:divId w:val="1384671086"/>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384671086"/>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384671086"/>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384671086"/>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384671086"/>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384671086"/>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Amortization of net actuarial loss (gain)</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384671086"/>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384671086"/>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139299647"/>
              <w:rPr>
                <w:rFonts w:eastAsia="Times New Roman"/>
              </w:rPr>
            </w:pPr>
            <w:r>
              <w:rPr>
                <w:rFonts w:eastAsia="Times New Roman"/>
                <w:color w:val="000000"/>
                <w:sz w:val="20"/>
                <w:szCs w:val="20"/>
              </w:rPr>
              <w:t>Contractual termination cos</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384671086"/>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384671086"/>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1384671086"/>
        <w:rPr>
          <w:rFonts w:eastAsia="Times New Roman"/>
        </w:rPr>
      </w:pPr>
      <w:r>
        <w:rPr>
          <w:rFonts w:eastAsia="Times New Roman"/>
          <w:color w:val="000000"/>
          <w:sz w:val="16"/>
          <w:szCs w:val="16"/>
        </w:rPr>
        <w:t>_______________</w:t>
      </w:r>
    </w:p>
    <w:p w:rsidR="00000000" w:rsidRDefault="00B11388">
      <w:pPr>
        <w:ind w:hanging="270"/>
        <w:divId w:val="363600288"/>
        <w:rPr>
          <w:rFonts w:eastAsia="Times New Roman"/>
        </w:rPr>
      </w:pPr>
      <w:r>
        <w:rPr>
          <w:rFonts w:eastAsia="Times New Roman"/>
          <w:color w:val="000000"/>
          <w:sz w:val="16"/>
          <w:szCs w:val="16"/>
        </w:rPr>
        <w:t>(1)</w:t>
      </w:r>
      <w:r>
        <w:rPr>
          <w:rFonts w:eastAsia="Times New Roman"/>
          <w:color w:val="000000"/>
          <w:sz w:val="16"/>
          <w:szCs w:val="16"/>
        </w:rPr>
        <w:t xml:space="preserve">For the two quarters ended July 3, 2020, includes contractual termination benefits related to facility rationalization as part of restructuring activities in connection with the L3Harris Merger integration. See </w:t>
      </w:r>
      <w:r>
        <w:rPr>
          <w:rFonts w:eastAsia="Times New Roman"/>
          <w:i/>
          <w:iCs/>
          <w:color w:val="000000"/>
          <w:sz w:val="16"/>
          <w:szCs w:val="16"/>
        </w:rPr>
        <w:t>Note 4: “Restructuring and Other Exit Costs”</w:t>
      </w:r>
      <w:r>
        <w:rPr>
          <w:rFonts w:eastAsia="Times New Roman"/>
          <w:color w:val="000000"/>
          <w:sz w:val="16"/>
          <w:szCs w:val="16"/>
        </w:rPr>
        <w:t xml:space="preserve"> </w:t>
      </w:r>
      <w:r>
        <w:rPr>
          <w:rFonts w:eastAsia="Times New Roman"/>
          <w:color w:val="000000"/>
          <w:sz w:val="16"/>
          <w:szCs w:val="16"/>
        </w:rPr>
        <w:t>in the Notes to Consolidated Financial Statements in our Fiscal 2020 Form 10-K for further information.</w:t>
      </w:r>
    </w:p>
    <w:p w:rsidR="00000000" w:rsidRDefault="00B11388">
      <w:pPr>
        <w:ind w:firstLine="450"/>
        <w:divId w:val="234358948"/>
        <w:rPr>
          <w:rFonts w:eastAsia="Times New Roman"/>
        </w:rPr>
      </w:pPr>
      <w:r>
        <w:rPr>
          <w:rFonts w:eastAsia="Times New Roman"/>
          <w:color w:val="000000"/>
          <w:sz w:val="20"/>
          <w:szCs w:val="20"/>
        </w:rPr>
        <w:t>During the quarter ended July 2, 2021, we undertook an initiative to de-risk pension obligations by purchasing a group annuity policy and transferring a</w:t>
      </w:r>
      <w:r>
        <w:rPr>
          <w:rFonts w:eastAsia="Times New Roman"/>
          <w:color w:val="000000"/>
          <w:sz w:val="20"/>
          <w:szCs w:val="20"/>
        </w:rPr>
        <w:t>pproximately $169 million of pension plan assets to an insurance company thereby reducing our defined benefit obligations by approximately $169 million. As a result of the annuity purchase, we recognized a pre-tax Financial Accounting Standard settlement g</w:t>
      </w:r>
      <w:r>
        <w:rPr>
          <w:rFonts w:eastAsia="Times New Roman"/>
          <w:color w:val="000000"/>
          <w:sz w:val="20"/>
          <w:szCs w:val="20"/>
        </w:rPr>
        <w:t xml:space="preserve">ain of $3 million in the quarter ended July 2, 2021, which is included as a component of the “Non-operating income” line item in our Condensed Consolidated Statement of Income (Unaudited). </w:t>
      </w:r>
    </w:p>
    <w:p w:rsidR="00000000" w:rsidRDefault="00B11388">
      <w:pPr>
        <w:ind w:firstLine="450"/>
        <w:divId w:val="333188274"/>
        <w:rPr>
          <w:rFonts w:eastAsia="Times New Roman"/>
        </w:rPr>
      </w:pPr>
      <w:r>
        <w:rPr>
          <w:rFonts w:eastAsia="Times New Roman"/>
          <w:color w:val="000000"/>
          <w:sz w:val="20"/>
          <w:szCs w:val="20"/>
        </w:rPr>
        <w:t>The service cost component of net periodic benefit income is inclu</w:t>
      </w:r>
      <w:r>
        <w:rPr>
          <w:rFonts w:eastAsia="Times New Roman"/>
          <w:color w:val="000000"/>
          <w:sz w:val="20"/>
          <w:szCs w:val="20"/>
        </w:rPr>
        <w:t xml:space="preserve">ded in the “Cost of product sales and services” and “Engineering, selling and administrative expenses” line items in our Condensed Consolidated Statement of Income (Unaudited). The non-service cost components of net periodic benefit income are included in </w:t>
      </w:r>
      <w:r>
        <w:rPr>
          <w:rFonts w:eastAsia="Times New Roman"/>
          <w:color w:val="000000"/>
          <w:sz w:val="20"/>
          <w:szCs w:val="20"/>
        </w:rPr>
        <w:t>the “Non-operating income” line item in our Condensed Consolidated Statement of Income (Unaudited), except for contractual termination benefits which are included in the “Engineering, selling and administrative expenses” line item in our Condensed Consolid</w:t>
      </w:r>
      <w:r>
        <w:rPr>
          <w:rFonts w:eastAsia="Times New Roman"/>
          <w:color w:val="000000"/>
          <w:sz w:val="20"/>
          <w:szCs w:val="20"/>
        </w:rPr>
        <w:t xml:space="preserve">ated Statement of Income (Unaudited). </w:t>
      </w:r>
    </w:p>
    <w:p w:rsidR="00000000" w:rsidRDefault="00B11388">
      <w:pPr>
        <w:ind w:firstLine="450"/>
        <w:divId w:val="358628887"/>
        <w:rPr>
          <w:rFonts w:eastAsia="Times New Roman"/>
        </w:rPr>
      </w:pPr>
      <w:r>
        <w:rPr>
          <w:rFonts w:eastAsia="Times New Roman"/>
          <w:color w:val="000000"/>
          <w:sz w:val="20"/>
          <w:szCs w:val="20"/>
        </w:rPr>
        <w:t xml:space="preserve">As a result of prior voluntary contributions, we are not required to make any contributions to these plans during the remainder of fiscal 2021 and for several years thereafter. </w:t>
      </w:r>
    </w:p>
    <w:p w:rsidR="00000000" w:rsidRDefault="00B11388">
      <w:pPr>
        <w:ind w:firstLine="450"/>
        <w:jc w:val="center"/>
        <w:divId w:val="463692014"/>
        <w:rPr>
          <w:rFonts w:eastAsia="Times New Roman"/>
        </w:rPr>
      </w:pPr>
      <w:r>
        <w:rPr>
          <w:rFonts w:eastAsia="Times New Roman"/>
          <w:color w:val="000000"/>
          <w:sz w:val="20"/>
          <w:szCs w:val="20"/>
        </w:rPr>
        <w:t>16</w:t>
      </w:r>
    </w:p>
    <w:p w:rsidR="00000000" w:rsidRDefault="00B11388">
      <w:pPr>
        <w:rPr>
          <w:rFonts w:eastAsia="Times New Roman"/>
        </w:rPr>
      </w:pPr>
      <w:r>
        <w:rPr>
          <w:rFonts w:eastAsia="Times New Roman"/>
        </w:rPr>
        <w:pict>
          <v:rect id="_x0000_i1043" style="width:0;height:1.5pt" o:hralign="center" o:hrstd="t" o:hr="t" fillcolor="#a0a0a0" stroked="f"/>
        </w:pict>
      </w:r>
    </w:p>
    <w:p w:rsidR="00000000" w:rsidRDefault="00B11388">
      <w:pPr>
        <w:ind w:firstLine="450"/>
        <w:divId w:val="1514806037"/>
        <w:rPr>
          <w:rFonts w:eastAsia="Times New Roman"/>
        </w:rPr>
      </w:pPr>
    </w:p>
    <w:p w:rsidR="00000000" w:rsidRDefault="00B11388">
      <w:pPr>
        <w:ind w:firstLine="450"/>
        <w:divId w:val="244732982"/>
        <w:rPr>
          <w:rFonts w:eastAsia="Times New Roman"/>
        </w:rPr>
      </w:pPr>
    </w:p>
    <w:p w:rsidR="00000000" w:rsidRDefault="00B11388">
      <w:pPr>
        <w:divId w:val="1525481854"/>
        <w:rPr>
          <w:rFonts w:eastAsia="Times New Roman"/>
        </w:rPr>
      </w:pPr>
      <w:r>
        <w:rPr>
          <w:rFonts w:eastAsia="Times New Roman"/>
          <w:b/>
          <w:bCs/>
          <w:color w:val="000000"/>
          <w:sz w:val="20"/>
          <w:szCs w:val="20"/>
        </w:rPr>
        <w:t xml:space="preserve">Note L — Income From Continuing Operations Per Share </w:t>
      </w:r>
    </w:p>
    <w:p w:rsidR="00000000" w:rsidRDefault="00B11388">
      <w:pPr>
        <w:ind w:firstLine="450"/>
        <w:divId w:val="910694419"/>
        <w:rPr>
          <w:rFonts w:eastAsia="Times New Roman"/>
        </w:rPr>
      </w:pPr>
      <w:r>
        <w:rPr>
          <w:rFonts w:eastAsia="Times New Roman"/>
          <w:color w:val="000000"/>
          <w:sz w:val="20"/>
          <w:szCs w:val="20"/>
        </w:rPr>
        <w:t>The computations of income from continuing operations per common share attributable to L3Harris common shareholders are as follows:</w:t>
      </w:r>
    </w:p>
    <w:tbl>
      <w:tblPr>
        <w:tblW w:w="4992" w:type="pct"/>
        <w:tblCellMar>
          <w:top w:w="15" w:type="dxa"/>
          <w:left w:w="15" w:type="dxa"/>
          <w:bottom w:w="15" w:type="dxa"/>
          <w:right w:w="15" w:type="dxa"/>
        </w:tblCellMar>
        <w:tblLook w:val="04A0" w:firstRow="1" w:lastRow="0" w:firstColumn="1" w:lastColumn="0" w:noHBand="0" w:noVBand="1"/>
      </w:tblPr>
      <w:tblGrid>
        <w:gridCol w:w="40"/>
        <w:gridCol w:w="4466"/>
        <w:gridCol w:w="39"/>
        <w:gridCol w:w="120"/>
        <w:gridCol w:w="732"/>
        <w:gridCol w:w="36"/>
        <w:gridCol w:w="36"/>
        <w:gridCol w:w="36"/>
        <w:gridCol w:w="36"/>
        <w:gridCol w:w="120"/>
        <w:gridCol w:w="688"/>
        <w:gridCol w:w="36"/>
        <w:gridCol w:w="36"/>
        <w:gridCol w:w="36"/>
        <w:gridCol w:w="36"/>
        <w:gridCol w:w="120"/>
        <w:gridCol w:w="690"/>
        <w:gridCol w:w="36"/>
        <w:gridCol w:w="36"/>
        <w:gridCol w:w="36"/>
        <w:gridCol w:w="36"/>
        <w:gridCol w:w="120"/>
        <w:gridCol w:w="690"/>
        <w:gridCol w:w="36"/>
      </w:tblGrid>
      <w:tr w:rsidR="00000000">
        <w:trPr>
          <w:divId w:val="2441189"/>
        </w:trPr>
        <w:tc>
          <w:tcPr>
            <w:tcW w:w="50" w:type="pct"/>
            <w:vAlign w:val="center"/>
            <w:hideMark/>
          </w:tcPr>
          <w:p w:rsidR="00000000" w:rsidRDefault="00B11388">
            <w:pPr>
              <w:ind w:firstLine="450"/>
              <w:rPr>
                <w:rFonts w:eastAsia="Times New Roman"/>
              </w:rPr>
            </w:pPr>
          </w:p>
        </w:tc>
        <w:tc>
          <w:tcPr>
            <w:tcW w:w="27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2441189"/>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2441189"/>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2441189"/>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2441189"/>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from continuing operations (A)</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441189"/>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2441189"/>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2441189"/>
          <w:trHeight w:val="30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2441189"/>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Basic weighted average common shares outstanding (B)</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215.9 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205.2</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216.7</w:t>
            </w:r>
          </w:p>
        </w:tc>
      </w:tr>
      <w:tr w:rsidR="00000000">
        <w:trPr>
          <w:divId w:val="2441189"/>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2.0</w:t>
            </w:r>
          </w:p>
        </w:tc>
      </w:tr>
      <w:tr w:rsidR="00000000">
        <w:trPr>
          <w:divId w:val="2441189"/>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Diluted weighted average common shares outstanding (C)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207.1</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218.7</w:t>
            </w:r>
          </w:p>
        </w:tc>
      </w:tr>
      <w:tr w:rsidR="00000000">
        <w:trPr>
          <w:divId w:val="2441189"/>
        </w:trPr>
        <w:tc>
          <w:tcPr>
            <w:tcW w:w="0" w:type="auto"/>
            <w:gridSpan w:val="3"/>
            <w:shd w:val="clear" w:color="auto" w:fill="FFFFFF"/>
            <w:tcMar>
              <w:top w:w="30" w:type="dxa"/>
              <w:left w:w="30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Income from continuing operations per basic common share (A)/(B)</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2441189"/>
        </w:trPr>
        <w:tc>
          <w:tcPr>
            <w:tcW w:w="0" w:type="auto"/>
            <w:gridSpan w:val="3"/>
            <w:shd w:val="clear" w:color="auto" w:fill="CCEEFF"/>
            <w:tcMar>
              <w:top w:w="30" w:type="dxa"/>
              <w:left w:w="30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Income from continuing operations per diluted common share (A)/(C)</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1569146941"/>
        <w:rPr>
          <w:rFonts w:eastAsia="Times New Roman"/>
        </w:rPr>
      </w:pPr>
      <w:r>
        <w:rPr>
          <w:rFonts w:eastAsia="Times New Roman"/>
          <w:color w:val="000000"/>
          <w:sz w:val="20"/>
          <w:szCs w:val="20"/>
        </w:rPr>
        <w:t>Potential dilutive common shares primarily consist of employee stock options, restricted stock units and performance stock units. Income from continuing operations per diluted common share excludes the anti-dilutive im</w:t>
      </w:r>
      <w:r>
        <w:rPr>
          <w:rFonts w:eastAsia="Times New Roman"/>
          <w:color w:val="000000"/>
          <w:sz w:val="20"/>
          <w:szCs w:val="20"/>
        </w:rPr>
        <w:t>pact of 1.7 million and 1.6 million weighted average share-based awards outstanding for the quarter and two quarters ended July 2, 2021, respectively, and 1.5 million and 1.2 million weighted average share-based awards outstanding for the quarter and two q</w:t>
      </w:r>
      <w:r>
        <w:rPr>
          <w:rFonts w:eastAsia="Times New Roman"/>
          <w:color w:val="000000"/>
          <w:sz w:val="20"/>
          <w:szCs w:val="20"/>
        </w:rPr>
        <w:t>uarters ended July 3, 2020, respectively.</w:t>
      </w:r>
    </w:p>
    <w:p w:rsidR="00000000" w:rsidRDefault="00B11388">
      <w:pPr>
        <w:divId w:val="1556547165"/>
        <w:rPr>
          <w:rFonts w:eastAsia="Times New Roman"/>
        </w:rPr>
      </w:pPr>
      <w:r>
        <w:rPr>
          <w:rFonts w:eastAsia="Times New Roman"/>
          <w:b/>
          <w:bCs/>
          <w:color w:val="000000"/>
          <w:sz w:val="20"/>
          <w:szCs w:val="20"/>
        </w:rPr>
        <w:t xml:space="preserve">Note M — Non-Operating Income </w:t>
      </w:r>
    </w:p>
    <w:p w:rsidR="00000000" w:rsidRDefault="00B11388">
      <w:pPr>
        <w:ind w:firstLine="450"/>
        <w:divId w:val="532614302"/>
        <w:rPr>
          <w:rFonts w:eastAsia="Times New Roman"/>
        </w:rPr>
      </w:pPr>
      <w:r>
        <w:rPr>
          <w:rFonts w:eastAsia="Times New Roman"/>
          <w:color w:val="000000"/>
          <w:sz w:val="20"/>
          <w:szCs w:val="20"/>
        </w:rPr>
        <w:t>The components of non-operating income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435"/>
        <w:gridCol w:w="36"/>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3"/>
        <w:gridCol w:w="36"/>
      </w:tblGrid>
      <w:tr w:rsidR="00000000">
        <w:trPr>
          <w:divId w:val="447041441"/>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447041441"/>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44704144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447041441"/>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44704144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207886560"/>
              <w:rPr>
                <w:rFonts w:eastAsia="Times New Roman"/>
              </w:rPr>
            </w:pPr>
            <w:r>
              <w:rPr>
                <w:rFonts w:eastAsia="Times New Roman"/>
                <w:color w:val="000000"/>
                <w:sz w:val="20"/>
                <w:szCs w:val="20"/>
              </w:rPr>
              <w:t>Pension adjustmen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47041441"/>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44704144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447041441"/>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Impairment of equity method investment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47041441"/>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47041441"/>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Total non-operating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447041441"/>
        <w:rPr>
          <w:rFonts w:eastAsia="Times New Roman"/>
        </w:rPr>
      </w:pPr>
      <w:r>
        <w:rPr>
          <w:rFonts w:eastAsia="Times New Roman"/>
          <w:color w:val="000000"/>
          <w:sz w:val="16"/>
          <w:szCs w:val="16"/>
        </w:rPr>
        <w:t>______________</w:t>
      </w:r>
    </w:p>
    <w:p w:rsidR="00000000" w:rsidRDefault="00B11388">
      <w:pPr>
        <w:ind w:hanging="270"/>
        <w:divId w:val="1793670015"/>
        <w:rPr>
          <w:rFonts w:eastAsia="Times New Roman"/>
        </w:rPr>
      </w:pPr>
      <w:r>
        <w:rPr>
          <w:rFonts w:eastAsia="Times New Roman"/>
          <w:color w:val="000000"/>
          <w:sz w:val="16"/>
          <w:szCs w:val="16"/>
        </w:rPr>
        <w:t xml:space="preserve">(1)Pension adjustment recorded in the “Non-operating income” </w:t>
      </w:r>
      <w:r>
        <w:rPr>
          <w:rFonts w:eastAsia="Times New Roman"/>
          <w:color w:val="000000"/>
          <w:sz w:val="16"/>
          <w:szCs w:val="16"/>
        </w:rPr>
        <w:t>line item in our Condensed Consolidated Statement of Income (Unaudited) represents the non-service component of net periodic pension and postretirement benefit costs, which includes interest cost, expected return on plan assets, amortization of net actuari</w:t>
      </w:r>
      <w:r>
        <w:rPr>
          <w:rFonts w:eastAsia="Times New Roman"/>
          <w:color w:val="000000"/>
          <w:sz w:val="16"/>
          <w:szCs w:val="16"/>
        </w:rPr>
        <w:t xml:space="preserve">al gain and effect of curtailments or settlements. </w:t>
      </w:r>
    </w:p>
    <w:p w:rsidR="00000000" w:rsidRDefault="00B11388">
      <w:pPr>
        <w:divId w:val="373965643"/>
        <w:rPr>
          <w:rFonts w:eastAsia="Times New Roman"/>
        </w:rPr>
      </w:pPr>
      <w:r>
        <w:rPr>
          <w:rFonts w:eastAsia="Times New Roman"/>
          <w:b/>
          <w:bCs/>
          <w:color w:val="000000"/>
          <w:sz w:val="20"/>
          <w:szCs w:val="20"/>
        </w:rPr>
        <w:t>Note N — Income Taxes</w:t>
      </w:r>
    </w:p>
    <w:p w:rsidR="00000000" w:rsidRDefault="00B11388">
      <w:pPr>
        <w:ind w:firstLine="450"/>
        <w:divId w:val="1080954375"/>
        <w:rPr>
          <w:rFonts w:eastAsia="Times New Roman"/>
        </w:rPr>
      </w:pPr>
      <w:r>
        <w:rPr>
          <w:rFonts w:eastAsia="Times New Roman"/>
          <w:color w:val="000000"/>
          <w:sz w:val="20"/>
          <w:szCs w:val="20"/>
        </w:rPr>
        <w:t xml:space="preserve">Our effective tax rate (income taxes as a percentage of income from continuing operations before income taxes) was 29.0 percent for the quarter ended July 2, 2021 compared with 17.3 </w:t>
      </w:r>
      <w:r>
        <w:rPr>
          <w:rFonts w:eastAsia="Times New Roman"/>
          <w:color w:val="000000"/>
          <w:sz w:val="20"/>
          <w:szCs w:val="20"/>
        </w:rPr>
        <w:t>percent for the quarter ended July 3, 2020. During the quarter ended July 2, 2021, our effective tax rate was unfavorably impacted by non-deductible goodwill from completed business divestitures and the unfavorable impact of valuation allowances in certain</w:t>
      </w:r>
      <w:r>
        <w:rPr>
          <w:rFonts w:eastAsia="Times New Roman"/>
          <w:color w:val="000000"/>
          <w:sz w:val="20"/>
          <w:szCs w:val="20"/>
        </w:rPr>
        <w:t xml:space="preserve"> foreign jurisdictions, partially offset by the favorable impact of research and development (“R&amp;D”) credits, favorable resolution of specific audit uncertainties and the favorable impact of excess tax benefits related to equity-based compensation. During </w:t>
      </w:r>
      <w:r>
        <w:rPr>
          <w:rFonts w:eastAsia="Times New Roman"/>
          <w:color w:val="000000"/>
          <w:sz w:val="20"/>
          <w:szCs w:val="20"/>
        </w:rPr>
        <w:t>the quarter ended July 3, 2020, our effective tax rate benefited from the favorable impact of R&amp;D credits and the favorable impact of a net reduction in our uncertain tax position balance, partially offset by the unfavorable impact of non-deductible goodwi</w:t>
      </w:r>
      <w:r>
        <w:rPr>
          <w:rFonts w:eastAsia="Times New Roman"/>
          <w:color w:val="000000"/>
          <w:sz w:val="20"/>
          <w:szCs w:val="20"/>
        </w:rPr>
        <w:t xml:space="preserve">ll impairment charges. </w:t>
      </w:r>
    </w:p>
    <w:p w:rsidR="00000000" w:rsidRDefault="00B11388">
      <w:pPr>
        <w:ind w:firstLine="450"/>
        <w:divId w:val="822427711"/>
        <w:rPr>
          <w:rFonts w:eastAsia="Times New Roman"/>
        </w:rPr>
      </w:pPr>
      <w:r>
        <w:rPr>
          <w:rFonts w:eastAsia="Times New Roman"/>
          <w:color w:val="000000"/>
          <w:sz w:val="20"/>
          <w:szCs w:val="20"/>
        </w:rPr>
        <w:t>Our effective tax rate was 20.6 percent for the two quarters ended July 2, 2021 compared with 15.1 percent for the two quarters ended July 3, 2020. Our effective tax rate for the two quarters ended July 2, 2021 was impacted by the i</w:t>
      </w:r>
      <w:r>
        <w:rPr>
          <w:rFonts w:eastAsia="Times New Roman"/>
          <w:color w:val="000000"/>
          <w:sz w:val="20"/>
          <w:szCs w:val="20"/>
        </w:rPr>
        <w:t>tems described above for the quarter ended July 2, 2021. In addition to the items noted above for the quarter ended July 3, 2020, our effective tax rate for the two quarters ended July 3, 2020 benefited from the favorable impact of excess tax benefits rela</w:t>
      </w:r>
      <w:r>
        <w:rPr>
          <w:rFonts w:eastAsia="Times New Roman"/>
          <w:color w:val="000000"/>
          <w:sz w:val="20"/>
          <w:szCs w:val="20"/>
        </w:rPr>
        <w:t xml:space="preserve">ted to equity-based compensation. </w:t>
      </w:r>
    </w:p>
    <w:p w:rsidR="00000000" w:rsidRDefault="00B11388">
      <w:pPr>
        <w:divId w:val="1270772259"/>
        <w:rPr>
          <w:rFonts w:eastAsia="Times New Roman"/>
        </w:rPr>
      </w:pPr>
      <w:r>
        <w:rPr>
          <w:rFonts w:eastAsia="Times New Roman"/>
          <w:b/>
          <w:bCs/>
          <w:color w:val="000000"/>
          <w:sz w:val="20"/>
          <w:szCs w:val="20"/>
        </w:rPr>
        <w:t xml:space="preserve">Note O — Fair Value Measurements </w:t>
      </w:r>
    </w:p>
    <w:p w:rsidR="00000000" w:rsidRDefault="00B11388">
      <w:pPr>
        <w:ind w:firstLine="495"/>
        <w:divId w:val="1629237916"/>
        <w:rPr>
          <w:rFonts w:eastAsia="Times New Roman"/>
        </w:rPr>
      </w:pPr>
      <w:r>
        <w:rPr>
          <w:rFonts w:eastAsia="Times New Roman"/>
          <w:color w:val="000000"/>
          <w:sz w:val="20"/>
          <w:szCs w:val="20"/>
        </w:rPr>
        <w:t>Fair value is defined as the price that would be received for an asset or the price that would be paid to transfer a liability in the principal market or most advantageous market in an or</w:t>
      </w:r>
      <w:r>
        <w:rPr>
          <w:rFonts w:eastAsia="Times New Roman"/>
          <w:color w:val="000000"/>
          <w:sz w:val="20"/>
          <w:szCs w:val="20"/>
        </w:rPr>
        <w:t xml:space="preserve">derly transaction between market participants at the measurement date. Entities are required to maximize the use of observable inputs and minimize the use of unobservable inputs in measuring </w:t>
      </w:r>
    </w:p>
    <w:p w:rsidR="00000000" w:rsidRDefault="00B11388">
      <w:pPr>
        <w:ind w:firstLine="450"/>
        <w:jc w:val="center"/>
        <w:divId w:val="709648624"/>
        <w:rPr>
          <w:rFonts w:eastAsia="Times New Roman"/>
        </w:rPr>
      </w:pPr>
      <w:r>
        <w:rPr>
          <w:rFonts w:eastAsia="Times New Roman"/>
          <w:color w:val="000000"/>
          <w:sz w:val="20"/>
          <w:szCs w:val="20"/>
        </w:rPr>
        <w:t>17</w:t>
      </w:r>
    </w:p>
    <w:p w:rsidR="00000000" w:rsidRDefault="00B11388">
      <w:pPr>
        <w:rPr>
          <w:rFonts w:eastAsia="Times New Roman"/>
        </w:rPr>
      </w:pPr>
      <w:r>
        <w:rPr>
          <w:rFonts w:eastAsia="Times New Roman"/>
        </w:rPr>
        <w:pict>
          <v:rect id="_x0000_i1044" style="width:0;height:1.5pt" o:hralign="center" o:hrstd="t" o:hr="t" fillcolor="#a0a0a0" stroked="f"/>
        </w:pict>
      </w:r>
    </w:p>
    <w:p w:rsidR="00000000" w:rsidRDefault="00B11388">
      <w:pPr>
        <w:ind w:firstLine="450"/>
        <w:divId w:val="1515344921"/>
        <w:rPr>
          <w:rFonts w:eastAsia="Times New Roman"/>
        </w:rPr>
      </w:pPr>
    </w:p>
    <w:p w:rsidR="00000000" w:rsidRDefault="00B11388">
      <w:pPr>
        <w:ind w:firstLine="450"/>
        <w:divId w:val="1420442014"/>
        <w:rPr>
          <w:rFonts w:eastAsia="Times New Roman"/>
        </w:rPr>
      </w:pPr>
    </w:p>
    <w:p w:rsidR="00000000" w:rsidRDefault="00B11388">
      <w:pPr>
        <w:divId w:val="2095466009"/>
        <w:rPr>
          <w:rFonts w:eastAsia="Times New Roman"/>
        </w:rPr>
      </w:pPr>
      <w:r>
        <w:rPr>
          <w:rFonts w:eastAsia="Times New Roman"/>
          <w:color w:val="000000"/>
          <w:sz w:val="20"/>
          <w:szCs w:val="20"/>
        </w:rPr>
        <w:t>fair value, and to u</w:t>
      </w:r>
      <w:r>
        <w:rPr>
          <w:rFonts w:eastAsia="Times New Roman"/>
          <w:color w:val="000000"/>
          <w:sz w:val="20"/>
          <w:szCs w:val="20"/>
        </w:rPr>
        <w:t>tilize a three-level fair value hierarchy that prioritizes the inputs used to measure fair value. The three levels of inputs used to measure fair value are as follows:</w:t>
      </w:r>
    </w:p>
    <w:p w:rsidR="00000000" w:rsidRDefault="00B11388">
      <w:pPr>
        <w:ind w:hanging="180"/>
        <w:divId w:val="1468624156"/>
        <w:rPr>
          <w:rFonts w:eastAsia="Times New Roman"/>
        </w:rPr>
      </w:pPr>
      <w:r>
        <w:rPr>
          <w:rFonts w:eastAsia="Times New Roman"/>
          <w:color w:val="000000"/>
          <w:sz w:val="20"/>
          <w:szCs w:val="20"/>
        </w:rPr>
        <w:t>•Level 1 — Quoted prices in active markets for identical assets or liabilities.</w:t>
      </w:r>
    </w:p>
    <w:p w:rsidR="00000000" w:rsidRDefault="00B11388">
      <w:pPr>
        <w:ind w:hanging="180"/>
        <w:divId w:val="1641424053"/>
        <w:rPr>
          <w:rFonts w:eastAsia="Times New Roman"/>
        </w:rPr>
      </w:pPr>
      <w:r>
        <w:rPr>
          <w:rFonts w:eastAsia="Times New Roman"/>
          <w:color w:val="000000"/>
          <w:sz w:val="20"/>
          <w:szCs w:val="20"/>
        </w:rPr>
        <w:t>•Level 2</w:t>
      </w:r>
      <w:r>
        <w:rPr>
          <w:rFonts w:eastAsia="Times New Roman"/>
          <w:color w:val="000000"/>
          <w:sz w:val="20"/>
          <w:szCs w:val="20"/>
        </w:rPr>
        <w:t xml:space="preserve"> — Observable inputs other than quoted prices included within Level 1, including quoted prices for similar assets or liabilities in active markets; quoted prices for identical or similar assets or liabilities in markets that are not active; and inputs othe</w:t>
      </w:r>
      <w:r>
        <w:rPr>
          <w:rFonts w:eastAsia="Times New Roman"/>
          <w:color w:val="000000"/>
          <w:sz w:val="20"/>
          <w:szCs w:val="20"/>
        </w:rPr>
        <w:t>r than quoted prices that are observable or are derived principally from, or corroborated by, observable market data by correlation or other means.</w:t>
      </w:r>
    </w:p>
    <w:p w:rsidR="00000000" w:rsidRDefault="00B11388">
      <w:pPr>
        <w:ind w:hanging="180"/>
        <w:divId w:val="1325476308"/>
        <w:rPr>
          <w:rFonts w:eastAsia="Times New Roman"/>
        </w:rPr>
      </w:pPr>
      <w:r>
        <w:rPr>
          <w:rFonts w:eastAsia="Times New Roman"/>
          <w:color w:val="000000"/>
          <w:sz w:val="20"/>
          <w:szCs w:val="20"/>
        </w:rPr>
        <w:t>•Level 3 — Unobservable inputs that are supported by little or no market activity, are significant to the fa</w:t>
      </w:r>
      <w:r>
        <w:rPr>
          <w:rFonts w:eastAsia="Times New Roman"/>
          <w:color w:val="000000"/>
          <w:sz w:val="20"/>
          <w:szCs w:val="20"/>
        </w:rPr>
        <w:t>ir value of the assets or liabilities, and reflect our own assumptions about the assumptions market participants would use in pricing the asset or liability developed using the best information available in the circumstances.</w:t>
      </w:r>
    </w:p>
    <w:p w:rsidR="00000000" w:rsidRDefault="00B11388">
      <w:pPr>
        <w:ind w:firstLine="450"/>
        <w:divId w:val="1196623412"/>
        <w:rPr>
          <w:rFonts w:eastAsia="Times New Roman"/>
        </w:rPr>
      </w:pPr>
      <w:r>
        <w:rPr>
          <w:rFonts w:eastAsia="Times New Roman"/>
          <w:color w:val="000000"/>
          <w:sz w:val="20"/>
          <w:szCs w:val="20"/>
        </w:rPr>
        <w:t>In certain instances, fair val</w:t>
      </w:r>
      <w:r>
        <w:rPr>
          <w:rFonts w:eastAsia="Times New Roman"/>
          <w:color w:val="000000"/>
          <w:sz w:val="20"/>
          <w:szCs w:val="20"/>
        </w:rPr>
        <w:t>ue is estimated using quoted market prices obtained from external pricing services. In obtaining such data from the external pricing services, we have evaluated the methodologies used to develop the estimate of fair value in order to assess whether such va</w:t>
      </w:r>
      <w:r>
        <w:rPr>
          <w:rFonts w:eastAsia="Times New Roman"/>
          <w:color w:val="000000"/>
          <w:sz w:val="20"/>
          <w:szCs w:val="20"/>
        </w:rPr>
        <w:t>luations are representative of fair value, including net asset value (“NAV”). Additionally, in certain circumstances, the NAV reported by an asset manager may be adjusted when sufficient evidence indicates NAV is not representative of fair value.</w:t>
      </w:r>
    </w:p>
    <w:p w:rsidR="00000000" w:rsidRDefault="00B11388">
      <w:pPr>
        <w:ind w:firstLine="450"/>
        <w:divId w:val="2130004229"/>
        <w:rPr>
          <w:rFonts w:eastAsia="Times New Roman"/>
        </w:rPr>
      </w:pPr>
      <w:r>
        <w:rPr>
          <w:rFonts w:eastAsia="Times New Roman"/>
          <w:color w:val="000000"/>
          <w:sz w:val="20"/>
          <w:szCs w:val="20"/>
        </w:rPr>
        <w:t>The follo</w:t>
      </w:r>
      <w:r>
        <w:rPr>
          <w:rFonts w:eastAsia="Times New Roman"/>
          <w:color w:val="000000"/>
          <w:sz w:val="20"/>
          <w:szCs w:val="20"/>
        </w:rPr>
        <w:t>wing table presents assets and liabilities measured at fair value on a recurring basis (at least annually) at July 2, 2021 and January 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3556"/>
        <w:gridCol w:w="37"/>
        <w:gridCol w:w="120"/>
        <w:gridCol w:w="523"/>
        <w:gridCol w:w="36"/>
        <w:gridCol w:w="36"/>
        <w:gridCol w:w="36"/>
        <w:gridCol w:w="36"/>
        <w:gridCol w:w="121"/>
        <w:gridCol w:w="474"/>
        <w:gridCol w:w="36"/>
        <w:gridCol w:w="36"/>
        <w:gridCol w:w="36"/>
        <w:gridCol w:w="36"/>
        <w:gridCol w:w="121"/>
        <w:gridCol w:w="474"/>
        <w:gridCol w:w="36"/>
        <w:gridCol w:w="46"/>
        <w:gridCol w:w="36"/>
        <w:gridCol w:w="36"/>
        <w:gridCol w:w="36"/>
        <w:gridCol w:w="36"/>
        <w:gridCol w:w="120"/>
        <w:gridCol w:w="474"/>
        <w:gridCol w:w="36"/>
        <w:gridCol w:w="36"/>
        <w:gridCol w:w="36"/>
        <w:gridCol w:w="36"/>
        <w:gridCol w:w="121"/>
        <w:gridCol w:w="474"/>
        <w:gridCol w:w="36"/>
        <w:gridCol w:w="36"/>
        <w:gridCol w:w="36"/>
        <w:gridCol w:w="36"/>
        <w:gridCol w:w="121"/>
        <w:gridCol w:w="476"/>
        <w:gridCol w:w="36"/>
        <w:gridCol w:w="36"/>
        <w:gridCol w:w="36"/>
        <w:gridCol w:w="36"/>
        <w:gridCol w:w="36"/>
        <w:gridCol w:w="36"/>
        <w:gridCol w:w="36"/>
      </w:tblGrid>
      <w:tr w:rsidR="00000000">
        <w:trPr>
          <w:divId w:val="1291590495"/>
        </w:trPr>
        <w:tc>
          <w:tcPr>
            <w:tcW w:w="50" w:type="pct"/>
            <w:vAlign w:val="center"/>
            <w:hideMark/>
          </w:tcPr>
          <w:p w:rsidR="00000000" w:rsidRDefault="00B11388">
            <w:pPr>
              <w:ind w:firstLine="450"/>
              <w:rPr>
                <w:rFonts w:eastAsia="Times New Roman"/>
              </w:rPr>
            </w:pPr>
          </w:p>
        </w:tc>
        <w:tc>
          <w:tcPr>
            <w:tcW w:w="226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36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Level 2</w:t>
            </w:r>
          </w:p>
        </w:tc>
        <w:tc>
          <w:tcPr>
            <w:tcW w:w="0" w:type="auto"/>
            <w:vAlign w:val="center"/>
            <w:hideMark/>
          </w:tcPr>
          <w:p w:rsidR="00000000" w:rsidRDefault="00B11388">
            <w:pPr>
              <w:spacing w:after="100"/>
              <w:jc w:val="center"/>
              <w:rPr>
                <w:rFonts w:eastAsia="Times New Roman"/>
              </w:rPr>
            </w:pPr>
          </w:p>
        </w:tc>
        <w:tc>
          <w:tcPr>
            <w:tcW w:w="0" w:type="auto"/>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Level 2</w:t>
            </w:r>
          </w:p>
        </w:tc>
        <w:tc>
          <w:tcPr>
            <w:tcW w:w="0" w:type="auto"/>
            <w:gridSpan w:val="3"/>
            <w:vAlign w:val="center"/>
            <w:hideMark/>
          </w:tcPr>
          <w:p w:rsidR="00000000" w:rsidRDefault="00B11388">
            <w:pPr>
              <w:spacing w:after="100"/>
              <w:jc w:val="center"/>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divId w:val="1500075152"/>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12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Equity and fixed-income securities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FFFFFF"/>
            <w:tcMar>
              <w:top w:w="30" w:type="dxa"/>
              <w:left w:w="12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26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Height w:val="30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divId w:val="776101020"/>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12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Equity securities and mutual funds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FFFFFF"/>
            <w:tcMar>
              <w:top w:w="30" w:type="dxa"/>
              <w:left w:w="12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425" w:type="dxa"/>
              <w:bottom w:w="30" w:type="dxa"/>
              <w:right w:w="20" w:type="dxa"/>
            </w:tcMar>
            <w:vAlign w:val="bottom"/>
            <w:hideMark/>
          </w:tcPr>
          <w:p w:rsidR="00000000" w:rsidRDefault="00B11388">
            <w:pPr>
              <w:spacing w:after="100"/>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291590495"/>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bl>
    <w:p w:rsidR="00000000" w:rsidRDefault="00B11388">
      <w:pPr>
        <w:divId w:val="158235539"/>
        <w:rPr>
          <w:rFonts w:eastAsia="Times New Roman"/>
        </w:rPr>
      </w:pPr>
      <w:r>
        <w:rPr>
          <w:rFonts w:eastAsia="Times New Roman"/>
          <w:color w:val="000000"/>
          <w:sz w:val="16"/>
          <w:szCs w:val="16"/>
        </w:rPr>
        <w:t>_______________</w:t>
      </w:r>
    </w:p>
    <w:p w:rsidR="00000000" w:rsidRDefault="00B11388">
      <w:pPr>
        <w:ind w:hanging="270"/>
        <w:divId w:val="1553729314"/>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 assets” and “Other non-current assets” line items in our Condensed Consolidated Balance Sheet (Unaud</w:t>
      </w:r>
      <w:r>
        <w:rPr>
          <w:rFonts w:eastAsia="Times New Roman"/>
          <w:color w:val="000000"/>
          <w:sz w:val="16"/>
          <w:szCs w:val="16"/>
        </w:rPr>
        <w:t xml:space="preserve">ited) and which are measured at fair value. </w:t>
      </w:r>
    </w:p>
    <w:p w:rsidR="00000000" w:rsidRDefault="00B11388">
      <w:pPr>
        <w:ind w:hanging="270"/>
        <w:divId w:val="488405009"/>
        <w:rPr>
          <w:rFonts w:eastAsia="Times New Roman"/>
        </w:rPr>
      </w:pPr>
      <w:r>
        <w:rPr>
          <w:rFonts w:eastAsia="Times New Roman"/>
          <w:color w:val="000000"/>
          <w:sz w:val="16"/>
          <w:szCs w:val="16"/>
        </w:rPr>
        <w:t>(2)Primarily represents obligations to pay benefits under certain non-qualified deferred compensation plans, which we include in the “Compensation and benefits” and “Other long-term liabilities” line items in ou</w:t>
      </w:r>
      <w:r>
        <w:rPr>
          <w:rFonts w:eastAsia="Times New Roman"/>
          <w:color w:val="000000"/>
          <w:sz w:val="16"/>
          <w:szCs w:val="16"/>
        </w:rPr>
        <w:t>r Condensed Consolidated Balance Sheet (Unaudited). Under these plans, participants designate investment options (including stock and fixed-income funds), which serve as the basis for measurement of the notional value of their accounts.</w:t>
      </w:r>
    </w:p>
    <w:p w:rsidR="00000000" w:rsidRDefault="00B11388">
      <w:pPr>
        <w:ind w:firstLine="450"/>
        <w:divId w:val="1622688002"/>
        <w:rPr>
          <w:rFonts w:eastAsia="Times New Roman"/>
        </w:rPr>
      </w:pPr>
      <w:r>
        <w:rPr>
          <w:rFonts w:eastAsia="Times New Roman"/>
          <w:color w:val="000000"/>
          <w:sz w:val="20"/>
          <w:szCs w:val="20"/>
        </w:rPr>
        <w:t>The following table</w:t>
      </w:r>
      <w:r>
        <w:rPr>
          <w:rFonts w:eastAsia="Times New Roman"/>
          <w:color w:val="000000"/>
          <w:sz w:val="20"/>
          <w:szCs w:val="20"/>
        </w:rPr>
        <w:t xml:space="preserve"> presents the carrying amounts and estimated fair values of our significant financial instruments that were not measured at fair value (carrying amounts of other financial instruments not listed in the table below approximate fair value due to the short-te</w:t>
      </w:r>
      <w:r>
        <w:rPr>
          <w:rFonts w:eastAsia="Times New Roman"/>
          <w:color w:val="000000"/>
          <w:sz w:val="20"/>
          <w:szCs w:val="20"/>
        </w:rPr>
        <w:t>rm nature of those items):</w:t>
      </w:r>
    </w:p>
    <w:tbl>
      <w:tblPr>
        <w:tblW w:w="5000" w:type="pct"/>
        <w:tblCellMar>
          <w:top w:w="15" w:type="dxa"/>
          <w:left w:w="15" w:type="dxa"/>
          <w:bottom w:w="15" w:type="dxa"/>
          <w:right w:w="15" w:type="dxa"/>
        </w:tblCellMar>
        <w:tblLook w:val="04A0" w:firstRow="1" w:lastRow="0" w:firstColumn="1" w:lastColumn="0" w:noHBand="0" w:noVBand="1"/>
      </w:tblPr>
      <w:tblGrid>
        <w:gridCol w:w="38"/>
        <w:gridCol w:w="4434"/>
        <w:gridCol w:w="37"/>
        <w:gridCol w:w="121"/>
        <w:gridCol w:w="744"/>
        <w:gridCol w:w="36"/>
        <w:gridCol w:w="36"/>
        <w:gridCol w:w="36"/>
        <w:gridCol w:w="36"/>
        <w:gridCol w:w="120"/>
        <w:gridCol w:w="701"/>
        <w:gridCol w:w="36"/>
        <w:gridCol w:w="36"/>
        <w:gridCol w:w="36"/>
        <w:gridCol w:w="36"/>
        <w:gridCol w:w="121"/>
        <w:gridCol w:w="701"/>
        <w:gridCol w:w="36"/>
        <w:gridCol w:w="36"/>
        <w:gridCol w:w="36"/>
        <w:gridCol w:w="36"/>
        <w:gridCol w:w="120"/>
        <w:gridCol w:w="701"/>
        <w:gridCol w:w="36"/>
      </w:tblGrid>
      <w:tr w:rsidR="00000000">
        <w:trPr>
          <w:divId w:val="1463108013"/>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463108013"/>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1463108013"/>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463108013"/>
          <w:trHeight w:val="10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46310801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404693573"/>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7,072 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7,872 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6,953 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7,986 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851065788"/>
        <w:rPr>
          <w:rFonts w:eastAsia="Times New Roman"/>
        </w:rPr>
      </w:pPr>
      <w:r>
        <w:rPr>
          <w:rFonts w:eastAsia="Times New Roman"/>
          <w:color w:val="000000"/>
          <w:sz w:val="16"/>
          <w:szCs w:val="16"/>
        </w:rPr>
        <w:t>_______________</w:t>
      </w:r>
    </w:p>
    <w:p w:rsidR="00000000" w:rsidRDefault="00B11388">
      <w:pPr>
        <w:ind w:hanging="270"/>
        <w:divId w:val="863246458"/>
        <w:rPr>
          <w:rFonts w:eastAsia="Times New Roman"/>
        </w:rPr>
      </w:pPr>
      <w:r>
        <w:rPr>
          <w:rFonts w:eastAsia="Times New Roman"/>
          <w:color w:val="000000"/>
          <w:sz w:val="16"/>
          <w:szCs w:val="16"/>
        </w:rPr>
        <w:t>(1)Fair value was estimated using a market approach based on quoted market prices for our debt traded in the secondary market. I</w:t>
      </w:r>
      <w:r>
        <w:rPr>
          <w:rFonts w:eastAsia="Times New Roman"/>
          <w:color w:val="000000"/>
          <w:sz w:val="16"/>
          <w:szCs w:val="16"/>
        </w:rPr>
        <w:t>f our long-term debt in our balance sheet were measured at fair value, it would be categorized in Level 2 of the fair value hierarchy.</w:t>
      </w:r>
    </w:p>
    <w:p w:rsidR="00000000" w:rsidRDefault="00B11388">
      <w:pPr>
        <w:ind w:firstLine="450"/>
        <w:jc w:val="center"/>
        <w:divId w:val="322592430"/>
        <w:rPr>
          <w:rFonts w:eastAsia="Times New Roman"/>
        </w:rPr>
      </w:pPr>
      <w:r>
        <w:rPr>
          <w:rFonts w:eastAsia="Times New Roman"/>
          <w:color w:val="000000"/>
          <w:sz w:val="20"/>
          <w:szCs w:val="20"/>
        </w:rPr>
        <w:t>18</w:t>
      </w:r>
    </w:p>
    <w:p w:rsidR="00000000" w:rsidRDefault="00B11388">
      <w:pPr>
        <w:rPr>
          <w:rFonts w:eastAsia="Times New Roman"/>
        </w:rPr>
      </w:pPr>
      <w:r>
        <w:rPr>
          <w:rFonts w:eastAsia="Times New Roman"/>
        </w:rPr>
        <w:pict>
          <v:rect id="_x0000_i1045" style="width:0;height:1.5pt" o:hralign="center" o:hrstd="t" o:hr="t" fillcolor="#a0a0a0" stroked="f"/>
        </w:pict>
      </w:r>
    </w:p>
    <w:p w:rsidR="00000000" w:rsidRDefault="00B11388">
      <w:pPr>
        <w:ind w:firstLine="450"/>
        <w:divId w:val="362480822"/>
        <w:rPr>
          <w:rFonts w:eastAsia="Times New Roman"/>
        </w:rPr>
      </w:pPr>
    </w:p>
    <w:p w:rsidR="00000000" w:rsidRDefault="00B11388">
      <w:pPr>
        <w:ind w:firstLine="450"/>
        <w:divId w:val="1063210790"/>
        <w:rPr>
          <w:rFonts w:eastAsia="Times New Roman"/>
        </w:rPr>
      </w:pPr>
    </w:p>
    <w:p w:rsidR="00000000" w:rsidRDefault="00B11388">
      <w:pPr>
        <w:ind w:firstLine="450"/>
        <w:divId w:val="1562517058"/>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and </w:t>
      </w:r>
      <w:r>
        <w:rPr>
          <w:rFonts w:eastAsia="Times New Roman"/>
          <w:i/>
          <w:iCs/>
          <w:color w:val="000000"/>
          <w:sz w:val="20"/>
          <w:szCs w:val="20"/>
        </w:rPr>
        <w:t xml:space="preserve">Note I — Goodwill and Other Intangible </w:t>
      </w:r>
      <w:r>
        <w:rPr>
          <w:rFonts w:eastAsia="Times New Roman"/>
          <w:i/>
          <w:iCs/>
          <w:color w:val="000000"/>
          <w:sz w:val="20"/>
          <w:szCs w:val="20"/>
        </w:rPr>
        <w:t xml:space="preserve">Assets </w:t>
      </w:r>
      <w:r>
        <w:rPr>
          <w:rFonts w:eastAsia="Times New Roman"/>
          <w:color w:val="000000"/>
          <w:sz w:val="20"/>
          <w:szCs w:val="20"/>
        </w:rPr>
        <w:t xml:space="preserve">in these Notes for information regarding fair value measurements associated with goodwill. </w:t>
      </w:r>
    </w:p>
    <w:p w:rsidR="00000000" w:rsidRDefault="00B11388">
      <w:pPr>
        <w:divId w:val="1829636251"/>
        <w:rPr>
          <w:rFonts w:eastAsia="Times New Roman"/>
        </w:rPr>
      </w:pPr>
      <w:r>
        <w:rPr>
          <w:rFonts w:eastAsia="Times New Roman"/>
          <w:b/>
          <w:bCs/>
          <w:color w:val="000000"/>
          <w:sz w:val="20"/>
          <w:szCs w:val="20"/>
        </w:rPr>
        <w:t xml:space="preserve">Note P — Derivative Instruments and Hedging Activities </w:t>
      </w:r>
    </w:p>
    <w:p w:rsidR="00000000" w:rsidRDefault="00B11388">
      <w:pPr>
        <w:ind w:firstLine="450"/>
        <w:divId w:val="477264593"/>
        <w:rPr>
          <w:rFonts w:eastAsia="Times New Roman"/>
        </w:rPr>
      </w:pPr>
      <w:r>
        <w:rPr>
          <w:rFonts w:eastAsia="Times New Roman"/>
          <w:color w:val="000000"/>
          <w:sz w:val="20"/>
          <w:szCs w:val="20"/>
        </w:rPr>
        <w:t xml:space="preserve">In the normal course of business, we are exposed to global market risks, including the effect of changes in foreign currency exchange rates. We use derivative instruments to manage our exposure to such risks and formally document all relationships between </w:t>
      </w:r>
      <w:r>
        <w:rPr>
          <w:rFonts w:eastAsia="Times New Roman"/>
          <w:color w:val="000000"/>
          <w:sz w:val="20"/>
          <w:szCs w:val="20"/>
        </w:rPr>
        <w:t>hedging instruments and hedged items, as well as the risk-management objective and strategy for undertaking hedge transactions. We also may enter into derivative instruments that are not designated as hedges and do not qualify for hedge accounting. We reco</w:t>
      </w:r>
      <w:r>
        <w:rPr>
          <w:rFonts w:eastAsia="Times New Roman"/>
          <w:color w:val="000000"/>
          <w:sz w:val="20"/>
          <w:szCs w:val="20"/>
        </w:rPr>
        <w:t>gnize all derivatives in our Condensed Consolidated Balance Sheet (Unaudited) at fair value. We do not hold or issue derivatives for speculative trading purposes.</w:t>
      </w:r>
    </w:p>
    <w:p w:rsidR="00000000" w:rsidRDefault="00B11388">
      <w:pPr>
        <w:ind w:firstLine="450"/>
        <w:divId w:val="1207058690"/>
        <w:rPr>
          <w:rFonts w:eastAsia="Times New Roman"/>
        </w:rPr>
      </w:pPr>
      <w:r>
        <w:rPr>
          <w:rFonts w:eastAsia="Times New Roman"/>
          <w:i/>
          <w:iCs/>
          <w:color w:val="000000"/>
          <w:sz w:val="20"/>
          <w:szCs w:val="20"/>
        </w:rPr>
        <w:t xml:space="preserve">Exchange-Rate Risk — Cash Flow Hedges. </w:t>
      </w:r>
      <w:r>
        <w:rPr>
          <w:rFonts w:eastAsia="Times New Roman"/>
          <w:color w:val="000000"/>
          <w:sz w:val="20"/>
          <w:szCs w:val="20"/>
        </w:rPr>
        <w:t>To manage our exposure to currency risk and market flu</w:t>
      </w:r>
      <w:r>
        <w:rPr>
          <w:rFonts w:eastAsia="Times New Roman"/>
          <w:color w:val="000000"/>
          <w:sz w:val="20"/>
          <w:szCs w:val="20"/>
        </w:rPr>
        <w:t>ctuation risk associated with anticipated cash flows that are probable of occurring in the future, we implement cash flow hedges. More specifically, we use foreign currency forward contracts and options to hedge off-balance sheet future foreign currency co</w:t>
      </w:r>
      <w:r>
        <w:rPr>
          <w:rFonts w:eastAsia="Times New Roman"/>
          <w:color w:val="000000"/>
          <w:sz w:val="20"/>
          <w:szCs w:val="20"/>
        </w:rPr>
        <w:t>mmitments, including purchase commitments to suppliers, future committed sales to customers and inter-segment transactions. These derivatives are used to hedge currency exposures from cash flows anticipated across our business segments. We also hedge U.S. </w:t>
      </w:r>
      <w:r>
        <w:rPr>
          <w:rFonts w:eastAsia="Times New Roman"/>
          <w:color w:val="000000"/>
          <w:sz w:val="20"/>
          <w:szCs w:val="20"/>
        </w:rPr>
        <w:t>Dollar payments to suppliers to maintain our anticipated profit margins in our international operations. These derivatives have only nominal intrinsic value at the time of purchase and have a high degree of correlation to the anticipated cash flows they ar</w:t>
      </w:r>
      <w:r>
        <w:rPr>
          <w:rFonts w:eastAsia="Times New Roman"/>
          <w:color w:val="000000"/>
          <w:sz w:val="20"/>
          <w:szCs w:val="20"/>
        </w:rPr>
        <w:t>e designated to hedge. Hedge effectiveness is determined by the correlation of the anticipated cash flows from the hedging instruments and the anticipated cash flows from the future foreign currency commitments through the maturity dates of the derivatives</w:t>
      </w:r>
      <w:r>
        <w:rPr>
          <w:rFonts w:eastAsia="Times New Roman"/>
          <w:color w:val="000000"/>
          <w:sz w:val="20"/>
          <w:szCs w:val="20"/>
        </w:rPr>
        <w:t xml:space="preserve"> used to hedge these cash flows. These financial instruments are marked-to-market using forward prices and fair value quotes with the offset to other comprehensive income (loss). Gains and losses in AOCI are reclassified to earnings when the related hedged</w:t>
      </w:r>
      <w:r>
        <w:rPr>
          <w:rFonts w:eastAsia="Times New Roman"/>
          <w:color w:val="000000"/>
          <w:sz w:val="20"/>
          <w:szCs w:val="20"/>
        </w:rPr>
        <w:t xml:space="preserve"> item is recognized in earnings. The cash flow impact of our derivatives is included in the same category in our Condensed Consolidated Statement of Cash Flows (Unaudited) as the cash flows of the related hedged items. Notional amounts are used to measure </w:t>
      </w:r>
      <w:r>
        <w:rPr>
          <w:rFonts w:eastAsia="Times New Roman"/>
          <w:color w:val="000000"/>
          <w:sz w:val="20"/>
          <w:szCs w:val="20"/>
        </w:rPr>
        <w:t>the volume of foreign currency forward contracts and do not represent exposure to foreign currency losses. At July 2, 2021, we had open foreign currency forward contracts with an aggregate notional amount of $611 million, hedging certain forecasted transac</w:t>
      </w:r>
      <w:r>
        <w:rPr>
          <w:rFonts w:eastAsia="Times New Roman"/>
          <w:color w:val="000000"/>
          <w:sz w:val="20"/>
          <w:szCs w:val="20"/>
        </w:rPr>
        <w:t>tions denominated in U.S. Dollars, Canadian Dollars, British Pounds, Australian Dollars and Euros. At January 1, 2021, we had open foreign currency forward contracts with an aggregate notional amount of $488 million, hedging certain forecasted transactions</w:t>
      </w:r>
      <w:r>
        <w:rPr>
          <w:rFonts w:eastAsia="Times New Roman"/>
          <w:color w:val="000000"/>
          <w:sz w:val="20"/>
          <w:szCs w:val="20"/>
        </w:rPr>
        <w:t xml:space="preserve"> denominated in U.S. Dollars, Canadian Dollars, British Pounds, Euros, Australian Dollars and New Zealand Dollars. </w:t>
      </w:r>
    </w:p>
    <w:p w:rsidR="00000000" w:rsidRDefault="00B11388">
      <w:pPr>
        <w:ind w:firstLine="450"/>
        <w:divId w:val="203178404"/>
        <w:rPr>
          <w:rFonts w:eastAsia="Times New Roman"/>
        </w:rPr>
      </w:pPr>
      <w:r>
        <w:rPr>
          <w:rFonts w:eastAsia="Times New Roman"/>
          <w:color w:val="000000"/>
          <w:sz w:val="20"/>
          <w:szCs w:val="20"/>
        </w:rPr>
        <w:t>At July 2, 2021, our foreign currency forward contracts had maturities through 2025.</w:t>
      </w:r>
    </w:p>
    <w:p w:rsidR="00000000" w:rsidRDefault="00B11388">
      <w:pPr>
        <w:ind w:firstLine="450"/>
        <w:divId w:val="1555851498"/>
        <w:rPr>
          <w:rFonts w:eastAsia="Times New Roman"/>
        </w:rPr>
      </w:pPr>
      <w:r>
        <w:rPr>
          <w:rFonts w:eastAsia="Times New Roman"/>
          <w:color w:val="000000"/>
          <w:sz w:val="20"/>
          <w:szCs w:val="20"/>
        </w:rPr>
        <w:t>The table below presents the fair values of our derivat</w:t>
      </w:r>
      <w:r>
        <w:rPr>
          <w:rFonts w:eastAsia="Times New Roman"/>
          <w:color w:val="000000"/>
          <w:sz w:val="20"/>
          <w:szCs w:val="20"/>
        </w:rPr>
        <w:t>ives designated as foreign currency hedging instruments in our Condensed Consolidated Balance Sheet (Unaudited) at July 2, 2021 and January 1,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481"/>
        <w:gridCol w:w="36"/>
        <w:gridCol w:w="120"/>
        <w:gridCol w:w="1039"/>
        <w:gridCol w:w="36"/>
        <w:gridCol w:w="36"/>
        <w:gridCol w:w="36"/>
        <w:gridCol w:w="36"/>
        <w:gridCol w:w="121"/>
        <w:gridCol w:w="1003"/>
        <w:gridCol w:w="36"/>
        <w:gridCol w:w="36"/>
        <w:gridCol w:w="36"/>
        <w:gridCol w:w="36"/>
        <w:gridCol w:w="36"/>
        <w:gridCol w:w="36"/>
        <w:gridCol w:w="36"/>
        <w:gridCol w:w="36"/>
        <w:gridCol w:w="36"/>
      </w:tblGrid>
      <w:tr w:rsidR="00000000">
        <w:trPr>
          <w:divId w:val="792750726"/>
        </w:trPr>
        <w:tc>
          <w:tcPr>
            <w:tcW w:w="50" w:type="pct"/>
            <w:vAlign w:val="center"/>
            <w:hideMark/>
          </w:tcPr>
          <w:p w:rsidR="00000000" w:rsidRDefault="00B11388">
            <w:pPr>
              <w:ind w:firstLine="450"/>
              <w:rPr>
                <w:rFonts w:eastAsia="Times New Roman"/>
              </w:rPr>
            </w:pPr>
          </w:p>
        </w:tc>
        <w:tc>
          <w:tcPr>
            <w:tcW w:w="344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B11388">
            <w:pPr>
              <w:spacing w:after="100"/>
              <w:jc w:val="center"/>
              <w:rPr>
                <w:rFonts w:eastAsia="Times New Roman"/>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shd w:val="clear" w:color="auto" w:fill="FFFFFF"/>
            <w:tcMar>
              <w:top w:w="30" w:type="dxa"/>
              <w:left w:w="20" w:type="dxa"/>
              <w:bottom w:w="30" w:type="dxa"/>
              <w:right w:w="20" w:type="dxa"/>
            </w:tcMar>
            <w:hideMark/>
          </w:tcPr>
          <w:p w:rsidR="00000000" w:rsidRDefault="00B11388">
            <w:pPr>
              <w:spacing w:after="100"/>
              <w:divId w:val="85618463"/>
              <w:rPr>
                <w:rFonts w:eastAsia="Times New Roman"/>
              </w:rPr>
            </w:pPr>
            <w:r>
              <w:rPr>
                <w:rFonts w:eastAsia="Times New Roman"/>
                <w:color w:val="000000"/>
                <w:sz w:val="20"/>
                <w:szCs w:val="20"/>
              </w:rPr>
              <w:t>Foreign currency forward contract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shd w:val="clear" w:color="auto" w:fill="CCEEFF"/>
            <w:tcMar>
              <w:top w:w="30" w:type="dxa"/>
              <w:left w:w="125" w:type="dxa"/>
              <w:bottom w:w="30" w:type="dxa"/>
              <w:right w:w="20" w:type="dxa"/>
            </w:tcMar>
            <w:hideMark/>
          </w:tcPr>
          <w:p w:rsidR="00000000" w:rsidRDefault="00B11388">
            <w:pPr>
              <w:spacing w:after="100"/>
              <w:rPr>
                <w:rFonts w:eastAsia="Times New Roman"/>
              </w:rPr>
            </w:pPr>
            <w:r>
              <w:rPr>
                <w:rFonts w:eastAsia="Times New Roman"/>
                <w:color w:val="000000"/>
                <w:sz w:val="20"/>
                <w:szCs w:val="20"/>
              </w:rPr>
              <w:t>Other current assets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shd w:val="clear" w:color="auto" w:fill="FFFFFF"/>
            <w:tcMar>
              <w:top w:w="30" w:type="dxa"/>
              <w:left w:w="125" w:type="dxa"/>
              <w:bottom w:w="30" w:type="dxa"/>
              <w:right w:w="20" w:type="dxa"/>
            </w:tcMar>
            <w:hideMark/>
          </w:tcPr>
          <w:p w:rsidR="00000000" w:rsidRDefault="00B11388">
            <w:pPr>
              <w:spacing w:after="100"/>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shd w:val="clear" w:color="auto" w:fill="CCEEFF"/>
            <w:tcMar>
              <w:top w:w="30" w:type="dxa"/>
              <w:left w:w="125" w:type="dxa"/>
              <w:bottom w:w="30" w:type="dxa"/>
              <w:right w:w="20" w:type="dxa"/>
            </w:tcMar>
            <w:hideMark/>
          </w:tcPr>
          <w:p w:rsidR="00000000" w:rsidRDefault="00B11388">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vAlign w:val="center"/>
            <w:hideMark/>
          </w:tcPr>
          <w:p w:rsidR="00000000" w:rsidRDefault="00B11388">
            <w:pPr>
              <w:spacing w:after="100"/>
              <w:jc w:val="right"/>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92750726"/>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bl>
    <w:p w:rsidR="00000000" w:rsidRDefault="00B11388">
      <w:pPr>
        <w:divId w:val="1359086251"/>
        <w:rPr>
          <w:rFonts w:eastAsia="Times New Roman"/>
        </w:rPr>
      </w:pPr>
      <w:r>
        <w:rPr>
          <w:rFonts w:eastAsia="Times New Roman"/>
          <w:color w:val="000000"/>
          <w:sz w:val="16"/>
          <w:szCs w:val="16"/>
        </w:rPr>
        <w:t>_______________</w:t>
      </w:r>
    </w:p>
    <w:p w:rsidR="00000000" w:rsidRDefault="00B11388">
      <w:pPr>
        <w:ind w:hanging="270"/>
        <w:divId w:val="1405102415"/>
        <w:rPr>
          <w:rFonts w:eastAsia="Times New Roman"/>
        </w:rPr>
      </w:pPr>
      <w:r>
        <w:rPr>
          <w:rFonts w:eastAsia="Times New Roman"/>
          <w:color w:val="000000"/>
          <w:sz w:val="16"/>
          <w:szCs w:val="16"/>
        </w:rPr>
        <w:t xml:space="preserve">(1)See </w:t>
      </w:r>
      <w:r>
        <w:rPr>
          <w:rFonts w:eastAsia="Times New Roman"/>
          <w:i/>
          <w:iCs/>
          <w:color w:val="000000"/>
          <w:sz w:val="16"/>
          <w:szCs w:val="16"/>
        </w:rPr>
        <w:t xml:space="preserve">Note O — </w:t>
      </w:r>
      <w:r>
        <w:rPr>
          <w:rFonts w:eastAsia="Times New Roman"/>
          <w:i/>
          <w:iCs/>
          <w:color w:val="000000"/>
          <w:sz w:val="16"/>
          <w:szCs w:val="16"/>
        </w:rPr>
        <w:t>Fair Value Measurements</w:t>
      </w:r>
      <w:r>
        <w:rPr>
          <w:rFonts w:eastAsia="Times New Roman"/>
          <w:color w:val="000000"/>
          <w:sz w:val="16"/>
          <w:szCs w:val="16"/>
        </w:rPr>
        <w:t xml:space="preserve"> in these Notes for a description of the fair value hierarchy related to our foreign currency forward contracts.</w:t>
      </w:r>
    </w:p>
    <w:p w:rsidR="00000000" w:rsidRDefault="00B11388">
      <w:pPr>
        <w:ind w:firstLine="450"/>
        <w:divId w:val="1517309265"/>
        <w:rPr>
          <w:rFonts w:eastAsia="Times New Roman"/>
        </w:rPr>
      </w:pPr>
      <w:r>
        <w:rPr>
          <w:rFonts w:eastAsia="Times New Roman"/>
          <w:color w:val="000000"/>
          <w:sz w:val="20"/>
          <w:szCs w:val="20"/>
        </w:rPr>
        <w:t>Net unrealized gains before income taxes recognized in other comprehensive loss from foreign currency derivatives designated as cash flow hedges were $4 million and $9 million, respectively, for the quarter and two quarters ended July 2, 2021. During the q</w:t>
      </w:r>
      <w:r>
        <w:rPr>
          <w:rFonts w:eastAsia="Times New Roman"/>
          <w:color w:val="000000"/>
          <w:sz w:val="20"/>
          <w:szCs w:val="20"/>
        </w:rPr>
        <w:t>uarter and two quarters ended July 3, 2020, we recognized a $10 million net unrealized gain and a $6 million net unrealized loss, respectively, before income taxes in other comprehensive loss from foreign currency derivatives designated as cash flow hedges</w:t>
      </w:r>
      <w:r>
        <w:rPr>
          <w:rFonts w:eastAsia="Times New Roman"/>
          <w:color w:val="000000"/>
          <w:sz w:val="20"/>
          <w:szCs w:val="20"/>
        </w:rPr>
        <w:t>. During the quarter and two quarters ended July 2, 2021, the net gain reclassified from AOCI into earnings from foreign currency derivatives designated as cash flow hedges was $8 million and $15 million, respectively. During the quarter and two quarters e</w:t>
      </w:r>
      <w:r>
        <w:rPr>
          <w:rFonts w:eastAsia="Times New Roman"/>
          <w:color w:val="000000"/>
          <w:sz w:val="20"/>
          <w:szCs w:val="20"/>
        </w:rPr>
        <w:t>nded July 3, 2020, the net gain or loss reclassified from AOCI into earnings from foreign currency derivatives designated as cash flow hedges was not material. At July 2, 2021, the estimated amount of existing net gains to be reclassified into earnings wit</w:t>
      </w:r>
      <w:r>
        <w:rPr>
          <w:rFonts w:eastAsia="Times New Roman"/>
          <w:color w:val="000000"/>
          <w:sz w:val="20"/>
          <w:szCs w:val="20"/>
        </w:rPr>
        <w:t>hin the next twelve months was $14 million.</w:t>
      </w:r>
    </w:p>
    <w:p w:rsidR="00000000" w:rsidRDefault="00B11388">
      <w:pPr>
        <w:ind w:firstLine="450"/>
        <w:divId w:val="1267150092"/>
        <w:rPr>
          <w:rFonts w:eastAsia="Times New Roman"/>
        </w:rPr>
      </w:pPr>
      <w:r>
        <w:rPr>
          <w:rFonts w:eastAsia="Times New Roman"/>
          <w:color w:val="000000"/>
          <w:sz w:val="20"/>
          <w:szCs w:val="20"/>
        </w:rPr>
        <w:t>Gains and losses from foreign currency derivatives designated as cash flow hedges are included in the line item in our Condensed Consolidated Statement of Income (Unaudited) associated with the hedged transaction</w:t>
      </w:r>
      <w:r>
        <w:rPr>
          <w:rFonts w:eastAsia="Times New Roman"/>
          <w:color w:val="000000"/>
          <w:sz w:val="20"/>
          <w:szCs w:val="20"/>
        </w:rPr>
        <w:t>, with the exception of any losses resulting from discontinued cash flow hedges, which are included in the “Engineering, selling and administrative expenses” line item in our Condensed Consolidated Statement of Income (Unaudited).</w:t>
      </w:r>
    </w:p>
    <w:p w:rsidR="00000000" w:rsidRDefault="00B11388">
      <w:pPr>
        <w:ind w:firstLine="450"/>
        <w:jc w:val="center"/>
        <w:divId w:val="759641690"/>
        <w:rPr>
          <w:rFonts w:eastAsia="Times New Roman"/>
        </w:rPr>
      </w:pPr>
      <w:r>
        <w:rPr>
          <w:rFonts w:eastAsia="Times New Roman"/>
          <w:color w:val="000000"/>
          <w:sz w:val="20"/>
          <w:szCs w:val="20"/>
        </w:rPr>
        <w:t>19</w:t>
      </w:r>
    </w:p>
    <w:p w:rsidR="00000000" w:rsidRDefault="00B11388">
      <w:pPr>
        <w:rPr>
          <w:rFonts w:eastAsia="Times New Roman"/>
        </w:rPr>
      </w:pPr>
      <w:r>
        <w:rPr>
          <w:rFonts w:eastAsia="Times New Roman"/>
        </w:rPr>
        <w:pict>
          <v:rect id="_x0000_i1046" style="width:0;height:1.5pt" o:hralign="center" o:hrstd="t" o:hr="t" fillcolor="#a0a0a0" stroked="f"/>
        </w:pict>
      </w:r>
    </w:p>
    <w:p w:rsidR="00000000" w:rsidRDefault="00B11388">
      <w:pPr>
        <w:ind w:firstLine="450"/>
        <w:divId w:val="1702634137"/>
        <w:rPr>
          <w:rFonts w:eastAsia="Times New Roman"/>
        </w:rPr>
      </w:pPr>
    </w:p>
    <w:p w:rsidR="00000000" w:rsidRDefault="00B11388">
      <w:pPr>
        <w:ind w:firstLine="450"/>
        <w:divId w:val="1289821660"/>
        <w:rPr>
          <w:rFonts w:eastAsia="Times New Roman"/>
        </w:rPr>
      </w:pPr>
    </w:p>
    <w:p w:rsidR="00000000" w:rsidRDefault="00B11388">
      <w:pPr>
        <w:divId w:val="1621767218"/>
        <w:rPr>
          <w:rFonts w:eastAsia="Times New Roman"/>
        </w:rPr>
      </w:pPr>
      <w:r>
        <w:rPr>
          <w:rFonts w:eastAsia="Times New Roman"/>
          <w:b/>
          <w:bCs/>
          <w:color w:val="000000"/>
          <w:sz w:val="20"/>
          <w:szCs w:val="20"/>
        </w:rPr>
        <w:t xml:space="preserve">Note Q — Changes in Estimates </w:t>
      </w:r>
    </w:p>
    <w:p w:rsidR="00000000" w:rsidRDefault="00B11388">
      <w:pPr>
        <w:ind w:firstLine="450"/>
        <w:divId w:val="2049794315"/>
        <w:rPr>
          <w:rFonts w:eastAsia="Times New Roman"/>
        </w:rPr>
      </w:pPr>
      <w:r>
        <w:rPr>
          <w:rFonts w:eastAsia="Times New Roman"/>
          <w:i/>
          <w:iCs/>
          <w:color w:val="000000"/>
          <w:sz w:val="20"/>
          <w:szCs w:val="20"/>
        </w:rPr>
        <w:t xml:space="preserve">Contract Estimates. </w:t>
      </w:r>
      <w:r>
        <w:rPr>
          <w:rFonts w:eastAsia="Times New Roman"/>
          <w:color w:val="000000"/>
          <w:sz w:val="20"/>
          <w:szCs w:val="20"/>
        </w:rPr>
        <w:t>Under the POC cost-to-cost method of revenue recognition, a single estimated profit margin is used to recognize profit for each performance obligation over its period of performance. Reco</w:t>
      </w:r>
      <w:r>
        <w:rPr>
          <w:rFonts w:eastAsia="Times New Roman"/>
          <w:color w:val="000000"/>
          <w:sz w:val="20"/>
          <w:szCs w:val="20"/>
        </w:rPr>
        <w:t>gnition of profit on a contract requires estimates of the total cost at completion and transaction price and the measurement of progress towards completion. Due to the long-term nature of many of our contracts, developing the estimated total cost at comple</w:t>
      </w:r>
      <w:r>
        <w:rPr>
          <w:rFonts w:eastAsia="Times New Roman"/>
          <w:color w:val="000000"/>
          <w:sz w:val="20"/>
          <w:szCs w:val="20"/>
        </w:rPr>
        <w:t>tion and total transaction price often requires judgment. Factors that must be considered in estimating the cost of the work to be completed include the nature and complexity of the work to be performed, subcontractor performance and the risk and impact of</w:t>
      </w:r>
      <w:r>
        <w:rPr>
          <w:rFonts w:eastAsia="Times New Roman"/>
          <w:color w:val="000000"/>
          <w:sz w:val="20"/>
          <w:szCs w:val="20"/>
        </w:rPr>
        <w:t xml:space="preserve"> delayed performance. Factors that must be considered in estimating the total transaction price include contractual cost or performance incentives (such as incentive fees, award fees and penalties) and other forms of variable consideration as well as our h</w:t>
      </w:r>
      <w:r>
        <w:rPr>
          <w:rFonts w:eastAsia="Times New Roman"/>
          <w:color w:val="000000"/>
          <w:sz w:val="20"/>
          <w:szCs w:val="20"/>
        </w:rPr>
        <w:t>istorical experience and our expectation for performance on the contract. These variable amounts generally are awarded upon achievement of certain negotiated performance metrics, program milestones or cost targets and can be based upon customer discretion.</w:t>
      </w:r>
      <w:r>
        <w:rPr>
          <w:rFonts w:eastAsia="Times New Roman"/>
          <w:color w:val="000000"/>
          <w:sz w:val="20"/>
          <w:szCs w:val="20"/>
        </w:rPr>
        <w:t xml:space="preserve"> We include such estimated amounts in the transaction price to the extent it is probable that a significant reversal of cumulative revenue recognized will not occur when the uncertainty associated with the variable consideration is resolved.</w:t>
      </w:r>
    </w:p>
    <w:p w:rsidR="00000000" w:rsidRDefault="00B11388">
      <w:pPr>
        <w:ind w:firstLine="450"/>
        <w:divId w:val="304241108"/>
        <w:rPr>
          <w:rFonts w:eastAsia="Times New Roman"/>
        </w:rPr>
      </w:pPr>
      <w:r>
        <w:rPr>
          <w:rFonts w:eastAsia="Times New Roman"/>
          <w:color w:val="000000"/>
          <w:sz w:val="20"/>
          <w:szCs w:val="20"/>
        </w:rPr>
        <w:t xml:space="preserve">At the outset </w:t>
      </w:r>
      <w:r>
        <w:rPr>
          <w:rFonts w:eastAsia="Times New Roman"/>
          <w:color w:val="000000"/>
          <w:sz w:val="20"/>
          <w:szCs w:val="20"/>
        </w:rPr>
        <w:t>of each contract, we gauge its complexity and perceived risks and establish an estimated total cost at completion in line with these expectations. After establishing the estimated total cost at completion, we follow a standard Estimate at Completion (“EAC”</w:t>
      </w:r>
      <w:r>
        <w:rPr>
          <w:rFonts w:eastAsia="Times New Roman"/>
          <w:color w:val="000000"/>
          <w:sz w:val="20"/>
          <w:szCs w:val="20"/>
        </w:rPr>
        <w:t xml:space="preserve">) process in which we review the progress and performance on our ongoing contracts at least quarterly and, in many cases, more frequently. If we successfully retire risks associated with the technical, schedule and cost aspects of a contract, we may lower </w:t>
      </w:r>
      <w:r>
        <w:rPr>
          <w:rFonts w:eastAsia="Times New Roman"/>
          <w:color w:val="000000"/>
          <w:sz w:val="20"/>
          <w:szCs w:val="20"/>
        </w:rPr>
        <w:t>our estimated total cost at completion commensurate with the retirement of these risks. Conversely, if we are not successful in retiring these risks, we may increase our estimated total cost at completion. Additionally, as the contract progresses, our esti</w:t>
      </w:r>
      <w:r>
        <w:rPr>
          <w:rFonts w:eastAsia="Times New Roman"/>
          <w:color w:val="000000"/>
          <w:sz w:val="20"/>
          <w:szCs w:val="20"/>
        </w:rPr>
        <w:t>mates of total transaction price may increase or decrease if, for example, we receive award fees that are higher or lower than expected. When adjustments in estimated total costs at completion or in estimated total transaction price are determined, the rel</w:t>
      </w:r>
      <w:r>
        <w:rPr>
          <w:rFonts w:eastAsia="Times New Roman"/>
          <w:color w:val="000000"/>
          <w:sz w:val="20"/>
          <w:szCs w:val="20"/>
        </w:rPr>
        <w:t>ated impact on operating income is recognized using the cumulative catch-up method, which recognizes in the current period the cumulative effect of such adjustments for all prior periods. Any anticipated losses on these contracts are fully recognized in th</w:t>
      </w:r>
      <w:r>
        <w:rPr>
          <w:rFonts w:eastAsia="Times New Roman"/>
          <w:color w:val="000000"/>
          <w:sz w:val="20"/>
          <w:szCs w:val="20"/>
        </w:rPr>
        <w:t>e period in which the losses become evident.</w:t>
      </w:r>
    </w:p>
    <w:p w:rsidR="00000000" w:rsidRDefault="00B11388">
      <w:pPr>
        <w:ind w:firstLine="450"/>
        <w:divId w:val="1061515362"/>
        <w:rPr>
          <w:rFonts w:eastAsia="Times New Roman"/>
        </w:rPr>
      </w:pPr>
      <w:r>
        <w:rPr>
          <w:rFonts w:eastAsia="Times New Roman"/>
          <w:color w:val="000000"/>
          <w:sz w:val="20"/>
          <w:szCs w:val="20"/>
        </w:rPr>
        <w:t>Net EAC adjustments had the following impact to earnings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425"/>
        <w:gridCol w:w="38"/>
        <w:gridCol w:w="120"/>
        <w:gridCol w:w="728"/>
        <w:gridCol w:w="36"/>
        <w:gridCol w:w="36"/>
        <w:gridCol w:w="36"/>
        <w:gridCol w:w="36"/>
        <w:gridCol w:w="120"/>
        <w:gridCol w:w="728"/>
        <w:gridCol w:w="36"/>
        <w:gridCol w:w="36"/>
        <w:gridCol w:w="36"/>
        <w:gridCol w:w="36"/>
        <w:gridCol w:w="120"/>
        <w:gridCol w:w="729"/>
        <w:gridCol w:w="36"/>
        <w:gridCol w:w="36"/>
        <w:gridCol w:w="36"/>
        <w:gridCol w:w="36"/>
        <w:gridCol w:w="120"/>
        <w:gridCol w:w="671"/>
        <w:gridCol w:w="36"/>
      </w:tblGrid>
      <w:tr w:rsidR="00000000">
        <w:trPr>
          <w:divId w:val="1098060924"/>
        </w:trPr>
        <w:tc>
          <w:tcPr>
            <w:tcW w:w="50" w:type="pct"/>
            <w:vAlign w:val="center"/>
            <w:hideMark/>
          </w:tcPr>
          <w:p w:rsidR="00000000" w:rsidRDefault="00B11388">
            <w:pPr>
              <w:ind w:firstLine="450"/>
              <w:rPr>
                <w:rFonts w:eastAsia="Times New Roman"/>
              </w:rPr>
            </w:pPr>
          </w:p>
        </w:tc>
        <w:tc>
          <w:tcPr>
            <w:tcW w:w="271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098060924"/>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09806092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098060924"/>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09806092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xml:space="preserve">Net EAC adjustments, before income taxes </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9806092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EAC adjustments, net of income taxes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098060924"/>
        </w:trPr>
        <w:tc>
          <w:tcPr>
            <w:tcW w:w="0" w:type="auto"/>
            <w:gridSpan w:val="3"/>
            <w:shd w:val="clear" w:color="auto" w:fill="CCEEFF"/>
            <w:tcMar>
              <w:top w:w="30" w:type="dxa"/>
              <w:left w:w="30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Net EAC adjustments, net of income taxes, per diluted common share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0.59 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0.69 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ind w:firstLine="450"/>
        <w:divId w:val="1661346022"/>
        <w:rPr>
          <w:rFonts w:eastAsia="Times New Roman"/>
        </w:rPr>
      </w:pPr>
      <w:r>
        <w:rPr>
          <w:rFonts w:eastAsia="Times New Roman"/>
          <w:color w:val="000000"/>
          <w:sz w:val="20"/>
          <w:szCs w:val="20"/>
        </w:rPr>
        <w:t>Revenue recognized from performance obligations satisfied in prior periods was $107 million and $215 million for the quarter and two quarters ended July 2, 2021, respecti</w:t>
      </w:r>
      <w:r>
        <w:rPr>
          <w:rFonts w:eastAsia="Times New Roman"/>
          <w:color w:val="000000"/>
          <w:sz w:val="20"/>
          <w:szCs w:val="20"/>
        </w:rPr>
        <w:t>vely, and $102 million and $238 million for the quarter and two quarters ended July 3, 2020, respectively.</w:t>
      </w:r>
    </w:p>
    <w:p w:rsidR="00000000" w:rsidRDefault="00B11388">
      <w:pPr>
        <w:divId w:val="677655038"/>
        <w:rPr>
          <w:rFonts w:eastAsia="Times New Roman"/>
        </w:rPr>
      </w:pPr>
      <w:r>
        <w:rPr>
          <w:rFonts w:eastAsia="Times New Roman"/>
          <w:b/>
          <w:bCs/>
          <w:color w:val="000000"/>
          <w:sz w:val="20"/>
          <w:szCs w:val="20"/>
        </w:rPr>
        <w:t xml:space="preserve">Note R — Backlog </w:t>
      </w:r>
    </w:p>
    <w:p w:rsidR="00000000" w:rsidRDefault="00B11388">
      <w:pPr>
        <w:ind w:firstLine="450"/>
        <w:divId w:val="1779372468"/>
        <w:rPr>
          <w:rFonts w:eastAsia="Times New Roman"/>
        </w:rPr>
      </w:pPr>
      <w:r>
        <w:rPr>
          <w:rFonts w:eastAsia="Times New Roman"/>
          <w:color w:val="000000"/>
          <w:sz w:val="20"/>
          <w:szCs w:val="20"/>
        </w:rPr>
        <w:t xml:space="preserve">Backlog, which is the equivalent of our remaining performance obligations, represents the future revenue we expect to recognize as </w:t>
      </w:r>
      <w:r>
        <w:rPr>
          <w:rFonts w:eastAsia="Times New Roman"/>
          <w:color w:val="000000"/>
          <w:sz w:val="20"/>
          <w:szCs w:val="20"/>
        </w:rPr>
        <w:t>we perform on our current contracts. Backlog comprises both funded backlog (i.e., firm orders for which funding is authorized and appropriated) and unfunded backlog. Backlog excludes unexercised contract options and potential orders under ordering-type con</w:t>
      </w:r>
      <w:r>
        <w:rPr>
          <w:rFonts w:eastAsia="Times New Roman"/>
          <w:color w:val="000000"/>
          <w:sz w:val="20"/>
          <w:szCs w:val="20"/>
        </w:rPr>
        <w:t xml:space="preserve">tracts, such as indefinite delivery, indefinite quantity contracts. </w:t>
      </w:r>
    </w:p>
    <w:p w:rsidR="00000000" w:rsidRDefault="00B11388">
      <w:pPr>
        <w:ind w:firstLine="450"/>
        <w:divId w:val="891355707"/>
        <w:rPr>
          <w:rFonts w:eastAsia="Times New Roman"/>
        </w:rPr>
      </w:pPr>
      <w:r>
        <w:rPr>
          <w:rFonts w:eastAsia="Times New Roman"/>
          <w:color w:val="000000"/>
          <w:sz w:val="20"/>
          <w:szCs w:val="20"/>
        </w:rPr>
        <w:t xml:space="preserve">At July 2, 2021, our ending backlog was $20.2 billion. We expect to recognize approximately 66 percent of the revenue associated with this backlog by the end of 2022 and approximately 78 </w:t>
      </w:r>
      <w:r>
        <w:rPr>
          <w:rFonts w:eastAsia="Times New Roman"/>
          <w:color w:val="000000"/>
          <w:sz w:val="20"/>
          <w:szCs w:val="20"/>
        </w:rPr>
        <w:t>percent by the end of 2023, with the remainder to be recognized thereafter. At January 1, 2021, our ending backlog was $21.7 billion, including $1.1 billion of backlog associated with businesses that were divested during the quarter ended July 2, 2021.</w:t>
      </w:r>
    </w:p>
    <w:p w:rsidR="00000000" w:rsidRDefault="00B11388">
      <w:pPr>
        <w:divId w:val="409736489"/>
        <w:rPr>
          <w:rFonts w:eastAsia="Times New Roman"/>
        </w:rPr>
      </w:pPr>
      <w:r>
        <w:rPr>
          <w:rFonts w:eastAsia="Times New Roman"/>
          <w:b/>
          <w:bCs/>
          <w:color w:val="000000"/>
          <w:sz w:val="20"/>
          <w:szCs w:val="20"/>
        </w:rPr>
        <w:t>Not</w:t>
      </w:r>
      <w:r>
        <w:rPr>
          <w:rFonts w:eastAsia="Times New Roman"/>
          <w:b/>
          <w:bCs/>
          <w:color w:val="000000"/>
          <w:sz w:val="20"/>
          <w:szCs w:val="20"/>
        </w:rPr>
        <w:t xml:space="preserve">e S — Business Segment Information </w:t>
      </w:r>
    </w:p>
    <w:p w:rsidR="00000000" w:rsidRDefault="00B11388">
      <w:pPr>
        <w:ind w:firstLine="450"/>
        <w:divId w:val="1691179068"/>
        <w:rPr>
          <w:rFonts w:eastAsia="Times New Roman"/>
        </w:rPr>
      </w:pPr>
      <w:r>
        <w:rPr>
          <w:rFonts w:eastAsia="Times New Roman"/>
          <w:color w:val="000000"/>
          <w:sz w:val="20"/>
          <w:szCs w:val="20"/>
        </w:rPr>
        <w:t>We structure our operations primarily around the products, systems and services we sell and the markets we serve, and we report the financial results of our continuing operations in the following four operating segments,</w:t>
      </w:r>
      <w:r>
        <w:rPr>
          <w:rFonts w:eastAsia="Times New Roman"/>
          <w:color w:val="000000"/>
          <w:sz w:val="20"/>
          <w:szCs w:val="20"/>
        </w:rPr>
        <w:t xml:space="preserve"> which are also our reportable segments and are referred to as our business segments: </w:t>
      </w:r>
    </w:p>
    <w:p w:rsidR="00000000" w:rsidRDefault="00B11388">
      <w:pPr>
        <w:ind w:hanging="180"/>
        <w:divId w:val="195118713"/>
        <w:rPr>
          <w:rFonts w:eastAsia="Times New Roman"/>
        </w:rPr>
      </w:pPr>
      <w:r>
        <w:rPr>
          <w:rFonts w:eastAsia="Times New Roman"/>
          <w:color w:val="000000"/>
          <w:sz w:val="20"/>
          <w:szCs w:val="20"/>
        </w:rPr>
        <w:t>•Integrated Mission Systems, including multi-mission intelligence, surveillance and reconnaissance (“ISR”) and communication systems; integrated electrical and electroni</w:t>
      </w:r>
      <w:r>
        <w:rPr>
          <w:rFonts w:eastAsia="Times New Roman"/>
          <w:color w:val="000000"/>
          <w:sz w:val="20"/>
          <w:szCs w:val="20"/>
        </w:rPr>
        <w:t>c systems for maritime platforms; and advanced electro-optical and infrared solutions;</w:t>
      </w:r>
    </w:p>
    <w:p w:rsidR="00000000" w:rsidRDefault="00B11388">
      <w:pPr>
        <w:ind w:hanging="180"/>
        <w:divId w:val="564336693"/>
        <w:rPr>
          <w:rFonts w:eastAsia="Times New Roman"/>
        </w:rPr>
      </w:pPr>
      <w:r>
        <w:rPr>
          <w:rFonts w:eastAsia="Times New Roman"/>
          <w:color w:val="000000"/>
          <w:sz w:val="20"/>
          <w:szCs w:val="20"/>
        </w:rPr>
        <w:t>•Space and Airborne Systems, including space payloads, sensors and full-mission solutions; classified intelligence and cyber defense; avionics; and electronic warfare;</w:t>
      </w:r>
    </w:p>
    <w:p w:rsidR="00000000" w:rsidRDefault="00B11388">
      <w:pPr>
        <w:ind w:firstLine="450"/>
        <w:jc w:val="center"/>
        <w:divId w:val="1096704537"/>
        <w:rPr>
          <w:rFonts w:eastAsia="Times New Roman"/>
        </w:rPr>
      </w:pPr>
      <w:r>
        <w:rPr>
          <w:rFonts w:eastAsia="Times New Roman"/>
          <w:color w:val="000000"/>
          <w:sz w:val="20"/>
          <w:szCs w:val="20"/>
        </w:rPr>
        <w:t>2</w:t>
      </w:r>
      <w:r>
        <w:rPr>
          <w:rFonts w:eastAsia="Times New Roman"/>
          <w:color w:val="000000"/>
          <w:sz w:val="20"/>
          <w:szCs w:val="20"/>
        </w:rPr>
        <w:t>0</w:t>
      </w:r>
    </w:p>
    <w:p w:rsidR="00000000" w:rsidRDefault="00B11388">
      <w:pPr>
        <w:rPr>
          <w:rFonts w:eastAsia="Times New Roman"/>
        </w:rPr>
      </w:pPr>
      <w:r>
        <w:rPr>
          <w:rFonts w:eastAsia="Times New Roman"/>
        </w:rPr>
        <w:pict>
          <v:rect id="_x0000_i1047" style="width:0;height:1.5pt" o:hralign="center" o:hrstd="t" o:hr="t" fillcolor="#a0a0a0" stroked="f"/>
        </w:pict>
      </w:r>
    </w:p>
    <w:p w:rsidR="00000000" w:rsidRDefault="00B11388">
      <w:pPr>
        <w:ind w:firstLine="450"/>
        <w:divId w:val="1846897756"/>
        <w:rPr>
          <w:rFonts w:eastAsia="Times New Roman"/>
        </w:rPr>
      </w:pPr>
    </w:p>
    <w:p w:rsidR="00000000" w:rsidRDefault="00B11388">
      <w:pPr>
        <w:ind w:firstLine="450"/>
        <w:divId w:val="985352254"/>
        <w:rPr>
          <w:rFonts w:eastAsia="Times New Roman"/>
        </w:rPr>
      </w:pPr>
    </w:p>
    <w:p w:rsidR="00000000" w:rsidRDefault="00B11388">
      <w:pPr>
        <w:ind w:hanging="180"/>
        <w:divId w:val="397750103"/>
        <w:rPr>
          <w:rFonts w:eastAsia="Times New Roman"/>
        </w:rPr>
      </w:pPr>
      <w:r>
        <w:rPr>
          <w:rFonts w:eastAsia="Times New Roman"/>
          <w:color w:val="000000"/>
          <w:sz w:val="20"/>
          <w:szCs w:val="20"/>
        </w:rPr>
        <w:t>•</w:t>
      </w:r>
      <w:r>
        <w:rPr>
          <w:rFonts w:eastAsia="Times New Roman"/>
          <w:color w:val="000000"/>
          <w:sz w:val="20"/>
          <w:szCs w:val="20"/>
        </w:rPr>
        <w:t>Communication Systems, including tactical communications; broadband communications; integrated vision solutions; public safety and global communications solutions; and</w:t>
      </w:r>
    </w:p>
    <w:p w:rsidR="00000000" w:rsidRDefault="00B11388">
      <w:pPr>
        <w:ind w:hanging="180"/>
        <w:divId w:val="972559394"/>
        <w:rPr>
          <w:rFonts w:eastAsia="Times New Roman"/>
        </w:rPr>
      </w:pPr>
      <w:r>
        <w:rPr>
          <w:rFonts w:eastAsia="Times New Roman"/>
          <w:color w:val="000000"/>
          <w:sz w:val="20"/>
          <w:szCs w:val="20"/>
        </w:rPr>
        <w:t xml:space="preserve">•Aviation Systems, including defense aviation; commercial aviation products; commercial </w:t>
      </w:r>
      <w:r>
        <w:rPr>
          <w:rFonts w:eastAsia="Times New Roman"/>
          <w:color w:val="000000"/>
          <w:sz w:val="20"/>
          <w:szCs w:val="20"/>
        </w:rPr>
        <w:t>pilot training; and mission networks for air traffic management.</w:t>
      </w:r>
    </w:p>
    <w:p w:rsidR="00000000" w:rsidRDefault="00B11388">
      <w:pPr>
        <w:ind w:firstLine="450"/>
        <w:divId w:val="1539471451"/>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in these Notes for information relating to the following businesses divested or classified as held for sale in fiscal 2020 and 2021: </w:t>
      </w:r>
    </w:p>
    <w:p w:rsidR="00000000" w:rsidRDefault="00B11388">
      <w:pPr>
        <w:ind w:hanging="180"/>
        <w:divId w:val="1550803533"/>
        <w:rPr>
          <w:rFonts w:eastAsia="Times New Roman"/>
        </w:rPr>
      </w:pPr>
      <w:r>
        <w:rPr>
          <w:rFonts w:eastAsia="Times New Roman"/>
          <w:color w:val="000000"/>
          <w:sz w:val="20"/>
          <w:szCs w:val="20"/>
        </w:rPr>
        <w:t xml:space="preserve">•Airport security and </w:t>
      </w:r>
      <w:r>
        <w:rPr>
          <w:rFonts w:eastAsia="Times New Roman"/>
          <w:color w:val="000000"/>
          <w:sz w:val="20"/>
          <w:szCs w:val="20"/>
        </w:rPr>
        <w:t xml:space="preserve">automation business, divested on May 4, 2020, the results of which were reported as part of our Aviation Systems segment through the date of divestiture; </w:t>
      </w:r>
    </w:p>
    <w:p w:rsidR="00000000" w:rsidRDefault="00B11388">
      <w:pPr>
        <w:ind w:hanging="180"/>
        <w:divId w:val="922762778"/>
        <w:rPr>
          <w:rFonts w:eastAsia="Times New Roman"/>
        </w:rPr>
      </w:pPr>
      <w:r>
        <w:rPr>
          <w:rFonts w:eastAsia="Times New Roman"/>
          <w:color w:val="000000"/>
          <w:sz w:val="20"/>
          <w:szCs w:val="20"/>
        </w:rPr>
        <w:t xml:space="preserve">•Applied Kilovolts and Analytical Instrumentation business, divested on May 15, 2020, the results of </w:t>
      </w:r>
      <w:r>
        <w:rPr>
          <w:rFonts w:eastAsia="Times New Roman"/>
          <w:color w:val="000000"/>
          <w:sz w:val="20"/>
          <w:szCs w:val="20"/>
        </w:rPr>
        <w:t>which were reported as part of our Space and Airborne Systems segment through the date of divestiture;</w:t>
      </w:r>
    </w:p>
    <w:p w:rsidR="00000000" w:rsidRDefault="00B11388">
      <w:pPr>
        <w:ind w:hanging="180"/>
        <w:divId w:val="2018534579"/>
        <w:rPr>
          <w:rFonts w:eastAsia="Times New Roman"/>
        </w:rPr>
      </w:pPr>
      <w:r>
        <w:rPr>
          <w:rFonts w:eastAsia="Times New Roman"/>
          <w:color w:val="000000"/>
          <w:sz w:val="20"/>
          <w:szCs w:val="20"/>
        </w:rPr>
        <w:t>•</w:t>
      </w:r>
      <w:r>
        <w:rPr>
          <w:rFonts w:eastAsia="Times New Roman"/>
          <w:color w:val="000000"/>
          <w:sz w:val="20"/>
          <w:szCs w:val="20"/>
        </w:rPr>
        <w:t>EOTech business, divested on July 31, 2020, the results of which were reported as part of our Communication Systems segment through the date of divestiture;</w:t>
      </w:r>
    </w:p>
    <w:p w:rsidR="00000000" w:rsidRDefault="00B11388">
      <w:pPr>
        <w:ind w:hanging="180"/>
        <w:divId w:val="1566068478"/>
        <w:rPr>
          <w:rFonts w:eastAsia="Times New Roman"/>
        </w:rPr>
      </w:pPr>
      <w:r>
        <w:rPr>
          <w:rFonts w:eastAsia="Times New Roman"/>
          <w:color w:val="000000"/>
          <w:sz w:val="20"/>
          <w:szCs w:val="20"/>
        </w:rPr>
        <w:t>•Military training business, divested on July 2, 2021, the results of which were reported as part o</w:t>
      </w:r>
      <w:r>
        <w:rPr>
          <w:rFonts w:eastAsia="Times New Roman"/>
          <w:color w:val="000000"/>
          <w:sz w:val="20"/>
          <w:szCs w:val="20"/>
        </w:rPr>
        <w:t xml:space="preserve">f our Aviation Systems segment through the date of divestiture; </w:t>
      </w:r>
    </w:p>
    <w:p w:rsidR="00000000" w:rsidRDefault="00B11388">
      <w:pPr>
        <w:ind w:hanging="180"/>
        <w:divId w:val="351884791"/>
        <w:rPr>
          <w:rFonts w:eastAsia="Times New Roman"/>
        </w:rPr>
      </w:pPr>
      <w:r>
        <w:rPr>
          <w:rFonts w:eastAsia="Times New Roman"/>
          <w:color w:val="000000"/>
          <w:sz w:val="20"/>
          <w:szCs w:val="20"/>
        </w:rPr>
        <w:t xml:space="preserve">•CPS business, divested on July 2, 2021, the results of which were reported as part of our Aviation Systems segment through the date of divestiture; </w:t>
      </w:r>
    </w:p>
    <w:p w:rsidR="00000000" w:rsidRDefault="00B11388">
      <w:pPr>
        <w:ind w:hanging="180"/>
        <w:divId w:val="2064063178"/>
        <w:rPr>
          <w:rFonts w:eastAsia="Times New Roman"/>
        </w:rPr>
      </w:pPr>
      <w:r>
        <w:rPr>
          <w:rFonts w:eastAsia="Times New Roman"/>
          <w:color w:val="000000"/>
          <w:sz w:val="20"/>
          <w:szCs w:val="20"/>
        </w:rPr>
        <w:t>•VSE disposal group, definitive agreement</w:t>
      </w:r>
      <w:r>
        <w:rPr>
          <w:rFonts w:eastAsia="Times New Roman"/>
          <w:color w:val="000000"/>
          <w:sz w:val="20"/>
          <w:szCs w:val="20"/>
        </w:rPr>
        <w:t xml:space="preserve"> entered into on February 23, 2021 and divestiture partially completed during the quarter ended July 2, 2021, with the remainder classified as held for sale and expected to be completed in the second half of fiscal 2021, the results of which are reported a</w:t>
      </w:r>
      <w:r>
        <w:rPr>
          <w:rFonts w:eastAsia="Times New Roman"/>
          <w:color w:val="000000"/>
          <w:sz w:val="20"/>
          <w:szCs w:val="20"/>
        </w:rPr>
        <w:t xml:space="preserve">s part of our Aviation Systems segment; </w:t>
      </w:r>
    </w:p>
    <w:p w:rsidR="00000000" w:rsidRDefault="00B11388">
      <w:pPr>
        <w:ind w:hanging="180"/>
        <w:divId w:val="1113327153"/>
        <w:rPr>
          <w:rFonts w:eastAsia="Times New Roman"/>
        </w:rPr>
      </w:pPr>
      <w:r>
        <w:rPr>
          <w:rFonts w:eastAsia="Times New Roman"/>
          <w:color w:val="000000"/>
          <w:sz w:val="20"/>
          <w:szCs w:val="20"/>
        </w:rPr>
        <w:t>•Electron Devices business, definitive agreement entered into on July 2, 2021 and classified as held for sale, expected to be completed during the second half of fiscal 2021, the results of which are reported as par</w:t>
      </w:r>
      <w:r>
        <w:rPr>
          <w:rFonts w:eastAsia="Times New Roman"/>
          <w:color w:val="000000"/>
          <w:sz w:val="20"/>
          <w:szCs w:val="20"/>
        </w:rPr>
        <w:t>t of our Aviation Systems segment; and</w:t>
      </w:r>
    </w:p>
    <w:p w:rsidR="00000000" w:rsidRDefault="00B11388">
      <w:pPr>
        <w:ind w:hanging="180"/>
        <w:divId w:val="98528114"/>
        <w:rPr>
          <w:rFonts w:eastAsia="Times New Roman"/>
        </w:rPr>
      </w:pPr>
      <w:r>
        <w:rPr>
          <w:rFonts w:eastAsia="Times New Roman"/>
          <w:color w:val="000000"/>
          <w:sz w:val="20"/>
          <w:szCs w:val="20"/>
        </w:rPr>
        <w:t>•AP disposal groups, classified as held for sale during the quarter ended July 2, 2021, expected to be completed during the next twelve months, the results of which are reported as part of our Aviation Systems segment</w:t>
      </w:r>
      <w:r>
        <w:rPr>
          <w:rFonts w:eastAsia="Times New Roman"/>
          <w:color w:val="000000"/>
          <w:sz w:val="20"/>
          <w:szCs w:val="20"/>
        </w:rPr>
        <w:t>.</w:t>
      </w:r>
    </w:p>
    <w:p w:rsidR="00000000" w:rsidRDefault="00B11388">
      <w:pPr>
        <w:ind w:firstLine="450"/>
        <w:divId w:val="192159658"/>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We evaluate each business segment’s performance </w:t>
      </w:r>
      <w:r>
        <w:rPr>
          <w:rFonts w:eastAsia="Times New Roman"/>
          <w:color w:val="000000"/>
          <w:sz w:val="20"/>
          <w:szCs w:val="20"/>
        </w:rPr>
        <w:t>based on its operating income or loss, which we define as profit or loss from operations before income taxes, including pension income and excluding interest income and expense, royalties and related intellectual property expenses, equity method investment</w:t>
      </w:r>
      <w:r>
        <w:rPr>
          <w:rFonts w:eastAsia="Times New Roman"/>
          <w:color w:val="000000"/>
          <w:sz w:val="20"/>
          <w:szCs w:val="20"/>
        </w:rPr>
        <w:t xml:space="preserve"> income or loss and gains or losses from securities and other investments. Intersegment sales are generally transferred at cost to the buying segment, and the sourcing segment recognizes a profit that is eliminated. The “Corporate eliminations” line item i</w:t>
      </w:r>
      <w:r>
        <w:rPr>
          <w:rFonts w:eastAsia="Times New Roman"/>
          <w:color w:val="000000"/>
          <w:sz w:val="20"/>
          <w:szCs w:val="20"/>
        </w:rPr>
        <w:t>n the table below represents the elimination of intersegment sales. Corporate expenses are primarily allocated to our business segments using an allocation methodology prescribed by U.S. Government regulations for government contractors. The “Unallocated c</w:t>
      </w:r>
      <w:r>
        <w:rPr>
          <w:rFonts w:eastAsia="Times New Roman"/>
          <w:color w:val="000000"/>
          <w:sz w:val="20"/>
          <w:szCs w:val="20"/>
        </w:rPr>
        <w:t>orporate expenses” line item in the table below represents the portion of corporate expenses not allocated to our business segments and elimination of intersegment profits. The “Pension adjustment” line item in the table below represents the reconciliation</w:t>
      </w:r>
      <w:r>
        <w:rPr>
          <w:rFonts w:eastAsia="Times New Roman"/>
          <w:color w:val="000000"/>
          <w:sz w:val="20"/>
          <w:szCs w:val="20"/>
        </w:rPr>
        <w:t xml:space="preserve"> of the non-service components of net periodic pension and postretirement benefit costs, which are a component of segment operating income but are included in the “Non-operating income” line item in our Condensed Consolidated Statement of Income (Unaudited</w:t>
      </w:r>
      <w:r>
        <w:rPr>
          <w:rFonts w:eastAsia="Times New Roman"/>
          <w:color w:val="000000"/>
          <w:sz w:val="20"/>
          <w:szCs w:val="20"/>
        </w:rPr>
        <w:t>). The non-service components of net periodic pension and postretirement benefit costs include interest cost, expected return on plan assets, amortization of net actuarial gain or loss, and effect of curtailments or settlements.</w:t>
      </w:r>
    </w:p>
    <w:p w:rsidR="00000000" w:rsidRDefault="00B11388">
      <w:pPr>
        <w:ind w:firstLine="450"/>
        <w:jc w:val="center"/>
        <w:divId w:val="1546722874"/>
        <w:rPr>
          <w:rFonts w:eastAsia="Times New Roman"/>
        </w:rPr>
      </w:pPr>
      <w:r>
        <w:rPr>
          <w:rFonts w:eastAsia="Times New Roman"/>
          <w:color w:val="000000"/>
          <w:sz w:val="20"/>
          <w:szCs w:val="20"/>
        </w:rPr>
        <w:t>21</w:t>
      </w:r>
    </w:p>
    <w:p w:rsidR="00000000" w:rsidRDefault="00B11388">
      <w:pPr>
        <w:rPr>
          <w:rFonts w:eastAsia="Times New Roman"/>
        </w:rPr>
      </w:pPr>
      <w:r>
        <w:rPr>
          <w:rFonts w:eastAsia="Times New Roman"/>
        </w:rPr>
        <w:pict>
          <v:rect id="_x0000_i1048" style="width:0;height:1.5pt" o:hralign="center" o:hrstd="t" o:hr="t" fillcolor="#a0a0a0" stroked="f"/>
        </w:pict>
      </w:r>
    </w:p>
    <w:p w:rsidR="00000000" w:rsidRDefault="00B11388">
      <w:pPr>
        <w:ind w:firstLine="450"/>
        <w:divId w:val="1118062864"/>
        <w:rPr>
          <w:rFonts w:eastAsia="Times New Roman"/>
        </w:rPr>
      </w:pPr>
    </w:p>
    <w:p w:rsidR="00000000" w:rsidRDefault="00B11388">
      <w:pPr>
        <w:ind w:firstLine="450"/>
        <w:divId w:val="463427703"/>
        <w:rPr>
          <w:rFonts w:eastAsia="Times New Roman"/>
        </w:rPr>
      </w:pPr>
    </w:p>
    <w:p w:rsidR="00000000" w:rsidRDefault="00B11388">
      <w:pPr>
        <w:ind w:firstLine="450"/>
        <w:divId w:val="473911422"/>
        <w:rPr>
          <w:rFonts w:eastAsia="Times New Roman"/>
        </w:rPr>
      </w:pPr>
      <w:r>
        <w:rPr>
          <w:rFonts w:eastAsia="Times New Roman"/>
          <w:color w:val="000000"/>
          <w:sz w:val="20"/>
          <w:szCs w:val="20"/>
        </w:rPr>
        <w:t>Segment revenue, segment operating income (loss) and a reconciliation of segment operating income to total income from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431"/>
        <w:gridCol w:w="39"/>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1"/>
        <w:gridCol w:w="36"/>
      </w:tblGrid>
      <w:tr w:rsidR="00000000">
        <w:trPr>
          <w:divId w:val="1993945257"/>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993945257"/>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993945257"/>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2,945 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9,071 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Height w:val="280"/>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3945257"/>
        </w:trPr>
        <w:tc>
          <w:tcPr>
            <w:tcW w:w="0" w:type="auto"/>
            <w:gridSpan w:val="6"/>
            <w:shd w:val="clear" w:color="auto" w:fill="CCEEFF"/>
            <w:tcMar>
              <w:top w:w="30" w:type="dxa"/>
              <w:left w:w="5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shd w:val="clear" w:color="auto" w:fill="FFFFFF"/>
            <w:tcMar>
              <w:top w:w="30" w:type="dxa"/>
              <w:left w:w="140" w:type="dxa"/>
              <w:bottom w:w="30" w:type="dxa"/>
              <w:right w:w="20" w:type="dxa"/>
            </w:tcMar>
            <w:hideMark/>
          </w:tcPr>
          <w:p w:rsidR="00000000" w:rsidRDefault="00B11388">
            <w:pPr>
              <w:spacing w:after="100"/>
              <w:rPr>
                <w:rFonts w:eastAsia="Times New Roman"/>
              </w:rPr>
            </w:pPr>
            <w:r>
              <w:rPr>
                <w:rFonts w:eastAsia="Times New Roman"/>
                <w:i/>
                <w:iCs/>
                <w:color w:val="000000"/>
                <w:sz w:val="20"/>
                <w:szCs w:val="20"/>
              </w:rPr>
              <w:t>Segment Operating Income (Loss):</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Space and Airborne Systems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568 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Aviation Systems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993945257"/>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305548624"/>
              <w:rPr>
                <w:rFonts w:eastAsia="Times New Roman"/>
              </w:rPr>
            </w:pPr>
            <w:r>
              <w:rPr>
                <w:rFonts w:eastAsia="Times New Roman"/>
                <w:color w:val="000000"/>
                <w:sz w:val="20"/>
                <w:szCs w:val="20"/>
              </w:rPr>
              <w:t>Other unallocated corporate expense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42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L3Harris Merger-related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44975383"/>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Pension adjustment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3945257"/>
        </w:trPr>
        <w:tc>
          <w:tcPr>
            <w:tcW w:w="0" w:type="auto"/>
            <w:gridSpan w:val="3"/>
            <w:shd w:val="clear" w:color="auto" w:fill="CCEEFF"/>
            <w:tcMar>
              <w:top w:w="30" w:type="dxa"/>
              <w:left w:w="305" w:type="dxa"/>
              <w:bottom w:w="30" w:type="dxa"/>
              <w:right w:w="20" w:type="dxa"/>
            </w:tcMar>
            <w:vAlign w:val="bottom"/>
            <w:hideMark/>
          </w:tcPr>
          <w:p w:rsidR="00000000" w:rsidRDefault="00B11388">
            <w:pPr>
              <w:spacing w:after="100"/>
              <w:ind w:hanging="270"/>
              <w:rPr>
                <w:rFonts w:eastAsia="Times New Roman"/>
              </w:rPr>
            </w:pPr>
            <w:r>
              <w:rPr>
                <w:rFonts w:eastAsia="Times New Roman"/>
                <w:color w:val="000000"/>
                <w:sz w:val="20"/>
                <w:szCs w:val="20"/>
              </w:rPr>
              <w:t>Total income from continuing operations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1664119041"/>
        <w:rPr>
          <w:rFonts w:eastAsia="Times New Roman"/>
        </w:rPr>
      </w:pPr>
      <w:r>
        <w:rPr>
          <w:rFonts w:eastAsia="Times New Roman"/>
          <w:color w:val="000000"/>
          <w:sz w:val="16"/>
          <w:szCs w:val="16"/>
        </w:rPr>
        <w:t>_______________</w:t>
      </w:r>
    </w:p>
    <w:p w:rsidR="00000000" w:rsidRDefault="00B11388">
      <w:pPr>
        <w:ind w:hanging="270"/>
        <w:divId w:val="1770347827"/>
        <w:rPr>
          <w:rFonts w:eastAsia="Times New Roman"/>
        </w:rPr>
      </w:pPr>
      <w:r>
        <w:rPr>
          <w:rFonts w:eastAsia="Times New Roman"/>
          <w:color w:val="000000"/>
          <w:sz w:val="16"/>
          <w:szCs w:val="16"/>
        </w:rPr>
        <w:t>(1)For the quarter and two quarters ended July 2, 2021, includes $46 million and $53 million, respectively, of divestiture-related expenses. For the quarter and two quarters ended July 3, 2020, in</w:t>
      </w:r>
      <w:r>
        <w:rPr>
          <w:rFonts w:eastAsia="Times New Roman"/>
          <w:color w:val="000000"/>
          <w:sz w:val="16"/>
          <w:szCs w:val="16"/>
        </w:rPr>
        <w:t>cludes (i) $16 million and $31 million, respectively, of additional cost of sales related to fair value step-up in inventory sold; (ii) $9 million of other divestiture-related expenses; and (iii) $7 million of restructuring charges.</w:t>
      </w:r>
    </w:p>
    <w:p w:rsidR="00000000" w:rsidRDefault="00B11388">
      <w:pPr>
        <w:ind w:hanging="270"/>
        <w:divId w:val="191959987"/>
        <w:rPr>
          <w:rFonts w:eastAsia="Times New Roman"/>
        </w:rPr>
      </w:pPr>
      <w:r>
        <w:rPr>
          <w:rFonts w:eastAsia="Times New Roman"/>
          <w:color w:val="000000"/>
          <w:sz w:val="16"/>
          <w:szCs w:val="16"/>
        </w:rPr>
        <w:t>(2)Includes amortizatio</w:t>
      </w:r>
      <w:r>
        <w:rPr>
          <w:rFonts w:eastAsia="Times New Roman"/>
          <w:color w:val="000000"/>
          <w:sz w:val="16"/>
          <w:szCs w:val="16"/>
        </w:rPr>
        <w:t>n of identifiable intangible assets acquired as a result of the L3Harris Merger of $131 million and $271 million for the quarter and two quarters ended July 2, 2021, respectively, and $183 million and $303 million for the quarter and two quarters ended Jul</w:t>
      </w:r>
      <w:r>
        <w:rPr>
          <w:rFonts w:eastAsia="Times New Roman"/>
          <w:color w:val="000000"/>
          <w:sz w:val="16"/>
          <w:szCs w:val="16"/>
        </w:rPr>
        <w:t>y 3, 2020, respectively. Also includes amortization of identifiable intangible assets acquired as a result of our acquisition of Exelis Inc. of $25 million and $49 million for the quarter and two quarters ended July 2, 2021, respectively, and $25 million a</w:t>
      </w:r>
      <w:r>
        <w:rPr>
          <w:rFonts w:eastAsia="Times New Roman"/>
          <w:color w:val="000000"/>
          <w:sz w:val="16"/>
          <w:szCs w:val="16"/>
        </w:rPr>
        <w:t xml:space="preserve">nd $50 million for the quarter and two quarters ended July 3, 2020, respectively. Because the L3Harris Merger and the acquisition of Exelis Inc. benefited the entire Company as opposed to any individual segment, the amortization of identifiable intangible </w:t>
      </w:r>
      <w:r>
        <w:rPr>
          <w:rFonts w:eastAsia="Times New Roman"/>
          <w:color w:val="000000"/>
          <w:sz w:val="16"/>
          <w:szCs w:val="16"/>
        </w:rPr>
        <w:t>assets acquired was not allocated to any segment.</w:t>
      </w:r>
    </w:p>
    <w:p w:rsidR="00000000" w:rsidRDefault="00B11388">
      <w:pPr>
        <w:divId w:val="1013260464"/>
        <w:rPr>
          <w:rFonts w:eastAsia="Times New Roman"/>
        </w:rPr>
      </w:pPr>
      <w:r>
        <w:rPr>
          <w:rFonts w:eastAsia="Times New Roman"/>
          <w:b/>
          <w:bCs/>
          <w:color w:val="000000"/>
          <w:sz w:val="20"/>
          <w:szCs w:val="20"/>
        </w:rPr>
        <w:t>Disaggregation of Revenue</w:t>
      </w:r>
    </w:p>
    <w:p w:rsidR="00000000" w:rsidRDefault="00B11388">
      <w:pPr>
        <w:ind w:firstLine="450"/>
        <w:divId w:val="2130394271"/>
        <w:rPr>
          <w:rFonts w:eastAsia="Times New Roman"/>
        </w:rPr>
      </w:pPr>
      <w:r>
        <w:rPr>
          <w:rFonts w:eastAsia="Times New Roman"/>
          <w:color w:val="000000"/>
          <w:sz w:val="20"/>
          <w:szCs w:val="20"/>
        </w:rPr>
        <w:t>We disaggregate revenue for all four business segments by customer relationship, contract type and geographical region. We believe these categories best depict how the nature, amou</w:t>
      </w:r>
      <w:r>
        <w:rPr>
          <w:rFonts w:eastAsia="Times New Roman"/>
          <w:color w:val="000000"/>
          <w:sz w:val="20"/>
          <w:szCs w:val="20"/>
        </w:rPr>
        <w:t xml:space="preserve">nt, timing and uncertainty of revenue and cash flows are affected by economic factors. </w:t>
      </w:r>
    </w:p>
    <w:p w:rsidR="00000000" w:rsidRDefault="00B11388">
      <w:pPr>
        <w:ind w:firstLine="450"/>
        <w:jc w:val="center"/>
        <w:divId w:val="1030104347"/>
        <w:rPr>
          <w:rFonts w:eastAsia="Times New Roman"/>
        </w:rPr>
      </w:pPr>
      <w:r>
        <w:rPr>
          <w:rFonts w:eastAsia="Times New Roman"/>
          <w:color w:val="000000"/>
          <w:sz w:val="20"/>
          <w:szCs w:val="20"/>
        </w:rPr>
        <w:t>22</w:t>
      </w:r>
    </w:p>
    <w:p w:rsidR="00000000" w:rsidRDefault="00B11388">
      <w:pPr>
        <w:rPr>
          <w:rFonts w:eastAsia="Times New Roman"/>
        </w:rPr>
      </w:pPr>
      <w:r>
        <w:rPr>
          <w:rFonts w:eastAsia="Times New Roman"/>
        </w:rPr>
        <w:pict>
          <v:rect id="_x0000_i1049" style="width:0;height:1.5pt" o:hralign="center" o:hrstd="t" o:hr="t" fillcolor="#a0a0a0" stroked="f"/>
        </w:pict>
      </w:r>
    </w:p>
    <w:p w:rsidR="00000000" w:rsidRDefault="00B11388">
      <w:pPr>
        <w:ind w:firstLine="450"/>
        <w:divId w:val="130025187"/>
        <w:rPr>
          <w:rFonts w:eastAsia="Times New Roman"/>
        </w:rPr>
      </w:pPr>
    </w:p>
    <w:p w:rsidR="00000000" w:rsidRDefault="00B11388">
      <w:pPr>
        <w:ind w:firstLine="450"/>
        <w:divId w:val="1033655732"/>
        <w:rPr>
          <w:rFonts w:eastAsia="Times New Roman"/>
        </w:rPr>
      </w:pPr>
    </w:p>
    <w:p w:rsidR="00000000" w:rsidRDefault="00B11388">
      <w:pPr>
        <w:ind w:firstLine="450"/>
        <w:divId w:val="855383473"/>
        <w:rPr>
          <w:rFonts w:eastAsia="Times New Roman"/>
        </w:rPr>
      </w:pPr>
      <w:r>
        <w:rPr>
          <w:rFonts w:eastAsia="Times New Roman"/>
          <w:i/>
          <w:iCs/>
          <w:color w:val="000000"/>
          <w:sz w:val="20"/>
          <w:szCs w:val="20"/>
        </w:rPr>
        <w:t xml:space="preserve">Integrated Mission Systems: </w:t>
      </w:r>
      <w:r>
        <w:rPr>
          <w:rFonts w:eastAsia="Times New Roman"/>
          <w:color w:val="000000"/>
          <w:sz w:val="20"/>
          <w:szCs w:val="20"/>
        </w:rPr>
        <w:t>Integrated Mission Systems revenue is primarily derived from U.S. Government development and production contracts and is generally recognized over time using the POC cost-to-cost revenue r</w:t>
      </w:r>
      <w:r>
        <w:rPr>
          <w:rFonts w:eastAsia="Times New Roman"/>
          <w:color w:val="000000"/>
          <w:sz w:val="20"/>
          <w:szCs w:val="20"/>
        </w:rPr>
        <w:t>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4434"/>
        <w:gridCol w:w="37"/>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2"/>
        <w:gridCol w:w="36"/>
      </w:tblGrid>
      <w:tr w:rsidR="00000000">
        <w:trPr>
          <w:divId w:val="1997684098"/>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997684098"/>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997684098"/>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997684098"/>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7684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7684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856 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7684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859775565"/>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1,147 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997 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997684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1,034 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1,026 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2,054 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446 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997684098"/>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755979529"/>
        <w:rPr>
          <w:rFonts w:eastAsia="Times New Roman"/>
        </w:rPr>
      </w:pPr>
      <w:r>
        <w:rPr>
          <w:rFonts w:eastAsia="Times New Roman"/>
          <w:color w:val="000000"/>
          <w:sz w:val="16"/>
          <w:szCs w:val="16"/>
        </w:rPr>
        <w:t>_______________</w:t>
      </w:r>
    </w:p>
    <w:p w:rsidR="00000000" w:rsidRDefault="00B11388">
      <w:pPr>
        <w:ind w:hanging="270"/>
        <w:divId w:val="1525482400"/>
        <w:rPr>
          <w:rFonts w:eastAsia="Times New Roman"/>
        </w:rPr>
      </w:pPr>
      <w:r>
        <w:rPr>
          <w:rFonts w:eastAsia="Times New Roman"/>
          <w:color w:val="000000"/>
          <w:sz w:val="16"/>
          <w:szCs w:val="16"/>
        </w:rPr>
        <w:t>(1)Includes revenue derived from time-and-materials contracts.</w:t>
      </w:r>
    </w:p>
    <w:p w:rsidR="00000000" w:rsidRDefault="00B11388">
      <w:pPr>
        <w:ind w:firstLine="450"/>
        <w:divId w:val="283316787"/>
        <w:rPr>
          <w:rFonts w:eastAsia="Times New Roman"/>
        </w:rPr>
      </w:pPr>
      <w:r>
        <w:rPr>
          <w:rFonts w:eastAsia="Times New Roman"/>
          <w:i/>
          <w:iCs/>
          <w:color w:val="000000"/>
          <w:sz w:val="20"/>
          <w:szCs w:val="20"/>
        </w:rPr>
        <w:t xml:space="preserve">Space and Airborne Systems: </w:t>
      </w:r>
      <w:r>
        <w:rPr>
          <w:rFonts w:eastAsia="Times New Roman"/>
          <w:color w:val="000000"/>
          <w:sz w:val="20"/>
          <w:szCs w:val="20"/>
        </w:rPr>
        <w:t>Space and Airborne Systems revenue is primarily derived from U.S. Government development and production contracts and is generally recognized over time using the POC cost-to-cost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4434"/>
        <w:gridCol w:w="37"/>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2"/>
        <w:gridCol w:w="36"/>
      </w:tblGrid>
      <w:tr w:rsidR="00000000">
        <w:trPr>
          <w:divId w:val="902371831"/>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902371831"/>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90237183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902371831"/>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9023718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90237183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572 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9023718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819807647"/>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740 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1,455 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1,370 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1,064 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1,065 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90237183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1,049 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2,162 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2,050 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902371831"/>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559097536"/>
        <w:rPr>
          <w:rFonts w:eastAsia="Times New Roman"/>
        </w:rPr>
      </w:pPr>
      <w:r>
        <w:rPr>
          <w:rFonts w:eastAsia="Times New Roman"/>
          <w:color w:val="000000"/>
          <w:sz w:val="16"/>
          <w:szCs w:val="16"/>
        </w:rPr>
        <w:t>_______________</w:t>
      </w:r>
    </w:p>
    <w:p w:rsidR="00000000" w:rsidRDefault="00B11388">
      <w:pPr>
        <w:ind w:hanging="270"/>
        <w:divId w:val="425729583"/>
        <w:rPr>
          <w:rFonts w:eastAsia="Times New Roman"/>
        </w:rPr>
      </w:pPr>
      <w:r>
        <w:rPr>
          <w:rFonts w:eastAsia="Times New Roman"/>
          <w:color w:val="000000"/>
          <w:sz w:val="16"/>
          <w:szCs w:val="16"/>
        </w:rPr>
        <w:t>(1)Includes revenue derived from time-and-materials contracts.</w:t>
      </w:r>
    </w:p>
    <w:p w:rsidR="00000000" w:rsidRDefault="00B11388">
      <w:pPr>
        <w:ind w:firstLine="450"/>
        <w:jc w:val="center"/>
        <w:divId w:val="84808459"/>
        <w:rPr>
          <w:rFonts w:eastAsia="Times New Roman"/>
        </w:rPr>
      </w:pPr>
      <w:r>
        <w:rPr>
          <w:rFonts w:eastAsia="Times New Roman"/>
          <w:color w:val="000000"/>
          <w:sz w:val="20"/>
          <w:szCs w:val="20"/>
        </w:rPr>
        <w:t>23</w:t>
      </w:r>
    </w:p>
    <w:p w:rsidR="00000000" w:rsidRDefault="00B11388">
      <w:pPr>
        <w:rPr>
          <w:rFonts w:eastAsia="Times New Roman"/>
        </w:rPr>
      </w:pPr>
      <w:r>
        <w:rPr>
          <w:rFonts w:eastAsia="Times New Roman"/>
        </w:rPr>
        <w:pict>
          <v:rect id="_x0000_i1050" style="width:0;height:1.5pt" o:hralign="center" o:hrstd="t" o:hr="t" fillcolor="#a0a0a0" stroked="f"/>
        </w:pict>
      </w:r>
    </w:p>
    <w:p w:rsidR="00000000" w:rsidRDefault="00B11388">
      <w:pPr>
        <w:ind w:firstLine="450"/>
        <w:divId w:val="1153327512"/>
        <w:rPr>
          <w:rFonts w:eastAsia="Times New Roman"/>
        </w:rPr>
      </w:pPr>
    </w:p>
    <w:p w:rsidR="00000000" w:rsidRDefault="00B11388">
      <w:pPr>
        <w:ind w:firstLine="450"/>
        <w:divId w:val="957569495"/>
        <w:rPr>
          <w:rFonts w:eastAsia="Times New Roman"/>
        </w:rPr>
      </w:pPr>
    </w:p>
    <w:p w:rsidR="00000000" w:rsidRDefault="00B11388">
      <w:pPr>
        <w:ind w:firstLine="450"/>
        <w:divId w:val="1392197346"/>
        <w:rPr>
          <w:rFonts w:eastAsia="Times New Roman"/>
        </w:rPr>
      </w:pPr>
      <w:r>
        <w:rPr>
          <w:rFonts w:eastAsia="Times New Roman"/>
          <w:i/>
          <w:iCs/>
          <w:color w:val="000000"/>
          <w:sz w:val="20"/>
          <w:szCs w:val="20"/>
        </w:rPr>
        <w:t xml:space="preserve">Communication Systems: </w:t>
      </w:r>
      <w:r>
        <w:rPr>
          <w:rFonts w:eastAsia="Times New Roman"/>
          <w:color w:val="000000"/>
          <w:sz w:val="20"/>
          <w:szCs w:val="20"/>
        </w:rPr>
        <w:t>Communication Systems revenue is primarily derived from fixed-price contracts and is generally recognized at the point in time when products are received and accepted by the customer for standa</w:t>
      </w:r>
      <w:r>
        <w:rPr>
          <w:rFonts w:eastAsia="Times New Roman"/>
          <w:color w:val="000000"/>
          <w:sz w:val="20"/>
          <w:szCs w:val="20"/>
        </w:rPr>
        <w:t>rd products offered to multiple customers and over time for customer-specific products,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9"/>
        <w:gridCol w:w="4434"/>
        <w:gridCol w:w="37"/>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2"/>
        <w:gridCol w:w="36"/>
      </w:tblGrid>
      <w:tr w:rsidR="00000000">
        <w:trPr>
          <w:divId w:val="475604484"/>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47560448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47560448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475604484"/>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4756044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4756044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783 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748 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1,512 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1,488 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4756044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83516916"/>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954 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945 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1,894 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1,858 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4756044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786 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835 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1,618 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1,664 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475604484"/>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75132264"/>
        <w:rPr>
          <w:rFonts w:eastAsia="Times New Roman"/>
        </w:rPr>
      </w:pPr>
      <w:r>
        <w:rPr>
          <w:rFonts w:eastAsia="Times New Roman"/>
          <w:color w:val="000000"/>
          <w:sz w:val="16"/>
          <w:szCs w:val="16"/>
        </w:rPr>
        <w:t>_______________</w:t>
      </w:r>
    </w:p>
    <w:p w:rsidR="00000000" w:rsidRDefault="00B11388">
      <w:pPr>
        <w:ind w:hanging="270"/>
        <w:divId w:val="1315142037"/>
        <w:rPr>
          <w:rFonts w:eastAsia="Times New Roman"/>
        </w:rPr>
      </w:pPr>
      <w:r>
        <w:rPr>
          <w:rFonts w:eastAsia="Times New Roman"/>
          <w:color w:val="000000"/>
          <w:sz w:val="16"/>
          <w:szCs w:val="16"/>
        </w:rPr>
        <w:t>(1)Includes revenue derived from time-and-materials contracts.</w:t>
      </w:r>
    </w:p>
    <w:p w:rsidR="00000000" w:rsidRDefault="00B11388">
      <w:pPr>
        <w:ind w:firstLine="450"/>
        <w:divId w:val="2132626424"/>
        <w:rPr>
          <w:rFonts w:eastAsia="Times New Roman"/>
        </w:rPr>
      </w:pPr>
      <w:r>
        <w:rPr>
          <w:rFonts w:eastAsia="Times New Roman"/>
          <w:i/>
          <w:iCs/>
          <w:color w:val="000000"/>
          <w:sz w:val="20"/>
          <w:szCs w:val="20"/>
        </w:rPr>
        <w:t xml:space="preserve">Aviation Systems: </w:t>
      </w:r>
      <w:r>
        <w:rPr>
          <w:rFonts w:eastAsia="Times New Roman"/>
          <w:color w:val="000000"/>
          <w:sz w:val="20"/>
          <w:szCs w:val="20"/>
        </w:rPr>
        <w:t>Aviation Systems revenue is primarily derived from fixed-price contracts and is generally recognized at the point in time when products are received and accepted by the customer for standard products offered to multiple customers and over time for customer</w:t>
      </w:r>
      <w:r>
        <w:rPr>
          <w:rFonts w:eastAsia="Times New Roman"/>
          <w:color w:val="000000"/>
          <w:sz w:val="20"/>
          <w:szCs w:val="20"/>
        </w:rPr>
        <w:t>-specific products,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9"/>
        <w:gridCol w:w="4434"/>
        <w:gridCol w:w="37"/>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2"/>
        <w:gridCol w:w="36"/>
      </w:tblGrid>
      <w:tr w:rsidR="00000000">
        <w:trPr>
          <w:divId w:val="1860193783"/>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860193783"/>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860193783"/>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860193783"/>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86019378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86019378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1,179 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86019378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divId w:val="133256809"/>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610 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1,439 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860193783"/>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676 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1,408 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0193783"/>
        </w:trPr>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446435556"/>
        <w:rPr>
          <w:rFonts w:eastAsia="Times New Roman"/>
        </w:rPr>
      </w:pPr>
      <w:r>
        <w:rPr>
          <w:rFonts w:eastAsia="Times New Roman"/>
          <w:color w:val="000000"/>
          <w:sz w:val="16"/>
          <w:szCs w:val="16"/>
        </w:rPr>
        <w:t>_______________</w:t>
      </w:r>
    </w:p>
    <w:p w:rsidR="00000000" w:rsidRDefault="00B11388">
      <w:pPr>
        <w:ind w:hanging="270"/>
        <w:divId w:val="309139380"/>
        <w:rPr>
          <w:rFonts w:eastAsia="Times New Roman"/>
        </w:rPr>
      </w:pPr>
      <w:r>
        <w:rPr>
          <w:rFonts w:eastAsia="Times New Roman"/>
          <w:color w:val="000000"/>
          <w:sz w:val="16"/>
          <w:szCs w:val="16"/>
        </w:rPr>
        <w:t>(1)Includes revenue derived from time-and-materials contracts.</w:t>
      </w:r>
    </w:p>
    <w:p w:rsidR="00000000" w:rsidRDefault="00B11388">
      <w:pPr>
        <w:ind w:firstLine="450"/>
        <w:jc w:val="center"/>
        <w:divId w:val="1442064085"/>
        <w:rPr>
          <w:rFonts w:eastAsia="Times New Roman"/>
        </w:rPr>
      </w:pPr>
      <w:r>
        <w:rPr>
          <w:rFonts w:eastAsia="Times New Roman"/>
          <w:color w:val="000000"/>
          <w:sz w:val="20"/>
          <w:szCs w:val="20"/>
        </w:rPr>
        <w:t>24</w:t>
      </w:r>
    </w:p>
    <w:p w:rsidR="00000000" w:rsidRDefault="00B11388">
      <w:pPr>
        <w:rPr>
          <w:rFonts w:eastAsia="Times New Roman"/>
        </w:rPr>
      </w:pPr>
      <w:r>
        <w:rPr>
          <w:rFonts w:eastAsia="Times New Roman"/>
        </w:rPr>
        <w:pict>
          <v:rect id="_x0000_i1051" style="width:0;height:1.5pt" o:hralign="center" o:hrstd="t" o:hr="t" fillcolor="#a0a0a0" stroked="f"/>
        </w:pict>
      </w:r>
    </w:p>
    <w:p w:rsidR="00000000" w:rsidRDefault="00B11388">
      <w:pPr>
        <w:ind w:firstLine="450"/>
        <w:divId w:val="1595701640"/>
        <w:rPr>
          <w:rFonts w:eastAsia="Times New Roman"/>
        </w:rPr>
      </w:pPr>
    </w:p>
    <w:p w:rsidR="00000000" w:rsidRDefault="00B11388">
      <w:pPr>
        <w:ind w:firstLine="450"/>
        <w:divId w:val="2075424828"/>
        <w:rPr>
          <w:rFonts w:eastAsia="Times New Roman"/>
        </w:rPr>
      </w:pPr>
    </w:p>
    <w:p w:rsidR="00000000" w:rsidRDefault="00B11388">
      <w:pPr>
        <w:ind w:firstLine="450"/>
        <w:divId w:val="376048396"/>
        <w:rPr>
          <w:rFonts w:eastAsia="Times New Roman"/>
        </w:rPr>
      </w:pPr>
      <w:r>
        <w:rPr>
          <w:rFonts w:eastAsia="Times New Roman"/>
          <w:color w:val="000000"/>
          <w:sz w:val="20"/>
          <w:szCs w:val="20"/>
        </w:rPr>
        <w:t>Total assets by business segment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8"/>
        <w:gridCol w:w="120"/>
        <w:gridCol w:w="1079"/>
        <w:gridCol w:w="36"/>
        <w:gridCol w:w="36"/>
        <w:gridCol w:w="36"/>
        <w:gridCol w:w="36"/>
        <w:gridCol w:w="120"/>
        <w:gridCol w:w="1046"/>
        <w:gridCol w:w="36"/>
      </w:tblGrid>
      <w:tr w:rsidR="00000000">
        <w:trPr>
          <w:divId w:val="718941057"/>
        </w:trPr>
        <w:tc>
          <w:tcPr>
            <w:tcW w:w="50" w:type="pct"/>
            <w:vAlign w:val="center"/>
            <w:hideMark/>
          </w:tcPr>
          <w:p w:rsidR="00000000" w:rsidRDefault="00B11388">
            <w:pPr>
              <w:ind w:firstLine="450"/>
              <w:rPr>
                <w:rFonts w:eastAsia="Times New Roman"/>
              </w:rPr>
            </w:pPr>
          </w:p>
        </w:tc>
        <w:tc>
          <w:tcPr>
            <w:tcW w:w="344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718941057"/>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January 1, 2021</w:t>
            </w:r>
          </w:p>
        </w:tc>
      </w:tr>
      <w:tr w:rsidR="00000000">
        <w:trPr>
          <w:divId w:val="718941057"/>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8941057"/>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18941057"/>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9,152 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8,906 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8941057"/>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7,058 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8941057"/>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5,871 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5,746 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8941057"/>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4,042 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5,026 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8941057"/>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divId w:val="1695184383"/>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9,941 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10,339 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718941057"/>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273682937"/>
        <w:rPr>
          <w:rFonts w:eastAsia="Times New Roman"/>
        </w:rPr>
      </w:pPr>
      <w:r>
        <w:rPr>
          <w:rFonts w:eastAsia="Times New Roman"/>
          <w:color w:val="000000"/>
          <w:sz w:val="16"/>
          <w:szCs w:val="16"/>
        </w:rPr>
        <w:t>_______________</w:t>
      </w:r>
    </w:p>
    <w:p w:rsidR="00000000" w:rsidRDefault="00B11388">
      <w:pPr>
        <w:ind w:hanging="270"/>
        <w:divId w:val="2123106212"/>
        <w:rPr>
          <w:rFonts w:eastAsia="Times New Roman"/>
        </w:rPr>
      </w:pPr>
      <w:r>
        <w:rPr>
          <w:rFonts w:eastAsia="Times New Roman"/>
          <w:color w:val="000000"/>
          <w:sz w:val="16"/>
          <w:szCs w:val="16"/>
        </w:rPr>
        <w:t>(1)</w:t>
      </w:r>
      <w:r>
        <w:rPr>
          <w:rFonts w:eastAsia="Times New Roman"/>
          <w:color w:val="000000"/>
          <w:sz w:val="16"/>
          <w:szCs w:val="16"/>
        </w:rPr>
        <w:t>Identifiable intangible assets acquired in connection with the L3Harris Merger on June 29, 2019 and our acquisition of Exelis Inc. in fiscal 2015 were recorded as Corporate assets because they benefited the entire Company as opposed to any individual segme</w:t>
      </w:r>
      <w:r>
        <w:rPr>
          <w:rFonts w:eastAsia="Times New Roman"/>
          <w:color w:val="000000"/>
          <w:sz w:val="16"/>
          <w:szCs w:val="16"/>
        </w:rPr>
        <w:t>nt. Identifiable intangible asset balances recorded as Corporate assets were approximately $7.0 billion and $7.9 billion at July 2, 2021 and January 1, 2021, respectively. Corporate assets also consisted of cash, income taxes receivable, deferred income ta</w:t>
      </w:r>
      <w:r>
        <w:rPr>
          <w:rFonts w:eastAsia="Times New Roman"/>
          <w:color w:val="000000"/>
          <w:sz w:val="16"/>
          <w:szCs w:val="16"/>
        </w:rPr>
        <w:t xml:space="preserve">xes, deferred compensation plan investments, buildings and equipment, as well as any assets and liabilities from discontinued operations and divestitures. See </w:t>
      </w:r>
      <w:r>
        <w:rPr>
          <w:rFonts w:eastAsia="Times New Roman"/>
          <w:i/>
          <w:iCs/>
          <w:color w:val="000000"/>
          <w:sz w:val="16"/>
          <w:szCs w:val="16"/>
        </w:rPr>
        <w:t>Note B — Business Divestitures</w:t>
      </w:r>
      <w:r>
        <w:rPr>
          <w:rFonts w:eastAsia="Times New Roman"/>
          <w:color w:val="000000"/>
          <w:sz w:val="16"/>
          <w:szCs w:val="16"/>
        </w:rPr>
        <w:t xml:space="preserve"> in these Notes for additional information.</w:t>
      </w:r>
    </w:p>
    <w:p w:rsidR="00000000" w:rsidRDefault="00B11388">
      <w:pPr>
        <w:divId w:val="876895802"/>
        <w:rPr>
          <w:rFonts w:eastAsia="Times New Roman"/>
        </w:rPr>
      </w:pPr>
      <w:r>
        <w:rPr>
          <w:rFonts w:eastAsia="Times New Roman"/>
          <w:b/>
          <w:bCs/>
          <w:color w:val="000000"/>
          <w:sz w:val="20"/>
          <w:szCs w:val="20"/>
        </w:rPr>
        <w:t xml:space="preserve">Note T — </w:t>
      </w:r>
      <w:r>
        <w:rPr>
          <w:rFonts w:eastAsia="Times New Roman"/>
          <w:b/>
          <w:bCs/>
          <w:color w:val="000000"/>
          <w:sz w:val="20"/>
          <w:szCs w:val="20"/>
        </w:rPr>
        <w:t xml:space="preserve">Legal Proceedings and Contingencies </w:t>
      </w:r>
    </w:p>
    <w:p w:rsidR="00000000" w:rsidRDefault="00B11388">
      <w:pPr>
        <w:ind w:firstLine="450"/>
        <w:divId w:val="2116364084"/>
        <w:rPr>
          <w:rFonts w:eastAsia="Times New Roman"/>
        </w:rPr>
      </w:pPr>
      <w:r>
        <w:rPr>
          <w:rFonts w:eastAsia="Times New Roman"/>
          <w:color w:val="000000"/>
          <w:sz w:val="20"/>
          <w:szCs w:val="20"/>
        </w:rPr>
        <w:t xml:space="preserve">From time to time, as a normal incident of the nature and kind of businesses in which we are or were engaged, various claims or charges are asserted and litigation or arbitration is commenced by or against us arising from or related to matters, including, </w:t>
      </w:r>
      <w:r>
        <w:rPr>
          <w:rFonts w:eastAsia="Times New Roman"/>
          <w:color w:val="000000"/>
          <w:sz w:val="20"/>
          <w:szCs w:val="20"/>
        </w:rPr>
        <w:t>but not limited to: product liability; personal injury; patents, trademarks, trade secrets or other intellectual property; labor and employee disputes; commercial or contractual disputes; strategic acquisitions or divestitures; the prior sale or use of for</w:t>
      </w:r>
      <w:r>
        <w:rPr>
          <w:rFonts w:eastAsia="Times New Roman"/>
          <w:color w:val="000000"/>
          <w:sz w:val="20"/>
          <w:szCs w:val="20"/>
        </w:rPr>
        <w:t>mer products allegedly containing asbestos or other restricted materials; breach of warranty; or environmental matters. Claimed amounts against us may be substantial but may not bear any reasonable relationship to the merits of the claim or the extent of a</w:t>
      </w:r>
      <w:r>
        <w:rPr>
          <w:rFonts w:eastAsia="Times New Roman"/>
          <w:color w:val="000000"/>
          <w:sz w:val="20"/>
          <w:szCs w:val="20"/>
        </w:rPr>
        <w:t>ny real risk of court or arbitral awards. We record accruals for losses related to those matters against us that we consider to be probable and that can be reasonably estimated. Gain contingencies, if any, are recognized when they are realized, and legal c</w:t>
      </w:r>
      <w:r>
        <w:rPr>
          <w:rFonts w:eastAsia="Times New Roman"/>
          <w:color w:val="000000"/>
          <w:sz w:val="20"/>
          <w:szCs w:val="20"/>
        </w:rPr>
        <w:t>osts generally are expensed when incurred. At July 2, 2021, our accrual for the potential resolution of lawsuits, claims or proceedings that we consider probable of being decided unfavorably to us was not material. Although it is not feasible to predict th</w:t>
      </w:r>
      <w:r>
        <w:rPr>
          <w:rFonts w:eastAsia="Times New Roman"/>
          <w:color w:val="000000"/>
          <w:sz w:val="20"/>
          <w:szCs w:val="20"/>
        </w:rPr>
        <w:t>e outcome of these matters with certainty, it is reasonably possible that some lawsuits, claims or proceedings may be disposed of or decided unfavorably to us and in excess of the amounts currently accrued. Based on available information, in the opinion of</w:t>
      </w:r>
      <w:r>
        <w:rPr>
          <w:rFonts w:eastAsia="Times New Roman"/>
          <w:color w:val="000000"/>
          <w:sz w:val="20"/>
          <w:szCs w:val="20"/>
        </w:rPr>
        <w:t xml:space="preserve"> management, settlements, arbitration awards and final judgments, if any, that are considered probable of being rendered against us in litigation or arbitration in existence at July 2, 2021 are reserved against or would not have a material adverse effect o</w:t>
      </w:r>
      <w:r>
        <w:rPr>
          <w:rFonts w:eastAsia="Times New Roman"/>
          <w:color w:val="000000"/>
          <w:sz w:val="20"/>
          <w:szCs w:val="20"/>
        </w:rPr>
        <w:t>n our financial condition, results of operations, cash flows or equity.</w:t>
      </w:r>
    </w:p>
    <w:p w:rsidR="00000000" w:rsidRDefault="00B11388">
      <w:pPr>
        <w:ind w:firstLine="450"/>
        <w:divId w:val="353582810"/>
        <w:rPr>
          <w:rFonts w:eastAsia="Times New Roman"/>
        </w:rPr>
      </w:pPr>
      <w:r>
        <w:rPr>
          <w:rFonts w:eastAsia="Times New Roman"/>
          <w:i/>
          <w:iCs/>
          <w:color w:val="000000"/>
          <w:sz w:val="20"/>
          <w:szCs w:val="20"/>
        </w:rPr>
        <w:t>Environmental</w:t>
      </w:r>
      <w:r>
        <w:rPr>
          <w:rFonts w:eastAsia="Times New Roman"/>
          <w:color w:val="000000"/>
          <w:sz w:val="20"/>
          <w:szCs w:val="20"/>
        </w:rPr>
        <w:t xml:space="preserve"> </w:t>
      </w:r>
      <w:r>
        <w:rPr>
          <w:rFonts w:eastAsia="Times New Roman"/>
          <w:i/>
          <w:iCs/>
          <w:color w:val="000000"/>
          <w:sz w:val="20"/>
          <w:szCs w:val="20"/>
        </w:rPr>
        <w:t>Matters</w:t>
      </w:r>
      <w:r>
        <w:rPr>
          <w:rFonts w:eastAsia="Times New Roman"/>
          <w:color w:val="000000"/>
          <w:sz w:val="20"/>
          <w:szCs w:val="20"/>
        </w:rPr>
        <w:t>: We are subject to numerous U.S. Federal, state, local and international environmental laws and regulatory requirements and are involved from time to time in inve</w:t>
      </w:r>
      <w:r>
        <w:rPr>
          <w:rFonts w:eastAsia="Times New Roman"/>
          <w:color w:val="000000"/>
          <w:sz w:val="20"/>
          <w:szCs w:val="20"/>
        </w:rPr>
        <w:t>stigations or litigation of various potential environmental issues. We or companies we have acquired are responsible, or alleged to be responsible, for environmental investigation and/or remediation of multiple sites. These sites are in various stages of i</w:t>
      </w:r>
      <w:r>
        <w:rPr>
          <w:rFonts w:eastAsia="Times New Roman"/>
          <w:color w:val="000000"/>
          <w:sz w:val="20"/>
          <w:szCs w:val="20"/>
        </w:rPr>
        <w:t>nvestigation and/or remediation and in some cases our liability is considered de minimis. Notices from the U.S. Environmental Protection Agency (“EPA”) or equivalent state or international environmental agencies allege that a number of sites formerly or cu</w:t>
      </w:r>
      <w:r>
        <w:rPr>
          <w:rFonts w:eastAsia="Times New Roman"/>
          <w:color w:val="000000"/>
          <w:sz w:val="20"/>
          <w:szCs w:val="20"/>
        </w:rPr>
        <w:t>rrently owned and/or operated by us or companies we have acquired, and other properties or water supplies that may be or have been impacted from those operations, contain disposed or recycled materials or wastes and require environmental investigation and/</w:t>
      </w:r>
      <w:r>
        <w:rPr>
          <w:rFonts w:eastAsia="Times New Roman"/>
          <w:color w:val="000000"/>
          <w:sz w:val="20"/>
          <w:szCs w:val="20"/>
        </w:rPr>
        <w:t>or remediation. These sites include instances of being identified as a potentially responsible party under the Comprehensive Environmental Response, Compensation and Liability Act (commonly known as the “Superfund Act”) and/or equivalent state and internat</w:t>
      </w:r>
      <w:r>
        <w:rPr>
          <w:rFonts w:eastAsia="Times New Roman"/>
          <w:color w:val="000000"/>
          <w:sz w:val="20"/>
          <w:szCs w:val="20"/>
        </w:rPr>
        <w:t>ional laws. For example, in June 2014, the U.S. Department of Justice, Environment and Natural Resources Division, notified several potentially responsible parties, including Exelis Inc., of potential responsibility for contribution to the environmental in</w:t>
      </w:r>
      <w:r>
        <w:rPr>
          <w:rFonts w:eastAsia="Times New Roman"/>
          <w:color w:val="000000"/>
          <w:sz w:val="20"/>
          <w:szCs w:val="20"/>
        </w:rPr>
        <w:t>vestigation and remediation of multiple locations in Alaska. In addition, in March 2016, the EPA notified over 100 potentially responsible parties, including Exelis Inc., of potential liability for the cost of remediation for the 8.3-mile stretch of the Lo</w:t>
      </w:r>
      <w:r>
        <w:rPr>
          <w:rFonts w:eastAsia="Times New Roman"/>
          <w:color w:val="000000"/>
          <w:sz w:val="20"/>
          <w:szCs w:val="20"/>
        </w:rPr>
        <w:t>wer Passaic River, estimated by the EPA to be $1.38 billion, but the parties’ respective allocations have not been determined. Although it is not feasible to predict the outcome of these environmental claims made against us, based on available information,</w:t>
      </w:r>
      <w:r>
        <w:rPr>
          <w:rFonts w:eastAsia="Times New Roman"/>
          <w:color w:val="000000"/>
          <w:sz w:val="20"/>
          <w:szCs w:val="20"/>
        </w:rPr>
        <w:t xml:space="preserve"> in the opinion of our management, any payments we may be required to make as a result of environmental claims made against us in existence at July 2, 2021 are reserved against, covered by insurance or would not have a material adverse effect on our financ</w:t>
      </w:r>
      <w:r>
        <w:rPr>
          <w:rFonts w:eastAsia="Times New Roman"/>
          <w:color w:val="000000"/>
          <w:sz w:val="20"/>
          <w:szCs w:val="20"/>
        </w:rPr>
        <w:t xml:space="preserve">ial condition, results of operations, cash flows or equity. </w:t>
      </w:r>
    </w:p>
    <w:p w:rsidR="00000000" w:rsidRDefault="00B11388">
      <w:pPr>
        <w:ind w:firstLine="450"/>
        <w:jc w:val="center"/>
        <w:divId w:val="1359433220"/>
        <w:rPr>
          <w:rFonts w:eastAsia="Times New Roman"/>
        </w:rPr>
      </w:pPr>
      <w:r>
        <w:rPr>
          <w:rFonts w:eastAsia="Times New Roman"/>
          <w:color w:val="000000"/>
          <w:sz w:val="20"/>
          <w:szCs w:val="20"/>
        </w:rPr>
        <w:t>25</w:t>
      </w:r>
    </w:p>
    <w:p w:rsidR="00000000" w:rsidRDefault="00B11388">
      <w:pPr>
        <w:rPr>
          <w:rFonts w:eastAsia="Times New Roman"/>
        </w:rPr>
      </w:pPr>
      <w:r>
        <w:rPr>
          <w:rFonts w:eastAsia="Times New Roman"/>
        </w:rPr>
        <w:pict>
          <v:rect id="_x0000_i1052" style="width:0;height:1.5pt" o:hralign="center" o:hrstd="t" o:hr="t" fillcolor="#a0a0a0" stroked="f"/>
        </w:pict>
      </w:r>
    </w:p>
    <w:p w:rsidR="00000000" w:rsidRDefault="00B11388">
      <w:pPr>
        <w:ind w:firstLine="450"/>
        <w:divId w:val="67002039"/>
        <w:rPr>
          <w:rFonts w:eastAsia="Times New Roman"/>
        </w:rPr>
      </w:pPr>
    </w:p>
    <w:p w:rsidR="00000000" w:rsidRDefault="00B11388">
      <w:pPr>
        <w:ind w:firstLine="450"/>
        <w:divId w:val="736977079"/>
        <w:rPr>
          <w:rFonts w:eastAsia="Times New Roman"/>
        </w:rPr>
      </w:pPr>
    </w:p>
    <w:p w:rsidR="00000000" w:rsidRDefault="00B11388">
      <w:pPr>
        <w:ind w:firstLine="450"/>
        <w:jc w:val="center"/>
        <w:divId w:val="1636061134"/>
        <w:rPr>
          <w:rFonts w:eastAsia="Times New Roman"/>
        </w:rPr>
      </w:pPr>
      <w:r>
        <w:rPr>
          <w:rFonts w:eastAsia="Times New Roman"/>
          <w:b/>
          <w:bCs/>
          <w:color w:val="000000"/>
          <w:sz w:val="20"/>
          <w:szCs w:val="20"/>
        </w:rPr>
        <w:t xml:space="preserve">REPORT OF INDEPENDENT REGISTERED PUBLIC ACCOUNTING FIRM </w:t>
      </w:r>
    </w:p>
    <w:p w:rsidR="00000000" w:rsidRDefault="00B11388">
      <w:pPr>
        <w:divId w:val="728960932"/>
        <w:rPr>
          <w:rFonts w:eastAsia="Times New Roman"/>
        </w:rPr>
      </w:pPr>
    </w:p>
    <w:p w:rsidR="00000000" w:rsidRDefault="00B11388">
      <w:pPr>
        <w:jc w:val="both"/>
        <w:rPr>
          <w:rFonts w:eastAsia="Times New Roman"/>
        </w:rPr>
      </w:pPr>
      <w:r>
        <w:rPr>
          <w:rFonts w:eastAsia="Times New Roman"/>
          <w:color w:val="000000"/>
          <w:sz w:val="20"/>
          <w:szCs w:val="20"/>
        </w:rPr>
        <w:t>To the Shareholders and Board of Directors of L3Harris Technologies, Inc.</w:t>
      </w:r>
    </w:p>
    <w:p w:rsidR="00000000" w:rsidRDefault="00B11388">
      <w:pPr>
        <w:divId w:val="76944580"/>
        <w:rPr>
          <w:rFonts w:eastAsia="Times New Roman"/>
        </w:rPr>
      </w:pPr>
    </w:p>
    <w:p w:rsidR="00000000" w:rsidRDefault="00B11388">
      <w:pPr>
        <w:jc w:val="both"/>
        <w:rPr>
          <w:rFonts w:eastAsia="Times New Roman"/>
        </w:rPr>
      </w:pPr>
      <w:r>
        <w:rPr>
          <w:rFonts w:eastAsia="Times New Roman"/>
          <w:b/>
          <w:bCs/>
          <w:color w:val="000000"/>
          <w:sz w:val="20"/>
          <w:szCs w:val="20"/>
        </w:rPr>
        <w:t>Results of Review</w:t>
      </w:r>
      <w:r>
        <w:rPr>
          <w:rFonts w:eastAsia="Times New Roman"/>
          <w:b/>
          <w:bCs/>
          <w:color w:val="000000"/>
          <w:sz w:val="20"/>
          <w:szCs w:val="20"/>
        </w:rPr>
        <w:t xml:space="preserve"> of Interim Financial Statements </w:t>
      </w:r>
    </w:p>
    <w:p w:rsidR="00000000" w:rsidRDefault="00B11388">
      <w:pPr>
        <w:divId w:val="567034242"/>
        <w:rPr>
          <w:rFonts w:eastAsia="Times New Roman"/>
        </w:rPr>
      </w:pPr>
    </w:p>
    <w:p w:rsidR="00000000" w:rsidRDefault="00B11388">
      <w:pPr>
        <w:divId w:val="579288379"/>
        <w:rPr>
          <w:rFonts w:eastAsia="Times New Roman"/>
        </w:rPr>
      </w:pPr>
      <w:r>
        <w:rPr>
          <w:rFonts w:eastAsia="Times New Roman"/>
          <w:color w:val="000000"/>
          <w:sz w:val="20"/>
          <w:szCs w:val="20"/>
        </w:rPr>
        <w:t>We have reviewed the accompanying condensed consolidated balance sheet of L3Harris Technologies, Inc. (the Company) as of July 2, 2021, the related condensed consolidated statements of income, comprehensive income and eq</w:t>
      </w:r>
      <w:r>
        <w:rPr>
          <w:rFonts w:eastAsia="Times New Roman"/>
          <w:color w:val="000000"/>
          <w:sz w:val="20"/>
          <w:szCs w:val="20"/>
        </w:rPr>
        <w:t>uity for the quarters and two quarters ended July 2, 2021 and July 3, 2020, the condensed consolidated statements of cash flows for the two quarters ended July 2, 2021 and July 3, 2020, and the related notes (collectively referred to as the “condensed cons</w:t>
      </w:r>
      <w:r>
        <w:rPr>
          <w:rFonts w:eastAsia="Times New Roman"/>
          <w:color w:val="000000"/>
          <w:sz w:val="20"/>
          <w:szCs w:val="20"/>
        </w:rPr>
        <w:t>olidated interim financial statements”). Based on our reviews, we are not aware of any material modifications that should be made to the condensed consolidated interim financial statements for them to be in conformity with U.S. generally accepted accountin</w:t>
      </w:r>
      <w:r>
        <w:rPr>
          <w:rFonts w:eastAsia="Times New Roman"/>
          <w:color w:val="000000"/>
          <w:sz w:val="20"/>
          <w:szCs w:val="20"/>
        </w:rPr>
        <w:t xml:space="preserve">g principles. </w:t>
      </w:r>
    </w:p>
    <w:p w:rsidR="00000000" w:rsidRDefault="00B11388">
      <w:pPr>
        <w:divId w:val="438381366"/>
        <w:rPr>
          <w:rFonts w:eastAsia="Times New Roman"/>
        </w:rPr>
      </w:pPr>
    </w:p>
    <w:p w:rsidR="00000000" w:rsidRDefault="00B11388">
      <w:pPr>
        <w:divId w:val="1480077679"/>
        <w:rPr>
          <w:rFonts w:eastAsia="Times New Roman"/>
        </w:rPr>
      </w:pPr>
      <w:r>
        <w:rPr>
          <w:rFonts w:eastAsia="Times New Roman"/>
          <w:color w:val="000000"/>
          <w:sz w:val="20"/>
          <w:szCs w:val="20"/>
        </w:rPr>
        <w:t>We have previously audited, in accordance with the standards of the Public Company Accounting Oversight Board (United States) (PCAOB), the consolidated balance sheet of the Company as of January 1, 2021, the related consolidated statements</w:t>
      </w:r>
      <w:r>
        <w:rPr>
          <w:rFonts w:eastAsia="Times New Roman"/>
          <w:color w:val="000000"/>
          <w:sz w:val="20"/>
          <w:szCs w:val="20"/>
        </w:rPr>
        <w:t xml:space="preserve"> of income, comprehensive income, cash flows and equity for the year then ended, and the related notes (not presented herein); and in our report dated March 1, 2021, we expressed an unqualified audit opinion on those consolidated financial statements. In o</w:t>
      </w:r>
      <w:r>
        <w:rPr>
          <w:rFonts w:eastAsia="Times New Roman"/>
          <w:color w:val="000000"/>
          <w:sz w:val="20"/>
          <w:szCs w:val="20"/>
        </w:rPr>
        <w:t xml:space="preserve">ur opinion, the information set forth in the accompanying condensed consolidated balance sheet as of January 1, 2021, is fairly stated, in all material respects, in relation to the consolidated balance sheet from which it has been derived. </w:t>
      </w:r>
    </w:p>
    <w:p w:rsidR="00000000" w:rsidRDefault="00B11388">
      <w:pPr>
        <w:divId w:val="98452226"/>
        <w:rPr>
          <w:rFonts w:eastAsia="Times New Roman"/>
        </w:rPr>
      </w:pPr>
    </w:p>
    <w:p w:rsidR="00000000" w:rsidRDefault="00B11388">
      <w:pPr>
        <w:jc w:val="both"/>
        <w:rPr>
          <w:rFonts w:eastAsia="Times New Roman"/>
        </w:rPr>
      </w:pPr>
      <w:r>
        <w:rPr>
          <w:rFonts w:eastAsia="Times New Roman"/>
          <w:b/>
          <w:bCs/>
          <w:color w:val="000000"/>
          <w:sz w:val="20"/>
          <w:szCs w:val="20"/>
        </w:rPr>
        <w:t>Basis for Rev</w:t>
      </w:r>
      <w:r>
        <w:rPr>
          <w:rFonts w:eastAsia="Times New Roman"/>
          <w:b/>
          <w:bCs/>
          <w:color w:val="000000"/>
          <w:sz w:val="20"/>
          <w:szCs w:val="20"/>
        </w:rPr>
        <w:t xml:space="preserve">iew Results </w:t>
      </w:r>
    </w:p>
    <w:p w:rsidR="00000000" w:rsidRDefault="00B11388">
      <w:pPr>
        <w:jc w:val="both"/>
        <w:rPr>
          <w:rFonts w:eastAsia="Times New Roman"/>
        </w:rPr>
      </w:pPr>
    </w:p>
    <w:p w:rsidR="00000000" w:rsidRDefault="00B11388">
      <w:pPr>
        <w:divId w:val="868371521"/>
        <w:rPr>
          <w:rFonts w:eastAsia="Times New Roman"/>
        </w:rPr>
      </w:pPr>
      <w:r>
        <w:rPr>
          <w:rFonts w:eastAsia="Times New Roman"/>
          <w:color w:val="000000"/>
          <w:sz w:val="20"/>
          <w:szCs w:val="20"/>
        </w:rPr>
        <w:t>These financial statements are the responsibility of the Company’s management. We are a public accounting firm registered with the PCAOB and required to be independent with respect to the Company in accordance with the U.S. federal securitie</w:t>
      </w:r>
      <w:r>
        <w:rPr>
          <w:rFonts w:eastAsia="Times New Roman"/>
          <w:color w:val="000000"/>
          <w:sz w:val="20"/>
          <w:szCs w:val="20"/>
        </w:rPr>
        <w:t>s laws and the applicable rules and regulations of the SEC and the PCAOB. We conducted our review in accordance with the standards of the PCAOB. A review of interim financial statements consists principally of applying analytical procedures and making inqu</w:t>
      </w:r>
      <w:r>
        <w:rPr>
          <w:rFonts w:eastAsia="Times New Roman"/>
          <w:color w:val="000000"/>
          <w:sz w:val="20"/>
          <w:szCs w:val="20"/>
        </w:rPr>
        <w:t>iries of persons responsible for financial and accounting matters. It is substantially less in scope than an audit conducted in accordance with the standards of the PCAOB, the objective of which is the expression of an opinion regarding the financial state</w:t>
      </w:r>
      <w:r>
        <w:rPr>
          <w:rFonts w:eastAsia="Times New Roman"/>
          <w:color w:val="000000"/>
          <w:sz w:val="20"/>
          <w:szCs w:val="20"/>
        </w:rPr>
        <w:t>ments taken as a whole. Accordingly, we do not express such an opinion.</w:t>
      </w:r>
    </w:p>
    <w:p w:rsidR="00000000" w:rsidRDefault="00B11388">
      <w:pPr>
        <w:jc w:val="both"/>
        <w:rPr>
          <w:rFonts w:eastAsia="Times New Roman"/>
        </w:rPr>
      </w:pPr>
    </w:p>
    <w:p w:rsidR="00000000" w:rsidRDefault="00B11388">
      <w:pPr>
        <w:jc w:val="both"/>
        <w:rPr>
          <w:rFonts w:eastAsia="Times New Roman"/>
        </w:rPr>
      </w:pPr>
    </w:p>
    <w:p w:rsidR="00000000" w:rsidRDefault="00B11388">
      <w:pPr>
        <w:jc w:val="both"/>
        <w:rPr>
          <w:rFonts w:eastAsia="Times New Roman"/>
        </w:rPr>
      </w:pPr>
    </w:p>
    <w:p w:rsidR="00000000" w:rsidRDefault="00B11388">
      <w:pPr>
        <w:divId w:val="101456538"/>
        <w:rPr>
          <w:rFonts w:eastAsia="Times New Roman"/>
        </w:rPr>
      </w:pPr>
      <w:r>
        <w:rPr>
          <w:rFonts w:eastAsia="Times New Roman"/>
          <w:color w:val="000000"/>
          <w:sz w:val="20"/>
          <w:szCs w:val="20"/>
        </w:rPr>
        <w:t>/s/ Ernst &amp; Young LLP</w:t>
      </w:r>
    </w:p>
    <w:p w:rsidR="00000000" w:rsidRDefault="00B11388">
      <w:pPr>
        <w:ind w:firstLine="450"/>
        <w:divId w:val="119304780"/>
        <w:rPr>
          <w:rFonts w:eastAsia="Times New Roman"/>
        </w:rPr>
      </w:pPr>
    </w:p>
    <w:p w:rsidR="00000000" w:rsidRDefault="00B11388">
      <w:pPr>
        <w:divId w:val="1746681892"/>
        <w:rPr>
          <w:rFonts w:eastAsia="Times New Roman"/>
        </w:rPr>
      </w:pPr>
      <w:r>
        <w:rPr>
          <w:rFonts w:eastAsia="Times New Roman"/>
          <w:color w:val="000000"/>
          <w:sz w:val="20"/>
          <w:szCs w:val="20"/>
        </w:rPr>
        <w:t>Orlando, Florida</w:t>
      </w:r>
    </w:p>
    <w:p w:rsidR="00000000" w:rsidRDefault="00B11388">
      <w:pPr>
        <w:divId w:val="1187134047"/>
        <w:rPr>
          <w:rFonts w:eastAsia="Times New Roman"/>
        </w:rPr>
      </w:pPr>
      <w:r>
        <w:rPr>
          <w:rFonts w:eastAsia="Times New Roman"/>
          <w:color w:val="000000"/>
          <w:sz w:val="20"/>
          <w:szCs w:val="20"/>
        </w:rPr>
        <w:t xml:space="preserve">August 4, 2021 </w:t>
      </w:r>
    </w:p>
    <w:p w:rsidR="00000000" w:rsidRDefault="00B11388">
      <w:pPr>
        <w:ind w:firstLine="450"/>
        <w:jc w:val="center"/>
        <w:divId w:val="1665547521"/>
        <w:rPr>
          <w:rFonts w:eastAsia="Times New Roman"/>
        </w:rPr>
      </w:pPr>
      <w:r>
        <w:rPr>
          <w:rFonts w:eastAsia="Times New Roman"/>
          <w:color w:val="000000"/>
          <w:sz w:val="20"/>
          <w:szCs w:val="20"/>
        </w:rPr>
        <w:t>26</w:t>
      </w:r>
    </w:p>
    <w:p w:rsidR="00000000" w:rsidRDefault="00B11388">
      <w:pPr>
        <w:rPr>
          <w:rFonts w:eastAsia="Times New Roman"/>
        </w:rPr>
      </w:pPr>
      <w:r>
        <w:rPr>
          <w:rFonts w:eastAsia="Times New Roman"/>
        </w:rPr>
        <w:pict>
          <v:rect id="_x0000_i1053" style="width:0;height:1.5pt" o:hralign="center" o:hrstd="t" o:hr="t" fillcolor="#a0a0a0" stroked="f"/>
        </w:pict>
      </w:r>
    </w:p>
    <w:p w:rsidR="00000000" w:rsidRDefault="00B11388">
      <w:pPr>
        <w:ind w:firstLine="450"/>
        <w:divId w:val="215359873"/>
        <w:rPr>
          <w:rFonts w:eastAsia="Times New Roman"/>
        </w:rPr>
      </w:pPr>
    </w:p>
    <w:p w:rsidR="00000000" w:rsidRDefault="00B11388">
      <w:pPr>
        <w:ind w:firstLine="450"/>
        <w:divId w:val="1451775542"/>
        <w:rPr>
          <w:rFonts w:eastAsia="Times New Roman"/>
        </w:rPr>
      </w:pPr>
    </w:p>
    <w:p w:rsidR="00000000" w:rsidRDefault="00B11388">
      <w:pPr>
        <w:divId w:val="1534807679"/>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B11388">
      <w:pPr>
        <w:divId w:val="2038389343"/>
        <w:rPr>
          <w:rFonts w:eastAsia="Times New Roman"/>
        </w:rPr>
      </w:pPr>
      <w:r>
        <w:rPr>
          <w:rFonts w:eastAsia="Times New Roman"/>
          <w:b/>
          <w:bCs/>
          <w:color w:val="000000"/>
          <w:sz w:val="20"/>
          <w:szCs w:val="20"/>
        </w:rPr>
        <w:t>OVERVIEW</w:t>
      </w:r>
    </w:p>
    <w:p w:rsidR="00000000" w:rsidRDefault="00B11388">
      <w:pPr>
        <w:ind w:firstLine="450"/>
        <w:divId w:val="100272304"/>
        <w:rPr>
          <w:rFonts w:eastAsia="Times New Roman"/>
        </w:rPr>
      </w:pPr>
      <w:r>
        <w:rPr>
          <w:rFonts w:eastAsia="Times New Roman"/>
          <w:color w:val="000000"/>
          <w:sz w:val="20"/>
          <w:szCs w:val="20"/>
        </w:rPr>
        <w:t>The following Management’s Discussion and Analysis (“MD&amp;A”) is intended to assist in an understanding of our fin</w:t>
      </w:r>
      <w:r>
        <w:rPr>
          <w:rFonts w:eastAsia="Times New Roman"/>
          <w:color w:val="000000"/>
          <w:sz w:val="20"/>
          <w:szCs w:val="20"/>
        </w:rPr>
        <w:t>ancial condition and results of operations. This MD&amp;A is provided as a supplement to, should be read in conjunction with, and is qualified in its entirety by reference to, our Condensed Consolidated Financial Statements (Unaudited) and accompanying Notes a</w:t>
      </w:r>
      <w:r>
        <w:rPr>
          <w:rFonts w:eastAsia="Times New Roman"/>
          <w:color w:val="000000"/>
          <w:sz w:val="20"/>
          <w:szCs w:val="20"/>
        </w:rPr>
        <w:t>ppearing elsewhere in this Report (the “Notes”). In addition, reference should be made to our audited Consolidated Financial Statements and accompanying Notes to Consolidated Financial Statements and Item 7. “Management’s Discussion and Analysis of Financi</w:t>
      </w:r>
      <w:r>
        <w:rPr>
          <w:rFonts w:eastAsia="Times New Roman"/>
          <w:color w:val="000000"/>
          <w:sz w:val="20"/>
          <w:szCs w:val="20"/>
        </w:rPr>
        <w:t xml:space="preserve">al Condition and Results of Operations” included in our Fiscal 2020 Form 10-K. Except for the historical information contained herein, the discussions in this MD&amp;A contain forward-looking statements that involve risks and uncertainties. Our future results </w:t>
      </w:r>
      <w:r>
        <w:rPr>
          <w:rFonts w:eastAsia="Times New Roman"/>
          <w:color w:val="000000"/>
          <w:sz w:val="20"/>
          <w:szCs w:val="20"/>
        </w:rPr>
        <w:t>could differ materially from those discussed herein. Factors that could cause or contribute to such differences include, but are not limited to, those discussed below in this MD&amp;A under “Forward-Looking Statements and Factors that May Affect Future Results</w:t>
      </w:r>
      <w:r>
        <w:rPr>
          <w:rFonts w:eastAsia="Times New Roman"/>
          <w:color w:val="000000"/>
          <w:sz w:val="20"/>
          <w:szCs w:val="20"/>
        </w:rPr>
        <w:t xml:space="preserve">.” </w:t>
      </w:r>
    </w:p>
    <w:p w:rsidR="00000000" w:rsidRDefault="00B11388">
      <w:pPr>
        <w:divId w:val="1419517291"/>
        <w:rPr>
          <w:rFonts w:eastAsia="Times New Roman"/>
        </w:rPr>
      </w:pPr>
      <w:r>
        <w:rPr>
          <w:rFonts w:eastAsia="Times New Roman"/>
          <w:b/>
          <w:bCs/>
          <w:color w:val="000000"/>
          <w:sz w:val="20"/>
          <w:szCs w:val="20"/>
        </w:rPr>
        <w:t>COVID </w:t>
      </w:r>
    </w:p>
    <w:p w:rsidR="00000000" w:rsidRDefault="00B11388">
      <w:pPr>
        <w:ind w:firstLine="450"/>
        <w:divId w:val="538473063"/>
        <w:rPr>
          <w:rFonts w:eastAsia="Times New Roman"/>
        </w:rPr>
      </w:pPr>
      <w:r>
        <w:rPr>
          <w:rFonts w:eastAsia="Times New Roman"/>
          <w:color w:val="000000"/>
          <w:sz w:val="20"/>
          <w:szCs w:val="20"/>
        </w:rPr>
        <w:t>Attempts to contain and reduce the spread of COVID, such as mandatory closures, “shelter-in-place” orders and travel and quarantine restrictions, have caused significant disruptions and adverse effects on the U.S. and global economies, such as i</w:t>
      </w:r>
      <w:r>
        <w:rPr>
          <w:rFonts w:eastAsia="Times New Roman"/>
          <w:color w:val="000000"/>
          <w:sz w:val="20"/>
          <w:szCs w:val="20"/>
        </w:rPr>
        <w:t>mpacts to supply chains, customer demand, international trade and capital markets. Our response has involved increasing our focus on keeping our employees safe while striving to maintain continuity of operations, meet customer commitments and support suppl</w:t>
      </w:r>
      <w:r>
        <w:rPr>
          <w:rFonts w:eastAsia="Times New Roman"/>
          <w:color w:val="000000"/>
          <w:sz w:val="20"/>
          <w:szCs w:val="20"/>
        </w:rPr>
        <w:t>iers. For example, we instituted numerous types of precautions, protocols and other arrangements designed to protect employees from COVID infections and to comply with applicable regulations and we have also maintained an active dialog, and in some cases d</w:t>
      </w:r>
      <w:r>
        <w:rPr>
          <w:rFonts w:eastAsia="Times New Roman"/>
          <w:color w:val="000000"/>
          <w:sz w:val="20"/>
          <w:szCs w:val="20"/>
        </w:rPr>
        <w:t>eveloped plans, with key suppliers in an effort to mitigate supply chain risks or otherwise minimize the impact from those risks. The U.S. Government response to COVID has included identifying the Defense Industrial Base as a Critical Infrastructure Sector</w:t>
      </w:r>
      <w:r>
        <w:rPr>
          <w:rFonts w:eastAsia="Times New Roman"/>
          <w:color w:val="000000"/>
          <w:sz w:val="20"/>
          <w:szCs w:val="20"/>
        </w:rPr>
        <w:t xml:space="preserve"> and enhancing cash flow and liquidity for the Defense Industrial Base, such as by increasing progress payments and accelerating contract awards, which enabled us to keep our U.S. production facilities largely operational in support of national security co</w:t>
      </w:r>
      <w:r>
        <w:rPr>
          <w:rFonts w:eastAsia="Times New Roman"/>
          <w:color w:val="000000"/>
          <w:sz w:val="20"/>
          <w:szCs w:val="20"/>
        </w:rPr>
        <w:t>mmitments to U.S. Government customers (as part of the Defense Industrial Base) and to accelerate payments to small business suppliers, which we expect to continue while the U.S. Government’s responsive actions remain in effect.</w:t>
      </w:r>
    </w:p>
    <w:p w:rsidR="00000000" w:rsidRDefault="00B11388">
      <w:pPr>
        <w:ind w:firstLine="450"/>
        <w:divId w:val="2052609367"/>
        <w:rPr>
          <w:rFonts w:eastAsia="Times New Roman"/>
        </w:rPr>
      </w:pPr>
      <w:r>
        <w:rPr>
          <w:rFonts w:eastAsia="Times New Roman"/>
          <w:color w:val="000000"/>
          <w:sz w:val="20"/>
          <w:szCs w:val="20"/>
        </w:rPr>
        <w:t xml:space="preserve">Although we believe that a </w:t>
      </w:r>
      <w:r>
        <w:rPr>
          <w:rFonts w:eastAsia="Times New Roman"/>
          <w:color w:val="000000"/>
          <w:sz w:val="20"/>
          <w:szCs w:val="20"/>
        </w:rPr>
        <w:t>large percentage of our revenue, earnings and cash flow that is derived from sales to the U.S. Government, whether directly or through prime contractors, will be relatively predictable, in part due to the U.S. Government’s responsive actions described abov</w:t>
      </w:r>
      <w:r>
        <w:rPr>
          <w:rFonts w:eastAsia="Times New Roman"/>
          <w:color w:val="000000"/>
          <w:sz w:val="20"/>
          <w:szCs w:val="20"/>
        </w:rPr>
        <w:t>e, our commercial and international businesses are at a higher risk of adverse COVID-related impacts, and we cannot eliminate all potential impacts to our business from supply chain risks, such as longer lead times and shortages of electronics and other co</w:t>
      </w:r>
      <w:r>
        <w:rPr>
          <w:rFonts w:eastAsia="Times New Roman"/>
          <w:color w:val="000000"/>
          <w:sz w:val="20"/>
          <w:szCs w:val="20"/>
        </w:rPr>
        <w:t>mponents. For example, the severe decline in global air traffic from travel restrictions and the resulting downturn in the commercial aviation market and its impact on customer operations has significantly reduced demand for flight training, flight simulat</w:t>
      </w:r>
      <w:r>
        <w:rPr>
          <w:rFonts w:eastAsia="Times New Roman"/>
          <w:color w:val="000000"/>
          <w:sz w:val="20"/>
          <w:szCs w:val="20"/>
        </w:rPr>
        <w:t>ors and commercial avionics products in our Aviation Systems segment.</w:t>
      </w:r>
    </w:p>
    <w:p w:rsidR="00000000" w:rsidRDefault="00B11388">
      <w:pPr>
        <w:ind w:firstLine="450"/>
        <w:divId w:val="2037852374"/>
        <w:rPr>
          <w:rFonts w:eastAsia="Times New Roman"/>
        </w:rPr>
      </w:pPr>
      <w:r>
        <w:rPr>
          <w:rFonts w:eastAsia="Times New Roman"/>
          <w:color w:val="000000"/>
          <w:sz w:val="20"/>
          <w:szCs w:val="20"/>
        </w:rPr>
        <w:t>The extent of these disruptions and impacts, including on our ability to perform under U.S. Government and other contracts within agreed timeframes and ultimately on our results of opera</w:t>
      </w:r>
      <w:r>
        <w:rPr>
          <w:rFonts w:eastAsia="Times New Roman"/>
          <w:color w:val="000000"/>
          <w:sz w:val="20"/>
          <w:szCs w:val="20"/>
        </w:rPr>
        <w:t>tions and cash flows, will depend on future developments, including further COVID-related impacts and associated containment and mitigation actions taken by governmental authorities and consequences thereof, and global air traffic demand and governmental s</w:t>
      </w:r>
      <w:r>
        <w:rPr>
          <w:rFonts w:eastAsia="Times New Roman"/>
          <w:color w:val="000000"/>
          <w:sz w:val="20"/>
          <w:szCs w:val="20"/>
        </w:rPr>
        <w:t>ubsidies to airlines, and potential impacts to our business from supply chain risks, all of which are uncertain and unpredictable, could exacerbate other risks discussed in Item 1A. “Risk Factors” of our Fiscal 2020 Form 10-K, any of which could have a mat</w:t>
      </w:r>
      <w:r>
        <w:rPr>
          <w:rFonts w:eastAsia="Times New Roman"/>
          <w:color w:val="000000"/>
          <w:sz w:val="20"/>
          <w:szCs w:val="20"/>
        </w:rPr>
        <w:t>erial effect on us. For further information regarding the impact, and the risks of the impact, of COVID on the Company, see “Item 1A. Risk Factors” of our Fiscal 2020 Form 10-K.</w:t>
      </w:r>
    </w:p>
    <w:p w:rsidR="00000000" w:rsidRDefault="00B11388">
      <w:pPr>
        <w:divId w:val="824510513"/>
        <w:rPr>
          <w:rFonts w:eastAsia="Times New Roman"/>
        </w:rPr>
      </w:pPr>
      <w:r>
        <w:rPr>
          <w:rFonts w:eastAsia="Times New Roman"/>
          <w:b/>
          <w:bCs/>
          <w:color w:val="000000"/>
          <w:sz w:val="20"/>
          <w:szCs w:val="20"/>
        </w:rPr>
        <w:t>KEY DEVELOPMENTS</w:t>
      </w:r>
    </w:p>
    <w:p w:rsidR="00000000" w:rsidRDefault="00B11388">
      <w:pPr>
        <w:ind w:firstLine="450"/>
        <w:divId w:val="1370498406"/>
        <w:rPr>
          <w:rFonts w:eastAsia="Times New Roman"/>
        </w:rPr>
      </w:pPr>
      <w:r>
        <w:rPr>
          <w:rFonts w:eastAsia="Times New Roman"/>
          <w:color w:val="000000"/>
          <w:sz w:val="20"/>
          <w:szCs w:val="20"/>
        </w:rPr>
        <w:t>The following is a list of the remaining sections of this MD&amp;</w:t>
      </w:r>
      <w:r>
        <w:rPr>
          <w:rFonts w:eastAsia="Times New Roman"/>
          <w:color w:val="000000"/>
          <w:sz w:val="20"/>
          <w:szCs w:val="20"/>
        </w:rPr>
        <w:t>A, together with our perspective on their contents, which we hope will assist in reading these pages:</w:t>
      </w:r>
    </w:p>
    <w:p w:rsidR="00000000" w:rsidRDefault="00B11388">
      <w:pPr>
        <w:ind w:hanging="180"/>
        <w:divId w:val="1289432693"/>
        <w:rPr>
          <w:rFonts w:eastAsia="Times New Roman"/>
        </w:rPr>
      </w:pPr>
      <w:r>
        <w:rPr>
          <w:rFonts w:eastAsia="Times New Roman"/>
          <w:color w:val="000000"/>
          <w:sz w:val="20"/>
          <w:szCs w:val="20"/>
        </w:rPr>
        <w:t>•</w:t>
      </w:r>
      <w:r>
        <w:rPr>
          <w:rFonts w:eastAsia="Times New Roman"/>
          <w:b/>
          <w:bCs/>
          <w:i/>
          <w:iCs/>
          <w:color w:val="000000"/>
          <w:sz w:val="20"/>
          <w:szCs w:val="20"/>
        </w:rPr>
        <w:t xml:space="preserve">Results of Operations </w:t>
      </w:r>
      <w:r>
        <w:rPr>
          <w:rFonts w:eastAsia="Times New Roman"/>
          <w:color w:val="000000"/>
          <w:sz w:val="20"/>
          <w:szCs w:val="20"/>
        </w:rPr>
        <w:t>— an analysis of our consolidated results of operations and the results in each of our business segments, to the extent the segment</w:t>
      </w:r>
      <w:r>
        <w:rPr>
          <w:rFonts w:eastAsia="Times New Roman"/>
          <w:color w:val="000000"/>
          <w:sz w:val="20"/>
          <w:szCs w:val="20"/>
        </w:rPr>
        <w:t xml:space="preserve"> results are helpful to an understanding of our business as a whole, for the periods presented in our Condensed Consolidated Statement of Income (Unaudited). </w:t>
      </w:r>
    </w:p>
    <w:p w:rsidR="00000000" w:rsidRDefault="00B11388">
      <w:pPr>
        <w:ind w:hanging="180"/>
        <w:divId w:val="1317223304"/>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Strategies </w:t>
      </w:r>
      <w:r>
        <w:rPr>
          <w:rFonts w:eastAsia="Times New Roman"/>
          <w:color w:val="000000"/>
          <w:sz w:val="20"/>
          <w:szCs w:val="20"/>
        </w:rPr>
        <w:t>— an analysis of cash flows, funding of pe</w:t>
      </w:r>
      <w:r>
        <w:rPr>
          <w:rFonts w:eastAsia="Times New Roman"/>
          <w:color w:val="000000"/>
          <w:sz w:val="20"/>
          <w:szCs w:val="20"/>
        </w:rPr>
        <w:t>nsion plans, common stock repurchases, dividends, capital structure and resources, off-balance sheet arrangements and commercial commitments and contractual obligations.</w:t>
      </w:r>
    </w:p>
    <w:p w:rsidR="00000000" w:rsidRDefault="00B11388">
      <w:pPr>
        <w:ind w:hanging="180"/>
        <w:divId w:val="2067869761"/>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Estimates</w:t>
      </w:r>
      <w:r>
        <w:rPr>
          <w:rFonts w:eastAsia="Times New Roman"/>
          <w:color w:val="000000"/>
          <w:sz w:val="20"/>
          <w:szCs w:val="20"/>
        </w:rPr>
        <w:t> — information about accounting policies th</w:t>
      </w:r>
      <w:r>
        <w:rPr>
          <w:rFonts w:eastAsia="Times New Roman"/>
          <w:color w:val="000000"/>
          <w:sz w:val="20"/>
          <w:szCs w:val="20"/>
        </w:rPr>
        <w:t>at require critical judgments and estimates and about accounting standards that have been issued, but are not yet effective for us, and their potential impact on our financial condition, results of operations, cash flows and equity.</w:t>
      </w:r>
    </w:p>
    <w:p w:rsidR="00000000" w:rsidRDefault="00B11388">
      <w:pPr>
        <w:ind w:firstLine="450"/>
        <w:jc w:val="center"/>
        <w:divId w:val="1130049133"/>
        <w:rPr>
          <w:rFonts w:eastAsia="Times New Roman"/>
        </w:rPr>
      </w:pPr>
      <w:r>
        <w:rPr>
          <w:rFonts w:eastAsia="Times New Roman"/>
          <w:color w:val="000000"/>
          <w:sz w:val="20"/>
          <w:szCs w:val="20"/>
        </w:rPr>
        <w:t>27</w:t>
      </w:r>
    </w:p>
    <w:p w:rsidR="00000000" w:rsidRDefault="00B11388">
      <w:pPr>
        <w:rPr>
          <w:rFonts w:eastAsia="Times New Roman"/>
        </w:rPr>
      </w:pPr>
      <w:r>
        <w:rPr>
          <w:rFonts w:eastAsia="Times New Roman"/>
        </w:rPr>
        <w:pict>
          <v:rect id="_x0000_i1054" style="width:0;height:1.5pt" o:hralign="center" o:hrstd="t" o:hr="t" fillcolor="#a0a0a0" stroked="f"/>
        </w:pict>
      </w:r>
    </w:p>
    <w:p w:rsidR="00000000" w:rsidRDefault="00B11388">
      <w:pPr>
        <w:ind w:firstLine="450"/>
        <w:divId w:val="961810568"/>
        <w:rPr>
          <w:rFonts w:eastAsia="Times New Roman"/>
        </w:rPr>
      </w:pPr>
    </w:p>
    <w:p w:rsidR="00000000" w:rsidRDefault="00B11388">
      <w:pPr>
        <w:ind w:firstLine="450"/>
        <w:divId w:val="1327710590"/>
        <w:rPr>
          <w:rFonts w:eastAsia="Times New Roman"/>
        </w:rPr>
      </w:pPr>
    </w:p>
    <w:p w:rsidR="00000000" w:rsidRDefault="00B11388">
      <w:pPr>
        <w:ind w:hanging="180"/>
        <w:divId w:val="1674262953"/>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 Factors that May Affect Future Results</w:t>
      </w:r>
      <w:r>
        <w:rPr>
          <w:rFonts w:eastAsia="Times New Roman"/>
          <w:color w:val="000000"/>
          <w:sz w:val="20"/>
          <w:szCs w:val="20"/>
        </w:rPr>
        <w:t> — </w:t>
      </w:r>
      <w:r>
        <w:rPr>
          <w:rFonts w:eastAsia="Times New Roman"/>
          <w:color w:val="000000"/>
          <w:sz w:val="20"/>
          <w:szCs w:val="20"/>
        </w:rPr>
        <w:t>cautionary information about forward-looking statements and a description of certain risks and uncertainties that could cause our actual results to differ materially from our historical results or our current expectations or projections.</w:t>
      </w:r>
    </w:p>
    <w:p w:rsidR="00000000" w:rsidRDefault="00B11388">
      <w:pPr>
        <w:ind w:firstLine="450"/>
        <w:divId w:val="307981978"/>
        <w:rPr>
          <w:rFonts w:eastAsia="Times New Roman"/>
        </w:rPr>
      </w:pPr>
      <w:r>
        <w:rPr>
          <w:rFonts w:eastAsia="Times New Roman"/>
          <w:color w:val="000000"/>
          <w:sz w:val="20"/>
          <w:szCs w:val="20"/>
        </w:rPr>
        <w:t>We report the fina</w:t>
      </w:r>
      <w:r>
        <w:rPr>
          <w:rFonts w:eastAsia="Times New Roman"/>
          <w:color w:val="000000"/>
          <w:sz w:val="20"/>
          <w:szCs w:val="20"/>
        </w:rPr>
        <w:t>ncial results of our continuing operations in the following four segments, which are also referred to as our business segments:</w:t>
      </w:r>
    </w:p>
    <w:p w:rsidR="00000000" w:rsidRDefault="00B11388">
      <w:pPr>
        <w:ind w:hanging="180"/>
        <w:divId w:val="772282133"/>
        <w:rPr>
          <w:rFonts w:eastAsia="Times New Roman"/>
        </w:rPr>
      </w:pPr>
      <w:r>
        <w:rPr>
          <w:rFonts w:eastAsia="Times New Roman"/>
          <w:color w:val="000000"/>
          <w:sz w:val="20"/>
          <w:szCs w:val="20"/>
        </w:rPr>
        <w:t>•Integrated Mission Systems, including multi-mission ISR and communication systems; integrated electrical and electronic systems</w:t>
      </w:r>
      <w:r>
        <w:rPr>
          <w:rFonts w:eastAsia="Times New Roman"/>
          <w:color w:val="000000"/>
          <w:sz w:val="20"/>
          <w:szCs w:val="20"/>
        </w:rPr>
        <w:t xml:space="preserve"> for maritime platforms; and advanced electro-optical and infrared solutions;</w:t>
      </w:r>
    </w:p>
    <w:p w:rsidR="00000000" w:rsidRDefault="00B11388">
      <w:pPr>
        <w:ind w:hanging="180"/>
        <w:divId w:val="78447259"/>
        <w:rPr>
          <w:rFonts w:eastAsia="Times New Roman"/>
        </w:rPr>
      </w:pPr>
      <w:r>
        <w:rPr>
          <w:rFonts w:eastAsia="Times New Roman"/>
          <w:color w:val="000000"/>
          <w:sz w:val="20"/>
          <w:szCs w:val="20"/>
        </w:rPr>
        <w:t>•Space and Airborne Systems, including space payloads, sensors and full-mission solutions; classified intelligence and cyber defense; avionics; and electronic warfare;</w:t>
      </w:r>
    </w:p>
    <w:p w:rsidR="00000000" w:rsidRDefault="00B11388">
      <w:pPr>
        <w:ind w:hanging="180"/>
        <w:divId w:val="1969192665"/>
        <w:rPr>
          <w:rFonts w:eastAsia="Times New Roman"/>
        </w:rPr>
      </w:pPr>
      <w:r>
        <w:rPr>
          <w:rFonts w:eastAsia="Times New Roman"/>
          <w:color w:val="000000"/>
          <w:sz w:val="20"/>
          <w:szCs w:val="20"/>
        </w:rPr>
        <w:t>•Communica</w:t>
      </w:r>
      <w:r>
        <w:rPr>
          <w:rFonts w:eastAsia="Times New Roman"/>
          <w:color w:val="000000"/>
          <w:sz w:val="20"/>
          <w:szCs w:val="20"/>
        </w:rPr>
        <w:t>tion Systems, including tactical communications; broadband communications; integrated vision solutions; public safety and global communications solutions; and</w:t>
      </w:r>
    </w:p>
    <w:p w:rsidR="00000000" w:rsidRDefault="00B11388">
      <w:pPr>
        <w:ind w:hanging="180"/>
        <w:divId w:val="1910187782"/>
        <w:rPr>
          <w:rFonts w:eastAsia="Times New Roman"/>
        </w:rPr>
      </w:pPr>
      <w:r>
        <w:rPr>
          <w:rFonts w:eastAsia="Times New Roman"/>
          <w:color w:val="000000"/>
          <w:sz w:val="20"/>
          <w:szCs w:val="20"/>
        </w:rPr>
        <w:t>•Aviation Systems, including defense aviation; commercial aviation products; commercial pilot tra</w:t>
      </w:r>
      <w:r>
        <w:rPr>
          <w:rFonts w:eastAsia="Times New Roman"/>
          <w:color w:val="000000"/>
          <w:sz w:val="20"/>
          <w:szCs w:val="20"/>
        </w:rPr>
        <w:t>ining; and mission networks for air traffic management.</w:t>
      </w:r>
    </w:p>
    <w:p w:rsidR="00000000" w:rsidRDefault="00B11388">
      <w:pPr>
        <w:ind w:firstLine="450"/>
        <w:divId w:val="834883236"/>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w:t>
      </w:r>
      <w:r>
        <w:rPr>
          <w:rFonts w:eastAsia="Times New Roman"/>
          <w:color w:val="000000"/>
          <w:sz w:val="20"/>
          <w:szCs w:val="20"/>
        </w:rPr>
        <w:t xml:space="preserve">in the Notes for information regarding the following businesses divested or classified as held for sale in fiscal 2020 and 2021: </w:t>
      </w:r>
    </w:p>
    <w:p w:rsidR="00000000" w:rsidRDefault="00B11388">
      <w:pPr>
        <w:ind w:hanging="180"/>
        <w:divId w:val="267587626"/>
        <w:rPr>
          <w:rFonts w:eastAsia="Times New Roman"/>
        </w:rPr>
      </w:pPr>
      <w:r>
        <w:rPr>
          <w:rFonts w:eastAsia="Times New Roman"/>
          <w:color w:val="000000"/>
          <w:sz w:val="20"/>
          <w:szCs w:val="20"/>
        </w:rPr>
        <w:t>•Airport security and automation business, divested on May 4, 2020, the results of which were reported as part of our Aviation</w:t>
      </w:r>
      <w:r>
        <w:rPr>
          <w:rFonts w:eastAsia="Times New Roman"/>
          <w:color w:val="000000"/>
          <w:sz w:val="20"/>
          <w:szCs w:val="20"/>
        </w:rPr>
        <w:t xml:space="preserve"> Systems segment through the date of divestiture; </w:t>
      </w:r>
    </w:p>
    <w:p w:rsidR="00000000" w:rsidRDefault="00B11388">
      <w:pPr>
        <w:ind w:hanging="180"/>
        <w:divId w:val="979379280"/>
        <w:rPr>
          <w:rFonts w:eastAsia="Times New Roman"/>
        </w:rPr>
      </w:pPr>
      <w:r>
        <w:rPr>
          <w:rFonts w:eastAsia="Times New Roman"/>
          <w:color w:val="000000"/>
          <w:sz w:val="20"/>
          <w:szCs w:val="20"/>
        </w:rPr>
        <w:t>•Applied Kilovolts and Analytical Instrumentation business, divested on May 15, 2020, the results of which were reported as part of our Space and Airborne Systems segment through the date of divestiture;</w:t>
      </w:r>
    </w:p>
    <w:p w:rsidR="00000000" w:rsidRDefault="00B11388">
      <w:pPr>
        <w:ind w:hanging="180"/>
        <w:divId w:val="858784133"/>
        <w:rPr>
          <w:rFonts w:eastAsia="Times New Roman"/>
        </w:rPr>
      </w:pPr>
      <w:r>
        <w:rPr>
          <w:rFonts w:eastAsia="Times New Roman"/>
          <w:color w:val="000000"/>
          <w:sz w:val="20"/>
          <w:szCs w:val="20"/>
        </w:rPr>
        <w:t>•</w:t>
      </w:r>
      <w:r>
        <w:rPr>
          <w:rFonts w:eastAsia="Times New Roman"/>
          <w:color w:val="000000"/>
          <w:sz w:val="20"/>
          <w:szCs w:val="20"/>
        </w:rPr>
        <w:t>EOTech business, divested on July 31, 2020, the results of which were reported as part of our Communication Systems segment through the date of divestiture;</w:t>
      </w:r>
    </w:p>
    <w:p w:rsidR="00000000" w:rsidRDefault="00B11388">
      <w:pPr>
        <w:ind w:hanging="180"/>
        <w:divId w:val="1565724250"/>
        <w:rPr>
          <w:rFonts w:eastAsia="Times New Roman"/>
        </w:rPr>
      </w:pPr>
      <w:r>
        <w:rPr>
          <w:rFonts w:eastAsia="Times New Roman"/>
          <w:color w:val="000000"/>
          <w:sz w:val="20"/>
          <w:szCs w:val="20"/>
        </w:rPr>
        <w:t>•Military training business, divested on July 2, 2021, the results of which were reported as part o</w:t>
      </w:r>
      <w:r>
        <w:rPr>
          <w:rFonts w:eastAsia="Times New Roman"/>
          <w:color w:val="000000"/>
          <w:sz w:val="20"/>
          <w:szCs w:val="20"/>
        </w:rPr>
        <w:t xml:space="preserve">f our Aviation Systems segment through the date of divestiture; </w:t>
      </w:r>
    </w:p>
    <w:p w:rsidR="00000000" w:rsidRDefault="00B11388">
      <w:pPr>
        <w:ind w:hanging="180"/>
        <w:divId w:val="398020644"/>
        <w:rPr>
          <w:rFonts w:eastAsia="Times New Roman"/>
        </w:rPr>
      </w:pPr>
      <w:r>
        <w:rPr>
          <w:rFonts w:eastAsia="Times New Roman"/>
          <w:color w:val="000000"/>
          <w:sz w:val="20"/>
          <w:szCs w:val="20"/>
        </w:rPr>
        <w:t xml:space="preserve">•CPS business, divested on July 2, 2021, the results of which were reported as part of our Aviation Systems segment through the date of divestiture; </w:t>
      </w:r>
    </w:p>
    <w:p w:rsidR="00000000" w:rsidRDefault="00B11388">
      <w:pPr>
        <w:ind w:hanging="180"/>
        <w:divId w:val="58285501"/>
        <w:rPr>
          <w:rFonts w:eastAsia="Times New Roman"/>
        </w:rPr>
      </w:pPr>
      <w:r>
        <w:rPr>
          <w:rFonts w:eastAsia="Times New Roman"/>
          <w:color w:val="000000"/>
          <w:sz w:val="20"/>
          <w:szCs w:val="20"/>
        </w:rPr>
        <w:t>•VSE disposal group, definitive agreement</w:t>
      </w:r>
      <w:r>
        <w:rPr>
          <w:rFonts w:eastAsia="Times New Roman"/>
          <w:color w:val="000000"/>
          <w:sz w:val="20"/>
          <w:szCs w:val="20"/>
        </w:rPr>
        <w:t xml:space="preserve"> entered into on February 23, 2021 and divestiture partially completed during the quarter ended July 2, 2021, with the remainder classified as held for sale and expected to be completed in the second half of fiscal 2021, the results of which are reported a</w:t>
      </w:r>
      <w:r>
        <w:rPr>
          <w:rFonts w:eastAsia="Times New Roman"/>
          <w:color w:val="000000"/>
          <w:sz w:val="20"/>
          <w:szCs w:val="20"/>
        </w:rPr>
        <w:t xml:space="preserve">s part of our Aviation Systems segment; </w:t>
      </w:r>
    </w:p>
    <w:p w:rsidR="00000000" w:rsidRDefault="00B11388">
      <w:pPr>
        <w:ind w:hanging="180"/>
        <w:divId w:val="1255632589"/>
        <w:rPr>
          <w:rFonts w:eastAsia="Times New Roman"/>
        </w:rPr>
      </w:pPr>
      <w:r>
        <w:rPr>
          <w:rFonts w:eastAsia="Times New Roman"/>
          <w:color w:val="000000"/>
          <w:sz w:val="20"/>
          <w:szCs w:val="20"/>
        </w:rPr>
        <w:t>•Electron Devices business, definitive agreement entered into on July 2, 2021 and classified as held for sale, expected to be completed during the second half of fiscal 2021, the results of which are reported as par</w:t>
      </w:r>
      <w:r>
        <w:rPr>
          <w:rFonts w:eastAsia="Times New Roman"/>
          <w:color w:val="000000"/>
          <w:sz w:val="20"/>
          <w:szCs w:val="20"/>
        </w:rPr>
        <w:t>t of our Aviation Systems segment; and</w:t>
      </w:r>
    </w:p>
    <w:p w:rsidR="00000000" w:rsidRDefault="00B11388">
      <w:pPr>
        <w:ind w:hanging="180"/>
        <w:divId w:val="1774326223"/>
        <w:rPr>
          <w:rFonts w:eastAsia="Times New Roman"/>
        </w:rPr>
      </w:pPr>
      <w:r>
        <w:rPr>
          <w:rFonts w:eastAsia="Times New Roman"/>
          <w:color w:val="000000"/>
          <w:sz w:val="20"/>
          <w:szCs w:val="20"/>
        </w:rPr>
        <w:t>•AP disposal groups, classified as held for sale during the quarter ended July 2, 2021, expected to be completed during the next twelve months, the results of which are reported as part of our Aviation Systems segment</w:t>
      </w:r>
      <w:r>
        <w:rPr>
          <w:rFonts w:eastAsia="Times New Roman"/>
          <w:color w:val="000000"/>
          <w:sz w:val="20"/>
          <w:szCs w:val="20"/>
        </w:rPr>
        <w:t>.</w:t>
      </w:r>
    </w:p>
    <w:p w:rsidR="00000000" w:rsidRDefault="00B11388">
      <w:pPr>
        <w:ind w:firstLine="450"/>
        <w:divId w:val="960111423"/>
        <w:rPr>
          <w:rFonts w:eastAsia="Times New Roman"/>
        </w:rPr>
      </w:pPr>
    </w:p>
    <w:p w:rsidR="00000000" w:rsidRDefault="00B11388">
      <w:pPr>
        <w:ind w:firstLine="450"/>
        <w:jc w:val="center"/>
        <w:divId w:val="900678215"/>
        <w:rPr>
          <w:rFonts w:eastAsia="Times New Roman"/>
        </w:rPr>
      </w:pPr>
      <w:r>
        <w:rPr>
          <w:rFonts w:eastAsia="Times New Roman"/>
          <w:color w:val="000000"/>
          <w:sz w:val="20"/>
          <w:szCs w:val="20"/>
        </w:rPr>
        <w:t>28</w:t>
      </w:r>
    </w:p>
    <w:p w:rsidR="00000000" w:rsidRDefault="00B11388">
      <w:pPr>
        <w:rPr>
          <w:rFonts w:eastAsia="Times New Roman"/>
        </w:rPr>
      </w:pPr>
      <w:r>
        <w:rPr>
          <w:rFonts w:eastAsia="Times New Roman"/>
        </w:rPr>
        <w:pict>
          <v:rect id="_x0000_i1055" style="width:0;height:1.5pt" o:hralign="center" o:hrstd="t" o:hr="t" fillcolor="#a0a0a0" stroked="f"/>
        </w:pict>
      </w:r>
    </w:p>
    <w:p w:rsidR="00000000" w:rsidRDefault="00B11388">
      <w:pPr>
        <w:ind w:firstLine="450"/>
        <w:divId w:val="1572810371"/>
        <w:rPr>
          <w:rFonts w:eastAsia="Times New Roman"/>
        </w:rPr>
      </w:pPr>
    </w:p>
    <w:p w:rsidR="00000000" w:rsidRDefault="00B11388">
      <w:pPr>
        <w:ind w:firstLine="450"/>
        <w:divId w:val="1731296664"/>
        <w:rPr>
          <w:rFonts w:eastAsia="Times New Roman"/>
        </w:rPr>
      </w:pPr>
    </w:p>
    <w:p w:rsidR="00000000" w:rsidRDefault="00B11388">
      <w:pPr>
        <w:divId w:val="2077625552"/>
        <w:rPr>
          <w:rFonts w:eastAsia="Times New Roman"/>
        </w:rPr>
      </w:pPr>
      <w:r>
        <w:rPr>
          <w:rFonts w:eastAsia="Times New Roman"/>
          <w:b/>
          <w:bCs/>
          <w:color w:val="000000"/>
          <w:sz w:val="20"/>
          <w:szCs w:val="20"/>
        </w:rPr>
        <w:t>RESULTS OF OPERATIONS</w:t>
      </w:r>
    </w:p>
    <w:p w:rsidR="00000000" w:rsidRDefault="00B11388">
      <w:pPr>
        <w:divId w:val="538473436"/>
        <w:rPr>
          <w:rFonts w:eastAsia="Times New Roman"/>
        </w:rPr>
      </w:pPr>
      <w:r>
        <w:rPr>
          <w:rFonts w:eastAsia="Times New Roman"/>
          <w:b/>
          <w:b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2602"/>
        <w:gridCol w:w="39"/>
        <w:gridCol w:w="120"/>
        <w:gridCol w:w="599"/>
        <w:gridCol w:w="187"/>
        <w:gridCol w:w="36"/>
        <w:gridCol w:w="36"/>
        <w:gridCol w:w="36"/>
        <w:gridCol w:w="120"/>
        <w:gridCol w:w="505"/>
        <w:gridCol w:w="187"/>
        <w:gridCol w:w="36"/>
        <w:gridCol w:w="36"/>
        <w:gridCol w:w="36"/>
        <w:gridCol w:w="69"/>
        <w:gridCol w:w="596"/>
        <w:gridCol w:w="187"/>
        <w:gridCol w:w="36"/>
        <w:gridCol w:w="36"/>
        <w:gridCol w:w="36"/>
        <w:gridCol w:w="120"/>
        <w:gridCol w:w="500"/>
        <w:gridCol w:w="187"/>
        <w:gridCol w:w="36"/>
        <w:gridCol w:w="36"/>
        <w:gridCol w:w="36"/>
        <w:gridCol w:w="121"/>
        <w:gridCol w:w="545"/>
        <w:gridCol w:w="187"/>
        <w:gridCol w:w="36"/>
        <w:gridCol w:w="36"/>
        <w:gridCol w:w="36"/>
        <w:gridCol w:w="69"/>
        <w:gridCol w:w="596"/>
        <w:gridCol w:w="187"/>
      </w:tblGrid>
      <w:tr w:rsidR="00000000">
        <w:trPr>
          <w:divId w:val="703293668"/>
        </w:trPr>
        <w:tc>
          <w:tcPr>
            <w:tcW w:w="50" w:type="pct"/>
            <w:vAlign w:val="center"/>
            <w:hideMark/>
          </w:tcPr>
          <w:p w:rsidR="00000000" w:rsidRDefault="00B11388">
            <w:pPr>
              <w:rPr>
                <w:rFonts w:eastAsia="Times New Roman"/>
              </w:rPr>
            </w:pPr>
          </w:p>
        </w:tc>
        <w:tc>
          <w:tcPr>
            <w:tcW w:w="170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6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703293668"/>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r>
      <w:tr w:rsidR="00000000">
        <w:trPr>
          <w:divId w:val="703293668"/>
        </w:trPr>
        <w:tc>
          <w:tcPr>
            <w:tcW w:w="0" w:type="auto"/>
            <w:gridSpan w:val="3"/>
            <w:vAlign w:val="center"/>
            <w:hideMark/>
          </w:tcPr>
          <w:p w:rsidR="00000000" w:rsidRDefault="00B11388">
            <w:pPr>
              <w:spacing w:after="100"/>
              <w:jc w:val="center"/>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703293668"/>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FFFF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2,945 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vAlign w:val="center"/>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FFFF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3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9,071 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(3,251)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(3,175)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(6,464)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(6,473)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35"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ind w:hanging="18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(891)</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(855)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(1,692)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(1,667)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(394)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ind w:hanging="18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ind w:hanging="180"/>
              <w:divId w:val="1468351213"/>
              <w:rPr>
                <w:rFonts w:eastAsia="Times New Roman"/>
              </w:rPr>
            </w:pPr>
            <w:r>
              <w:rPr>
                <w:rFonts w:eastAsia="Times New Roman"/>
                <w:color w:val="000000"/>
                <w:sz w:val="20"/>
                <w:szCs w:val="20"/>
              </w:rPr>
              <w:t>Income from continuing operations attributable to L3Harris Technologies, Inc.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703293668"/>
        </w:trPr>
        <w:tc>
          <w:tcPr>
            <w:tcW w:w="0" w:type="auto"/>
            <w:gridSpan w:val="3"/>
            <w:shd w:val="clear" w:color="auto" w:fill="CCEEFF"/>
            <w:tcMar>
              <w:top w:w="30" w:type="dxa"/>
              <w:left w:w="20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703293668"/>
        </w:trPr>
        <w:tc>
          <w:tcPr>
            <w:tcW w:w="0" w:type="auto"/>
            <w:gridSpan w:val="3"/>
            <w:shd w:val="clear" w:color="auto" w:fill="FFFFFF"/>
            <w:tcMar>
              <w:top w:w="30" w:type="dxa"/>
              <w:left w:w="200" w:type="dxa"/>
              <w:bottom w:w="30" w:type="dxa"/>
              <w:right w:w="20" w:type="dxa"/>
            </w:tcMar>
            <w:vAlign w:val="bottom"/>
            <w:hideMark/>
          </w:tcPr>
          <w:p w:rsidR="00000000" w:rsidRDefault="00B11388">
            <w:pPr>
              <w:spacing w:after="100"/>
              <w:ind w:hanging="180"/>
              <w:rPr>
                <w:rFonts w:eastAsia="Times New Roman"/>
              </w:rPr>
            </w:pPr>
            <w:r>
              <w:rPr>
                <w:rFonts w:eastAsia="Times New Roman"/>
                <w:color w:val="000000"/>
                <w:sz w:val="20"/>
                <w:szCs w:val="20"/>
              </w:rPr>
              <w:t>Income from continuing operations per diluted common share attributable to L3Harris Technologies, Inc.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bl>
    <w:p w:rsidR="00000000" w:rsidRDefault="00B11388">
      <w:pPr>
        <w:divId w:val="655114606"/>
        <w:rPr>
          <w:rFonts w:eastAsia="Times New Roman"/>
        </w:rPr>
      </w:pPr>
      <w:r>
        <w:rPr>
          <w:rFonts w:eastAsia="Times New Roman"/>
          <w:color w:val="000000"/>
          <w:sz w:val="16"/>
          <w:szCs w:val="16"/>
        </w:rPr>
        <w:t>_________________</w:t>
      </w:r>
    </w:p>
    <w:p w:rsidR="00000000" w:rsidRDefault="00B11388">
      <w:pPr>
        <w:ind w:hanging="360"/>
        <w:divId w:val="1055736949"/>
        <w:rPr>
          <w:rFonts w:eastAsia="Times New Roman"/>
        </w:rPr>
      </w:pPr>
      <w:r>
        <w:rPr>
          <w:rFonts w:eastAsia="Times New Roman"/>
          <w:color w:val="000000"/>
          <w:sz w:val="16"/>
          <w:szCs w:val="16"/>
        </w:rPr>
        <w:t>*Not meaningful</w:t>
      </w:r>
    </w:p>
    <w:p w:rsidR="00000000" w:rsidRDefault="00B11388">
      <w:pPr>
        <w:divId w:val="1403483701"/>
        <w:rPr>
          <w:rFonts w:eastAsia="Times New Roman"/>
        </w:rPr>
      </w:pPr>
      <w:r>
        <w:rPr>
          <w:rFonts w:eastAsia="Times New Roman"/>
          <w:b/>
          <w:bCs/>
          <w:i/>
          <w:iCs/>
          <w:color w:val="000000"/>
          <w:sz w:val="20"/>
          <w:szCs w:val="20"/>
        </w:rPr>
        <w:t>Revenue</w:t>
      </w:r>
    </w:p>
    <w:p w:rsidR="00000000" w:rsidRDefault="00B11388">
      <w:pPr>
        <w:ind w:firstLine="450"/>
        <w:divId w:val="93325037"/>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The increase in revenue for the quarter ended July 2, 2021 compared with the quarter ended July 3, 2020 was primarily</w:t>
      </w:r>
      <w:r>
        <w:rPr>
          <w:rFonts w:eastAsia="Times New Roman"/>
          <w:color w:val="000000"/>
          <w:sz w:val="20"/>
          <w:szCs w:val="20"/>
        </w:rPr>
        <w:t xml:space="preserve"> due to organic revenue growth in all four business segments, partially offset by $49 million lower revenue from the impact of completed business divestitures. </w:t>
      </w:r>
    </w:p>
    <w:p w:rsidR="00000000" w:rsidRDefault="00B11388">
      <w:pPr>
        <w:ind w:firstLine="450"/>
        <w:divId w:val="1260724279"/>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The increase in revenue for the two quarters ended July 2, 2021 compar</w:t>
      </w:r>
      <w:r>
        <w:rPr>
          <w:rFonts w:eastAsia="Times New Roman"/>
          <w:color w:val="000000"/>
          <w:sz w:val="20"/>
          <w:szCs w:val="20"/>
        </w:rPr>
        <w:t>ed with the two quarters ended July 3, 2020 was primarily due to the same reasons as noted above in the one quarter comparison for revenue, also partially offset by lower revenue in the quarter ended April 2, 2021 in our Aviation Systems segment from the c</w:t>
      </w:r>
      <w:r>
        <w:rPr>
          <w:rFonts w:eastAsia="Times New Roman"/>
          <w:color w:val="000000"/>
          <w:sz w:val="20"/>
          <w:szCs w:val="20"/>
        </w:rPr>
        <w:t>ontinued COVID-related downturn in the commercial aviation market and its impact on customer operations.</w:t>
      </w:r>
    </w:p>
    <w:p w:rsidR="00000000" w:rsidRDefault="00B11388">
      <w:pPr>
        <w:ind w:firstLine="450"/>
        <w:divId w:val="1728996241"/>
        <w:rPr>
          <w:rFonts w:eastAsia="Times New Roman"/>
        </w:rPr>
      </w:pPr>
      <w:r>
        <w:rPr>
          <w:rFonts w:eastAsia="Times New Roman"/>
          <w:color w:val="000000"/>
          <w:sz w:val="20"/>
          <w:szCs w:val="20"/>
        </w:rPr>
        <w:t>See “Discussion of Business Segment Results of Operations” below in this MD&amp;A for further information.</w:t>
      </w:r>
    </w:p>
    <w:p w:rsidR="00000000" w:rsidRDefault="00B11388">
      <w:pPr>
        <w:ind w:firstLine="450"/>
        <w:jc w:val="center"/>
        <w:divId w:val="1570144218"/>
        <w:rPr>
          <w:rFonts w:eastAsia="Times New Roman"/>
        </w:rPr>
      </w:pPr>
      <w:r>
        <w:rPr>
          <w:rFonts w:eastAsia="Times New Roman"/>
          <w:color w:val="000000"/>
          <w:sz w:val="20"/>
          <w:szCs w:val="20"/>
        </w:rPr>
        <w:t>29</w:t>
      </w:r>
    </w:p>
    <w:p w:rsidR="00000000" w:rsidRDefault="00B11388">
      <w:pPr>
        <w:rPr>
          <w:rFonts w:eastAsia="Times New Roman"/>
        </w:rPr>
      </w:pPr>
      <w:r>
        <w:rPr>
          <w:rFonts w:eastAsia="Times New Roman"/>
        </w:rPr>
        <w:pict>
          <v:rect id="_x0000_i1056" style="width:0;height:1.5pt" o:hralign="center" o:hrstd="t" o:hr="t" fillcolor="#a0a0a0" stroked="f"/>
        </w:pict>
      </w:r>
    </w:p>
    <w:p w:rsidR="00000000" w:rsidRDefault="00B11388">
      <w:pPr>
        <w:ind w:firstLine="450"/>
        <w:divId w:val="464394783"/>
        <w:rPr>
          <w:rFonts w:eastAsia="Times New Roman"/>
        </w:rPr>
      </w:pPr>
    </w:p>
    <w:p w:rsidR="00000000" w:rsidRDefault="00B11388">
      <w:pPr>
        <w:ind w:firstLine="450"/>
        <w:divId w:val="439491407"/>
        <w:rPr>
          <w:rFonts w:eastAsia="Times New Roman"/>
        </w:rPr>
      </w:pPr>
    </w:p>
    <w:p w:rsidR="00000000" w:rsidRDefault="00B11388">
      <w:pPr>
        <w:divId w:val="663437430"/>
        <w:rPr>
          <w:rFonts w:eastAsia="Times New Roman"/>
        </w:rPr>
      </w:pPr>
      <w:r>
        <w:rPr>
          <w:rFonts w:eastAsia="Times New Roman"/>
          <w:b/>
          <w:bCs/>
          <w:i/>
          <w:iCs/>
          <w:color w:val="000000"/>
          <w:sz w:val="20"/>
          <w:szCs w:val="20"/>
        </w:rPr>
        <w:t>Gros</w:t>
      </w:r>
      <w:r>
        <w:rPr>
          <w:rFonts w:eastAsia="Times New Roman"/>
          <w:b/>
          <w:bCs/>
          <w:i/>
          <w:iCs/>
          <w:color w:val="000000"/>
          <w:sz w:val="20"/>
          <w:szCs w:val="20"/>
        </w:rPr>
        <w:t>s Margin Percentage</w:t>
      </w:r>
    </w:p>
    <w:p w:rsidR="00000000" w:rsidRDefault="00B11388">
      <w:pPr>
        <w:ind w:firstLine="450"/>
        <w:divId w:val="404962724"/>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gross margin as a percentage of total revenue (“gross margin percentage”) for the quarter ended July 2, 2021 compared with the quarter ended July 3, 2020 was primarily due to operational excellenc</w:t>
      </w:r>
      <w:r>
        <w:rPr>
          <w:rFonts w:eastAsia="Times New Roman"/>
          <w:color w:val="000000"/>
          <w:sz w:val="20"/>
          <w:szCs w:val="20"/>
        </w:rPr>
        <w:t xml:space="preserve">e, integration benefits and the absence in the quarter ended July 2, 2021 of a $16 million charge for additional cost of sales related to fair value step-up in inventory sold recorded in the quarter ended July 3, 2020. </w:t>
      </w:r>
    </w:p>
    <w:p w:rsidR="00000000" w:rsidRDefault="00B11388">
      <w:pPr>
        <w:ind w:firstLine="450"/>
        <w:divId w:val="1319532593"/>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The increas</w:t>
      </w:r>
      <w:r>
        <w:rPr>
          <w:rFonts w:eastAsia="Times New Roman"/>
          <w:color w:val="000000"/>
          <w:sz w:val="20"/>
          <w:szCs w:val="20"/>
        </w:rPr>
        <w:t>e in gross margin percentage for the two quarters ended July 2, 2021 compared with the two quarters ended July 3, 2020 was primarily due to operational excellence, integration benefits and the absence in the two quarters ended July 2, 2021 of a charge comp</w:t>
      </w:r>
      <w:r>
        <w:rPr>
          <w:rFonts w:eastAsia="Times New Roman"/>
          <w:color w:val="000000"/>
          <w:sz w:val="20"/>
          <w:szCs w:val="20"/>
        </w:rPr>
        <w:t xml:space="preserve">arable to the $31 million for additional cost of sales related to fair value step-up in inventory sold recorded in the two quarters ended July 3, 2020. </w:t>
      </w:r>
    </w:p>
    <w:p w:rsidR="00000000" w:rsidRDefault="00B11388">
      <w:pPr>
        <w:ind w:firstLine="450"/>
        <w:divId w:val="457996766"/>
        <w:rPr>
          <w:rFonts w:eastAsia="Times New Roman"/>
        </w:rPr>
      </w:pPr>
      <w:r>
        <w:rPr>
          <w:rFonts w:eastAsia="Times New Roman"/>
          <w:color w:val="000000"/>
          <w:sz w:val="20"/>
          <w:szCs w:val="20"/>
        </w:rPr>
        <w:t>See the “Discussion of Business Segment Results of Operations” discussion below in this MD&amp;A for furthe</w:t>
      </w:r>
      <w:r>
        <w:rPr>
          <w:rFonts w:eastAsia="Times New Roman"/>
          <w:color w:val="000000"/>
          <w:sz w:val="20"/>
          <w:szCs w:val="20"/>
        </w:rPr>
        <w:t>r information.</w:t>
      </w:r>
    </w:p>
    <w:p w:rsidR="00000000" w:rsidRDefault="00B11388">
      <w:pPr>
        <w:divId w:val="1700204585"/>
        <w:rPr>
          <w:rFonts w:eastAsia="Times New Roman"/>
        </w:rPr>
      </w:pPr>
      <w:r>
        <w:rPr>
          <w:rFonts w:eastAsia="Times New Roman"/>
          <w:b/>
          <w:bCs/>
          <w:i/>
          <w:iCs/>
          <w:color w:val="000000"/>
          <w:sz w:val="20"/>
          <w:szCs w:val="20"/>
        </w:rPr>
        <w:t xml:space="preserve">Engineering, Selling and Administrative (“ESA”) Expenses and Percentage </w:t>
      </w:r>
    </w:p>
    <w:p w:rsidR="00000000" w:rsidRDefault="00B11388">
      <w:pPr>
        <w:ind w:firstLine="450"/>
        <w:divId w:val="20207570"/>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The increase in ESA expenses and comparability of ESA expense as a percentage of total revenue (“ESA percentage”) for the quarter ended July 2, </w:t>
      </w:r>
      <w:r>
        <w:rPr>
          <w:rFonts w:eastAsia="Times New Roman"/>
          <w:color w:val="000000"/>
          <w:sz w:val="20"/>
          <w:szCs w:val="20"/>
        </w:rPr>
        <w:t>2021 compared with the quarter ended July 3, 2020 were primarily due to $37 million of higher divestiture-related expenses and increased investments in R&amp;D, partially offset by $44 million of lower amortization of acquisition-related intangible assets in t</w:t>
      </w:r>
      <w:r>
        <w:rPr>
          <w:rFonts w:eastAsia="Times New Roman"/>
          <w:color w:val="000000"/>
          <w:sz w:val="20"/>
          <w:szCs w:val="20"/>
        </w:rPr>
        <w:t xml:space="preserve">he quarter ended July 2, 2021. </w:t>
      </w:r>
    </w:p>
    <w:p w:rsidR="00000000" w:rsidRDefault="00B11388">
      <w:pPr>
        <w:ind w:firstLine="450"/>
        <w:divId w:val="587468564"/>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The increase in ESA expenses and comparability of ESA percentage for the two quarters ended July 2, 2021 compared with the two quarters ended July </w:t>
      </w:r>
      <w:r>
        <w:rPr>
          <w:rFonts w:eastAsia="Times New Roman"/>
          <w:color w:val="000000"/>
          <w:sz w:val="20"/>
          <w:szCs w:val="20"/>
        </w:rPr>
        <w:t xml:space="preserve">3, 2020 were primarily due to the same reasons as noted above in the one quarter comparison as well as lower integration costs and the absence in the two quarters ended July 2, 2021 of COVID-related restructuring charges and exit costs recorded in the two </w:t>
      </w:r>
      <w:r>
        <w:rPr>
          <w:rFonts w:eastAsia="Times New Roman"/>
          <w:color w:val="000000"/>
          <w:sz w:val="20"/>
          <w:szCs w:val="20"/>
        </w:rPr>
        <w:t>quarters ended July 3, 2020.</w:t>
      </w:r>
    </w:p>
    <w:p w:rsidR="00000000" w:rsidRDefault="00B11388">
      <w:pPr>
        <w:ind w:firstLine="450"/>
        <w:divId w:val="2108651814"/>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B11388">
      <w:pPr>
        <w:divId w:val="1341735045"/>
        <w:rPr>
          <w:rFonts w:eastAsia="Times New Roman"/>
        </w:rPr>
      </w:pPr>
      <w:r>
        <w:rPr>
          <w:rFonts w:eastAsia="Times New Roman"/>
          <w:b/>
          <w:bCs/>
          <w:i/>
          <w:iCs/>
          <w:color w:val="000000"/>
          <w:sz w:val="20"/>
          <w:szCs w:val="20"/>
        </w:rPr>
        <w:t>Business Divestiture-Related Gains and Losses</w:t>
      </w:r>
    </w:p>
    <w:p w:rsidR="00000000" w:rsidRDefault="00B11388">
      <w:pPr>
        <w:ind w:firstLine="450"/>
        <w:divId w:val="1125268918"/>
        <w:rPr>
          <w:rFonts w:eastAsia="Times New Roman"/>
        </w:rPr>
      </w:pPr>
      <w:r>
        <w:rPr>
          <w:rFonts w:eastAsia="Times New Roman"/>
          <w:color w:val="000000"/>
          <w:sz w:val="20"/>
          <w:szCs w:val="20"/>
        </w:rPr>
        <w:t xml:space="preserve">The "Business divestiture-related gains (losses)" line item is </w:t>
      </w:r>
      <w:r>
        <w:rPr>
          <w:rFonts w:eastAsia="Times New Roman"/>
          <w:color w:val="000000"/>
          <w:sz w:val="20"/>
          <w:szCs w:val="20"/>
        </w:rPr>
        <w:t>comprised of the following pre-tax gains (losses) associated with businesses divested or held for sale:</w:t>
      </w:r>
      <w:r>
        <w:rPr>
          <w:rFonts w:eastAsia="Times New Roman"/>
          <w:i/>
          <w:iCs/>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9"/>
        <w:gridCol w:w="4399"/>
        <w:gridCol w:w="38"/>
        <w:gridCol w:w="120"/>
        <w:gridCol w:w="729"/>
        <w:gridCol w:w="36"/>
        <w:gridCol w:w="36"/>
        <w:gridCol w:w="36"/>
        <w:gridCol w:w="36"/>
        <w:gridCol w:w="120"/>
        <w:gridCol w:w="729"/>
        <w:gridCol w:w="36"/>
        <w:gridCol w:w="36"/>
        <w:gridCol w:w="36"/>
        <w:gridCol w:w="36"/>
        <w:gridCol w:w="120"/>
        <w:gridCol w:w="729"/>
        <w:gridCol w:w="36"/>
        <w:gridCol w:w="36"/>
        <w:gridCol w:w="36"/>
        <w:gridCol w:w="36"/>
        <w:gridCol w:w="120"/>
        <w:gridCol w:w="670"/>
        <w:gridCol w:w="36"/>
      </w:tblGrid>
      <w:tr w:rsidR="00000000">
        <w:trPr>
          <w:divId w:val="1865941582"/>
        </w:trPr>
        <w:tc>
          <w:tcPr>
            <w:tcW w:w="50" w:type="pct"/>
            <w:vAlign w:val="center"/>
            <w:hideMark/>
          </w:tcPr>
          <w:p w:rsidR="00000000" w:rsidRDefault="00B11388">
            <w:pPr>
              <w:ind w:firstLine="450"/>
              <w:rPr>
                <w:rFonts w:eastAsia="Times New Roman"/>
              </w:rPr>
            </w:pPr>
          </w:p>
        </w:tc>
        <w:tc>
          <w:tcPr>
            <w:tcW w:w="270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8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865941582"/>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865941582"/>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86594158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VSE disposal group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594158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CPS business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594158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Military training business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5941582"/>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65941582"/>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65941582"/>
        </w:trPr>
        <w:tc>
          <w:tcPr>
            <w:tcW w:w="0" w:type="auto"/>
            <w:gridSpan w:val="3"/>
            <w:shd w:val="clear" w:color="auto" w:fill="FFFF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5941582"/>
        </w:trPr>
        <w:tc>
          <w:tcPr>
            <w:tcW w:w="0" w:type="auto"/>
            <w:gridSpan w:val="3"/>
            <w:shd w:val="clear" w:color="auto" w:fill="CCEEFF"/>
            <w:tcMar>
              <w:top w:w="30" w:type="dxa"/>
              <w:left w:w="14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5941582"/>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Total Business divestiture-related gain (losses)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865941582"/>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bl>
    <w:p w:rsidR="00000000" w:rsidRDefault="00B11388">
      <w:pPr>
        <w:ind w:firstLine="450"/>
        <w:divId w:val="1734888438"/>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in the Notes for further information.</w:t>
      </w:r>
    </w:p>
    <w:p w:rsidR="00000000" w:rsidRDefault="00B11388">
      <w:pPr>
        <w:divId w:val="904993882"/>
        <w:rPr>
          <w:rFonts w:eastAsia="Times New Roman"/>
        </w:rPr>
      </w:pPr>
      <w:r>
        <w:rPr>
          <w:rFonts w:eastAsia="Times New Roman"/>
          <w:b/>
          <w:bCs/>
          <w:i/>
          <w:iCs/>
          <w:color w:val="000000"/>
          <w:sz w:val="20"/>
          <w:szCs w:val="20"/>
        </w:rPr>
        <w:t>Impairment of Goodwill and Other Assets</w:t>
      </w:r>
    </w:p>
    <w:p w:rsidR="00000000" w:rsidRDefault="00B11388">
      <w:pPr>
        <w:ind w:firstLine="450"/>
        <w:divId w:val="718675933"/>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Impairment of goodwill and other assets for the quarter ended July 2, 2021 included $145 million of non-cash</w:t>
      </w:r>
      <w:r>
        <w:rPr>
          <w:rFonts w:eastAsia="Times New Roman"/>
          <w:color w:val="000000"/>
          <w:sz w:val="20"/>
          <w:szCs w:val="20"/>
        </w:rPr>
        <w:t xml:space="preserve"> charges for impairment of identifiable intangible and other long-lived assets related to our CTS reporting unit. Impairment of goodwill and other assets for the quarter ended July 3, 2020 included $56 million of non-cash charges for impairment of goodwill</w:t>
      </w:r>
      <w:r>
        <w:rPr>
          <w:rFonts w:eastAsia="Times New Roman"/>
          <w:color w:val="000000"/>
          <w:sz w:val="20"/>
          <w:szCs w:val="20"/>
        </w:rPr>
        <w:t xml:space="preserve"> and other assets in our Commercial Aviation Solutions sector due to the COVID-related downturn in the commercial aviation market and its impact on customer operations and a $14 million non-cash charge for impairment of goodwill in connection with the then</w:t>
      </w:r>
      <w:r>
        <w:rPr>
          <w:rFonts w:eastAsia="Times New Roman"/>
          <w:color w:val="000000"/>
          <w:sz w:val="20"/>
          <w:szCs w:val="20"/>
        </w:rPr>
        <w:t xml:space="preserve">-pending divestiture of the VSE disposal group. </w:t>
      </w:r>
    </w:p>
    <w:p w:rsidR="00000000" w:rsidRDefault="00B11388">
      <w:pPr>
        <w:ind w:firstLine="450"/>
        <w:divId w:val="1894416252"/>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Impairment of goodwill and other assets for the two quarters ended July 2, 2021 included a $62 million non-cash charge for impairment of goodwill associated with the divestiture of t</w:t>
      </w:r>
      <w:r>
        <w:rPr>
          <w:rFonts w:eastAsia="Times New Roman"/>
          <w:color w:val="000000"/>
          <w:sz w:val="20"/>
          <w:szCs w:val="20"/>
        </w:rPr>
        <w:t>he CPS business and $145 million of non-cash charges for impairment of identifiable intangible and other long-lived assets related to our CTS reporting unit. Impairment of goodwill and other assets for the two quarters ended July 3, 2020 included $375 mill</w:t>
      </w:r>
      <w:r>
        <w:rPr>
          <w:rFonts w:eastAsia="Times New Roman"/>
          <w:color w:val="000000"/>
          <w:sz w:val="20"/>
          <w:szCs w:val="20"/>
        </w:rPr>
        <w:t>ion of non-cash charges for impairment of goodwill and other assets in our Commercial Aviation Solutions sector associated with the COVID-related downturn in the commercial aviation market and its impact on customer operations, a $14 million non-cash charg</w:t>
      </w:r>
      <w:r>
        <w:rPr>
          <w:rFonts w:eastAsia="Times New Roman"/>
          <w:color w:val="000000"/>
          <w:sz w:val="20"/>
          <w:szCs w:val="20"/>
        </w:rPr>
        <w:t>e for impairment of goodwill associated with the then-pending divestiture of the VSE disposal group and a $5 million non-cash charge for impairment of goodwill recorded in connection with the then-pending divestiture of our Applied Kilovolts and Analytical</w:t>
      </w:r>
      <w:r>
        <w:rPr>
          <w:rFonts w:eastAsia="Times New Roman"/>
          <w:color w:val="000000"/>
          <w:sz w:val="20"/>
          <w:szCs w:val="20"/>
        </w:rPr>
        <w:t xml:space="preserve"> Instrumentation business.</w:t>
      </w:r>
    </w:p>
    <w:p w:rsidR="00000000" w:rsidRDefault="00B11388">
      <w:pPr>
        <w:ind w:firstLine="450"/>
        <w:jc w:val="center"/>
        <w:divId w:val="1525561619"/>
        <w:rPr>
          <w:rFonts w:eastAsia="Times New Roman"/>
        </w:rPr>
      </w:pPr>
      <w:r>
        <w:rPr>
          <w:rFonts w:eastAsia="Times New Roman"/>
          <w:color w:val="000000"/>
          <w:sz w:val="20"/>
          <w:szCs w:val="20"/>
        </w:rPr>
        <w:t>30</w:t>
      </w:r>
    </w:p>
    <w:p w:rsidR="00000000" w:rsidRDefault="00B11388">
      <w:pPr>
        <w:rPr>
          <w:rFonts w:eastAsia="Times New Roman"/>
        </w:rPr>
      </w:pPr>
      <w:r>
        <w:rPr>
          <w:rFonts w:eastAsia="Times New Roman"/>
        </w:rPr>
        <w:pict>
          <v:rect id="_x0000_i1057" style="width:0;height:1.5pt" o:hralign="center" o:hrstd="t" o:hr="t" fillcolor="#a0a0a0" stroked="f"/>
        </w:pict>
      </w:r>
    </w:p>
    <w:p w:rsidR="00000000" w:rsidRDefault="00B11388">
      <w:pPr>
        <w:ind w:firstLine="450"/>
        <w:divId w:val="766122871"/>
        <w:rPr>
          <w:rFonts w:eastAsia="Times New Roman"/>
        </w:rPr>
      </w:pPr>
    </w:p>
    <w:p w:rsidR="00000000" w:rsidRDefault="00B11388">
      <w:pPr>
        <w:ind w:firstLine="450"/>
        <w:divId w:val="923337841"/>
        <w:rPr>
          <w:rFonts w:eastAsia="Times New Roman"/>
        </w:rPr>
      </w:pPr>
    </w:p>
    <w:p w:rsidR="00000000" w:rsidRDefault="00B11388">
      <w:pPr>
        <w:ind w:firstLine="450"/>
        <w:divId w:val="699597231"/>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and </w:t>
      </w:r>
      <w:r>
        <w:rPr>
          <w:rFonts w:eastAsia="Times New Roman"/>
          <w:i/>
          <w:iCs/>
          <w:color w:val="000000"/>
          <w:sz w:val="20"/>
          <w:szCs w:val="20"/>
        </w:rPr>
        <w:t xml:space="preserve">Note I — Goodwill and Other Intangible Assets </w:t>
      </w:r>
      <w:r>
        <w:rPr>
          <w:rFonts w:eastAsia="Times New Roman"/>
          <w:color w:val="000000"/>
          <w:sz w:val="20"/>
          <w:szCs w:val="20"/>
        </w:rPr>
        <w:t>in the Notes for further information.</w:t>
      </w:r>
    </w:p>
    <w:p w:rsidR="00000000" w:rsidRDefault="00B11388">
      <w:pPr>
        <w:divId w:val="423185763"/>
        <w:rPr>
          <w:rFonts w:eastAsia="Times New Roman"/>
        </w:rPr>
      </w:pPr>
      <w:r>
        <w:rPr>
          <w:rFonts w:eastAsia="Times New Roman"/>
          <w:b/>
          <w:bCs/>
          <w:i/>
          <w:iCs/>
          <w:color w:val="000000"/>
          <w:sz w:val="20"/>
          <w:szCs w:val="20"/>
        </w:rPr>
        <w:t xml:space="preserve">Non-Operating Income </w:t>
      </w:r>
    </w:p>
    <w:p w:rsidR="00000000" w:rsidRDefault="00B11388">
      <w:pPr>
        <w:ind w:firstLine="450"/>
        <w:divId w:val="1661153318"/>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decrease in n</w:t>
      </w:r>
      <w:r>
        <w:rPr>
          <w:rFonts w:eastAsia="Times New Roman"/>
          <w:color w:val="000000"/>
          <w:sz w:val="20"/>
          <w:szCs w:val="20"/>
        </w:rPr>
        <w:t>on-operating income for the quarter ended July 2, 2021 compared with the quarter ended July 3, 2020 was primarily due to a $35 million charge for impairment of our equity investment in a nonconsolidated affiliate, partially offset by an increase in the non</w:t>
      </w:r>
      <w:r>
        <w:rPr>
          <w:rFonts w:eastAsia="Times New Roman"/>
          <w:color w:val="000000"/>
          <w:sz w:val="20"/>
          <w:szCs w:val="20"/>
        </w:rPr>
        <w:t xml:space="preserve">-service cost components of net periodic benefit income. </w:t>
      </w:r>
    </w:p>
    <w:p w:rsidR="00000000" w:rsidRDefault="00B11388">
      <w:pPr>
        <w:ind w:firstLine="450"/>
        <w:divId w:val="707292825"/>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The increase in non-operating income for the two quarters ended July 2, 2021 compared with the two quarters ended July 3, 2020, reflects a charge for impairment of our equit</w:t>
      </w:r>
      <w:r>
        <w:rPr>
          <w:rFonts w:eastAsia="Times New Roman"/>
          <w:color w:val="000000"/>
          <w:sz w:val="20"/>
          <w:szCs w:val="20"/>
        </w:rPr>
        <w:t xml:space="preserve">y investment in a nonconsolidated affiliate recorded in the quarter ended July 2, 2021, offset by an increase in the non-service cost components of net periodic benefit income. </w:t>
      </w:r>
    </w:p>
    <w:p w:rsidR="00000000" w:rsidRDefault="00B11388">
      <w:pPr>
        <w:ind w:firstLine="450"/>
        <w:divId w:val="2106417007"/>
        <w:rPr>
          <w:rFonts w:eastAsia="Times New Roman"/>
        </w:rPr>
      </w:pPr>
      <w:r>
        <w:rPr>
          <w:rFonts w:eastAsia="Times New Roman"/>
          <w:color w:val="000000"/>
          <w:sz w:val="20"/>
          <w:szCs w:val="20"/>
        </w:rPr>
        <w:t>See</w:t>
      </w:r>
      <w:r>
        <w:rPr>
          <w:rFonts w:eastAsia="Times New Roman"/>
          <w:i/>
          <w:iCs/>
          <w:color w:val="000000"/>
          <w:sz w:val="20"/>
          <w:szCs w:val="20"/>
        </w:rPr>
        <w:t xml:space="preserve"> Note M — Non-Operating Income</w:t>
      </w:r>
      <w:r>
        <w:rPr>
          <w:rFonts w:eastAsia="Times New Roman"/>
          <w:color w:val="000000"/>
          <w:sz w:val="20"/>
          <w:szCs w:val="20"/>
        </w:rPr>
        <w:t xml:space="preserve"> and </w:t>
      </w:r>
      <w:r>
        <w:rPr>
          <w:rFonts w:eastAsia="Times New Roman"/>
          <w:i/>
          <w:iCs/>
          <w:color w:val="000000"/>
          <w:sz w:val="20"/>
          <w:szCs w:val="20"/>
        </w:rPr>
        <w:t xml:space="preserve">Note K — Postretirement Benefit Plans </w:t>
      </w:r>
      <w:r>
        <w:rPr>
          <w:rFonts w:eastAsia="Times New Roman"/>
          <w:color w:val="000000"/>
          <w:sz w:val="20"/>
          <w:szCs w:val="20"/>
        </w:rPr>
        <w:t>in</w:t>
      </w:r>
      <w:r>
        <w:rPr>
          <w:rFonts w:eastAsia="Times New Roman"/>
          <w:color w:val="000000"/>
          <w:sz w:val="20"/>
          <w:szCs w:val="20"/>
        </w:rPr>
        <w:t xml:space="preserve"> the Notes for further information.</w:t>
      </w:r>
    </w:p>
    <w:p w:rsidR="00000000" w:rsidRDefault="00B11388">
      <w:pPr>
        <w:divId w:val="1544906514"/>
        <w:rPr>
          <w:rFonts w:eastAsia="Times New Roman"/>
        </w:rPr>
      </w:pPr>
      <w:r>
        <w:rPr>
          <w:rFonts w:eastAsia="Times New Roman"/>
          <w:b/>
          <w:bCs/>
          <w:i/>
          <w:iCs/>
          <w:color w:val="000000"/>
          <w:sz w:val="20"/>
          <w:szCs w:val="20"/>
        </w:rPr>
        <w:t>Interest Expense, net</w:t>
      </w:r>
    </w:p>
    <w:p w:rsidR="00000000" w:rsidRDefault="00B11388">
      <w:pPr>
        <w:ind w:firstLine="450"/>
        <w:divId w:val="1271817917"/>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Interest expense, net for the quarter ended July 2, 2021 was comparable with the quarter ended July 3, 2020.</w:t>
      </w:r>
    </w:p>
    <w:p w:rsidR="00000000" w:rsidRDefault="00B11388">
      <w:pPr>
        <w:ind w:firstLine="450"/>
        <w:divId w:val="11104174"/>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w:t>
      </w:r>
      <w:r>
        <w:rPr>
          <w:rFonts w:eastAsia="Times New Roman"/>
          <w:color w:val="000000"/>
          <w:sz w:val="20"/>
          <w:szCs w:val="20"/>
        </w:rPr>
        <w:t>Interest expense, net remained largely unchanged for the two quarters ended July 2, 2021 compared with the two quarters ended July 3, 2020.</w:t>
      </w:r>
    </w:p>
    <w:p w:rsidR="00000000" w:rsidRDefault="00B11388">
      <w:pPr>
        <w:ind w:firstLine="450"/>
        <w:divId w:val="163521423"/>
        <w:rPr>
          <w:rFonts w:eastAsia="Times New Roman"/>
        </w:rPr>
      </w:pPr>
      <w:r>
        <w:rPr>
          <w:rFonts w:eastAsia="Times New Roman"/>
          <w:color w:val="000000"/>
          <w:sz w:val="20"/>
          <w:szCs w:val="20"/>
        </w:rPr>
        <w:t xml:space="preserve">See </w:t>
      </w:r>
      <w:r>
        <w:rPr>
          <w:rFonts w:eastAsia="Times New Roman"/>
          <w:i/>
          <w:iCs/>
          <w:color w:val="000000"/>
          <w:sz w:val="20"/>
          <w:szCs w:val="20"/>
        </w:rPr>
        <w:t>Note 14: “Debt”</w:t>
      </w:r>
      <w:r>
        <w:rPr>
          <w:rFonts w:eastAsia="Times New Roman"/>
          <w:color w:val="000000"/>
          <w:sz w:val="20"/>
          <w:szCs w:val="20"/>
        </w:rPr>
        <w:t xml:space="preserve"> in the Notes to Consolidated Financial Statements in our Fiscal 2020 Form 10-K for further infor</w:t>
      </w:r>
      <w:r>
        <w:rPr>
          <w:rFonts w:eastAsia="Times New Roman"/>
          <w:color w:val="000000"/>
          <w:sz w:val="20"/>
          <w:szCs w:val="20"/>
        </w:rPr>
        <w:t>mation.</w:t>
      </w:r>
    </w:p>
    <w:p w:rsidR="00000000" w:rsidRDefault="00B11388">
      <w:pPr>
        <w:divId w:val="701323385"/>
        <w:rPr>
          <w:rFonts w:eastAsia="Times New Roman"/>
        </w:rPr>
      </w:pPr>
      <w:r>
        <w:rPr>
          <w:rFonts w:eastAsia="Times New Roman"/>
          <w:b/>
          <w:bCs/>
          <w:i/>
          <w:iCs/>
          <w:color w:val="000000"/>
          <w:sz w:val="20"/>
          <w:szCs w:val="20"/>
        </w:rPr>
        <w:t>Income Taxes</w:t>
      </w:r>
    </w:p>
    <w:p w:rsidR="00000000" w:rsidRDefault="00B11388">
      <w:pPr>
        <w:ind w:firstLine="450"/>
        <w:divId w:val="974139001"/>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Our effective tax rate (income taxes as a percentage of income from continuing operations before income taxes) was 29.0 percent for the quarter ended July 2, 2021 compared with 17.3 percent for the quarter ended</w:t>
      </w:r>
      <w:r>
        <w:rPr>
          <w:rFonts w:eastAsia="Times New Roman"/>
          <w:color w:val="000000"/>
          <w:sz w:val="20"/>
          <w:szCs w:val="20"/>
        </w:rPr>
        <w:t xml:space="preserve"> July 3, 2020. During the quarter ended July 2, 2021, our effective tax rate was unfavorably impacted by non-deductible goodwill from completed business divestitures and the unfavorable impact of valuation allowances in certain foreign jurisdictions, parti</w:t>
      </w:r>
      <w:r>
        <w:rPr>
          <w:rFonts w:eastAsia="Times New Roman"/>
          <w:color w:val="000000"/>
          <w:sz w:val="20"/>
          <w:szCs w:val="20"/>
        </w:rPr>
        <w:t>ally offset by the favorable impact of R&amp;D credits, favorable resolution of specific audit uncertainties and the favorable impact of excess tax benefits related to equity-based compensation. During the quarter ended July 3, 2020, our effective tax rate ben</w:t>
      </w:r>
      <w:r>
        <w:rPr>
          <w:rFonts w:eastAsia="Times New Roman"/>
          <w:color w:val="000000"/>
          <w:sz w:val="20"/>
          <w:szCs w:val="20"/>
        </w:rPr>
        <w:t>efited from the favorable impact of R&amp;D credits and the favorable impact of a net reduction in our uncertain tax position balance, partially offset by the unfavorable impact of non-deductible goodwill impairment charges.</w:t>
      </w:r>
    </w:p>
    <w:p w:rsidR="00000000" w:rsidRDefault="00B11388">
      <w:pPr>
        <w:ind w:firstLine="450"/>
        <w:divId w:val="1805736011"/>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Our effect</w:t>
      </w:r>
      <w:r>
        <w:rPr>
          <w:rFonts w:eastAsia="Times New Roman"/>
          <w:color w:val="000000"/>
          <w:sz w:val="20"/>
          <w:szCs w:val="20"/>
        </w:rPr>
        <w:t>ive tax rate was 20.6 percent for the two quarters ended July 2, 2021 compared with 15.1 percent for the two quarters ended July 3, 2020. Our effective tax rate for the two quarters ended July 2, 2021 was impacted by the items described above in the one qu</w:t>
      </w:r>
      <w:r>
        <w:rPr>
          <w:rFonts w:eastAsia="Times New Roman"/>
          <w:color w:val="000000"/>
          <w:sz w:val="20"/>
          <w:szCs w:val="20"/>
        </w:rPr>
        <w:t>arter comparison for income taxes. In addition to the items noted above in the one quarter comparison for income taxes, our effective tax rate for the two quarters ended July 3, 2020 benefited from the favorable impact of excess tax benefits related to equ</w:t>
      </w:r>
      <w:r>
        <w:rPr>
          <w:rFonts w:eastAsia="Times New Roman"/>
          <w:color w:val="000000"/>
          <w:sz w:val="20"/>
          <w:szCs w:val="20"/>
        </w:rPr>
        <w:t xml:space="preserve">ity-based compensation. </w:t>
      </w:r>
    </w:p>
    <w:p w:rsidR="00000000" w:rsidRDefault="00B11388">
      <w:pPr>
        <w:divId w:val="1260024519"/>
        <w:rPr>
          <w:rFonts w:eastAsia="Times New Roman"/>
        </w:rPr>
      </w:pPr>
      <w:r>
        <w:rPr>
          <w:rFonts w:eastAsia="Times New Roman"/>
          <w:b/>
          <w:bCs/>
          <w:i/>
          <w:iCs/>
          <w:color w:val="000000"/>
          <w:sz w:val="20"/>
          <w:szCs w:val="20"/>
        </w:rPr>
        <w:t>Income From Continuing Operations</w:t>
      </w:r>
    </w:p>
    <w:p w:rsidR="00000000" w:rsidRDefault="00B11388">
      <w:pPr>
        <w:ind w:firstLine="450"/>
        <w:divId w:val="1548643588"/>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income from continuing operations for the quarter ended July 2, 2021 compared with the quarter ended July 3, 2020 was primarily due to the combined effects o</w:t>
      </w:r>
      <w:r>
        <w:rPr>
          <w:rFonts w:eastAsia="Times New Roman"/>
          <w:color w:val="000000"/>
          <w:sz w:val="20"/>
          <w:szCs w:val="20"/>
        </w:rPr>
        <w:t>f the reasons noted above in the one quarter comparison paragraphs.</w:t>
      </w:r>
    </w:p>
    <w:p w:rsidR="00000000" w:rsidRDefault="00B11388">
      <w:pPr>
        <w:ind w:firstLine="450"/>
        <w:divId w:val="1420105328"/>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The increase in income from continuing operations for the two quarters ended July 2, 2021 compared with the two quarters ended July 3, 2020 was primarily due to th</w:t>
      </w:r>
      <w:r>
        <w:rPr>
          <w:rFonts w:eastAsia="Times New Roman"/>
          <w:color w:val="000000"/>
          <w:sz w:val="20"/>
          <w:szCs w:val="20"/>
        </w:rPr>
        <w:t>e combined effects of the reasons noted above in the two quarters comparison paragraphs.</w:t>
      </w:r>
    </w:p>
    <w:p w:rsidR="00000000" w:rsidRDefault="00B11388">
      <w:pPr>
        <w:divId w:val="1546136145"/>
        <w:rPr>
          <w:rFonts w:eastAsia="Times New Roman"/>
        </w:rPr>
      </w:pPr>
      <w:r>
        <w:rPr>
          <w:rFonts w:eastAsia="Times New Roman"/>
          <w:b/>
          <w:bCs/>
          <w:i/>
          <w:iCs/>
          <w:color w:val="000000"/>
          <w:sz w:val="20"/>
          <w:szCs w:val="20"/>
        </w:rPr>
        <w:t>Income From Continuing Operations Per Diluted Common Share Attributable to L3Harris Common Shareholders</w:t>
      </w:r>
    </w:p>
    <w:p w:rsidR="00000000" w:rsidRDefault="00B11388">
      <w:pPr>
        <w:ind w:firstLine="450"/>
        <w:divId w:val="28914446"/>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The increase in income from continuing </w:t>
      </w:r>
      <w:r>
        <w:rPr>
          <w:rFonts w:eastAsia="Times New Roman"/>
          <w:color w:val="000000"/>
          <w:sz w:val="20"/>
          <w:szCs w:val="20"/>
        </w:rPr>
        <w:t>operations per diluted common share attributable to L3Harris common shareholders for the quarter ended July 2, 2021 compared with the quarter ended July 3, 2020 was primarily due to higher income from continuing operations and fewer diluted weighted averag</w:t>
      </w:r>
      <w:r>
        <w:rPr>
          <w:rFonts w:eastAsia="Times New Roman"/>
          <w:color w:val="000000"/>
          <w:sz w:val="20"/>
          <w:szCs w:val="20"/>
        </w:rPr>
        <w:t>e common shares outstanding due to the repurchases of shares of our common stock under our repurchase program in the four quarters ended July 2, 2021.</w:t>
      </w:r>
    </w:p>
    <w:p w:rsidR="00000000" w:rsidRDefault="00B11388">
      <w:pPr>
        <w:ind w:firstLine="450"/>
        <w:divId w:val="1194533393"/>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The increase in income from continuing operations per diluted common share attri</w:t>
      </w:r>
      <w:r>
        <w:rPr>
          <w:rFonts w:eastAsia="Times New Roman"/>
          <w:color w:val="000000"/>
          <w:sz w:val="20"/>
          <w:szCs w:val="20"/>
        </w:rPr>
        <w:t>butable to L3Harris common shareholders for the two quarters ended July 2, 2021 compared with the two quarters ended July 3, 2020 was primarily due to higher income from continuing operations and fewer diluted weighted average common shares outstanding due</w:t>
      </w:r>
      <w:r>
        <w:rPr>
          <w:rFonts w:eastAsia="Times New Roman"/>
          <w:color w:val="000000"/>
          <w:sz w:val="20"/>
          <w:szCs w:val="20"/>
        </w:rPr>
        <w:t xml:space="preserve"> to the repurchases of shares of our common stock under our repurchase program in the four quarters ended July 2, 2021.</w:t>
      </w:r>
    </w:p>
    <w:p w:rsidR="00000000" w:rsidRDefault="00B11388">
      <w:pPr>
        <w:ind w:firstLine="450"/>
        <w:divId w:val="2102020884"/>
        <w:rPr>
          <w:rFonts w:eastAsia="Times New Roman"/>
        </w:rPr>
      </w:pPr>
      <w:r>
        <w:rPr>
          <w:rFonts w:eastAsia="Times New Roman"/>
          <w:color w:val="000000"/>
          <w:sz w:val="20"/>
          <w:szCs w:val="20"/>
        </w:rPr>
        <w:t>See “Common Stock Repurchases” below in this MD&amp;A for information regarding our share repurchase program.</w:t>
      </w:r>
    </w:p>
    <w:p w:rsidR="00000000" w:rsidRDefault="00B11388">
      <w:pPr>
        <w:ind w:firstLine="450"/>
        <w:jc w:val="center"/>
        <w:divId w:val="1659378795"/>
        <w:rPr>
          <w:rFonts w:eastAsia="Times New Roman"/>
        </w:rPr>
      </w:pPr>
      <w:r>
        <w:rPr>
          <w:rFonts w:eastAsia="Times New Roman"/>
          <w:color w:val="000000"/>
          <w:sz w:val="20"/>
          <w:szCs w:val="20"/>
        </w:rPr>
        <w:t>31</w:t>
      </w:r>
    </w:p>
    <w:p w:rsidR="00000000" w:rsidRDefault="00B11388">
      <w:pPr>
        <w:rPr>
          <w:rFonts w:eastAsia="Times New Roman"/>
        </w:rPr>
      </w:pPr>
      <w:r>
        <w:rPr>
          <w:rFonts w:eastAsia="Times New Roman"/>
        </w:rPr>
        <w:pict>
          <v:rect id="_x0000_i1058" style="width:0;height:1.5pt" o:hralign="center" o:hrstd="t" o:hr="t" fillcolor="#a0a0a0" stroked="f"/>
        </w:pict>
      </w:r>
    </w:p>
    <w:p w:rsidR="00000000" w:rsidRDefault="00B11388">
      <w:pPr>
        <w:ind w:firstLine="450"/>
        <w:divId w:val="1065684910"/>
        <w:rPr>
          <w:rFonts w:eastAsia="Times New Roman"/>
        </w:rPr>
      </w:pPr>
    </w:p>
    <w:p w:rsidR="00000000" w:rsidRDefault="00B11388">
      <w:pPr>
        <w:ind w:firstLine="450"/>
        <w:divId w:val="224267304"/>
        <w:rPr>
          <w:rFonts w:eastAsia="Times New Roman"/>
        </w:rPr>
      </w:pPr>
    </w:p>
    <w:p w:rsidR="00000000" w:rsidRDefault="00B11388">
      <w:pPr>
        <w:divId w:val="1451045041"/>
        <w:rPr>
          <w:rFonts w:eastAsia="Times New Roman"/>
        </w:rPr>
      </w:pPr>
      <w:r>
        <w:rPr>
          <w:rFonts w:eastAsia="Times New Roman"/>
          <w:b/>
          <w:bCs/>
          <w:color w:val="000000"/>
          <w:sz w:val="20"/>
          <w:szCs w:val="20"/>
        </w:rPr>
        <w:t>Discussion of Business Segment Results of Operations</w:t>
      </w:r>
    </w:p>
    <w:p w:rsidR="00000000" w:rsidRDefault="00B11388">
      <w:pPr>
        <w:divId w:val="309748741"/>
        <w:rPr>
          <w:rFonts w:eastAsia="Times New Roman"/>
        </w:rPr>
      </w:pPr>
      <w:r>
        <w:rPr>
          <w:rFonts w:eastAsia="Times New Roman"/>
          <w:b/>
          <w:bCs/>
          <w:color w:val="000000"/>
          <w:sz w:val="20"/>
          <w:szCs w:val="20"/>
        </w:rPr>
        <w:t>Integrated Mission Systems</w:t>
      </w:r>
    </w:p>
    <w:tbl>
      <w:tblPr>
        <w:tblW w:w="5000" w:type="pct"/>
        <w:tblCellMar>
          <w:top w:w="15" w:type="dxa"/>
          <w:left w:w="15" w:type="dxa"/>
          <w:bottom w:w="15" w:type="dxa"/>
          <w:right w:w="15" w:type="dxa"/>
        </w:tblCellMar>
        <w:tblLook w:val="04A0" w:firstRow="1" w:lastRow="0" w:firstColumn="1" w:lastColumn="0" w:noHBand="0" w:noVBand="1"/>
      </w:tblPr>
      <w:tblGrid>
        <w:gridCol w:w="40"/>
        <w:gridCol w:w="2597"/>
        <w:gridCol w:w="39"/>
        <w:gridCol w:w="120"/>
        <w:gridCol w:w="627"/>
        <w:gridCol w:w="187"/>
        <w:gridCol w:w="36"/>
        <w:gridCol w:w="36"/>
        <w:gridCol w:w="36"/>
        <w:gridCol w:w="120"/>
        <w:gridCol w:w="533"/>
        <w:gridCol w:w="187"/>
        <w:gridCol w:w="36"/>
        <w:gridCol w:w="36"/>
        <w:gridCol w:w="36"/>
        <w:gridCol w:w="73"/>
        <w:gridCol w:w="591"/>
        <w:gridCol w:w="187"/>
        <w:gridCol w:w="36"/>
        <w:gridCol w:w="36"/>
        <w:gridCol w:w="36"/>
        <w:gridCol w:w="120"/>
        <w:gridCol w:w="500"/>
        <w:gridCol w:w="187"/>
        <w:gridCol w:w="36"/>
        <w:gridCol w:w="36"/>
        <w:gridCol w:w="36"/>
        <w:gridCol w:w="120"/>
        <w:gridCol w:w="500"/>
        <w:gridCol w:w="187"/>
        <w:gridCol w:w="36"/>
        <w:gridCol w:w="36"/>
        <w:gridCol w:w="36"/>
        <w:gridCol w:w="73"/>
        <w:gridCol w:w="591"/>
        <w:gridCol w:w="187"/>
      </w:tblGrid>
      <w:tr w:rsidR="00000000">
        <w:trPr>
          <w:divId w:val="1772823074"/>
        </w:trPr>
        <w:tc>
          <w:tcPr>
            <w:tcW w:w="50" w:type="pct"/>
            <w:vAlign w:val="center"/>
            <w:hideMark/>
          </w:tcPr>
          <w:p w:rsidR="00000000" w:rsidRDefault="00B11388">
            <w:pPr>
              <w:rPr>
                <w:rFonts w:eastAsia="Times New Roman"/>
              </w:rPr>
            </w:pPr>
          </w:p>
        </w:tc>
        <w:tc>
          <w:tcPr>
            <w:tcW w:w="169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0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3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0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77282307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r>
      <w:tr w:rsidR="00000000">
        <w:trPr>
          <w:divId w:val="1772823074"/>
        </w:trPr>
        <w:tc>
          <w:tcPr>
            <w:tcW w:w="0" w:type="auto"/>
            <w:gridSpan w:val="3"/>
            <w:vAlign w:val="center"/>
            <w:hideMark/>
          </w:tcPr>
          <w:p w:rsidR="00000000" w:rsidRDefault="00B11388">
            <w:pPr>
              <w:spacing w:after="100"/>
              <w:jc w:val="center"/>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772823074"/>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1,494 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2,945 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2,701 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772823074"/>
        </w:trPr>
        <w:tc>
          <w:tcPr>
            <w:tcW w:w="0" w:type="auto"/>
            <w:gridSpan w:val="3"/>
            <w:vAlign w:val="center"/>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77282307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772823074"/>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bl>
    <w:p w:rsidR="00000000" w:rsidRDefault="00B11388">
      <w:pPr>
        <w:ind w:firstLine="450"/>
        <w:divId w:val="329603759"/>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segment revenue for the quarter ended July 2, 2021 compared with the quarter ended July 3, 2020 was primarily due to $148 million of hi</w:t>
      </w:r>
      <w:r>
        <w:rPr>
          <w:rFonts w:eastAsia="Times New Roman"/>
          <w:color w:val="000000"/>
          <w:sz w:val="20"/>
          <w:szCs w:val="20"/>
        </w:rPr>
        <w:t xml:space="preserve">gher revenue in ISR, driven by aircraft missionization on a recently awarded North Atlantic Treaty Organization program and $21 million of higher revenue in Maritime, reflecting a ramp on key platforms, partially offset by lower revenue in Electro Optical </w:t>
      </w:r>
      <w:r>
        <w:rPr>
          <w:rFonts w:eastAsia="Times New Roman"/>
          <w:color w:val="000000"/>
          <w:sz w:val="20"/>
          <w:szCs w:val="20"/>
        </w:rPr>
        <w:t xml:space="preserve">due to product delivery timing. </w:t>
      </w:r>
    </w:p>
    <w:p w:rsidR="00000000" w:rsidRDefault="00B11388">
      <w:pPr>
        <w:ind w:firstLine="450"/>
        <w:divId w:val="9181790"/>
        <w:rPr>
          <w:rFonts w:eastAsia="Times New Roman"/>
        </w:rPr>
      </w:pPr>
      <w:r>
        <w:rPr>
          <w:rFonts w:eastAsia="Times New Roman"/>
          <w:color w:val="000000"/>
          <w:sz w:val="20"/>
          <w:szCs w:val="20"/>
        </w:rPr>
        <w:t>The increase in segment operating income for the quarter ended July 2, 2021 compared with the quarter ended July 3, 2020 was primarily due to higher revenue and integration benefits and operational excellence, partially off</w:t>
      </w:r>
      <w:r>
        <w:rPr>
          <w:rFonts w:eastAsia="Times New Roman"/>
          <w:color w:val="000000"/>
          <w:sz w:val="20"/>
          <w:szCs w:val="20"/>
        </w:rPr>
        <w:t>set by a mix of program revenue and product sales with relatively lower operating margin percentage for the quarter ended July 2, 2021, which resulted in a decrease in operating income as a percentage of revenue (“operating margin percentage”).</w:t>
      </w:r>
    </w:p>
    <w:p w:rsidR="00000000" w:rsidRDefault="00B11388">
      <w:pPr>
        <w:ind w:firstLine="450"/>
        <w:divId w:val="308025857"/>
        <w:rPr>
          <w:rFonts w:eastAsia="Times New Roman"/>
        </w:rPr>
      </w:pPr>
      <w:r>
        <w:rPr>
          <w:rFonts w:eastAsia="Times New Roman"/>
          <w:i/>
          <w:iCs/>
          <w:color w:val="000000"/>
          <w:sz w:val="20"/>
          <w:szCs w:val="20"/>
        </w:rPr>
        <w:t>Two Quarter</w:t>
      </w:r>
      <w:r>
        <w:rPr>
          <w:rFonts w:eastAsia="Times New Roman"/>
          <w:i/>
          <w:iCs/>
          <w:color w:val="000000"/>
          <w:sz w:val="20"/>
          <w:szCs w:val="20"/>
        </w:rPr>
        <w:t xml:space="preserve">s Comparison: </w:t>
      </w:r>
      <w:r>
        <w:rPr>
          <w:rFonts w:eastAsia="Times New Roman"/>
          <w:color w:val="000000"/>
          <w:sz w:val="20"/>
          <w:szCs w:val="20"/>
        </w:rPr>
        <w:t xml:space="preserve">The increases in segment revenue and operating income in the two quarters ended July 2, 2021 compared with the two quarters ended July 3, 2020 were primarily due to the same reasons as noted above in the one quarter comparison regarding this </w:t>
      </w:r>
      <w:r>
        <w:rPr>
          <w:rFonts w:eastAsia="Times New Roman"/>
          <w:color w:val="000000"/>
          <w:sz w:val="20"/>
          <w:szCs w:val="20"/>
        </w:rPr>
        <w:t>segment. Segment operating margin percentage for the two quarters ended July 2, 2021 was comparable with the two quarters ended July 3, 2020.</w:t>
      </w:r>
    </w:p>
    <w:p w:rsidR="00000000" w:rsidRDefault="00B11388">
      <w:pPr>
        <w:divId w:val="679237323"/>
        <w:rPr>
          <w:rFonts w:eastAsia="Times New Roman"/>
        </w:rPr>
      </w:pPr>
      <w:r>
        <w:rPr>
          <w:rFonts w:eastAsia="Times New Roman"/>
          <w:b/>
          <w:bCs/>
          <w:color w:val="000000"/>
          <w:sz w:val="20"/>
          <w:szCs w:val="20"/>
        </w:rPr>
        <w:t>Space and Airborne Systems</w:t>
      </w:r>
    </w:p>
    <w:tbl>
      <w:tblPr>
        <w:tblW w:w="5000" w:type="pct"/>
        <w:tblCellMar>
          <w:top w:w="15" w:type="dxa"/>
          <w:left w:w="15" w:type="dxa"/>
          <w:bottom w:w="15" w:type="dxa"/>
          <w:right w:w="15" w:type="dxa"/>
        </w:tblCellMar>
        <w:tblLook w:val="04A0" w:firstRow="1" w:lastRow="0" w:firstColumn="1" w:lastColumn="0" w:noHBand="0" w:noVBand="1"/>
      </w:tblPr>
      <w:tblGrid>
        <w:gridCol w:w="40"/>
        <w:gridCol w:w="2637"/>
        <w:gridCol w:w="39"/>
        <w:gridCol w:w="120"/>
        <w:gridCol w:w="606"/>
        <w:gridCol w:w="187"/>
        <w:gridCol w:w="36"/>
        <w:gridCol w:w="36"/>
        <w:gridCol w:w="36"/>
        <w:gridCol w:w="120"/>
        <w:gridCol w:w="512"/>
        <w:gridCol w:w="187"/>
        <w:gridCol w:w="36"/>
        <w:gridCol w:w="36"/>
        <w:gridCol w:w="36"/>
        <w:gridCol w:w="69"/>
        <w:gridCol w:w="596"/>
        <w:gridCol w:w="187"/>
        <w:gridCol w:w="36"/>
        <w:gridCol w:w="36"/>
        <w:gridCol w:w="36"/>
        <w:gridCol w:w="120"/>
        <w:gridCol w:w="500"/>
        <w:gridCol w:w="187"/>
        <w:gridCol w:w="36"/>
        <w:gridCol w:w="36"/>
        <w:gridCol w:w="36"/>
        <w:gridCol w:w="120"/>
        <w:gridCol w:w="500"/>
        <w:gridCol w:w="187"/>
        <w:gridCol w:w="36"/>
        <w:gridCol w:w="36"/>
        <w:gridCol w:w="36"/>
        <w:gridCol w:w="69"/>
        <w:gridCol w:w="596"/>
        <w:gridCol w:w="187"/>
      </w:tblGrid>
      <w:tr w:rsidR="00000000">
        <w:trPr>
          <w:divId w:val="51345131"/>
        </w:trPr>
        <w:tc>
          <w:tcPr>
            <w:tcW w:w="50" w:type="pct"/>
            <w:vAlign w:val="center"/>
            <w:hideMark/>
          </w:tcPr>
          <w:p w:rsidR="00000000" w:rsidRDefault="00B11388">
            <w:pPr>
              <w:rPr>
                <w:rFonts w:eastAsia="Times New Roman"/>
              </w:rPr>
            </w:pPr>
          </w:p>
        </w:tc>
        <w:tc>
          <w:tcPr>
            <w:tcW w:w="17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5134513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r>
      <w:tr w:rsidR="00000000">
        <w:trPr>
          <w:divId w:val="51345131"/>
        </w:trPr>
        <w:tc>
          <w:tcPr>
            <w:tcW w:w="0" w:type="auto"/>
            <w:gridSpan w:val="3"/>
            <w:vAlign w:val="center"/>
            <w:hideMark/>
          </w:tcPr>
          <w:p w:rsidR="00000000" w:rsidRDefault="00B11388">
            <w:pPr>
              <w:spacing w:after="100"/>
              <w:jc w:val="center"/>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51345131"/>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1,287 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2,441 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51345131"/>
        </w:trPr>
        <w:tc>
          <w:tcPr>
            <w:tcW w:w="0" w:type="auto"/>
            <w:gridSpan w:val="3"/>
            <w:vAlign w:val="center"/>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5134513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51345131"/>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bl>
    <w:p w:rsidR="00000000" w:rsidRDefault="00B11388">
      <w:pPr>
        <w:ind w:firstLine="450"/>
        <w:divId w:val="1070999138"/>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segment revenue for the quarter ended July 2, 2021 compared with the quarter ended July </w:t>
      </w:r>
      <w:r>
        <w:rPr>
          <w:rFonts w:eastAsia="Times New Roman"/>
          <w:color w:val="000000"/>
          <w:sz w:val="20"/>
          <w:szCs w:val="20"/>
        </w:rPr>
        <w:t>3, 2020 was primarily due to $47 million of higher revenue in Space, reflecting a ramp in missile defense and other responsive programs and growth in Intel and Cyber from classified programs, partially offset by lower revenue in Mission Avionics, reflectin</w:t>
      </w:r>
      <w:r>
        <w:rPr>
          <w:rFonts w:eastAsia="Times New Roman"/>
          <w:color w:val="000000"/>
          <w:sz w:val="20"/>
          <w:szCs w:val="20"/>
        </w:rPr>
        <w:t xml:space="preserve">g F-35 program timing, and lower revenue in Electronic Warfare due to lower F-16 volume. </w:t>
      </w:r>
    </w:p>
    <w:p w:rsidR="00000000" w:rsidRDefault="00B11388">
      <w:pPr>
        <w:ind w:firstLine="450"/>
        <w:divId w:val="194081354"/>
        <w:rPr>
          <w:rFonts w:eastAsia="Times New Roman"/>
        </w:rPr>
      </w:pPr>
      <w:r>
        <w:rPr>
          <w:rFonts w:eastAsia="Times New Roman"/>
          <w:color w:val="000000"/>
          <w:sz w:val="20"/>
          <w:szCs w:val="20"/>
        </w:rPr>
        <w:t>The increases in segment operating income and segment operating margin percentage for the quarter ended July 2, 2021 compared with the quarter ended July 3, 2020 were</w:t>
      </w:r>
      <w:r>
        <w:rPr>
          <w:rFonts w:eastAsia="Times New Roman"/>
          <w:color w:val="000000"/>
          <w:sz w:val="20"/>
          <w:szCs w:val="20"/>
        </w:rPr>
        <w:t xml:space="preserve"> primarily due to higher revenue, operational excellence, including program performance, higher pension income and integration benefits, partially offset by increased investments in R&amp;D.</w:t>
      </w:r>
    </w:p>
    <w:p w:rsidR="00000000" w:rsidRDefault="00B11388">
      <w:pPr>
        <w:ind w:firstLine="450"/>
        <w:divId w:val="463549078"/>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 xml:space="preserve">The increase in segment revenue for the two </w:t>
      </w:r>
      <w:r>
        <w:rPr>
          <w:rFonts w:eastAsia="Times New Roman"/>
          <w:color w:val="000000"/>
          <w:sz w:val="20"/>
          <w:szCs w:val="20"/>
        </w:rPr>
        <w:t>quarters ended July 2, 2021 compared with the two quarters ended July 3, 2020 was primarily due to $80 million of higher revenue in Space from a ramp in missile defense and other responsive programs and growth in Intel and Cyber from classified programs, p</w:t>
      </w:r>
      <w:r>
        <w:rPr>
          <w:rFonts w:eastAsia="Times New Roman"/>
          <w:color w:val="000000"/>
          <w:sz w:val="20"/>
          <w:szCs w:val="20"/>
        </w:rPr>
        <w:t xml:space="preserve">artially offset by lower revenue in Electronic Warfare due to lower F-16 volume. </w:t>
      </w:r>
    </w:p>
    <w:p w:rsidR="00000000" w:rsidRDefault="00B11388">
      <w:pPr>
        <w:ind w:firstLine="450"/>
        <w:divId w:val="946229363"/>
        <w:rPr>
          <w:rFonts w:eastAsia="Times New Roman"/>
        </w:rPr>
      </w:pPr>
      <w:r>
        <w:rPr>
          <w:rFonts w:eastAsia="Times New Roman"/>
          <w:color w:val="000000"/>
          <w:sz w:val="20"/>
          <w:szCs w:val="20"/>
        </w:rPr>
        <w:t>The increases in segment operating income and operating margin percentage for the two quarters ended July 2, 2021 compared with the two quarters ended July 3, 2020 were prima</w:t>
      </w:r>
      <w:r>
        <w:rPr>
          <w:rFonts w:eastAsia="Times New Roman"/>
          <w:color w:val="000000"/>
          <w:sz w:val="20"/>
          <w:szCs w:val="20"/>
        </w:rPr>
        <w:t>rily due higher revenue, integration benefits and higher pension income, partially offset by a mix of programs with relatively lower operating margin percentage.</w:t>
      </w:r>
    </w:p>
    <w:p w:rsidR="00000000" w:rsidRDefault="00B11388">
      <w:pPr>
        <w:divId w:val="1511487261"/>
        <w:rPr>
          <w:rFonts w:eastAsia="Times New Roman"/>
        </w:rPr>
      </w:pPr>
      <w:r>
        <w:rPr>
          <w:rFonts w:eastAsia="Times New Roman"/>
          <w:b/>
          <w:bCs/>
          <w:color w:val="000000"/>
          <w:sz w:val="20"/>
          <w:szCs w:val="20"/>
        </w:rPr>
        <w:t>Communication Systems</w:t>
      </w:r>
    </w:p>
    <w:tbl>
      <w:tblPr>
        <w:tblW w:w="5000" w:type="pct"/>
        <w:tblCellMar>
          <w:top w:w="15" w:type="dxa"/>
          <w:left w:w="15" w:type="dxa"/>
          <w:bottom w:w="15" w:type="dxa"/>
          <w:right w:w="15" w:type="dxa"/>
        </w:tblCellMar>
        <w:tblLook w:val="04A0" w:firstRow="1" w:lastRow="0" w:firstColumn="1" w:lastColumn="0" w:noHBand="0" w:noVBand="1"/>
      </w:tblPr>
      <w:tblGrid>
        <w:gridCol w:w="40"/>
        <w:gridCol w:w="2637"/>
        <w:gridCol w:w="39"/>
        <w:gridCol w:w="120"/>
        <w:gridCol w:w="606"/>
        <w:gridCol w:w="187"/>
        <w:gridCol w:w="36"/>
        <w:gridCol w:w="36"/>
        <w:gridCol w:w="36"/>
        <w:gridCol w:w="120"/>
        <w:gridCol w:w="512"/>
        <w:gridCol w:w="187"/>
        <w:gridCol w:w="36"/>
        <w:gridCol w:w="36"/>
        <w:gridCol w:w="36"/>
        <w:gridCol w:w="69"/>
        <w:gridCol w:w="596"/>
        <w:gridCol w:w="187"/>
        <w:gridCol w:w="36"/>
        <w:gridCol w:w="36"/>
        <w:gridCol w:w="36"/>
        <w:gridCol w:w="120"/>
        <w:gridCol w:w="500"/>
        <w:gridCol w:w="187"/>
        <w:gridCol w:w="36"/>
        <w:gridCol w:w="36"/>
        <w:gridCol w:w="36"/>
        <w:gridCol w:w="120"/>
        <w:gridCol w:w="500"/>
        <w:gridCol w:w="187"/>
        <w:gridCol w:w="36"/>
        <w:gridCol w:w="36"/>
        <w:gridCol w:w="36"/>
        <w:gridCol w:w="69"/>
        <w:gridCol w:w="596"/>
        <w:gridCol w:w="187"/>
      </w:tblGrid>
      <w:tr w:rsidR="00000000">
        <w:trPr>
          <w:divId w:val="1579635501"/>
        </w:trPr>
        <w:tc>
          <w:tcPr>
            <w:tcW w:w="50" w:type="pct"/>
            <w:vAlign w:val="center"/>
            <w:hideMark/>
          </w:tcPr>
          <w:p w:rsidR="00000000" w:rsidRDefault="00B11388">
            <w:pPr>
              <w:rPr>
                <w:rFonts w:eastAsia="Times New Roman"/>
              </w:rPr>
            </w:pPr>
          </w:p>
        </w:tc>
        <w:tc>
          <w:tcPr>
            <w:tcW w:w="17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57963550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r>
      <w:tr w:rsidR="00000000">
        <w:trPr>
          <w:divId w:val="1579635501"/>
        </w:trPr>
        <w:tc>
          <w:tcPr>
            <w:tcW w:w="0" w:type="auto"/>
            <w:gridSpan w:val="3"/>
            <w:vAlign w:val="center"/>
            <w:hideMark/>
          </w:tcPr>
          <w:p w:rsidR="00000000" w:rsidRDefault="00B11388">
            <w:pPr>
              <w:spacing w:after="100"/>
              <w:jc w:val="center"/>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579635501"/>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2,239 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579635501"/>
        </w:trPr>
        <w:tc>
          <w:tcPr>
            <w:tcW w:w="0" w:type="auto"/>
            <w:gridSpan w:val="3"/>
            <w:vAlign w:val="center"/>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57963550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568 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515 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579635501"/>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bl>
    <w:p w:rsidR="00000000" w:rsidRDefault="00B11388">
      <w:pPr>
        <w:ind w:firstLine="450"/>
        <w:jc w:val="center"/>
        <w:divId w:val="2017924502"/>
        <w:rPr>
          <w:rFonts w:eastAsia="Times New Roman"/>
        </w:rPr>
      </w:pPr>
      <w:r>
        <w:rPr>
          <w:rFonts w:eastAsia="Times New Roman"/>
          <w:color w:val="000000"/>
          <w:sz w:val="20"/>
          <w:szCs w:val="20"/>
        </w:rPr>
        <w:t>32</w:t>
      </w:r>
    </w:p>
    <w:p w:rsidR="00000000" w:rsidRDefault="00B11388">
      <w:pPr>
        <w:rPr>
          <w:rFonts w:eastAsia="Times New Roman"/>
        </w:rPr>
      </w:pPr>
      <w:r>
        <w:rPr>
          <w:rFonts w:eastAsia="Times New Roman"/>
        </w:rPr>
        <w:pict>
          <v:rect id="_x0000_i1059" style="width:0;height:1.5pt" o:hralign="center" o:hrstd="t" o:hr="t" fillcolor="#a0a0a0" stroked="f"/>
        </w:pict>
      </w:r>
    </w:p>
    <w:p w:rsidR="00000000" w:rsidRDefault="00B11388">
      <w:pPr>
        <w:ind w:firstLine="450"/>
        <w:divId w:val="1913081736"/>
        <w:rPr>
          <w:rFonts w:eastAsia="Times New Roman"/>
        </w:rPr>
      </w:pPr>
    </w:p>
    <w:p w:rsidR="00000000" w:rsidRDefault="00B11388">
      <w:pPr>
        <w:ind w:firstLine="450"/>
        <w:divId w:val="649679409"/>
        <w:rPr>
          <w:rFonts w:eastAsia="Times New Roman"/>
        </w:rPr>
      </w:pPr>
    </w:p>
    <w:p w:rsidR="00000000" w:rsidRDefault="00B11388">
      <w:pPr>
        <w:ind w:firstLine="450"/>
        <w:divId w:val="1986855562"/>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segment revenue for the quarter ended July 2, 2021 compared with the quarter ended July 3, 2</w:t>
      </w:r>
      <w:r>
        <w:rPr>
          <w:rFonts w:eastAsia="Times New Roman"/>
          <w:color w:val="000000"/>
          <w:sz w:val="20"/>
          <w:szCs w:val="20"/>
        </w:rPr>
        <w:t>020 was primarily due to $23 million of higher revenue in Tactical Communications, reflecting increased international demand, $17 million of higher revenue in Global Communications Solutions and organic growth in Integrated Vision Solutions driven by the c</w:t>
      </w:r>
      <w:r>
        <w:rPr>
          <w:rFonts w:eastAsia="Times New Roman"/>
          <w:color w:val="000000"/>
          <w:sz w:val="20"/>
          <w:szCs w:val="20"/>
        </w:rPr>
        <w:t>ontinued ramp in DoD modernization, partially offset by the impact of the divestiture on July 31, 2020 of the EOTech business (which generated $20 million of revenue in the quarter ended July 3, 2020), $7 million of lower revenue in Public Safety due to re</w:t>
      </w:r>
      <w:r>
        <w:rPr>
          <w:rFonts w:eastAsia="Times New Roman"/>
          <w:color w:val="000000"/>
          <w:sz w:val="20"/>
          <w:szCs w:val="20"/>
        </w:rPr>
        <w:t>sidual COVID-related impacts and lower revenue in Broadband Communications from lower volume on legacy unmanned programs.</w:t>
      </w:r>
    </w:p>
    <w:p w:rsidR="00000000" w:rsidRDefault="00B11388">
      <w:pPr>
        <w:ind w:firstLine="450"/>
        <w:divId w:val="1651984184"/>
        <w:rPr>
          <w:rFonts w:eastAsia="Times New Roman"/>
        </w:rPr>
      </w:pPr>
      <w:r>
        <w:rPr>
          <w:rFonts w:eastAsia="Times New Roman"/>
          <w:color w:val="000000"/>
          <w:sz w:val="20"/>
          <w:szCs w:val="20"/>
        </w:rPr>
        <w:t>The increases in segment operating income and operating margin percentage for the quarter ended July 2, 2021 compared with the quarter</w:t>
      </w:r>
      <w:r>
        <w:rPr>
          <w:rFonts w:eastAsia="Times New Roman"/>
          <w:color w:val="000000"/>
          <w:sz w:val="20"/>
          <w:szCs w:val="20"/>
        </w:rPr>
        <w:t xml:space="preserve"> ended July 3, 2020 were primarily due to a mix of program revenue and product sales with relatively higher operating margin percentage for the quarter ended July 2, 2021, operational excellence and integration benefits.</w:t>
      </w:r>
    </w:p>
    <w:p w:rsidR="00000000" w:rsidRDefault="00B11388">
      <w:pPr>
        <w:ind w:firstLine="450"/>
        <w:divId w:val="1446340560"/>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The increa</w:t>
      </w:r>
      <w:r>
        <w:rPr>
          <w:rFonts w:eastAsia="Times New Roman"/>
          <w:color w:val="000000"/>
          <w:sz w:val="20"/>
          <w:szCs w:val="20"/>
        </w:rPr>
        <w:t xml:space="preserve">ses in segment revenue, operating income and operating margin percentage for the two quarters ended July 2, 2021 compared with the two quarters ended July 3, 2020 were primarily due to the same reasons as noted above in the one quarter comparison for this </w:t>
      </w:r>
      <w:r>
        <w:rPr>
          <w:rFonts w:eastAsia="Times New Roman"/>
          <w:color w:val="000000"/>
          <w:sz w:val="20"/>
          <w:szCs w:val="20"/>
        </w:rPr>
        <w:t>segment.</w:t>
      </w:r>
    </w:p>
    <w:p w:rsidR="00000000" w:rsidRDefault="00B11388">
      <w:pPr>
        <w:divId w:val="1315258324"/>
        <w:rPr>
          <w:rFonts w:eastAsia="Times New Roman"/>
        </w:rPr>
      </w:pPr>
      <w:r>
        <w:rPr>
          <w:rFonts w:eastAsia="Times New Roman"/>
          <w:b/>
          <w:bCs/>
          <w:color w:val="000000"/>
          <w:sz w:val="20"/>
          <w:szCs w:val="20"/>
        </w:rPr>
        <w:t>Aviation Systems</w:t>
      </w:r>
    </w:p>
    <w:tbl>
      <w:tblPr>
        <w:tblW w:w="5000" w:type="pct"/>
        <w:tblCellMar>
          <w:top w:w="15" w:type="dxa"/>
          <w:left w:w="15" w:type="dxa"/>
          <w:bottom w:w="15" w:type="dxa"/>
          <w:right w:w="15" w:type="dxa"/>
        </w:tblCellMar>
        <w:tblLook w:val="04A0" w:firstRow="1" w:lastRow="0" w:firstColumn="1" w:lastColumn="0" w:noHBand="0" w:noVBand="1"/>
      </w:tblPr>
      <w:tblGrid>
        <w:gridCol w:w="40"/>
        <w:gridCol w:w="2539"/>
        <w:gridCol w:w="39"/>
        <w:gridCol w:w="120"/>
        <w:gridCol w:w="655"/>
        <w:gridCol w:w="187"/>
        <w:gridCol w:w="36"/>
        <w:gridCol w:w="36"/>
        <w:gridCol w:w="36"/>
        <w:gridCol w:w="120"/>
        <w:gridCol w:w="560"/>
        <w:gridCol w:w="187"/>
        <w:gridCol w:w="36"/>
        <w:gridCol w:w="36"/>
        <w:gridCol w:w="36"/>
        <w:gridCol w:w="69"/>
        <w:gridCol w:w="596"/>
        <w:gridCol w:w="187"/>
        <w:gridCol w:w="36"/>
        <w:gridCol w:w="36"/>
        <w:gridCol w:w="36"/>
        <w:gridCol w:w="120"/>
        <w:gridCol w:w="500"/>
        <w:gridCol w:w="187"/>
        <w:gridCol w:w="36"/>
        <w:gridCol w:w="36"/>
        <w:gridCol w:w="36"/>
        <w:gridCol w:w="120"/>
        <w:gridCol w:w="501"/>
        <w:gridCol w:w="187"/>
        <w:gridCol w:w="36"/>
        <w:gridCol w:w="36"/>
        <w:gridCol w:w="36"/>
        <w:gridCol w:w="69"/>
        <w:gridCol w:w="596"/>
        <w:gridCol w:w="187"/>
      </w:tblGrid>
      <w:tr w:rsidR="00000000">
        <w:trPr>
          <w:divId w:val="1833057821"/>
        </w:trPr>
        <w:tc>
          <w:tcPr>
            <w:tcW w:w="50" w:type="pct"/>
            <w:vAlign w:val="center"/>
            <w:hideMark/>
          </w:tcPr>
          <w:p w:rsidR="00000000" w:rsidRDefault="00B11388">
            <w:pPr>
              <w:rPr>
                <w:rFonts w:eastAsia="Times New Roman"/>
              </w:rPr>
            </w:pPr>
          </w:p>
        </w:tc>
        <w:tc>
          <w:tcPr>
            <w:tcW w:w="164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833057821"/>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r>
      <w:tr w:rsidR="00000000">
        <w:trPr>
          <w:divId w:val="1833057821"/>
        </w:trPr>
        <w:tc>
          <w:tcPr>
            <w:tcW w:w="0" w:type="auto"/>
            <w:gridSpan w:val="3"/>
            <w:vAlign w:val="center"/>
            <w:hideMark/>
          </w:tcPr>
          <w:p w:rsidR="00000000" w:rsidRDefault="00B11388">
            <w:pPr>
              <w:spacing w:after="100"/>
              <w:jc w:val="center"/>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833057821"/>
          <w:trHeight w:val="6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1,811 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833057821"/>
        </w:trPr>
        <w:tc>
          <w:tcPr>
            <w:tcW w:w="0" w:type="auto"/>
            <w:gridSpan w:val="3"/>
            <w:vAlign w:val="center"/>
            <w:hideMark/>
          </w:tcPr>
          <w:p w:rsidR="00000000" w:rsidRDefault="00B11388">
            <w:pPr>
              <w:spacing w:after="100"/>
              <w:jc w:val="right"/>
              <w:rPr>
                <w:rFonts w:eastAsia="Times New Roman"/>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r>
      <w:tr w:rsidR="00000000">
        <w:trPr>
          <w:divId w:val="1833057821"/>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Segment operating income (loss)</w:t>
            </w: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833057821"/>
        </w:trPr>
        <w:tc>
          <w:tcPr>
            <w:tcW w:w="0" w:type="auto"/>
            <w:gridSpan w:val="3"/>
            <w:shd w:val="clear" w:color="auto" w:fill="CCEEFF"/>
            <w:tcMar>
              <w:top w:w="30" w:type="dxa"/>
              <w:left w:w="380" w:type="dxa"/>
              <w:bottom w:w="30" w:type="dxa"/>
              <w:right w:w="20" w:type="dxa"/>
            </w:tcMar>
            <w:vAlign w:val="bottom"/>
            <w:hideMark/>
          </w:tcPr>
          <w:p w:rsidR="00000000" w:rsidRDefault="00B11388">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i/>
                <w:i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bl>
    <w:p w:rsidR="00000000" w:rsidRDefault="00B11388">
      <w:pPr>
        <w:divId w:val="1833057821"/>
        <w:rPr>
          <w:rFonts w:eastAsia="Times New Roman"/>
        </w:rPr>
      </w:pPr>
      <w:r>
        <w:rPr>
          <w:rFonts w:eastAsia="Times New Roman"/>
          <w:color w:val="000000"/>
          <w:sz w:val="16"/>
          <w:szCs w:val="16"/>
        </w:rPr>
        <w:t>_________________</w:t>
      </w:r>
    </w:p>
    <w:p w:rsidR="00000000" w:rsidRDefault="00B11388">
      <w:pPr>
        <w:ind w:hanging="360"/>
        <w:divId w:val="1937907150"/>
        <w:rPr>
          <w:rFonts w:eastAsia="Times New Roman"/>
        </w:rPr>
      </w:pPr>
      <w:r>
        <w:rPr>
          <w:rFonts w:eastAsia="Times New Roman"/>
          <w:color w:val="000000"/>
          <w:sz w:val="16"/>
          <w:szCs w:val="16"/>
        </w:rPr>
        <w:t>*Not meaningful</w:t>
      </w:r>
    </w:p>
    <w:p w:rsidR="00000000" w:rsidRDefault="00B11388">
      <w:pPr>
        <w:ind w:firstLine="450"/>
        <w:divId w:val="118257058"/>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segment revenue for the quarter ended July 2, 2021 compared with the quarter ended July 3, 2020 was primarily due to $16 millio</w:t>
      </w:r>
      <w:r>
        <w:rPr>
          <w:rFonts w:eastAsia="Times New Roman"/>
          <w:color w:val="000000"/>
          <w:sz w:val="20"/>
          <w:szCs w:val="20"/>
        </w:rPr>
        <w:t>n of higher revenue in Defense Aviation, reflecting a ramp in fuzing and ordnance systems, increased training and avionics product sales volume in the commercial aerospace business and $5 million of higher revenue in Mission Networks from increased Federal</w:t>
      </w:r>
      <w:r>
        <w:rPr>
          <w:rFonts w:eastAsia="Times New Roman"/>
          <w:color w:val="000000"/>
          <w:sz w:val="20"/>
          <w:szCs w:val="20"/>
        </w:rPr>
        <w:t xml:space="preserve"> Aviation Administration volume, partially offset by $24 million of lower revenue from the divestiture of the airport security and automation businesses on May 4, 2020.</w:t>
      </w:r>
    </w:p>
    <w:p w:rsidR="00000000" w:rsidRDefault="00B11388">
      <w:pPr>
        <w:ind w:firstLine="450"/>
        <w:divId w:val="15619691"/>
        <w:rPr>
          <w:rFonts w:eastAsia="Times New Roman"/>
        </w:rPr>
      </w:pPr>
      <w:r>
        <w:rPr>
          <w:rFonts w:eastAsia="Times New Roman"/>
          <w:color w:val="000000"/>
          <w:sz w:val="20"/>
          <w:szCs w:val="20"/>
        </w:rPr>
        <w:t>The increase in segment operating income and comparability of operating margin percenta</w:t>
      </w:r>
      <w:r>
        <w:rPr>
          <w:rFonts w:eastAsia="Times New Roman"/>
          <w:color w:val="000000"/>
          <w:sz w:val="20"/>
          <w:szCs w:val="20"/>
        </w:rPr>
        <w:t xml:space="preserve">ge for the quarter ended July 2, 2021 compared with the quarter ended July 3, 2020 were primarily due to operational excellence, cost management, integration benefits and the absence in the quarter ended July 2, 2021 of COVID-related restructuring charges </w:t>
      </w:r>
      <w:r>
        <w:rPr>
          <w:rFonts w:eastAsia="Times New Roman"/>
          <w:color w:val="000000"/>
          <w:sz w:val="20"/>
          <w:szCs w:val="20"/>
        </w:rPr>
        <w:t xml:space="preserve">and exit costs recorded in the quarter ended July 3, 2020, mostly offset by a $26 million increase in charges for impairment of assets. </w:t>
      </w:r>
    </w:p>
    <w:p w:rsidR="00000000" w:rsidRDefault="00B11388">
      <w:pPr>
        <w:ind w:firstLine="450"/>
        <w:divId w:val="1885098511"/>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 xml:space="preserve">The decrease in segment revenue for the two quarters ended July 2, 2021 compared with the two </w:t>
      </w:r>
      <w:r>
        <w:rPr>
          <w:rFonts w:eastAsia="Times New Roman"/>
          <w:color w:val="000000"/>
          <w:sz w:val="20"/>
          <w:szCs w:val="20"/>
        </w:rPr>
        <w:t>quarters ended July 3, 2020 was primarily due to $43 million of lower commercial aerospace revenue, which included a $147 million revenue impact from the airport security and automation business divestiture on May 4, 2020 and lower revenue from the COVID-r</w:t>
      </w:r>
      <w:r>
        <w:rPr>
          <w:rFonts w:eastAsia="Times New Roman"/>
          <w:color w:val="000000"/>
          <w:sz w:val="20"/>
          <w:szCs w:val="20"/>
        </w:rPr>
        <w:t>elated downturn in the commercial aviation market and its impact on customer operations, and lower revenue in Military Training primarily due to program timing. These drivers were partially offset by $27 million of higher revenue in Defense Aviation and $2</w:t>
      </w:r>
      <w:r>
        <w:rPr>
          <w:rFonts w:eastAsia="Times New Roman"/>
          <w:color w:val="000000"/>
          <w:sz w:val="20"/>
          <w:szCs w:val="20"/>
        </w:rPr>
        <w:t>0 million of higher revenue in Mission Networks reflecting higher U.S. Federal Aviation Administration volume.</w:t>
      </w:r>
    </w:p>
    <w:p w:rsidR="00000000" w:rsidRDefault="00B11388">
      <w:pPr>
        <w:ind w:firstLine="450"/>
        <w:divId w:val="601498276"/>
        <w:rPr>
          <w:rFonts w:eastAsia="Times New Roman"/>
        </w:rPr>
      </w:pPr>
      <w:r>
        <w:rPr>
          <w:rFonts w:eastAsia="Times New Roman"/>
          <w:color w:val="000000"/>
          <w:sz w:val="20"/>
          <w:szCs w:val="20"/>
        </w:rPr>
        <w:t>The increases in segment operating income and operating margin percentage for the two quarters ended July 2, 2021 compared with the segment opera</w:t>
      </w:r>
      <w:r>
        <w:rPr>
          <w:rFonts w:eastAsia="Times New Roman"/>
          <w:color w:val="000000"/>
          <w:sz w:val="20"/>
          <w:szCs w:val="20"/>
        </w:rPr>
        <w:t xml:space="preserve">ting loss and operating margin percentage in the two quarters ended July 3, 2020 were primarily due to the same reasons as noted above in the one quarter comparison for this segment as well as the absence of $375 million of non-cash charges for impairment </w:t>
      </w:r>
      <w:r>
        <w:rPr>
          <w:rFonts w:eastAsia="Times New Roman"/>
          <w:color w:val="000000"/>
          <w:sz w:val="20"/>
          <w:szCs w:val="20"/>
        </w:rPr>
        <w:t>of goodwill and other assets in the two quarters ended July 3, 2020 due to the COVID-related downturn in the commercial aviation market and its impact on customer operations.</w:t>
      </w:r>
    </w:p>
    <w:p w:rsidR="00000000" w:rsidRDefault="00B11388">
      <w:pPr>
        <w:ind w:firstLine="450"/>
        <w:jc w:val="center"/>
        <w:divId w:val="109788991"/>
        <w:rPr>
          <w:rFonts w:eastAsia="Times New Roman"/>
        </w:rPr>
      </w:pPr>
      <w:r>
        <w:rPr>
          <w:rFonts w:eastAsia="Times New Roman"/>
          <w:color w:val="000000"/>
          <w:sz w:val="20"/>
          <w:szCs w:val="20"/>
        </w:rPr>
        <w:t>33</w:t>
      </w:r>
    </w:p>
    <w:p w:rsidR="00000000" w:rsidRDefault="00B11388">
      <w:pPr>
        <w:rPr>
          <w:rFonts w:eastAsia="Times New Roman"/>
        </w:rPr>
      </w:pPr>
      <w:r>
        <w:rPr>
          <w:rFonts w:eastAsia="Times New Roman"/>
        </w:rPr>
        <w:pict>
          <v:rect id="_x0000_i1060" style="width:0;height:1.5pt" o:hralign="center" o:hrstd="t" o:hr="t" fillcolor="#a0a0a0" stroked="f"/>
        </w:pict>
      </w:r>
    </w:p>
    <w:p w:rsidR="00000000" w:rsidRDefault="00B11388">
      <w:pPr>
        <w:ind w:firstLine="450"/>
        <w:divId w:val="44066858"/>
        <w:rPr>
          <w:rFonts w:eastAsia="Times New Roman"/>
        </w:rPr>
      </w:pPr>
    </w:p>
    <w:p w:rsidR="00000000" w:rsidRDefault="00B11388">
      <w:pPr>
        <w:ind w:firstLine="450"/>
        <w:divId w:val="1050425564"/>
        <w:rPr>
          <w:rFonts w:eastAsia="Times New Roman"/>
        </w:rPr>
      </w:pPr>
    </w:p>
    <w:p w:rsidR="00000000" w:rsidRDefault="00B11388">
      <w:pPr>
        <w:divId w:val="353730285"/>
        <w:rPr>
          <w:rFonts w:eastAsia="Times New Roman"/>
        </w:rPr>
      </w:pPr>
      <w:r>
        <w:rPr>
          <w:rFonts w:eastAsia="Times New Roman"/>
          <w:b/>
          <w:bCs/>
          <w:color w:val="000000"/>
          <w:sz w:val="20"/>
          <w:szCs w:val="20"/>
        </w:rPr>
        <w:t>Unallocated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40"/>
        <w:gridCol w:w="2652"/>
        <w:gridCol w:w="38"/>
        <w:gridCol w:w="121"/>
        <w:gridCol w:w="719"/>
        <w:gridCol w:w="36"/>
        <w:gridCol w:w="36"/>
        <w:gridCol w:w="36"/>
        <w:gridCol w:w="36"/>
        <w:gridCol w:w="120"/>
        <w:gridCol w:w="659"/>
        <w:gridCol w:w="36"/>
        <w:gridCol w:w="36"/>
        <w:gridCol w:w="36"/>
        <w:gridCol w:w="36"/>
        <w:gridCol w:w="69"/>
        <w:gridCol w:w="596"/>
        <w:gridCol w:w="187"/>
        <w:gridCol w:w="36"/>
        <w:gridCol w:w="36"/>
        <w:gridCol w:w="36"/>
        <w:gridCol w:w="120"/>
        <w:gridCol w:w="667"/>
        <w:gridCol w:w="36"/>
        <w:gridCol w:w="36"/>
        <w:gridCol w:w="36"/>
        <w:gridCol w:w="36"/>
        <w:gridCol w:w="120"/>
        <w:gridCol w:w="662"/>
        <w:gridCol w:w="36"/>
        <w:gridCol w:w="36"/>
        <w:gridCol w:w="36"/>
        <w:gridCol w:w="36"/>
        <w:gridCol w:w="69"/>
        <w:gridCol w:w="596"/>
        <w:gridCol w:w="187"/>
      </w:tblGrid>
      <w:tr w:rsidR="00000000">
        <w:trPr>
          <w:divId w:val="1656107329"/>
        </w:trPr>
        <w:tc>
          <w:tcPr>
            <w:tcW w:w="50" w:type="pct"/>
            <w:vAlign w:val="center"/>
            <w:hideMark/>
          </w:tcPr>
          <w:p w:rsidR="00000000" w:rsidRDefault="00B11388">
            <w:pPr>
              <w:rPr>
                <w:rFonts w:eastAsia="Times New Roman"/>
              </w:rPr>
            </w:pPr>
          </w:p>
        </w:tc>
        <w:tc>
          <w:tcPr>
            <w:tcW w:w="165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9"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3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656107329"/>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656107329"/>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 Inc/(Dec)</w:t>
            </w:r>
          </w:p>
        </w:tc>
      </w:tr>
      <w:tr w:rsidR="00000000">
        <w:trPr>
          <w:divId w:val="1656107329"/>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656107329"/>
        </w:trPr>
        <w:tc>
          <w:tcPr>
            <w:tcW w:w="0" w:type="auto"/>
            <w:gridSpan w:val="3"/>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 xml:space="preserve">Other unallocated corporate expenses </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656107329"/>
        </w:trPr>
        <w:tc>
          <w:tcPr>
            <w:tcW w:w="0" w:type="auto"/>
            <w:gridSpan w:val="3"/>
            <w:shd w:val="clear" w:color="auto" w:fill="FFFFFF"/>
            <w:tcMar>
              <w:top w:w="30" w:type="dxa"/>
              <w:left w:w="290"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20"/>
                <w:szCs w:val="20"/>
              </w:rPr>
              <w:t>L3Harris Merger-related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656107329"/>
        </w:trPr>
        <w:tc>
          <w:tcPr>
            <w:tcW w:w="0" w:type="auto"/>
            <w:gridSpan w:val="3"/>
            <w:shd w:val="clear" w:color="auto" w:fill="CCEEFF"/>
            <w:tcMar>
              <w:top w:w="30" w:type="dxa"/>
              <w:left w:w="290"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353 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656107329"/>
        </w:trPr>
        <w:tc>
          <w:tcPr>
            <w:tcW w:w="0" w:type="auto"/>
            <w:gridSpan w:val="3"/>
            <w:shd w:val="clear" w:color="auto" w:fill="FFFFFF"/>
            <w:tcMar>
              <w:top w:w="30" w:type="dxa"/>
              <w:left w:w="290" w:type="dxa"/>
              <w:bottom w:w="30" w:type="dxa"/>
              <w:right w:w="20" w:type="dxa"/>
            </w:tcMar>
            <w:vAlign w:val="center"/>
            <w:hideMark/>
          </w:tcPr>
          <w:p w:rsidR="00000000" w:rsidRDefault="00B11388">
            <w:pPr>
              <w:spacing w:after="100"/>
              <w:ind w:hanging="27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r w:rsidR="00000000">
        <w:trPr>
          <w:divId w:val="1656107329"/>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jc w:val="right"/>
              <w:rPr>
                <w:rFonts w:eastAsia="Times New Roman"/>
              </w:rPr>
            </w:pPr>
            <w:r>
              <w:rPr>
                <w:rFonts w:eastAsia="Times New Roman"/>
                <w:color w:val="000000"/>
                <w:sz w:val="20"/>
                <w:szCs w:val="20"/>
              </w:rPr>
              <w:t>*</w:t>
            </w:r>
          </w:p>
        </w:tc>
      </w:tr>
    </w:tbl>
    <w:p w:rsidR="00000000" w:rsidRDefault="00B11388">
      <w:pPr>
        <w:divId w:val="744953577"/>
        <w:rPr>
          <w:rFonts w:eastAsia="Times New Roman"/>
        </w:rPr>
      </w:pPr>
      <w:r>
        <w:rPr>
          <w:rFonts w:eastAsia="Times New Roman"/>
          <w:color w:val="000000"/>
          <w:sz w:val="16"/>
          <w:szCs w:val="16"/>
        </w:rPr>
        <w:t>_________________</w:t>
      </w:r>
    </w:p>
    <w:p w:rsidR="00000000" w:rsidRDefault="00B11388">
      <w:pPr>
        <w:ind w:hanging="360"/>
        <w:divId w:val="1827353047"/>
        <w:rPr>
          <w:rFonts w:eastAsia="Times New Roman"/>
        </w:rPr>
      </w:pPr>
      <w:r>
        <w:rPr>
          <w:rFonts w:eastAsia="Times New Roman"/>
          <w:color w:val="000000"/>
          <w:sz w:val="16"/>
          <w:szCs w:val="16"/>
        </w:rPr>
        <w:t>*Not meaningful</w:t>
      </w:r>
    </w:p>
    <w:p w:rsidR="00000000" w:rsidRDefault="00B11388">
      <w:pPr>
        <w:ind w:firstLine="450"/>
        <w:divId w:val="489951573"/>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The increase in other unallocated corporate expenses for the quarter ended July 2, 2021 compared with the quarter ended </w:t>
      </w:r>
      <w:r>
        <w:rPr>
          <w:rFonts w:eastAsia="Times New Roman"/>
          <w:color w:val="000000"/>
          <w:sz w:val="20"/>
          <w:szCs w:val="20"/>
        </w:rPr>
        <w:t>July 3, 2020 was primarily due to $37 million of higher divestiture-related expenses, partially offset by the absence of $16 million of additional cost of sales related to fair value step-up in inventory sold and $7 million of restructuring charges recorde</w:t>
      </w:r>
      <w:r>
        <w:rPr>
          <w:rFonts w:eastAsia="Times New Roman"/>
          <w:color w:val="000000"/>
          <w:sz w:val="20"/>
          <w:szCs w:val="20"/>
        </w:rPr>
        <w:t>d in the quarter ended July 3, 2020.</w:t>
      </w:r>
    </w:p>
    <w:p w:rsidR="00000000" w:rsidRDefault="00B11388">
      <w:pPr>
        <w:ind w:firstLine="450"/>
        <w:divId w:val="1694766559"/>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The increase in other unallocated corporate expenses for the two quarters ended July 2, 2021 compared with the two quarters ended July 3, 2020 was primarily due to $44 million of higher divestit</w:t>
      </w:r>
      <w:r>
        <w:rPr>
          <w:rFonts w:eastAsia="Times New Roman"/>
          <w:color w:val="000000"/>
          <w:sz w:val="20"/>
          <w:szCs w:val="20"/>
        </w:rPr>
        <w:t>ure-related expenses and a $15 million accrual for a value-added tax obligation in the two quarters ended July 2, 2021, partially offset by $31 million of additional cost of sales related to fair value step-up in inventory sold and $7 million of restructur</w:t>
      </w:r>
      <w:r>
        <w:rPr>
          <w:rFonts w:eastAsia="Times New Roman"/>
          <w:color w:val="000000"/>
          <w:sz w:val="20"/>
          <w:szCs w:val="20"/>
        </w:rPr>
        <w:t>ing charges recorded in the two quarters ended July 3, 2020.</w:t>
      </w:r>
    </w:p>
    <w:p w:rsidR="00000000" w:rsidRDefault="00B11388">
      <w:pPr>
        <w:divId w:val="538585888"/>
        <w:rPr>
          <w:rFonts w:eastAsia="Times New Roman"/>
        </w:rPr>
      </w:pPr>
      <w:r>
        <w:rPr>
          <w:rFonts w:eastAsia="Times New Roman"/>
          <w:b/>
          <w:bCs/>
          <w:color w:val="000000"/>
          <w:sz w:val="20"/>
          <w:szCs w:val="20"/>
        </w:rPr>
        <w:t>LIQUIDITY, CAPITAL RESOURCES AND FINANCIAL STRATEGIES</w:t>
      </w:r>
    </w:p>
    <w:p w:rsidR="00000000" w:rsidRDefault="00B11388">
      <w:pPr>
        <w:divId w:val="1990592656"/>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8"/>
        <w:gridCol w:w="120"/>
        <w:gridCol w:w="1079"/>
        <w:gridCol w:w="36"/>
        <w:gridCol w:w="36"/>
        <w:gridCol w:w="36"/>
        <w:gridCol w:w="36"/>
        <w:gridCol w:w="120"/>
        <w:gridCol w:w="1046"/>
        <w:gridCol w:w="36"/>
      </w:tblGrid>
      <w:tr w:rsidR="00000000">
        <w:trPr>
          <w:divId w:val="1108045284"/>
        </w:trPr>
        <w:tc>
          <w:tcPr>
            <w:tcW w:w="50" w:type="pct"/>
            <w:vAlign w:val="center"/>
            <w:hideMark/>
          </w:tcPr>
          <w:p w:rsidR="00000000" w:rsidRDefault="00B11388">
            <w:pPr>
              <w:rPr>
                <w:rFonts w:eastAsia="Times New Roman"/>
              </w:rPr>
            </w:pPr>
          </w:p>
        </w:tc>
        <w:tc>
          <w:tcPr>
            <w:tcW w:w="344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7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10804528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108045284"/>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108045284"/>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1080452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1,335 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1080452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cash provided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1,307 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845 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1080452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(1,937)</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(1,042)</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1080452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1080452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Net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108045284"/>
        </w:trPr>
        <w:tc>
          <w:tcPr>
            <w:tcW w:w="0" w:type="auto"/>
            <w:gridSpan w:val="3"/>
            <w:shd w:val="clear" w:color="auto" w:fill="FFFF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108045284"/>
        </w:trPr>
        <w:tc>
          <w:tcPr>
            <w:tcW w:w="0" w:type="auto"/>
            <w:gridSpan w:val="3"/>
            <w:shd w:val="clear" w:color="auto" w:fill="CCEEFF"/>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1819766107"/>
        <w:rPr>
          <w:rFonts w:eastAsia="Times New Roman"/>
        </w:rPr>
      </w:pPr>
      <w:r>
        <w:rPr>
          <w:rFonts w:eastAsia="Times New Roman"/>
          <w:b/>
          <w:bCs/>
          <w:i/>
          <w:iCs/>
          <w:color w:val="000000"/>
          <w:sz w:val="20"/>
          <w:szCs w:val="20"/>
        </w:rPr>
        <w:t>Cash and cash equivalents</w:t>
      </w:r>
    </w:p>
    <w:p w:rsidR="00000000" w:rsidRDefault="00B11388">
      <w:pPr>
        <w:divId w:val="1814326890"/>
        <w:rPr>
          <w:rFonts w:eastAsia="Times New Roman"/>
        </w:rPr>
      </w:pPr>
      <w:r>
        <w:rPr>
          <w:rFonts w:eastAsia="Times New Roman"/>
          <w:color w:val="000000"/>
          <w:sz w:val="20"/>
          <w:szCs w:val="20"/>
        </w:rPr>
        <w:t>The $753 million net increase in cash and cash equivalents in the two quarters ended July 2, 2021 was primarily due to:</w:t>
      </w:r>
    </w:p>
    <w:p w:rsidR="00000000" w:rsidRDefault="00B11388">
      <w:pPr>
        <w:ind w:hanging="180"/>
        <w:divId w:val="1997880713"/>
        <w:rPr>
          <w:rFonts w:eastAsia="Times New Roman"/>
        </w:rPr>
      </w:pPr>
      <w:r>
        <w:rPr>
          <w:rFonts w:eastAsia="Times New Roman"/>
          <w:color w:val="000000"/>
          <w:sz w:val="20"/>
          <w:szCs w:val="20"/>
        </w:rPr>
        <w:t>•$1,381 million of net cash provided by operating activities;</w:t>
      </w:r>
    </w:p>
    <w:p w:rsidR="00000000" w:rsidRDefault="00B11388">
      <w:pPr>
        <w:ind w:hanging="180"/>
        <w:divId w:val="1466661338"/>
        <w:rPr>
          <w:rFonts w:eastAsia="Times New Roman"/>
        </w:rPr>
      </w:pPr>
      <w:r>
        <w:rPr>
          <w:rFonts w:eastAsia="Times New Roman"/>
          <w:color w:val="000000"/>
          <w:sz w:val="20"/>
          <w:szCs w:val="20"/>
        </w:rPr>
        <w:t>•</w:t>
      </w:r>
      <w:r>
        <w:rPr>
          <w:rFonts w:eastAsia="Times New Roman"/>
          <w:color w:val="000000"/>
          <w:sz w:val="20"/>
          <w:szCs w:val="20"/>
        </w:rPr>
        <w:t>$1,430 million of net proceeds from sales of businesses; and</w:t>
      </w:r>
    </w:p>
    <w:p w:rsidR="00000000" w:rsidRDefault="00B11388">
      <w:pPr>
        <w:ind w:hanging="180"/>
        <w:divId w:val="982008918"/>
        <w:rPr>
          <w:rFonts w:eastAsia="Times New Roman"/>
        </w:rPr>
      </w:pPr>
      <w:r>
        <w:rPr>
          <w:rFonts w:eastAsia="Times New Roman"/>
          <w:color w:val="000000"/>
          <w:sz w:val="20"/>
          <w:szCs w:val="20"/>
        </w:rPr>
        <w:t>•$38 million of proceeds from exercises of employee stock options; partially offset by</w:t>
      </w:r>
    </w:p>
    <w:p w:rsidR="00000000" w:rsidRDefault="00B11388">
      <w:pPr>
        <w:ind w:hanging="180"/>
        <w:divId w:val="1034385583"/>
        <w:rPr>
          <w:rFonts w:eastAsia="Times New Roman"/>
        </w:rPr>
      </w:pPr>
      <w:r>
        <w:rPr>
          <w:rFonts w:eastAsia="Times New Roman"/>
          <w:color w:val="000000"/>
          <w:sz w:val="20"/>
          <w:szCs w:val="20"/>
        </w:rPr>
        <w:t xml:space="preserve">•$1,550 million used to repurchase shares of our common stock; </w:t>
      </w:r>
    </w:p>
    <w:p w:rsidR="00000000" w:rsidRDefault="00B11388">
      <w:pPr>
        <w:ind w:hanging="180"/>
        <w:divId w:val="141846535"/>
        <w:rPr>
          <w:rFonts w:eastAsia="Times New Roman"/>
        </w:rPr>
      </w:pPr>
      <w:r>
        <w:rPr>
          <w:rFonts w:eastAsia="Times New Roman"/>
          <w:color w:val="000000"/>
          <w:sz w:val="20"/>
          <w:szCs w:val="20"/>
        </w:rPr>
        <w:t>•$416 million used to pay cash dividends; an</w:t>
      </w:r>
      <w:r>
        <w:rPr>
          <w:rFonts w:eastAsia="Times New Roman"/>
          <w:color w:val="000000"/>
          <w:sz w:val="20"/>
          <w:szCs w:val="20"/>
        </w:rPr>
        <w:t>d</w:t>
      </w:r>
    </w:p>
    <w:p w:rsidR="00000000" w:rsidRDefault="00B11388">
      <w:pPr>
        <w:ind w:hanging="180"/>
        <w:divId w:val="123889582"/>
        <w:rPr>
          <w:rFonts w:eastAsia="Times New Roman"/>
        </w:rPr>
      </w:pPr>
      <w:r>
        <w:rPr>
          <w:rFonts w:eastAsia="Times New Roman"/>
          <w:color w:val="000000"/>
          <w:sz w:val="20"/>
          <w:szCs w:val="20"/>
        </w:rPr>
        <w:t>•$128 million used for additions of property, plant and equipment.</w:t>
      </w:r>
    </w:p>
    <w:p w:rsidR="00000000" w:rsidRDefault="00B11388">
      <w:pPr>
        <w:divId w:val="498038862"/>
        <w:rPr>
          <w:rFonts w:eastAsia="Times New Roman"/>
        </w:rPr>
      </w:pPr>
      <w:r>
        <w:rPr>
          <w:rFonts w:eastAsia="Times New Roman"/>
          <w:color w:val="000000"/>
          <w:sz w:val="20"/>
          <w:szCs w:val="20"/>
        </w:rPr>
        <w:t>The $1,123 million net increase in cash and cash equivalents in the two quarters ended July 3, 2020 was primarily due to:</w:t>
      </w:r>
    </w:p>
    <w:p w:rsidR="00000000" w:rsidRDefault="00B11388">
      <w:pPr>
        <w:ind w:hanging="180"/>
        <w:divId w:val="1642155626"/>
        <w:rPr>
          <w:rFonts w:eastAsia="Times New Roman"/>
        </w:rPr>
      </w:pPr>
      <w:r>
        <w:rPr>
          <w:rFonts w:eastAsia="Times New Roman"/>
          <w:color w:val="000000"/>
          <w:sz w:val="20"/>
          <w:szCs w:val="20"/>
        </w:rPr>
        <w:t>•$1,335 million of net cash provided by operating activities;</w:t>
      </w:r>
    </w:p>
    <w:p w:rsidR="00000000" w:rsidRDefault="00B11388">
      <w:pPr>
        <w:ind w:hanging="180"/>
        <w:divId w:val="1501655680"/>
        <w:rPr>
          <w:rFonts w:eastAsia="Times New Roman"/>
        </w:rPr>
      </w:pPr>
      <w:r>
        <w:rPr>
          <w:rFonts w:eastAsia="Times New Roman"/>
          <w:color w:val="000000"/>
          <w:sz w:val="20"/>
          <w:szCs w:val="20"/>
        </w:rPr>
        <w:t>•$9</w:t>
      </w:r>
      <w:r>
        <w:rPr>
          <w:rFonts w:eastAsia="Times New Roman"/>
          <w:color w:val="000000"/>
          <w:sz w:val="20"/>
          <w:szCs w:val="20"/>
        </w:rPr>
        <w:t>63 million of net proceeds from sales of businesses;</w:t>
      </w:r>
    </w:p>
    <w:p w:rsidR="00000000" w:rsidRDefault="00B11388">
      <w:pPr>
        <w:ind w:hanging="180"/>
        <w:divId w:val="1007749836"/>
        <w:rPr>
          <w:rFonts w:eastAsia="Times New Roman"/>
        </w:rPr>
      </w:pPr>
      <w:r>
        <w:rPr>
          <w:rFonts w:eastAsia="Times New Roman"/>
          <w:color w:val="000000"/>
          <w:sz w:val="20"/>
          <w:szCs w:val="20"/>
        </w:rPr>
        <w:t>•$248 million of net proceeds from borrowings from issuance of Floating Rate Notes due March 10, 2023; and</w:t>
      </w:r>
    </w:p>
    <w:p w:rsidR="00000000" w:rsidRDefault="00B11388">
      <w:pPr>
        <w:ind w:hanging="180"/>
        <w:divId w:val="850336498"/>
        <w:rPr>
          <w:rFonts w:eastAsia="Times New Roman"/>
        </w:rPr>
      </w:pPr>
      <w:r>
        <w:rPr>
          <w:rFonts w:eastAsia="Times New Roman"/>
          <w:color w:val="000000"/>
          <w:sz w:val="20"/>
          <w:szCs w:val="20"/>
        </w:rPr>
        <w:t>•$37 million of proceeds from exercises of employee stock options; partially offset by</w:t>
      </w:r>
    </w:p>
    <w:p w:rsidR="00000000" w:rsidRDefault="00B11388">
      <w:pPr>
        <w:ind w:hanging="180"/>
        <w:divId w:val="1338732901"/>
        <w:rPr>
          <w:rFonts w:eastAsia="Times New Roman"/>
        </w:rPr>
      </w:pPr>
      <w:r>
        <w:rPr>
          <w:rFonts w:eastAsia="Times New Roman"/>
          <w:color w:val="000000"/>
          <w:sz w:val="20"/>
          <w:szCs w:val="20"/>
        </w:rPr>
        <w:t>•$700 mil</w:t>
      </w:r>
      <w:r>
        <w:rPr>
          <w:rFonts w:eastAsia="Times New Roman"/>
          <w:color w:val="000000"/>
          <w:sz w:val="20"/>
          <w:szCs w:val="20"/>
        </w:rPr>
        <w:t>lion used to repurchase shares of our common stock;</w:t>
      </w:r>
    </w:p>
    <w:p w:rsidR="00000000" w:rsidRDefault="00B11388">
      <w:pPr>
        <w:ind w:hanging="180"/>
        <w:divId w:val="1759132417"/>
        <w:rPr>
          <w:rFonts w:eastAsia="Times New Roman"/>
        </w:rPr>
      </w:pPr>
      <w:r>
        <w:rPr>
          <w:rFonts w:eastAsia="Times New Roman"/>
          <w:color w:val="000000"/>
          <w:sz w:val="20"/>
          <w:szCs w:val="20"/>
        </w:rPr>
        <w:t>•$367 million used to pay cash dividends;</w:t>
      </w:r>
    </w:p>
    <w:p w:rsidR="00000000" w:rsidRDefault="00B11388">
      <w:pPr>
        <w:ind w:firstLine="450"/>
        <w:jc w:val="center"/>
        <w:divId w:val="974917148"/>
        <w:rPr>
          <w:rFonts w:eastAsia="Times New Roman"/>
        </w:rPr>
      </w:pPr>
      <w:r>
        <w:rPr>
          <w:rFonts w:eastAsia="Times New Roman"/>
          <w:color w:val="000000"/>
          <w:sz w:val="20"/>
          <w:szCs w:val="20"/>
        </w:rPr>
        <w:t>34</w:t>
      </w:r>
    </w:p>
    <w:p w:rsidR="00000000" w:rsidRDefault="00B11388">
      <w:pPr>
        <w:rPr>
          <w:rFonts w:eastAsia="Times New Roman"/>
        </w:rPr>
      </w:pPr>
      <w:r>
        <w:rPr>
          <w:rFonts w:eastAsia="Times New Roman"/>
        </w:rPr>
        <w:pict>
          <v:rect id="_x0000_i1061" style="width:0;height:1.5pt" o:hralign="center" o:hrstd="t" o:hr="t" fillcolor="#a0a0a0" stroked="f"/>
        </w:pict>
      </w:r>
    </w:p>
    <w:p w:rsidR="00000000" w:rsidRDefault="00B11388">
      <w:pPr>
        <w:ind w:firstLine="450"/>
        <w:divId w:val="1551921431"/>
        <w:rPr>
          <w:rFonts w:eastAsia="Times New Roman"/>
        </w:rPr>
      </w:pPr>
    </w:p>
    <w:p w:rsidR="00000000" w:rsidRDefault="00B11388">
      <w:pPr>
        <w:ind w:firstLine="450"/>
        <w:divId w:val="855769692"/>
        <w:rPr>
          <w:rFonts w:eastAsia="Times New Roman"/>
        </w:rPr>
      </w:pPr>
    </w:p>
    <w:p w:rsidR="00000000" w:rsidRDefault="00B11388">
      <w:pPr>
        <w:ind w:hanging="180"/>
        <w:divId w:val="658001535"/>
        <w:rPr>
          <w:rFonts w:eastAsia="Times New Roman"/>
        </w:rPr>
      </w:pPr>
      <w:r>
        <w:rPr>
          <w:rFonts w:eastAsia="Times New Roman"/>
          <w:color w:val="000000"/>
          <w:sz w:val="20"/>
          <w:szCs w:val="20"/>
        </w:rPr>
        <w:t>•$254 million of repayments of borrowings, including $250 million used for repayment at maturity of the entire princip</w:t>
      </w:r>
      <w:r>
        <w:rPr>
          <w:rFonts w:eastAsia="Times New Roman"/>
          <w:color w:val="000000"/>
          <w:sz w:val="20"/>
          <w:szCs w:val="20"/>
        </w:rPr>
        <w:t>al amount of our Floating Rate Notes due April 30, 2020; and</w:t>
      </w:r>
    </w:p>
    <w:p w:rsidR="00000000" w:rsidRDefault="00B11388">
      <w:pPr>
        <w:ind w:hanging="180"/>
        <w:divId w:val="2051225418"/>
        <w:rPr>
          <w:rFonts w:eastAsia="Times New Roman"/>
        </w:rPr>
      </w:pPr>
      <w:r>
        <w:rPr>
          <w:rFonts w:eastAsia="Times New Roman"/>
          <w:color w:val="000000"/>
          <w:sz w:val="20"/>
          <w:szCs w:val="20"/>
        </w:rPr>
        <w:t>•$108 million used for additions of property, plant and equipment.</w:t>
      </w:r>
    </w:p>
    <w:p w:rsidR="00000000" w:rsidRDefault="00B11388">
      <w:pPr>
        <w:ind w:firstLine="450"/>
        <w:divId w:val="409153773"/>
        <w:rPr>
          <w:rFonts w:eastAsia="Times New Roman"/>
        </w:rPr>
      </w:pPr>
      <w:r>
        <w:rPr>
          <w:rFonts w:eastAsia="Times New Roman"/>
          <w:color w:val="000000"/>
          <w:sz w:val="20"/>
          <w:szCs w:val="20"/>
        </w:rPr>
        <w:t>At July 2, 2021, we had cash and cash equivalents of $2,029 million, including $1,430 million of net proceeds from sales of busi</w:t>
      </w:r>
      <w:r>
        <w:rPr>
          <w:rFonts w:eastAsia="Times New Roman"/>
          <w:color w:val="000000"/>
          <w:sz w:val="20"/>
          <w:szCs w:val="20"/>
        </w:rPr>
        <w:t>nesses received on July 2, 2021, and we have a senior unsecured $2 billion revolving credit facility that expires in June 2024 (all of which was available to us as of July 2, 2021). Additionally, we had $7.1 billion of long-term debt outstanding at July 2,</w:t>
      </w:r>
      <w:r>
        <w:rPr>
          <w:rFonts w:eastAsia="Times New Roman"/>
          <w:color w:val="000000"/>
          <w:sz w:val="20"/>
          <w:szCs w:val="20"/>
        </w:rPr>
        <w:t xml:space="preserve"> 2021. Our $2,029 million of cash and cash equivalents at July 2, 2021 included $248 million held by our foreign subsidiaries, a significant portion of which we believe can be repatriated to the U.S. with minimal tax cost.</w:t>
      </w:r>
    </w:p>
    <w:p w:rsidR="00000000" w:rsidRDefault="00B11388">
      <w:pPr>
        <w:ind w:firstLine="450"/>
        <w:divId w:val="249169626"/>
        <w:rPr>
          <w:rFonts w:eastAsia="Times New Roman"/>
        </w:rPr>
      </w:pPr>
      <w:r>
        <w:rPr>
          <w:rFonts w:eastAsia="Times New Roman"/>
          <w:color w:val="000000"/>
          <w:sz w:val="20"/>
          <w:szCs w:val="20"/>
        </w:rPr>
        <w:t xml:space="preserve">Given our current cash position, </w:t>
      </w:r>
      <w:r>
        <w:rPr>
          <w:rFonts w:eastAsia="Times New Roman"/>
          <w:color w:val="000000"/>
          <w:sz w:val="20"/>
          <w:szCs w:val="20"/>
        </w:rPr>
        <w:t xml:space="preserve">outlook for funds generated from operations, credit ratings, available credit facility, cash needs and debt structure, we have not experienced to date, and do not expect to experience, any material issues with liquidity, although we can give no assurances </w:t>
      </w:r>
      <w:r>
        <w:rPr>
          <w:rFonts w:eastAsia="Times New Roman"/>
          <w:color w:val="000000"/>
          <w:sz w:val="20"/>
          <w:szCs w:val="20"/>
        </w:rPr>
        <w:t>concerning our future liquidity, particularly in light of our overall level of debt, U.S. Government budget uncertainties and the state of global commerce and general political and financial uncertainty. We cannot predict the on-going impact that COVID, am</w:t>
      </w:r>
      <w:r>
        <w:rPr>
          <w:rFonts w:eastAsia="Times New Roman"/>
          <w:color w:val="000000"/>
          <w:sz w:val="20"/>
          <w:szCs w:val="20"/>
        </w:rPr>
        <w:t>ong other potential risks and uncertainties, will have on our cash from operations. For further information regarding COVID-related risks and uncertainties, see Item 1A. “Risk Factors” of our Fiscal 2020 Form 10-K.</w:t>
      </w:r>
    </w:p>
    <w:p w:rsidR="00000000" w:rsidRDefault="00B11388">
      <w:pPr>
        <w:ind w:firstLine="450"/>
        <w:divId w:val="1706754150"/>
        <w:rPr>
          <w:rFonts w:eastAsia="Times New Roman"/>
        </w:rPr>
      </w:pPr>
      <w:r>
        <w:rPr>
          <w:rFonts w:eastAsia="Times New Roman"/>
          <w:color w:val="000000"/>
          <w:sz w:val="20"/>
          <w:szCs w:val="20"/>
        </w:rPr>
        <w:t>Based on our current business plan and re</w:t>
      </w:r>
      <w:r>
        <w:rPr>
          <w:rFonts w:eastAsia="Times New Roman"/>
          <w:color w:val="000000"/>
          <w:sz w:val="20"/>
          <w:szCs w:val="20"/>
        </w:rPr>
        <w:t>venue prospects, we believe that our existing cash, funds generated from operations, our credit facility and access to the public and private debt and equity markets will be sufficient to provide for our anticipated working capital requirements, capital ex</w:t>
      </w:r>
      <w:r>
        <w:rPr>
          <w:rFonts w:eastAsia="Times New Roman"/>
          <w:color w:val="000000"/>
          <w:sz w:val="20"/>
          <w:szCs w:val="20"/>
        </w:rPr>
        <w:t xml:space="preserve">penditures, dividend payments, repurchases under our share repurchase program and repayments of our debt securities at maturity for the next twelve months and the reasonably foreseeable future thereafter. Our total capital expenditures for fiscal 2021 are </w:t>
      </w:r>
      <w:r>
        <w:rPr>
          <w:rFonts w:eastAsia="Times New Roman"/>
          <w:color w:val="000000"/>
          <w:sz w:val="20"/>
          <w:szCs w:val="20"/>
        </w:rPr>
        <w:t>expected to be approximately $365 million. We anticipate tax payments in fiscal 2021 to be approximately equal to our tax expense for the same period, subject to adjustment for certain timing differences and divestitures. Other than those cash outlays note</w:t>
      </w:r>
      <w:r>
        <w:rPr>
          <w:rFonts w:eastAsia="Times New Roman"/>
          <w:color w:val="000000"/>
          <w:sz w:val="20"/>
          <w:szCs w:val="20"/>
        </w:rPr>
        <w:t>d in “Contractual Obligations” in Item 7. “Management’s Discussion and Analysis of Financial Condition and Results of Operations” in our Fiscal 2020 Form 10-K and in the “Commercial Commitments and Contractual Obligations” section below in this MD&amp;A, capit</w:t>
      </w:r>
      <w:r>
        <w:rPr>
          <w:rFonts w:eastAsia="Times New Roman"/>
          <w:color w:val="000000"/>
          <w:sz w:val="20"/>
          <w:szCs w:val="20"/>
        </w:rPr>
        <w:t>al expenditures, dividend payments, repurchases under our share repurchase program and L3Harris Merger-related integration costs, we do not anticipate any significant cash outlays during the remainder of fiscal 2021. For further information regarding COVID</w:t>
      </w:r>
      <w:r>
        <w:rPr>
          <w:rFonts w:eastAsia="Times New Roman"/>
          <w:color w:val="000000"/>
          <w:sz w:val="20"/>
          <w:szCs w:val="20"/>
        </w:rPr>
        <w:t>-related risks and uncertainties, see Item 1A. “Risk Factors” of our Fiscal 2020 Form 10-K.</w:t>
      </w:r>
    </w:p>
    <w:p w:rsidR="00000000" w:rsidRDefault="00B11388">
      <w:pPr>
        <w:ind w:firstLine="450"/>
        <w:divId w:val="1565749659"/>
        <w:rPr>
          <w:rFonts w:eastAsia="Times New Roman"/>
        </w:rPr>
      </w:pPr>
      <w:r>
        <w:rPr>
          <w:rFonts w:eastAsia="Times New Roman"/>
          <w:color w:val="000000"/>
          <w:sz w:val="20"/>
          <w:szCs w:val="20"/>
        </w:rPr>
        <w:t xml:space="preserve">There can be no assurance, however, that our business will continue to generate cash flows at current levels or that the cost or availability of future borrowings, </w:t>
      </w:r>
      <w:r>
        <w:rPr>
          <w:rFonts w:eastAsia="Times New Roman"/>
          <w:color w:val="000000"/>
          <w:sz w:val="20"/>
          <w:szCs w:val="20"/>
        </w:rPr>
        <w:t>if any, under our commercial paper program or our credit facility or in the debt markets will not be impacted by any potential future credit or capital markets disruptions. If we are unable to maintain cash balances, generate cash flow from operations or b</w:t>
      </w:r>
      <w:r>
        <w:rPr>
          <w:rFonts w:eastAsia="Times New Roman"/>
          <w:color w:val="000000"/>
          <w:sz w:val="20"/>
          <w:szCs w:val="20"/>
        </w:rPr>
        <w:t>orrow under our commercial paper program or our credit facility sufficient to service our obligations, we may be required to reduce capital expenditures, reduce or eliminate strategic acquisitions, reduce or terminate our share repurchases, reduce or elimi</w:t>
      </w:r>
      <w:r>
        <w:rPr>
          <w:rFonts w:eastAsia="Times New Roman"/>
          <w:color w:val="000000"/>
          <w:sz w:val="20"/>
          <w:szCs w:val="20"/>
        </w:rPr>
        <w:t>nate dividends, refinance all or a portion of our existing debt, obtain additional financing or sell assets. Our ability to make principal payments or pay interest on or refinance our indebtedness depends on our future performance and financial results, wh</w:t>
      </w:r>
      <w:r>
        <w:rPr>
          <w:rFonts w:eastAsia="Times New Roman"/>
          <w:color w:val="000000"/>
          <w:sz w:val="20"/>
          <w:szCs w:val="20"/>
        </w:rPr>
        <w:t>ich, to a certain extent, are subject to general conditions in or affecting the defense, government and other markets we serve and to general economic, political, financial, competitive, legislative and regulatory factors beyond our control.</w:t>
      </w:r>
    </w:p>
    <w:p w:rsidR="00000000" w:rsidRDefault="00B11388">
      <w:pPr>
        <w:ind w:firstLine="450"/>
        <w:divId w:val="61220033"/>
        <w:rPr>
          <w:rFonts w:eastAsia="Times New Roman"/>
        </w:rPr>
      </w:pPr>
      <w:r>
        <w:rPr>
          <w:rFonts w:eastAsia="Times New Roman"/>
          <w:b/>
          <w:bCs/>
          <w:i/>
          <w:iCs/>
          <w:color w:val="000000"/>
          <w:sz w:val="20"/>
          <w:szCs w:val="20"/>
        </w:rPr>
        <w:t>Net cash provi</w:t>
      </w:r>
      <w:r>
        <w:rPr>
          <w:rFonts w:eastAsia="Times New Roman"/>
          <w:b/>
          <w:bCs/>
          <w:i/>
          <w:iCs/>
          <w:color w:val="000000"/>
          <w:sz w:val="20"/>
          <w:szCs w:val="20"/>
        </w:rPr>
        <w:t xml:space="preserve">ded by operating activities: </w:t>
      </w:r>
      <w:r>
        <w:rPr>
          <w:rFonts w:eastAsia="Times New Roman"/>
          <w:color w:val="000000"/>
          <w:sz w:val="20"/>
          <w:szCs w:val="20"/>
        </w:rPr>
        <w:t>The $46 million increase in net cash provided by operating activities for the two quarters ended July 2, 2021 compared with the two quarters ended July 3, 2020 was primarily due to the impact of higher income (excluding the imp</w:t>
      </w:r>
      <w:r>
        <w:rPr>
          <w:rFonts w:eastAsia="Times New Roman"/>
          <w:color w:val="000000"/>
          <w:sz w:val="20"/>
          <w:szCs w:val="20"/>
        </w:rPr>
        <w:t>act of non-cash items such as depreciation and amortization, impairment of goodwill and other assets and gains related to business divestitures) and a $30 million decrease in cash income tax payments, partially offset by a $138 million increase in cash use</w:t>
      </w:r>
      <w:r>
        <w:rPr>
          <w:rFonts w:eastAsia="Times New Roman"/>
          <w:color w:val="000000"/>
          <w:sz w:val="20"/>
          <w:szCs w:val="20"/>
        </w:rPr>
        <w:t xml:space="preserve">d to fund working capital (i.e., accounts receivable, contract assets, inventories, accounts payable and contract liabilities) for the two quarters ended July 2, 2021. </w:t>
      </w:r>
    </w:p>
    <w:p w:rsidR="00000000" w:rsidRDefault="00B11388">
      <w:pPr>
        <w:ind w:firstLine="450"/>
        <w:divId w:val="361326444"/>
        <w:rPr>
          <w:rFonts w:eastAsia="Times New Roman"/>
        </w:rPr>
      </w:pPr>
      <w:r>
        <w:rPr>
          <w:rFonts w:eastAsia="Times New Roman"/>
          <w:b/>
          <w:bCs/>
          <w:i/>
          <w:iCs/>
          <w:color w:val="000000"/>
          <w:sz w:val="20"/>
          <w:szCs w:val="20"/>
        </w:rPr>
        <w:t xml:space="preserve">Net cash provided by investing activities: </w:t>
      </w:r>
      <w:r>
        <w:rPr>
          <w:rFonts w:eastAsia="Times New Roman"/>
          <w:color w:val="000000"/>
          <w:sz w:val="20"/>
          <w:szCs w:val="20"/>
        </w:rPr>
        <w:t>The $462 million increase in net cash provid</w:t>
      </w:r>
      <w:r>
        <w:rPr>
          <w:rFonts w:eastAsia="Times New Roman"/>
          <w:color w:val="000000"/>
          <w:sz w:val="20"/>
          <w:szCs w:val="20"/>
        </w:rPr>
        <w:t>ed by investing activities for the two quarters ended July 2, 2021 compared with the two quarters ended July 3, 2020 was primarily due to an increase of $467 million in net proceeds from sales of businesses, partially offset by a $16 million increase in ca</w:t>
      </w:r>
      <w:r>
        <w:rPr>
          <w:rFonts w:eastAsia="Times New Roman"/>
          <w:color w:val="000000"/>
          <w:sz w:val="20"/>
          <w:szCs w:val="20"/>
        </w:rPr>
        <w:t>sh used for net additions of property, plant and equipment.</w:t>
      </w:r>
    </w:p>
    <w:p w:rsidR="00000000" w:rsidRDefault="00B11388">
      <w:pPr>
        <w:ind w:firstLine="450"/>
        <w:divId w:val="1084062291"/>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xml:space="preserve"> The $895 million increase in net cash used in financing activities for the two quarters ended July 2, 2021 compared with the two quarters ended July 3, 2020 </w:t>
      </w:r>
      <w:r>
        <w:rPr>
          <w:rFonts w:eastAsia="Times New Roman"/>
          <w:color w:val="000000"/>
          <w:sz w:val="20"/>
          <w:szCs w:val="20"/>
        </w:rPr>
        <w:t>was primarily due to an $850 million increase in cash used to repurchase common stock and a $49 million increase in cash dividends paid in the two quarters ended July 2, 2021.</w:t>
      </w:r>
    </w:p>
    <w:p w:rsidR="00000000" w:rsidRDefault="00B11388">
      <w:pPr>
        <w:divId w:val="1570723388"/>
        <w:rPr>
          <w:rFonts w:eastAsia="Times New Roman"/>
        </w:rPr>
      </w:pPr>
      <w:r>
        <w:rPr>
          <w:rFonts w:eastAsia="Times New Roman"/>
          <w:b/>
          <w:bCs/>
          <w:color w:val="000000"/>
          <w:sz w:val="20"/>
          <w:szCs w:val="20"/>
        </w:rPr>
        <w:t>Funding of Pension Plans</w:t>
      </w:r>
    </w:p>
    <w:p w:rsidR="00000000" w:rsidRDefault="00B11388">
      <w:pPr>
        <w:ind w:firstLine="450"/>
        <w:divId w:val="1578199419"/>
        <w:rPr>
          <w:rFonts w:eastAsia="Times New Roman"/>
        </w:rPr>
      </w:pPr>
      <w:r>
        <w:rPr>
          <w:rFonts w:eastAsia="Times New Roman"/>
          <w:color w:val="000000"/>
          <w:sz w:val="20"/>
          <w:szCs w:val="20"/>
        </w:rPr>
        <w:t xml:space="preserve">Funding requirements under applicable laws and regulations are a major consideration in making contributions to our U.S. pension plans. Although we have significant discretion in making voluntary contributions, the Employee Retirement Income </w:t>
      </w:r>
    </w:p>
    <w:p w:rsidR="00000000" w:rsidRDefault="00B11388">
      <w:pPr>
        <w:ind w:firstLine="450"/>
        <w:jc w:val="center"/>
        <w:divId w:val="672955646"/>
        <w:rPr>
          <w:rFonts w:eastAsia="Times New Roman"/>
        </w:rPr>
      </w:pPr>
      <w:r>
        <w:rPr>
          <w:rFonts w:eastAsia="Times New Roman"/>
          <w:color w:val="000000"/>
          <w:sz w:val="20"/>
          <w:szCs w:val="20"/>
        </w:rPr>
        <w:t>35</w:t>
      </w:r>
    </w:p>
    <w:p w:rsidR="00000000" w:rsidRDefault="00B11388">
      <w:pPr>
        <w:rPr>
          <w:rFonts w:eastAsia="Times New Roman"/>
        </w:rPr>
      </w:pPr>
      <w:r>
        <w:rPr>
          <w:rFonts w:eastAsia="Times New Roman"/>
        </w:rPr>
        <w:pict>
          <v:rect id="_x0000_i1062" style="width:0;height:1.5pt" o:hralign="center" o:hrstd="t" o:hr="t" fillcolor="#a0a0a0" stroked="f"/>
        </w:pict>
      </w:r>
    </w:p>
    <w:p w:rsidR="00000000" w:rsidRDefault="00B11388">
      <w:pPr>
        <w:ind w:firstLine="450"/>
        <w:divId w:val="913078476"/>
        <w:rPr>
          <w:rFonts w:eastAsia="Times New Roman"/>
        </w:rPr>
      </w:pPr>
    </w:p>
    <w:p w:rsidR="00000000" w:rsidRDefault="00B11388">
      <w:pPr>
        <w:ind w:firstLine="450"/>
        <w:divId w:val="1650018914"/>
        <w:rPr>
          <w:rFonts w:eastAsia="Times New Roman"/>
        </w:rPr>
      </w:pPr>
    </w:p>
    <w:p w:rsidR="00000000" w:rsidRDefault="00B11388">
      <w:pPr>
        <w:divId w:val="1803770795"/>
        <w:rPr>
          <w:rFonts w:eastAsia="Times New Roman"/>
        </w:rPr>
      </w:pPr>
      <w:r>
        <w:rPr>
          <w:rFonts w:eastAsia="Times New Roman"/>
          <w:color w:val="000000"/>
          <w:sz w:val="20"/>
          <w:szCs w:val="20"/>
        </w:rPr>
        <w:t>Security Act of 1974, as amended by the Pension Protection Act of 2006 and further amended by the Worker, Retiree, and Employer Recovery Act of 2008, the Moving Ahead for Progress in the 21st Century Act (“MAP-21”), and applic</w:t>
      </w:r>
      <w:r>
        <w:rPr>
          <w:rFonts w:eastAsia="Times New Roman"/>
          <w:color w:val="000000"/>
          <w:sz w:val="20"/>
          <w:szCs w:val="20"/>
        </w:rPr>
        <w:t>able Internal Revenue Code regulations mandate minimum funding thresholds. The Highway and Transportation Funding Act of 2014, the Bipartisan Budget Act of 2015, and the American Rescue Plan Act of 2021 further extended the interest rate stabilization prov</w:t>
      </w:r>
      <w:r>
        <w:rPr>
          <w:rFonts w:eastAsia="Times New Roman"/>
          <w:color w:val="000000"/>
          <w:sz w:val="20"/>
          <w:szCs w:val="20"/>
        </w:rPr>
        <w:t>ision of MAP-21. Failure to satisfy the minimum funding thresholds could result in restrictions on our ability to amend the plans or make benefit payments. With respect to our U.S. qualified defined benefit pension plans, we intend to contribute annually n</w:t>
      </w:r>
      <w:r>
        <w:rPr>
          <w:rFonts w:eastAsia="Times New Roman"/>
          <w:color w:val="000000"/>
          <w:sz w:val="20"/>
          <w:szCs w:val="20"/>
        </w:rPr>
        <w:t>ot less than the required minimum funding thresholds. As a result of prior voluntary contributions, we are not required to make any contributions to our U.S. qualified defined benefit pension plans in fiscal 2021 and for several years thereafter.</w:t>
      </w:r>
    </w:p>
    <w:p w:rsidR="00000000" w:rsidRDefault="00B11388">
      <w:pPr>
        <w:ind w:firstLine="450"/>
        <w:divId w:val="1562402436"/>
        <w:rPr>
          <w:rFonts w:eastAsia="Times New Roman"/>
        </w:rPr>
      </w:pPr>
      <w:r>
        <w:rPr>
          <w:rFonts w:eastAsia="Times New Roman"/>
          <w:color w:val="000000"/>
          <w:sz w:val="20"/>
          <w:szCs w:val="20"/>
        </w:rPr>
        <w:t>Future re</w:t>
      </w:r>
      <w:r>
        <w:rPr>
          <w:rFonts w:eastAsia="Times New Roman"/>
          <w:color w:val="000000"/>
          <w:sz w:val="20"/>
          <w:szCs w:val="20"/>
        </w:rPr>
        <w:t>quired contributions primarily will depend on the actual annual return on assets and the discount rate used to measure the benefit obligation at the end of each year. Depending on these factors, and the resulting funded status of our pension plans, the lev</w:t>
      </w:r>
      <w:r>
        <w:rPr>
          <w:rFonts w:eastAsia="Times New Roman"/>
          <w:color w:val="000000"/>
          <w:sz w:val="20"/>
          <w:szCs w:val="20"/>
        </w:rPr>
        <w:t xml:space="preserve">el of future statutory required minimum contributions could be material. We had net unfunded defined benefit plan obligations of $1.7 billion at July 2, 2021. See </w:t>
      </w:r>
      <w:r>
        <w:rPr>
          <w:rFonts w:eastAsia="Times New Roman"/>
          <w:i/>
          <w:iCs/>
          <w:color w:val="000000"/>
          <w:sz w:val="20"/>
          <w:szCs w:val="20"/>
        </w:rPr>
        <w:t>Note 15: “Pension and Other Postretirement Benefits”</w:t>
      </w:r>
      <w:r>
        <w:rPr>
          <w:rFonts w:eastAsia="Times New Roman"/>
          <w:color w:val="000000"/>
          <w:sz w:val="20"/>
          <w:szCs w:val="20"/>
        </w:rPr>
        <w:t xml:space="preserve"> in the Notes to Consolidated Financial S</w:t>
      </w:r>
      <w:r>
        <w:rPr>
          <w:rFonts w:eastAsia="Times New Roman"/>
          <w:color w:val="000000"/>
          <w:sz w:val="20"/>
          <w:szCs w:val="20"/>
        </w:rPr>
        <w:t xml:space="preserve">tatements in our Fiscal 2020 Form 10-K and </w:t>
      </w:r>
      <w:r>
        <w:rPr>
          <w:rFonts w:eastAsia="Times New Roman"/>
          <w:i/>
          <w:iCs/>
          <w:color w:val="000000"/>
          <w:sz w:val="20"/>
          <w:szCs w:val="20"/>
        </w:rPr>
        <w:t>Note K — Postretirement Benefit Plans</w:t>
      </w:r>
      <w:r>
        <w:rPr>
          <w:rFonts w:eastAsia="Times New Roman"/>
          <w:color w:val="000000"/>
          <w:sz w:val="20"/>
          <w:szCs w:val="20"/>
        </w:rPr>
        <w:t xml:space="preserve"> in the Notes for further information regarding our pension plans.</w:t>
      </w:r>
    </w:p>
    <w:p w:rsidR="00000000" w:rsidRDefault="00B11388">
      <w:pPr>
        <w:divId w:val="618410863"/>
        <w:rPr>
          <w:rFonts w:eastAsia="Times New Roman"/>
        </w:rPr>
      </w:pPr>
      <w:r>
        <w:rPr>
          <w:rFonts w:eastAsia="Times New Roman"/>
          <w:b/>
          <w:bCs/>
          <w:color w:val="000000"/>
          <w:sz w:val="20"/>
          <w:szCs w:val="20"/>
        </w:rPr>
        <w:t xml:space="preserve">Common Stock Repurchases </w:t>
      </w:r>
    </w:p>
    <w:p w:rsidR="00000000" w:rsidRDefault="00B11388">
      <w:pPr>
        <w:ind w:firstLine="450"/>
        <w:divId w:val="812255444"/>
        <w:rPr>
          <w:rFonts w:eastAsia="Times New Roman"/>
        </w:rPr>
      </w:pPr>
      <w:r>
        <w:rPr>
          <w:rFonts w:eastAsia="Times New Roman"/>
          <w:color w:val="000000"/>
          <w:sz w:val="20"/>
          <w:szCs w:val="20"/>
        </w:rPr>
        <w:t>On January 28, 2021, we announced that our Board of Directors approved a $6 billion share repurchase authorization under our share repurchase program that was in addition to the remaining unused authorization of $210 million as of January 1, 2021. During t</w:t>
      </w:r>
      <w:r>
        <w:rPr>
          <w:rFonts w:eastAsia="Times New Roman"/>
          <w:color w:val="000000"/>
          <w:sz w:val="20"/>
          <w:szCs w:val="20"/>
        </w:rPr>
        <w:t xml:space="preserve">he two quarters ended July 2, 2021, we used $1.55 billion to repurchase 7.7 million shares of our common stock under our share repurchase program at an average price per share of $201.50. During the two quarters ended July 3, 2020, we used $700 million to </w:t>
      </w:r>
      <w:r>
        <w:rPr>
          <w:rFonts w:eastAsia="Times New Roman"/>
          <w:color w:val="000000"/>
          <w:sz w:val="20"/>
          <w:szCs w:val="20"/>
        </w:rPr>
        <w:t>repurchase 3.3 million shares of our common stock under our share repurchase program at an average price per share of $213.57. During the two quarters ended July 2, 2021 and July 3, 2020, $2 million and $1 million, respectively, in shares of our common sto</w:t>
      </w:r>
      <w:r>
        <w:rPr>
          <w:rFonts w:eastAsia="Times New Roman"/>
          <w:color w:val="000000"/>
          <w:sz w:val="20"/>
          <w:szCs w:val="20"/>
        </w:rPr>
        <w:t xml:space="preserve">ck were delivered to us or withheld by us to satisfy withholding taxes on employee share-based awards. Shares purchased by us are cancelled and retired. </w:t>
      </w:r>
    </w:p>
    <w:p w:rsidR="00000000" w:rsidRDefault="00B11388">
      <w:pPr>
        <w:ind w:firstLine="450"/>
        <w:divId w:val="869301409"/>
        <w:rPr>
          <w:rFonts w:eastAsia="Times New Roman"/>
        </w:rPr>
      </w:pPr>
      <w:r>
        <w:rPr>
          <w:rFonts w:eastAsia="Times New Roman"/>
          <w:color w:val="000000"/>
          <w:sz w:val="20"/>
          <w:szCs w:val="20"/>
        </w:rPr>
        <w:t>At July 2, 2021, we had a remaining, unused authorization of approximately $4.7 billion under our shar</w:t>
      </w:r>
      <w:r>
        <w:rPr>
          <w:rFonts w:eastAsia="Times New Roman"/>
          <w:color w:val="000000"/>
          <w:sz w:val="20"/>
          <w:szCs w:val="20"/>
        </w:rPr>
        <w:t>e repurchase program, which does not have an expiration date. Repurchases under our share repurchase program may be made through open-market transactions, private transactions, transactions structured through investment banking institutions or any combinat</w:t>
      </w:r>
      <w:r>
        <w:rPr>
          <w:rFonts w:eastAsia="Times New Roman"/>
          <w:color w:val="000000"/>
          <w:sz w:val="20"/>
          <w:szCs w:val="20"/>
        </w:rPr>
        <w:t>ion thereof. The level of our repurchases depends on a number of factors, including our financial condition, capital requirements, cash flows, results of operations, future business prospects and other factors our Board and management may deem relevant. Th</w:t>
      </w:r>
      <w:r>
        <w:rPr>
          <w:rFonts w:eastAsia="Times New Roman"/>
          <w:color w:val="000000"/>
          <w:sz w:val="20"/>
          <w:szCs w:val="20"/>
        </w:rPr>
        <w:t>e timing, volume and nature of repurchases are subject to market conditions, applicable securities laws and other factors and are at our discretion and may be suspended or discontinued at any time. Additional information regarding our current repurchase pr</w:t>
      </w:r>
      <w:r>
        <w:rPr>
          <w:rFonts w:eastAsia="Times New Roman"/>
          <w:color w:val="000000"/>
          <w:sz w:val="20"/>
          <w:szCs w:val="20"/>
        </w:rPr>
        <w:t xml:space="preserve">ogram is set forth in this Report under Part II, Item 2. “Unregistered Sales of Equity Securities and Use of Proceeds.” </w:t>
      </w:r>
    </w:p>
    <w:p w:rsidR="00000000" w:rsidRDefault="00B11388">
      <w:pPr>
        <w:divId w:val="1704279838"/>
        <w:rPr>
          <w:rFonts w:eastAsia="Times New Roman"/>
        </w:rPr>
      </w:pPr>
      <w:r>
        <w:rPr>
          <w:rFonts w:eastAsia="Times New Roman"/>
          <w:b/>
          <w:bCs/>
          <w:color w:val="000000"/>
          <w:sz w:val="20"/>
          <w:szCs w:val="20"/>
        </w:rPr>
        <w:t>Dividends</w:t>
      </w:r>
    </w:p>
    <w:p w:rsidR="00000000" w:rsidRDefault="00B11388">
      <w:pPr>
        <w:ind w:firstLine="450"/>
        <w:divId w:val="168446895"/>
        <w:rPr>
          <w:rFonts w:eastAsia="Times New Roman"/>
        </w:rPr>
      </w:pPr>
      <w:r>
        <w:rPr>
          <w:rFonts w:eastAsia="Times New Roman"/>
          <w:color w:val="000000"/>
          <w:sz w:val="20"/>
          <w:szCs w:val="20"/>
        </w:rPr>
        <w:t>On January 28, 2021, our Board of Directors increased the quarterly per share cash dividend rate on our common stock from $.8</w:t>
      </w:r>
      <w:r>
        <w:rPr>
          <w:rFonts w:eastAsia="Times New Roman"/>
          <w:color w:val="000000"/>
          <w:sz w:val="20"/>
          <w:szCs w:val="20"/>
        </w:rPr>
        <w:t>5 to $1.02, for an annualized per share cash dividend rate of $4.08, which was our twentieth consecutive annual increase in our quarterly cash dividend rate. During the two quarters ended July 2, 2021 and July 3, 2020, we paid cash dividends of $416 millio</w:t>
      </w:r>
      <w:r>
        <w:rPr>
          <w:rFonts w:eastAsia="Times New Roman"/>
          <w:color w:val="000000"/>
          <w:sz w:val="20"/>
          <w:szCs w:val="20"/>
        </w:rPr>
        <w:t>n and $367 million, respectively. We currently expect that cash dividends will continue to be paid in the near future, but we can give no assurances concerning payment of future dividends or future dividend increases. The declaration of dividends and the a</w:t>
      </w:r>
      <w:r>
        <w:rPr>
          <w:rFonts w:eastAsia="Times New Roman"/>
          <w:color w:val="000000"/>
          <w:sz w:val="20"/>
          <w:szCs w:val="20"/>
        </w:rPr>
        <w:t xml:space="preserve">mount thereof will depend on a number of factors, including our financial condition, capital requirements, cash flows, results of operations, future business prospects and other factors our Board of Directors may deem relevant. </w:t>
      </w:r>
    </w:p>
    <w:p w:rsidR="00000000" w:rsidRDefault="00B11388">
      <w:pPr>
        <w:divId w:val="330989512"/>
        <w:rPr>
          <w:rFonts w:eastAsia="Times New Roman"/>
        </w:rPr>
      </w:pPr>
      <w:r>
        <w:rPr>
          <w:rFonts w:eastAsia="Times New Roman"/>
          <w:b/>
          <w:bCs/>
          <w:color w:val="000000"/>
          <w:sz w:val="20"/>
          <w:szCs w:val="20"/>
        </w:rPr>
        <w:t>Capital Structure and Resou</w:t>
      </w:r>
      <w:r>
        <w:rPr>
          <w:rFonts w:eastAsia="Times New Roman"/>
          <w:b/>
          <w:bCs/>
          <w:color w:val="000000"/>
          <w:sz w:val="20"/>
          <w:szCs w:val="20"/>
        </w:rPr>
        <w:t>rces</w:t>
      </w:r>
    </w:p>
    <w:p w:rsidR="00000000" w:rsidRDefault="00B11388">
      <w:pPr>
        <w:ind w:firstLine="450"/>
        <w:divId w:val="921064661"/>
        <w:rPr>
          <w:rFonts w:eastAsia="Times New Roman"/>
        </w:rPr>
      </w:pPr>
      <w:r>
        <w:rPr>
          <w:rFonts w:eastAsia="Times New Roman"/>
          <w:b/>
          <w:bCs/>
          <w:i/>
          <w:iCs/>
          <w:color w:val="000000"/>
          <w:sz w:val="20"/>
          <w:szCs w:val="20"/>
        </w:rPr>
        <w:t>2019 Credit Agreement:</w:t>
      </w:r>
      <w:r>
        <w:rPr>
          <w:rFonts w:eastAsia="Times New Roman"/>
          <w:color w:val="000000"/>
          <w:sz w:val="20"/>
          <w:szCs w:val="20"/>
        </w:rPr>
        <w:t> We have a $2 billion, 5-year senior unsecured revolving credit facility (the “2019 Credit Facility”) under a Revolving Credit Agreement (the “2019 Credit Agreement”) entered into on June 28, 2019 with a syndicate of lenders. For</w:t>
      </w:r>
      <w:r>
        <w:rPr>
          <w:rFonts w:eastAsia="Times New Roman"/>
          <w:color w:val="000000"/>
          <w:sz w:val="20"/>
          <w:szCs w:val="20"/>
        </w:rPr>
        <w:t xml:space="preserve"> a description of the 2019 Credit Facility and the 2019 Credit Agreement, see </w:t>
      </w:r>
      <w:r>
        <w:rPr>
          <w:rFonts w:eastAsia="Times New Roman"/>
          <w:i/>
          <w:iCs/>
          <w:color w:val="000000"/>
          <w:sz w:val="20"/>
          <w:szCs w:val="20"/>
        </w:rPr>
        <w:t>Note 13: “Credit Arrangements”</w:t>
      </w:r>
      <w:r>
        <w:rPr>
          <w:rFonts w:eastAsia="Times New Roman"/>
          <w:color w:val="000000"/>
          <w:sz w:val="20"/>
          <w:szCs w:val="20"/>
        </w:rPr>
        <w:t xml:space="preserve"> in the Notes to Consolidated Financial Statements in our Fiscal 2020 Form 10-K.</w:t>
      </w:r>
    </w:p>
    <w:p w:rsidR="00000000" w:rsidRDefault="00B11388">
      <w:pPr>
        <w:ind w:firstLine="495"/>
        <w:divId w:val="36127850"/>
        <w:rPr>
          <w:rFonts w:eastAsia="Times New Roman"/>
        </w:rPr>
      </w:pPr>
      <w:r>
        <w:rPr>
          <w:rFonts w:eastAsia="Times New Roman"/>
          <w:color w:val="000000"/>
          <w:sz w:val="20"/>
          <w:szCs w:val="20"/>
        </w:rPr>
        <w:t>We were in compliance with the covenants in the 2019 Credit Agreeme</w:t>
      </w:r>
      <w:r>
        <w:rPr>
          <w:rFonts w:eastAsia="Times New Roman"/>
          <w:color w:val="000000"/>
          <w:sz w:val="20"/>
          <w:szCs w:val="20"/>
        </w:rPr>
        <w:t>nt at July 2, 2021, including the covenant requiring that we not permit our ratio of consolidated total indebtedness to total capital, each as defined in the 2019 Credit Agreement, to be greater than 0.65 to 1.00. At July 2, 2021, we had no borrowings outs</w:t>
      </w:r>
      <w:r>
        <w:rPr>
          <w:rFonts w:eastAsia="Times New Roman"/>
          <w:color w:val="000000"/>
          <w:sz w:val="20"/>
          <w:szCs w:val="20"/>
        </w:rPr>
        <w:t xml:space="preserve">tanding under the 2019 Credit Agreement. </w:t>
      </w:r>
    </w:p>
    <w:p w:rsidR="00000000" w:rsidRDefault="00B11388">
      <w:pPr>
        <w:ind w:firstLine="450"/>
        <w:divId w:val="881864910"/>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14: “Debt”</w:t>
      </w:r>
      <w:r>
        <w:rPr>
          <w:rFonts w:eastAsia="Times New Roman"/>
          <w:color w:val="000000"/>
          <w:sz w:val="20"/>
          <w:szCs w:val="20"/>
        </w:rPr>
        <w:t xml:space="preserve"> in the Notes to Consolidated Financial Statements in our Fiscal 2020 Form 10-K.</w:t>
      </w:r>
    </w:p>
    <w:p w:rsidR="00000000" w:rsidRDefault="00B11388">
      <w:pPr>
        <w:ind w:firstLine="450"/>
        <w:jc w:val="center"/>
        <w:divId w:val="1752464843"/>
        <w:rPr>
          <w:rFonts w:eastAsia="Times New Roman"/>
        </w:rPr>
      </w:pPr>
      <w:r>
        <w:rPr>
          <w:rFonts w:eastAsia="Times New Roman"/>
          <w:color w:val="000000"/>
          <w:sz w:val="20"/>
          <w:szCs w:val="20"/>
        </w:rPr>
        <w:t>36</w:t>
      </w:r>
    </w:p>
    <w:p w:rsidR="00000000" w:rsidRDefault="00B11388">
      <w:pPr>
        <w:rPr>
          <w:rFonts w:eastAsia="Times New Roman"/>
        </w:rPr>
      </w:pPr>
      <w:r>
        <w:rPr>
          <w:rFonts w:eastAsia="Times New Roman"/>
        </w:rPr>
        <w:pict>
          <v:rect id="_x0000_i1063" style="width:0;height:1.5pt" o:hralign="center" o:hrstd="t" o:hr="t" fillcolor="#a0a0a0" stroked="f"/>
        </w:pict>
      </w:r>
    </w:p>
    <w:p w:rsidR="00000000" w:rsidRDefault="00B11388">
      <w:pPr>
        <w:ind w:firstLine="450"/>
        <w:divId w:val="827598410"/>
        <w:rPr>
          <w:rFonts w:eastAsia="Times New Roman"/>
        </w:rPr>
      </w:pPr>
    </w:p>
    <w:p w:rsidR="00000000" w:rsidRDefault="00B11388">
      <w:pPr>
        <w:ind w:firstLine="450"/>
        <w:divId w:val="1764186884"/>
        <w:rPr>
          <w:rFonts w:eastAsia="Times New Roman"/>
        </w:rPr>
      </w:pPr>
    </w:p>
    <w:p w:rsidR="00000000" w:rsidRDefault="00B11388">
      <w:pPr>
        <w:ind w:firstLine="450"/>
        <w:divId w:val="1421834900"/>
        <w:rPr>
          <w:rFonts w:eastAsia="Times New Roman"/>
        </w:rPr>
      </w:pPr>
      <w:r>
        <w:rPr>
          <w:rFonts w:eastAsia="Times New Roman"/>
          <w:b/>
          <w:bCs/>
          <w:i/>
          <w:iCs/>
          <w:color w:val="000000"/>
          <w:sz w:val="20"/>
          <w:szCs w:val="20"/>
        </w:rPr>
        <w:t>Short-Term Debt:</w:t>
      </w:r>
      <w:r>
        <w:rPr>
          <w:rFonts w:eastAsia="Times New Roman"/>
          <w:color w:val="000000"/>
          <w:sz w:val="20"/>
          <w:szCs w:val="20"/>
        </w:rPr>
        <w:t xml:space="preserve"> Our short-term debt was $3 million at July 2, 2021 and $2 million at January 1, 2021, in each case consisting of local borrowing by international subsidiaries for working capital needs. </w:t>
      </w:r>
    </w:p>
    <w:p w:rsidR="00000000" w:rsidRDefault="00B11388">
      <w:pPr>
        <w:ind w:firstLine="450"/>
        <w:divId w:val="1057162917"/>
        <w:rPr>
          <w:rFonts w:eastAsia="Times New Roman"/>
        </w:rPr>
      </w:pPr>
      <w:r>
        <w:rPr>
          <w:rFonts w:eastAsia="Times New Roman"/>
          <w:b/>
          <w:bCs/>
          <w:i/>
          <w:iCs/>
          <w:color w:val="000000"/>
          <w:sz w:val="20"/>
          <w:szCs w:val="20"/>
        </w:rPr>
        <w:t xml:space="preserve">Other Agreements: </w:t>
      </w:r>
      <w:r>
        <w:rPr>
          <w:rFonts w:eastAsia="Times New Roman"/>
          <w:color w:val="000000"/>
          <w:sz w:val="20"/>
          <w:szCs w:val="20"/>
        </w:rPr>
        <w:t>We have two RSAs w</w:t>
      </w:r>
      <w:r>
        <w:rPr>
          <w:rFonts w:eastAsia="Times New Roman"/>
          <w:color w:val="000000"/>
          <w:sz w:val="20"/>
          <w:szCs w:val="20"/>
        </w:rPr>
        <w:t xml:space="preserve">ith third-party financial institutions that permit us to sell, on a non-recourse basis, up to $100 million each of outstanding receivables at any given time. From time to time, we have sold certain customer receivables under the RSAs, which we continue to </w:t>
      </w:r>
      <w:r>
        <w:rPr>
          <w:rFonts w:eastAsia="Times New Roman"/>
          <w:color w:val="000000"/>
          <w:sz w:val="20"/>
          <w:szCs w:val="20"/>
        </w:rPr>
        <w:t>service and collect on behalf of the third-party financial institutions and which we account for as sales of receivables with sale proceeds included in net cash from operating activities. The impact to net cash from operating activities from these transact</w:t>
      </w:r>
      <w:r>
        <w:rPr>
          <w:rFonts w:eastAsia="Times New Roman"/>
          <w:color w:val="000000"/>
          <w:sz w:val="20"/>
          <w:szCs w:val="20"/>
        </w:rPr>
        <w:t>ions was not material in the two quarters ended July 2, 2021 or July 3, 2020.</w:t>
      </w:r>
    </w:p>
    <w:p w:rsidR="00000000" w:rsidRDefault="00B11388">
      <w:pPr>
        <w:divId w:val="1681808331"/>
        <w:rPr>
          <w:rFonts w:eastAsia="Times New Roman"/>
        </w:rPr>
      </w:pPr>
      <w:r>
        <w:rPr>
          <w:rFonts w:eastAsia="Times New Roman"/>
          <w:b/>
          <w:bCs/>
          <w:color w:val="000000"/>
          <w:sz w:val="20"/>
          <w:szCs w:val="20"/>
        </w:rPr>
        <w:t>Off-Balance Sheet Arrangements</w:t>
      </w:r>
    </w:p>
    <w:p w:rsidR="00000000" w:rsidRDefault="00B11388">
      <w:pPr>
        <w:ind w:firstLine="450"/>
        <w:divId w:val="515924794"/>
        <w:rPr>
          <w:rFonts w:eastAsia="Times New Roman"/>
        </w:rPr>
      </w:pPr>
      <w:r>
        <w:rPr>
          <w:rFonts w:eastAsia="Times New Roman"/>
          <w:color w:val="000000"/>
          <w:sz w:val="20"/>
          <w:szCs w:val="20"/>
        </w:rPr>
        <w:t>In accordance with the definition under SEC rules, any of the following qualify as off-balance sheet arrangements:</w:t>
      </w:r>
    </w:p>
    <w:p w:rsidR="00000000" w:rsidRDefault="00B11388">
      <w:pPr>
        <w:ind w:hanging="180"/>
        <w:divId w:val="1272590705"/>
        <w:rPr>
          <w:rFonts w:eastAsia="Times New Roman"/>
        </w:rPr>
      </w:pPr>
      <w:r>
        <w:rPr>
          <w:rFonts w:eastAsia="Times New Roman"/>
          <w:color w:val="000000"/>
          <w:sz w:val="20"/>
          <w:szCs w:val="20"/>
        </w:rPr>
        <w:t>•Any obligation under certain gu</w:t>
      </w:r>
      <w:r>
        <w:rPr>
          <w:rFonts w:eastAsia="Times New Roman"/>
          <w:color w:val="000000"/>
          <w:sz w:val="20"/>
          <w:szCs w:val="20"/>
        </w:rPr>
        <w:t>arantee contracts;</w:t>
      </w:r>
    </w:p>
    <w:p w:rsidR="00000000" w:rsidRDefault="00B11388">
      <w:pPr>
        <w:ind w:hanging="180"/>
        <w:divId w:val="1236012812"/>
        <w:rPr>
          <w:rFonts w:eastAsia="Times New Roman"/>
        </w:rPr>
      </w:pPr>
      <w:r>
        <w:rPr>
          <w:rFonts w:eastAsia="Times New Roman"/>
          <w:color w:val="000000"/>
          <w:sz w:val="20"/>
          <w:szCs w:val="20"/>
        </w:rPr>
        <w:t>•A retained or contingent interest in assets transferred to an unconsolidated entity or similar arrangement that serves as credit, liquidity or market risk support to that entity for such assets;</w:t>
      </w:r>
    </w:p>
    <w:p w:rsidR="00000000" w:rsidRDefault="00B11388">
      <w:pPr>
        <w:ind w:hanging="180"/>
        <w:divId w:val="961501387"/>
        <w:rPr>
          <w:rFonts w:eastAsia="Times New Roman"/>
        </w:rPr>
      </w:pPr>
      <w:r>
        <w:rPr>
          <w:rFonts w:eastAsia="Times New Roman"/>
          <w:color w:val="000000"/>
          <w:sz w:val="20"/>
          <w:szCs w:val="20"/>
        </w:rPr>
        <w:t>•</w:t>
      </w:r>
      <w:r>
        <w:rPr>
          <w:rFonts w:eastAsia="Times New Roman"/>
          <w:color w:val="000000"/>
          <w:sz w:val="20"/>
          <w:szCs w:val="20"/>
        </w:rPr>
        <w:t>Any obligation, including a contingent obligation, under certain derivative instruments; and</w:t>
      </w:r>
    </w:p>
    <w:p w:rsidR="00000000" w:rsidRDefault="00B11388">
      <w:pPr>
        <w:ind w:hanging="180"/>
        <w:divId w:val="347030738"/>
        <w:rPr>
          <w:rFonts w:eastAsia="Times New Roman"/>
        </w:rPr>
      </w:pPr>
      <w:r>
        <w:rPr>
          <w:rFonts w:eastAsia="Times New Roman"/>
          <w:color w:val="000000"/>
          <w:sz w:val="20"/>
          <w:szCs w:val="20"/>
        </w:rPr>
        <w:t>•Any obligation, including a contingent obligation, under a material variable interest in an unconsolidated entity that is held by, and material to, the registrant</w:t>
      </w:r>
      <w:r>
        <w:rPr>
          <w:rFonts w:eastAsia="Times New Roman"/>
          <w:color w:val="000000"/>
          <w:sz w:val="20"/>
          <w:szCs w:val="20"/>
        </w:rPr>
        <w:t>, where such entity provides financing, liquidity, market risk or credit risk support to the registrant, or engages in leasing, hedging or R&amp;D services with the registrant.</w:t>
      </w:r>
    </w:p>
    <w:p w:rsidR="00000000" w:rsidRDefault="00B11388">
      <w:pPr>
        <w:ind w:firstLine="450"/>
        <w:divId w:val="1034502930"/>
        <w:rPr>
          <w:rFonts w:eastAsia="Times New Roman"/>
        </w:rPr>
      </w:pPr>
      <w:r>
        <w:rPr>
          <w:rFonts w:eastAsia="Times New Roman"/>
          <w:color w:val="000000"/>
          <w:sz w:val="20"/>
          <w:szCs w:val="20"/>
        </w:rPr>
        <w:t>As of July 2, 2021, we were not participating in any material transactions that gen</w:t>
      </w:r>
      <w:r>
        <w:rPr>
          <w:rFonts w:eastAsia="Times New Roman"/>
          <w:color w:val="000000"/>
          <w:sz w:val="20"/>
          <w:szCs w:val="20"/>
        </w:rPr>
        <w:t>erated relationships with unconsolidated entities or financial partnerships, including variable interest entities, and we did not have any material retained or contingent interest in assets as defined above. As of July 2, 2021, we did not have material fin</w:t>
      </w:r>
      <w:r>
        <w:rPr>
          <w:rFonts w:eastAsia="Times New Roman"/>
          <w:color w:val="000000"/>
          <w:sz w:val="20"/>
          <w:szCs w:val="20"/>
        </w:rPr>
        <w:t>ancial guarantees or other contractual commitments that we believe are reasonably likely to adversely affect our financial condition, results of operations, cash flows or equity, and we were not a party to any related party transactions that materially aff</w:t>
      </w:r>
      <w:r>
        <w:rPr>
          <w:rFonts w:eastAsia="Times New Roman"/>
          <w:color w:val="000000"/>
          <w:sz w:val="20"/>
          <w:szCs w:val="20"/>
        </w:rPr>
        <w:t>ect our financial condition, results of operations, cash flows or equity.</w:t>
      </w:r>
    </w:p>
    <w:p w:rsidR="00000000" w:rsidRDefault="00B11388">
      <w:pPr>
        <w:ind w:firstLine="450"/>
        <w:divId w:val="801462229"/>
        <w:rPr>
          <w:rFonts w:eastAsia="Times New Roman"/>
        </w:rPr>
      </w:pPr>
      <w:r>
        <w:rPr>
          <w:rFonts w:eastAsia="Times New Roman"/>
          <w:color w:val="000000"/>
          <w:sz w:val="20"/>
          <w:szCs w:val="20"/>
        </w:rPr>
        <w:t>We have, from time to time, divested certain of our businesses and assets. In connection with these divestitures, we often provide representations, warranties and/or indemnities to c</w:t>
      </w:r>
      <w:r>
        <w:rPr>
          <w:rFonts w:eastAsia="Times New Roman"/>
          <w:color w:val="000000"/>
          <w:sz w:val="20"/>
          <w:szCs w:val="20"/>
        </w:rPr>
        <w:t>over various risks and unknown liabilities, such as environmental liabilities and tax liabilities. We cannot estimate the potential liability from such representations, warranties and indemnities because they relate to unknown conditions. We do not believe</w:t>
      </w:r>
      <w:r>
        <w:rPr>
          <w:rFonts w:eastAsia="Times New Roman"/>
          <w:color w:val="000000"/>
          <w:sz w:val="20"/>
          <w:szCs w:val="20"/>
        </w:rPr>
        <w:t>, however, that the liabilities relating to these representations, warranties and indemnities will have a material adverse effect on our financial condition, results of operations, cash flows or equity.</w:t>
      </w:r>
    </w:p>
    <w:p w:rsidR="00000000" w:rsidRDefault="00B11388">
      <w:pPr>
        <w:ind w:firstLine="450"/>
        <w:divId w:val="921177694"/>
        <w:rPr>
          <w:rFonts w:eastAsia="Times New Roman"/>
        </w:rPr>
      </w:pPr>
      <w:r>
        <w:rPr>
          <w:rFonts w:eastAsia="Times New Roman"/>
          <w:color w:val="000000"/>
          <w:sz w:val="20"/>
          <w:szCs w:val="20"/>
        </w:rPr>
        <w:t xml:space="preserve">Due to our downsizing of certain operations pursuant </w:t>
      </w:r>
      <w:r>
        <w:rPr>
          <w:rFonts w:eastAsia="Times New Roman"/>
          <w:color w:val="000000"/>
          <w:sz w:val="20"/>
          <w:szCs w:val="20"/>
        </w:rPr>
        <w:t xml:space="preserve">to acquisitions, divestitures, restructuring plans or otherwise, certain properties leased by us have been sublet to third parties. If any of these third parties vacates any of these premises, we would be legally obligated under master lease arrangements. </w:t>
      </w:r>
      <w:r>
        <w:rPr>
          <w:rFonts w:eastAsia="Times New Roman"/>
          <w:color w:val="000000"/>
          <w:sz w:val="20"/>
          <w:szCs w:val="20"/>
        </w:rPr>
        <w:t>We believe that the financial risk of default by such sub-lessees is individually and in the aggregate not material to our financial condition, results of operations, cash flows or equity.</w:t>
      </w:r>
    </w:p>
    <w:p w:rsidR="00000000" w:rsidRDefault="00B11388">
      <w:pPr>
        <w:divId w:val="840045639"/>
        <w:rPr>
          <w:rFonts w:eastAsia="Times New Roman"/>
        </w:rPr>
      </w:pPr>
      <w:r>
        <w:rPr>
          <w:rFonts w:eastAsia="Times New Roman"/>
          <w:b/>
          <w:bCs/>
          <w:color w:val="000000"/>
          <w:sz w:val="20"/>
          <w:szCs w:val="20"/>
        </w:rPr>
        <w:t xml:space="preserve">Commercial Commitments and Contractual Obligations </w:t>
      </w:r>
    </w:p>
    <w:p w:rsidR="00000000" w:rsidRDefault="00B11388">
      <w:pPr>
        <w:ind w:firstLine="450"/>
        <w:divId w:val="115802781"/>
        <w:rPr>
          <w:rFonts w:eastAsia="Times New Roman"/>
        </w:rPr>
      </w:pPr>
      <w:r>
        <w:rPr>
          <w:rFonts w:eastAsia="Times New Roman"/>
          <w:color w:val="000000"/>
          <w:sz w:val="20"/>
          <w:szCs w:val="20"/>
        </w:rPr>
        <w:t>The amounts dis</w:t>
      </w:r>
      <w:r>
        <w:rPr>
          <w:rFonts w:eastAsia="Times New Roman"/>
          <w:color w:val="000000"/>
          <w:sz w:val="20"/>
          <w:szCs w:val="20"/>
        </w:rPr>
        <w:t>closed in our Fiscal 2020 Form 10-K include our commercial commitments and contractual obligations. There were no material changes during the two quarters ended July 2, 2021 in our contractual cash obligations to repay debt, to purchase goods and services,</w:t>
      </w:r>
      <w:r>
        <w:rPr>
          <w:rFonts w:eastAsia="Times New Roman"/>
          <w:color w:val="000000"/>
          <w:sz w:val="20"/>
          <w:szCs w:val="20"/>
        </w:rPr>
        <w:t xml:space="preserve"> to make payments under operating leases or our commercial commitments, or in our contingent liabilities on outstanding surety bonds, standby letters of credit or other arrangements as disclosed in our Fiscal 2020 Form 10-K. </w:t>
      </w:r>
    </w:p>
    <w:p w:rsidR="00000000" w:rsidRDefault="00B11388">
      <w:pPr>
        <w:divId w:val="1342198491"/>
        <w:rPr>
          <w:rFonts w:eastAsia="Times New Roman"/>
        </w:rPr>
      </w:pPr>
      <w:r>
        <w:rPr>
          <w:rFonts w:eastAsia="Times New Roman"/>
          <w:b/>
          <w:bCs/>
          <w:color w:val="000000"/>
          <w:sz w:val="20"/>
          <w:szCs w:val="20"/>
        </w:rPr>
        <w:t>CRITICAL ACCOUNTING POLICIES A</w:t>
      </w:r>
      <w:r>
        <w:rPr>
          <w:rFonts w:eastAsia="Times New Roman"/>
          <w:b/>
          <w:bCs/>
          <w:color w:val="000000"/>
          <w:sz w:val="20"/>
          <w:szCs w:val="20"/>
        </w:rPr>
        <w:t>ND ESTIMATES</w:t>
      </w:r>
    </w:p>
    <w:p w:rsidR="00000000" w:rsidRDefault="00B11388">
      <w:pPr>
        <w:ind w:firstLine="450"/>
        <w:divId w:val="1190676782"/>
        <w:rPr>
          <w:rFonts w:eastAsia="Times New Roman"/>
        </w:rPr>
      </w:pPr>
      <w:r>
        <w:rPr>
          <w:rFonts w:eastAsia="Times New Roman"/>
          <w:color w:val="000000"/>
          <w:sz w:val="20"/>
          <w:szCs w:val="20"/>
        </w:rPr>
        <w:t>Our Condensed Consolidated Financial Statements (Unaudited) and accompanying Notes are prepared in accordance with GAAP. Preparing financial statements requires us to make estimates and assumptions that affect the reported amounts of assets, l</w:t>
      </w:r>
      <w:r>
        <w:rPr>
          <w:rFonts w:eastAsia="Times New Roman"/>
          <w:color w:val="000000"/>
          <w:sz w:val="20"/>
          <w:szCs w:val="20"/>
        </w:rPr>
        <w:t>iabilities, revenue, expenses and backlog as well as disclosures of contingent assets and liabilities. Actual results may differ from our estimates. These estimates and assumptions are affected by the application of our accounting policies. Critical accoun</w:t>
      </w:r>
      <w:r>
        <w:rPr>
          <w:rFonts w:eastAsia="Times New Roman"/>
          <w:color w:val="000000"/>
          <w:sz w:val="20"/>
          <w:szCs w:val="20"/>
        </w:rPr>
        <w:t>ting policies and estimates are those that require application of management’s most difficult, subjective or complex judgments, often as a result of matters that are inherently uncertain and may change in subsequent periods. Critical accounting policies an</w:t>
      </w:r>
      <w:r>
        <w:rPr>
          <w:rFonts w:eastAsia="Times New Roman"/>
          <w:color w:val="000000"/>
          <w:sz w:val="20"/>
          <w:szCs w:val="20"/>
        </w:rPr>
        <w:t xml:space="preserve">d estimates for us include: (i) revenue recognition on contracts and contract estimates; (ii) postretirement benefit plans; (iii) impairment testing of goodwill; (iv) accounting for business combinations; and (v) income taxes and tax valuation allowances. </w:t>
      </w:r>
      <w:r>
        <w:rPr>
          <w:rFonts w:eastAsia="Times New Roman"/>
          <w:color w:val="000000"/>
          <w:sz w:val="20"/>
          <w:szCs w:val="20"/>
        </w:rPr>
        <w:t xml:space="preserve">For additional discussion of our critical accounting policies and estimates, see “Critical Accounting Policies and Estimates” in Item 7. “Management’s Discussion and Analysis of Financial Condition and Results of Operations” in our Fiscal 2020 Form 10-K. </w:t>
      </w:r>
    </w:p>
    <w:p w:rsidR="00000000" w:rsidRDefault="00B11388">
      <w:pPr>
        <w:ind w:firstLine="450"/>
        <w:jc w:val="center"/>
        <w:divId w:val="17513813"/>
        <w:rPr>
          <w:rFonts w:eastAsia="Times New Roman"/>
        </w:rPr>
      </w:pPr>
      <w:r>
        <w:rPr>
          <w:rFonts w:eastAsia="Times New Roman"/>
          <w:color w:val="000000"/>
          <w:sz w:val="20"/>
          <w:szCs w:val="20"/>
        </w:rPr>
        <w:t>37</w:t>
      </w:r>
    </w:p>
    <w:p w:rsidR="00000000" w:rsidRDefault="00B11388">
      <w:pPr>
        <w:rPr>
          <w:rFonts w:eastAsia="Times New Roman"/>
        </w:rPr>
      </w:pPr>
      <w:r>
        <w:rPr>
          <w:rFonts w:eastAsia="Times New Roman"/>
        </w:rPr>
        <w:pict>
          <v:rect id="_x0000_i1064" style="width:0;height:1.5pt" o:hralign="center" o:hrstd="t" o:hr="t" fillcolor="#a0a0a0" stroked="f"/>
        </w:pict>
      </w:r>
    </w:p>
    <w:p w:rsidR="00000000" w:rsidRDefault="00B11388">
      <w:pPr>
        <w:ind w:firstLine="450"/>
        <w:divId w:val="337661009"/>
        <w:rPr>
          <w:rFonts w:eastAsia="Times New Roman"/>
        </w:rPr>
      </w:pPr>
    </w:p>
    <w:p w:rsidR="00000000" w:rsidRDefault="00B11388">
      <w:pPr>
        <w:ind w:firstLine="450"/>
        <w:divId w:val="1532106610"/>
        <w:rPr>
          <w:rFonts w:eastAsia="Times New Roman"/>
        </w:rPr>
      </w:pPr>
    </w:p>
    <w:p w:rsidR="00000000" w:rsidRDefault="00B11388">
      <w:pPr>
        <w:divId w:val="1499732992"/>
        <w:rPr>
          <w:rFonts w:eastAsia="Times New Roman"/>
        </w:rPr>
      </w:pPr>
      <w:r>
        <w:rPr>
          <w:rFonts w:eastAsia="Times New Roman"/>
          <w:b/>
          <w:bCs/>
          <w:color w:val="000000"/>
          <w:sz w:val="20"/>
          <w:szCs w:val="20"/>
        </w:rPr>
        <w:t>Revenue Recognition</w:t>
      </w:r>
    </w:p>
    <w:p w:rsidR="00000000" w:rsidRDefault="00B11388">
      <w:pPr>
        <w:ind w:firstLine="450"/>
        <w:divId w:val="783156450"/>
        <w:rPr>
          <w:rFonts w:eastAsia="Times New Roman"/>
        </w:rPr>
      </w:pPr>
      <w:r>
        <w:rPr>
          <w:rFonts w:eastAsia="Times New Roman"/>
          <w:color w:val="000000"/>
          <w:sz w:val="20"/>
          <w:szCs w:val="20"/>
        </w:rPr>
        <w:t>A significant portion of our business is derived from development and production contracts. Revenue and profit related to development and production contracts are generally recognized over tim</w:t>
      </w:r>
      <w:r>
        <w:rPr>
          <w:rFonts w:eastAsia="Times New Roman"/>
          <w:color w:val="000000"/>
          <w:sz w:val="20"/>
          <w:szCs w:val="20"/>
        </w:rPr>
        <w:t>e, typically using the POC cost-to-cost method of revenue recognition, whereby we measure our progress towards completion of the performance obligation based on the ratio of costs incurred to date to estimated costs at completion under the contract. Becaus</w:t>
      </w:r>
      <w:r>
        <w:rPr>
          <w:rFonts w:eastAsia="Times New Roman"/>
          <w:color w:val="000000"/>
          <w:sz w:val="20"/>
          <w:szCs w:val="20"/>
        </w:rPr>
        <w:t xml:space="preserve">e costs incurred represent work performed, we believe this method best depicts the transfer of control of the asset to the customer. Under the POC cost-to-cost method of revenue recognition, a single estimated profit margin is used to recognize profit for </w:t>
      </w:r>
      <w:r>
        <w:rPr>
          <w:rFonts w:eastAsia="Times New Roman"/>
          <w:color w:val="000000"/>
          <w:sz w:val="20"/>
          <w:szCs w:val="20"/>
        </w:rPr>
        <w:t>each performance obligation over its period of performance. Recognition of profit on a contract requires estimates of the total cost at completion and transaction price and the measurement of progress towards completion. Due to the long-term nature of many</w:t>
      </w:r>
      <w:r>
        <w:rPr>
          <w:rFonts w:eastAsia="Times New Roman"/>
          <w:color w:val="000000"/>
          <w:sz w:val="20"/>
          <w:szCs w:val="20"/>
        </w:rPr>
        <w:t xml:space="preserve"> of our contracts, developing the estimated total cost at completion and total transaction price often requires judgment. Factors that must be considered in estimating the cost of the work to be completed include: the nature and complexity of the work to b</w:t>
      </w:r>
      <w:r>
        <w:rPr>
          <w:rFonts w:eastAsia="Times New Roman"/>
          <w:color w:val="000000"/>
          <w:sz w:val="20"/>
          <w:szCs w:val="20"/>
        </w:rPr>
        <w:t>e performed, subcontractor performance and the risk and impact of delayed performance. Factors that must be considered in estimating the total transaction price include contractual cost or performance incentives (such as incentive fees, award fees and pena</w:t>
      </w:r>
      <w:r>
        <w:rPr>
          <w:rFonts w:eastAsia="Times New Roman"/>
          <w:color w:val="000000"/>
          <w:sz w:val="20"/>
          <w:szCs w:val="20"/>
        </w:rPr>
        <w:t>lties) and other forms of variable consideration as well as our historical experience and our expectation for performance on the contract. These variable amounts generally are awarded upon achievement of certain negotiated performance metrics, program mile</w:t>
      </w:r>
      <w:r>
        <w:rPr>
          <w:rFonts w:eastAsia="Times New Roman"/>
          <w:color w:val="000000"/>
          <w:sz w:val="20"/>
          <w:szCs w:val="20"/>
        </w:rPr>
        <w:t>stones or cost targets and can be based upon customer discretion. We include such estimated amounts in the transaction price to the extent it is probable that a significant reversal of cumulative revenue recognized will not occur when the uncertainty assoc</w:t>
      </w:r>
      <w:r>
        <w:rPr>
          <w:rFonts w:eastAsia="Times New Roman"/>
          <w:color w:val="000000"/>
          <w:sz w:val="20"/>
          <w:szCs w:val="20"/>
        </w:rPr>
        <w:t>iated with the variable consideration is resolved.</w:t>
      </w:r>
    </w:p>
    <w:p w:rsidR="00000000" w:rsidRDefault="00B11388">
      <w:pPr>
        <w:ind w:firstLine="450"/>
        <w:divId w:val="1834446897"/>
        <w:rPr>
          <w:rFonts w:eastAsia="Times New Roman"/>
        </w:rPr>
      </w:pPr>
      <w:r>
        <w:rPr>
          <w:rFonts w:eastAsia="Times New Roman"/>
          <w:color w:val="000000"/>
          <w:sz w:val="20"/>
          <w:szCs w:val="20"/>
        </w:rPr>
        <w:t xml:space="preserve">At the outset of each contract, we gauge its complexity and perceived risks and establish an estimated total cost at completion in line with these expectations. After establishing the estimated total cost </w:t>
      </w:r>
      <w:r>
        <w:rPr>
          <w:rFonts w:eastAsia="Times New Roman"/>
          <w:color w:val="000000"/>
          <w:sz w:val="20"/>
          <w:szCs w:val="20"/>
        </w:rPr>
        <w:t>at completion, we follow a standard EAC process in which we review the progress and performance on our ongoing contracts at least quarterly and, in many cases, more frequently. If we successfully retire risks associated with the technical, schedule and cos</w:t>
      </w:r>
      <w:r>
        <w:rPr>
          <w:rFonts w:eastAsia="Times New Roman"/>
          <w:color w:val="000000"/>
          <w:sz w:val="20"/>
          <w:szCs w:val="20"/>
        </w:rPr>
        <w:t>t aspects of a contract, we may lower our estimated total cost at completion commensurate with the retirement of these risks. Conversely, if we are not successful in retiring these risks, we may increase our estimated total cost at completion. Additionally</w:t>
      </w:r>
      <w:r>
        <w:rPr>
          <w:rFonts w:eastAsia="Times New Roman"/>
          <w:color w:val="000000"/>
          <w:sz w:val="20"/>
          <w:szCs w:val="20"/>
        </w:rPr>
        <w:t>, as the contract progresses, our estimates of total transaction price may increase or decrease if, for example, we receive award fees that are higher or lower than expected. When adjustments in estimated total costs at completion or in estimated total tra</w:t>
      </w:r>
      <w:r>
        <w:rPr>
          <w:rFonts w:eastAsia="Times New Roman"/>
          <w:color w:val="000000"/>
          <w:sz w:val="20"/>
          <w:szCs w:val="20"/>
        </w:rPr>
        <w:t>nsaction price are determined, the related impact on operating income is recognized using the cumulative catch-up method, which recognizes in the current period the cumulative effect of such adjustments for all prior periods. Any anticipated losses on thes</w:t>
      </w:r>
      <w:r>
        <w:rPr>
          <w:rFonts w:eastAsia="Times New Roman"/>
          <w:color w:val="000000"/>
          <w:sz w:val="20"/>
          <w:szCs w:val="20"/>
        </w:rPr>
        <w:t>e contracts are fully recognized in the period in which the losses become evident.</w:t>
      </w:r>
    </w:p>
    <w:p w:rsidR="00000000" w:rsidRDefault="00B11388">
      <w:pPr>
        <w:ind w:firstLine="450"/>
        <w:divId w:val="981421088"/>
        <w:rPr>
          <w:rFonts w:eastAsia="Times New Roman"/>
        </w:rPr>
      </w:pPr>
      <w:r>
        <w:rPr>
          <w:rFonts w:eastAsia="Times New Roman"/>
          <w:color w:val="000000"/>
          <w:sz w:val="20"/>
          <w:szCs w:val="20"/>
        </w:rPr>
        <w:t>EAC adjustments resulted in the following impacts to operating income for the periods presented: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435"/>
        <w:gridCol w:w="36"/>
        <w:gridCol w:w="120"/>
        <w:gridCol w:w="744"/>
        <w:gridCol w:w="36"/>
        <w:gridCol w:w="36"/>
        <w:gridCol w:w="36"/>
        <w:gridCol w:w="36"/>
        <w:gridCol w:w="120"/>
        <w:gridCol w:w="701"/>
        <w:gridCol w:w="36"/>
        <w:gridCol w:w="36"/>
        <w:gridCol w:w="36"/>
        <w:gridCol w:w="36"/>
        <w:gridCol w:w="120"/>
        <w:gridCol w:w="701"/>
        <w:gridCol w:w="36"/>
        <w:gridCol w:w="36"/>
        <w:gridCol w:w="36"/>
        <w:gridCol w:w="36"/>
        <w:gridCol w:w="120"/>
        <w:gridCol w:w="703"/>
        <w:gridCol w:w="36"/>
      </w:tblGrid>
      <w:tr w:rsidR="00000000">
        <w:trPr>
          <w:divId w:val="1390227632"/>
        </w:trPr>
        <w:tc>
          <w:tcPr>
            <w:tcW w:w="50" w:type="pct"/>
            <w:vAlign w:val="center"/>
            <w:hideMark/>
          </w:tcPr>
          <w:p w:rsidR="00000000" w:rsidRDefault="00B11388">
            <w:pPr>
              <w:ind w:firstLine="450"/>
              <w:rPr>
                <w:rFonts w:eastAsia="Times New Roman"/>
              </w:rPr>
            </w:pPr>
          </w:p>
        </w:tc>
        <w:tc>
          <w:tcPr>
            <w:tcW w:w="270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2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390227632"/>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Two Quarters Ended</w:t>
            </w:r>
          </w:p>
        </w:tc>
      </w:tr>
      <w:tr w:rsidR="00000000">
        <w:trPr>
          <w:divId w:val="1390227632"/>
        </w:trPr>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July 3, 2020</w:t>
            </w:r>
          </w:p>
        </w:tc>
      </w:tr>
      <w:tr w:rsidR="00000000">
        <w:trPr>
          <w:divId w:val="1390227632"/>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390227632"/>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r>
      <w:tr w:rsidR="00000000">
        <w:trPr>
          <w:divId w:val="1390227632"/>
        </w:trPr>
        <w:tc>
          <w:tcPr>
            <w:tcW w:w="0" w:type="auto"/>
            <w:gridSpan w:val="3"/>
            <w:shd w:val="clear" w:color="auto" w:fill="FFFF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center"/>
            <w:hideMark/>
          </w:tcPr>
          <w:p w:rsidR="00000000" w:rsidRDefault="00B11388">
            <w:pPr>
              <w:spacing w:after="100"/>
              <w:jc w:val="right"/>
              <w:rPr>
                <w:rFonts w:eastAsia="Times New Roman"/>
              </w:rPr>
            </w:pPr>
          </w:p>
        </w:tc>
      </w:tr>
      <w:tr w:rsidR="00000000">
        <w:trPr>
          <w:divId w:val="1390227632"/>
        </w:trPr>
        <w:tc>
          <w:tcPr>
            <w:tcW w:w="0" w:type="auto"/>
            <w:gridSpan w:val="3"/>
            <w:shd w:val="clear" w:color="auto" w:fill="CCEEFF"/>
            <w:tcMar>
              <w:top w:w="30" w:type="dxa"/>
              <w:left w:w="20" w:type="dxa"/>
              <w:bottom w:w="30" w:type="dxa"/>
              <w:right w:w="20" w:type="dxa"/>
            </w:tcMar>
            <w:vAlign w:val="center"/>
            <w:hideMark/>
          </w:tcPr>
          <w:p w:rsidR="00000000" w:rsidRDefault="00B11388">
            <w:pPr>
              <w:spacing w:after="100"/>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162 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B1138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B11388">
            <w:pPr>
              <w:spacing w:after="100"/>
              <w:jc w:val="right"/>
              <w:rPr>
                <w:rFonts w:eastAsia="Times New Roman"/>
              </w:rPr>
            </w:pPr>
            <w:r>
              <w:rPr>
                <w:rFonts w:eastAsia="Times New Roman"/>
                <w:color w:val="000000"/>
                <w:sz w:val="20"/>
                <w:szCs w:val="20"/>
              </w:rPr>
              <w:t>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B11388">
            <w:pPr>
              <w:spacing w:after="100"/>
              <w:jc w:val="right"/>
              <w:rPr>
                <w:rFonts w:eastAsia="Times New Roman"/>
              </w:rPr>
            </w:pPr>
          </w:p>
        </w:tc>
      </w:tr>
    </w:tbl>
    <w:p w:rsidR="00000000" w:rsidRDefault="00B11388">
      <w:pPr>
        <w:ind w:firstLine="450"/>
        <w:divId w:val="1437480507"/>
        <w:rPr>
          <w:rFonts w:eastAsia="Times New Roman"/>
        </w:rPr>
      </w:pPr>
      <w:r>
        <w:rPr>
          <w:rFonts w:eastAsia="Times New Roman"/>
          <w:color w:val="000000"/>
          <w:sz w:val="20"/>
          <w:szCs w:val="20"/>
        </w:rPr>
        <w:t>The net favorable impact to operating income from EAC adjustments in the quarter and two quarters ended July 2, 2021 reflected benefits of operational performance on programs, including additional retirement of risks and schedule improvemen</w:t>
      </w:r>
      <w:r>
        <w:rPr>
          <w:rFonts w:eastAsia="Times New Roman"/>
          <w:color w:val="000000"/>
          <w:sz w:val="20"/>
          <w:szCs w:val="20"/>
        </w:rPr>
        <w:t xml:space="preserve">ts, achievement of incentive payments and realization of synergy savings across all four of our business segments. There were no EAC adjustments on any individual program with impacts to operating income in the quarters and two quarters ended July 2, 2021 </w:t>
      </w:r>
      <w:r>
        <w:rPr>
          <w:rFonts w:eastAsia="Times New Roman"/>
          <w:color w:val="000000"/>
          <w:sz w:val="20"/>
          <w:szCs w:val="20"/>
        </w:rPr>
        <w:t>or July 3, 2020 that were material to our results of operations on a consolidated or segment basis for such periods.</w:t>
      </w:r>
    </w:p>
    <w:p w:rsidR="00000000" w:rsidRDefault="00B11388">
      <w:pPr>
        <w:ind w:firstLine="450"/>
        <w:divId w:val="301665336"/>
        <w:rPr>
          <w:rFonts w:eastAsia="Times New Roman"/>
        </w:rPr>
      </w:pPr>
      <w:r>
        <w:rPr>
          <w:rFonts w:eastAsia="Times New Roman"/>
          <w:color w:val="000000"/>
          <w:sz w:val="20"/>
          <w:szCs w:val="20"/>
        </w:rPr>
        <w:t xml:space="preserve">We recognize revenue from numerous contracts with multiple performance obligations. For these contracts, we allocate the transaction price </w:t>
      </w:r>
      <w:r>
        <w:rPr>
          <w:rFonts w:eastAsia="Times New Roman"/>
          <w:color w:val="000000"/>
          <w:sz w:val="20"/>
          <w:szCs w:val="20"/>
        </w:rPr>
        <w:t>to each performance obligation based on the relative standalone selling price of the good or service underlying each performance obligation. The standalone selling price represents the amount for which we would sell the good or service to a customer on a s</w:t>
      </w:r>
      <w:r>
        <w:rPr>
          <w:rFonts w:eastAsia="Times New Roman"/>
          <w:color w:val="000000"/>
          <w:sz w:val="20"/>
          <w:szCs w:val="20"/>
        </w:rPr>
        <w:t>tandalone basis (i.e., not sold as a bundled sale with any other products or services). The allocation of transaction price among separate performance obligations may impact the timing of revenue recognition but will not change the total revenue recognized</w:t>
      </w:r>
      <w:r>
        <w:rPr>
          <w:rFonts w:eastAsia="Times New Roman"/>
          <w:color w:val="000000"/>
          <w:sz w:val="20"/>
          <w:szCs w:val="20"/>
        </w:rPr>
        <w:t xml:space="preserve"> on the contract. </w:t>
      </w:r>
    </w:p>
    <w:p w:rsidR="00000000" w:rsidRDefault="00B11388">
      <w:pPr>
        <w:ind w:firstLine="450"/>
        <w:divId w:val="1165049418"/>
        <w:rPr>
          <w:rFonts w:eastAsia="Times New Roman"/>
        </w:rPr>
      </w:pPr>
      <w:r>
        <w:rPr>
          <w:rFonts w:eastAsia="Times New Roman"/>
          <w:color w:val="000000"/>
          <w:sz w:val="20"/>
          <w:szCs w:val="20"/>
        </w:rPr>
        <w:t>A substantial majority of our revenue is derived from contracts with the U.S. Government, including foreign military sales contracts. These contracts are subject to the Federal Acquisition Regulations and the prices of our contract deliv</w:t>
      </w:r>
      <w:r>
        <w:rPr>
          <w:rFonts w:eastAsia="Times New Roman"/>
          <w:color w:val="000000"/>
          <w:sz w:val="20"/>
          <w:szCs w:val="20"/>
        </w:rPr>
        <w:t xml:space="preserve">erables are typically based on our estimated or actual costs plus a reasonable profit margin. As a result, the standalone selling prices of the goods and services in these contracts are typically equal to the selling prices stated in the contract, thereby </w:t>
      </w:r>
      <w:r>
        <w:rPr>
          <w:rFonts w:eastAsia="Times New Roman"/>
          <w:color w:val="000000"/>
          <w:sz w:val="20"/>
          <w:szCs w:val="20"/>
        </w:rPr>
        <w:t>eliminating the need to allocate (or reallocate) the transaction price to the multiple performance obligations. In our non-U.S. Government contracts, when standalone selling prices are not directly observable, we also generally use the expected cost plus a</w:t>
      </w:r>
      <w:r>
        <w:rPr>
          <w:rFonts w:eastAsia="Times New Roman"/>
          <w:color w:val="000000"/>
          <w:sz w:val="20"/>
          <w:szCs w:val="20"/>
        </w:rPr>
        <w:t xml:space="preserve"> margin approach to determine standalone selling price. In determining the appropriate margin under the cost plus margin approach, we consider </w:t>
      </w:r>
    </w:p>
    <w:p w:rsidR="00000000" w:rsidRDefault="00B11388">
      <w:pPr>
        <w:ind w:firstLine="450"/>
        <w:jc w:val="center"/>
        <w:divId w:val="615605215"/>
        <w:rPr>
          <w:rFonts w:eastAsia="Times New Roman"/>
        </w:rPr>
      </w:pPr>
      <w:r>
        <w:rPr>
          <w:rFonts w:eastAsia="Times New Roman"/>
          <w:color w:val="000000"/>
          <w:sz w:val="20"/>
          <w:szCs w:val="20"/>
        </w:rPr>
        <w:t>38</w:t>
      </w:r>
    </w:p>
    <w:p w:rsidR="00000000" w:rsidRDefault="00B11388">
      <w:pPr>
        <w:rPr>
          <w:rFonts w:eastAsia="Times New Roman"/>
        </w:rPr>
      </w:pPr>
      <w:r>
        <w:rPr>
          <w:rFonts w:eastAsia="Times New Roman"/>
        </w:rPr>
        <w:pict>
          <v:rect id="_x0000_i1065" style="width:0;height:1.5pt" o:hralign="center" o:hrstd="t" o:hr="t" fillcolor="#a0a0a0" stroked="f"/>
        </w:pict>
      </w:r>
    </w:p>
    <w:p w:rsidR="00000000" w:rsidRDefault="00B11388">
      <w:pPr>
        <w:ind w:firstLine="450"/>
        <w:divId w:val="605892201"/>
        <w:rPr>
          <w:rFonts w:eastAsia="Times New Roman"/>
        </w:rPr>
      </w:pPr>
    </w:p>
    <w:p w:rsidR="00000000" w:rsidRDefault="00B11388">
      <w:pPr>
        <w:ind w:firstLine="450"/>
        <w:divId w:val="288556324"/>
        <w:rPr>
          <w:rFonts w:eastAsia="Times New Roman"/>
        </w:rPr>
      </w:pPr>
    </w:p>
    <w:p w:rsidR="00000000" w:rsidRDefault="00B11388">
      <w:pPr>
        <w:divId w:val="1568295502"/>
        <w:rPr>
          <w:rFonts w:eastAsia="Times New Roman"/>
        </w:rPr>
      </w:pPr>
      <w:r>
        <w:rPr>
          <w:rFonts w:eastAsia="Times New Roman"/>
          <w:color w:val="000000"/>
          <w:sz w:val="20"/>
          <w:szCs w:val="20"/>
        </w:rPr>
        <w:t xml:space="preserve">historical margins on similar products sold to similar customers or </w:t>
      </w:r>
      <w:r>
        <w:rPr>
          <w:rFonts w:eastAsia="Times New Roman"/>
          <w:color w:val="000000"/>
          <w:sz w:val="20"/>
          <w:szCs w:val="20"/>
        </w:rPr>
        <w:t>within similar geographies where objective evidence is available. We may also consider our cost structure and profit objectives, the nature of the proposal, the effects of customization of pricing, our practices used to establish pricing of bundled product</w:t>
      </w:r>
      <w:r>
        <w:rPr>
          <w:rFonts w:eastAsia="Times New Roman"/>
          <w:color w:val="000000"/>
          <w:sz w:val="20"/>
          <w:szCs w:val="20"/>
        </w:rPr>
        <w:t xml:space="preserve">s, the expected technological life of the product, margins earned on similar contracts with different customers and other factors to determine the appropriate margin. </w:t>
      </w:r>
    </w:p>
    <w:p w:rsidR="00000000" w:rsidRDefault="00B11388">
      <w:pPr>
        <w:divId w:val="1090194815"/>
        <w:rPr>
          <w:rFonts w:eastAsia="Times New Roman"/>
        </w:rPr>
      </w:pPr>
      <w:r>
        <w:rPr>
          <w:rFonts w:eastAsia="Times New Roman"/>
          <w:b/>
          <w:bCs/>
          <w:color w:val="000000"/>
          <w:sz w:val="20"/>
          <w:szCs w:val="20"/>
        </w:rPr>
        <w:t>Goodwill</w:t>
      </w:r>
    </w:p>
    <w:p w:rsidR="00000000" w:rsidRDefault="00B11388">
      <w:pPr>
        <w:ind w:firstLine="450"/>
        <w:divId w:val="1105035200"/>
        <w:rPr>
          <w:rFonts w:eastAsia="Times New Roman"/>
        </w:rPr>
      </w:pPr>
      <w:r>
        <w:rPr>
          <w:rFonts w:eastAsia="Times New Roman"/>
          <w:color w:val="000000"/>
          <w:sz w:val="20"/>
          <w:szCs w:val="20"/>
        </w:rPr>
        <w:t xml:space="preserve">Goodwill in our Condensed Consolidated Balance Sheet (Unaudited) as of July 2, </w:t>
      </w:r>
      <w:r>
        <w:rPr>
          <w:rFonts w:eastAsia="Times New Roman"/>
          <w:color w:val="000000"/>
          <w:sz w:val="20"/>
          <w:szCs w:val="20"/>
        </w:rPr>
        <w:t>2021 and January 1, 2021 was $18.2 billion and $18.9 billion, respectively. Goodwill is not amortized. We perform annual (or under certain circumstances, more frequent) impairment tests of our goodwill. We identify potential impairment by comparing the fai</w:t>
      </w:r>
      <w:r>
        <w:rPr>
          <w:rFonts w:eastAsia="Times New Roman"/>
          <w:color w:val="000000"/>
          <w:sz w:val="20"/>
          <w:szCs w:val="20"/>
        </w:rPr>
        <w:t>r value of each of our reporting units with its carrying amount, including goodwill, which is adjusted for allocations of Corporate assets and liabilities as appropriate. If the fair value of a reporting unit exceeds its carrying amount, goodwill of the re</w:t>
      </w:r>
      <w:r>
        <w:rPr>
          <w:rFonts w:eastAsia="Times New Roman"/>
          <w:color w:val="000000"/>
          <w:sz w:val="20"/>
          <w:szCs w:val="20"/>
        </w:rPr>
        <w:t xml:space="preserve">porting unit is considered not impaired. If the carrying amount of a reporting unit exceeds its fair value, an impairment loss is recognized in an amount equal to that excess. </w:t>
      </w:r>
    </w:p>
    <w:p w:rsidR="00000000" w:rsidRDefault="00B11388">
      <w:pPr>
        <w:ind w:firstLine="450"/>
        <w:divId w:val="213084701"/>
        <w:rPr>
          <w:rFonts w:eastAsia="Times New Roman"/>
        </w:rPr>
      </w:pPr>
      <w:r>
        <w:rPr>
          <w:rFonts w:eastAsia="Times New Roman"/>
          <w:i/>
          <w:iCs/>
          <w:color w:val="000000"/>
          <w:sz w:val="20"/>
          <w:szCs w:val="20"/>
        </w:rPr>
        <w:t xml:space="preserve">Commercial Aviation Solutions goodwill allocation: </w:t>
      </w:r>
      <w:r>
        <w:rPr>
          <w:rFonts w:eastAsia="Times New Roman"/>
          <w:color w:val="000000"/>
          <w:sz w:val="20"/>
          <w:szCs w:val="20"/>
        </w:rPr>
        <w:t xml:space="preserve">As described in more detail in </w:t>
      </w:r>
      <w:r>
        <w:rPr>
          <w:rFonts w:eastAsia="Times New Roman"/>
          <w:i/>
          <w:iCs/>
          <w:color w:val="000000"/>
          <w:sz w:val="20"/>
          <w:szCs w:val="20"/>
        </w:rPr>
        <w:t>Note I — Goodwill and Other Intangible Assets</w:t>
      </w:r>
      <w:r>
        <w:rPr>
          <w:rFonts w:eastAsia="Times New Roman"/>
          <w:color w:val="000000"/>
          <w:sz w:val="20"/>
          <w:szCs w:val="20"/>
        </w:rPr>
        <w:t xml:space="preserve"> and elsewhere in the Notes, during the quarter ended July 2, 2021, we adjusted our Aviation Systems segment reporting to better </w:t>
      </w:r>
      <w:r>
        <w:rPr>
          <w:rFonts w:eastAsia="Times New Roman"/>
          <w:color w:val="000000"/>
          <w:sz w:val="20"/>
          <w:szCs w:val="20"/>
        </w:rPr>
        <w:t>align our businesses and separated the CTS business from our Commercial Aviation Solutions reporting unit, creating a new CTS reporting unit within the Commercial Aviation Solutions sector of our Aviation Systems segment. We assigned $68 million of goodwil</w:t>
      </w:r>
      <w:r>
        <w:rPr>
          <w:rFonts w:eastAsia="Times New Roman"/>
          <w:color w:val="000000"/>
          <w:sz w:val="20"/>
          <w:szCs w:val="20"/>
        </w:rPr>
        <w:t xml:space="preserve">l to the CTS reporting unit and $779 million of goodwill to the Commercial Aviation Solutions reporting unit on a relative fair value basis. In conjunction with the relative fair value allocation, we tested goodwill assigned to each new reporting unit and </w:t>
      </w:r>
      <w:r>
        <w:rPr>
          <w:rFonts w:eastAsia="Times New Roman"/>
          <w:color w:val="000000"/>
          <w:sz w:val="20"/>
          <w:szCs w:val="20"/>
        </w:rPr>
        <w:t xml:space="preserve">concluded that no goodwill impairment existed as of July 2, 2021. </w:t>
      </w:r>
    </w:p>
    <w:p w:rsidR="00000000" w:rsidRDefault="00B11388">
      <w:pPr>
        <w:ind w:firstLine="450"/>
        <w:divId w:val="2039969219"/>
        <w:rPr>
          <w:rFonts w:eastAsia="Times New Roman"/>
        </w:rPr>
      </w:pPr>
      <w:r>
        <w:rPr>
          <w:rFonts w:eastAsia="Times New Roman"/>
          <w:i/>
          <w:iCs/>
          <w:color w:val="000000"/>
          <w:sz w:val="20"/>
          <w:szCs w:val="20"/>
        </w:rPr>
        <w:t xml:space="preserve">CPS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in the Notes, we entered into a definitive agreement to sell our CPS business on March 1, 202</w:t>
      </w:r>
      <w:r>
        <w:rPr>
          <w:rFonts w:eastAsia="Times New Roman"/>
          <w:color w:val="000000"/>
          <w:sz w:val="20"/>
          <w:szCs w:val="20"/>
        </w:rPr>
        <w:t>1. Because the then-pending divestiture of the CPS business represented the disposal of a portion of a reporting unit within our Aviation Systems segment, we assigned $174 million of goodwill to the CPS business disposal group on a relative fair value basi</w:t>
      </w:r>
      <w:r>
        <w:rPr>
          <w:rFonts w:eastAsia="Times New Roman"/>
          <w:color w:val="000000"/>
          <w:sz w:val="20"/>
          <w:szCs w:val="20"/>
        </w:rPr>
        <w:t>s. In conjunction with the relative fair value allocation, we tested goodwill assigned to the CPS business disposal group and goodwill assigned to the retained businesses of the reporting unit for impairment and concluded that goodwill related to the CPS b</w:t>
      </w:r>
      <w:r>
        <w:rPr>
          <w:rFonts w:eastAsia="Times New Roman"/>
          <w:color w:val="000000"/>
          <w:sz w:val="20"/>
          <w:szCs w:val="20"/>
        </w:rPr>
        <w:t>usiness disposal group was impaired. In connection with the preparation of our financial statements for the quarter ended April 2, 2021, we recorded a non-cash impairment charge of $62 million, which is included in the “Impairment of goodwill and other ass</w:t>
      </w:r>
      <w:r>
        <w:rPr>
          <w:rFonts w:eastAsia="Times New Roman"/>
          <w:color w:val="000000"/>
          <w:sz w:val="20"/>
          <w:szCs w:val="20"/>
        </w:rPr>
        <w:t xml:space="preserve">ets” line item in our Condensed Consolidated Statement of Income (Unaudited) for the two quarters ended July 2, 2021. </w:t>
      </w:r>
    </w:p>
    <w:p w:rsidR="00000000" w:rsidRDefault="00B11388">
      <w:pPr>
        <w:ind w:firstLine="450"/>
        <w:divId w:val="1581714929"/>
        <w:rPr>
          <w:rFonts w:eastAsia="Times New Roman"/>
        </w:rPr>
      </w:pPr>
      <w:r>
        <w:rPr>
          <w:rFonts w:eastAsia="Times New Roman"/>
          <w:i/>
          <w:iCs/>
          <w:color w:val="000000"/>
          <w:sz w:val="20"/>
          <w:szCs w:val="20"/>
        </w:rPr>
        <w:t xml:space="preserve">Electron Devices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in the Notes, we entered int</w:t>
      </w:r>
      <w:r>
        <w:rPr>
          <w:rFonts w:eastAsia="Times New Roman"/>
          <w:color w:val="000000"/>
          <w:sz w:val="20"/>
          <w:szCs w:val="20"/>
        </w:rPr>
        <w:t xml:space="preserve">o a definitive agreement to sell our Electron Devices business on July 2, 2021. Because the pending divestiture of the Electron Devices business represented the disposal of a portion of a reporting unit within our Aviation Systems segment, we assigned $15 </w:t>
      </w:r>
      <w:r>
        <w:rPr>
          <w:rFonts w:eastAsia="Times New Roman"/>
          <w:color w:val="000000"/>
          <w:sz w:val="20"/>
          <w:szCs w:val="20"/>
        </w:rPr>
        <w:t>million of goodwill to the Electron Devices disposal group on a relative fair value basis. In conjunction with the relative fair value allocation, we tested goodwill assigned to the Electron Devices business disposal group and goodwill assigned to the reta</w:t>
      </w:r>
      <w:r>
        <w:rPr>
          <w:rFonts w:eastAsia="Times New Roman"/>
          <w:color w:val="000000"/>
          <w:sz w:val="20"/>
          <w:szCs w:val="20"/>
        </w:rPr>
        <w:t xml:space="preserve">ined businesses of the reporting unit for impairment and concluded that no goodwill impairment existed. </w:t>
      </w:r>
    </w:p>
    <w:p w:rsidR="00000000" w:rsidRDefault="00B11388">
      <w:pPr>
        <w:ind w:firstLine="450"/>
        <w:divId w:val="1711145043"/>
        <w:rPr>
          <w:rFonts w:eastAsia="Times New Roman"/>
        </w:rPr>
      </w:pPr>
      <w:r>
        <w:rPr>
          <w:rFonts w:eastAsia="Times New Roman"/>
          <w:i/>
          <w:iCs/>
          <w:color w:val="000000"/>
          <w:sz w:val="20"/>
          <w:szCs w:val="20"/>
        </w:rPr>
        <w:t xml:space="preserve">AP disposal groups goodwill allocations: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in the Notes, during the quarter ended July 2, 2</w:t>
      </w:r>
      <w:r>
        <w:rPr>
          <w:rFonts w:eastAsia="Times New Roman"/>
          <w:color w:val="000000"/>
          <w:sz w:val="20"/>
          <w:szCs w:val="20"/>
        </w:rPr>
        <w:t>021, we determined the criteria to be classified as held for sale were met with respect to two businesses in our Aviation Systems segment. Because the potential divestiture of the two businesses in the AP disposal groups represented the disposal of a porti</w:t>
      </w:r>
      <w:r>
        <w:rPr>
          <w:rFonts w:eastAsia="Times New Roman"/>
          <w:color w:val="000000"/>
          <w:sz w:val="20"/>
          <w:szCs w:val="20"/>
        </w:rPr>
        <w:t>on of a reporting unit within our Aviation Systems segment, we assigned $11 million of goodwill to the AP disposal groups on a relative fair value basis. In conjunction with the relative fair value allocation, we tested goodwill assigned to the AP disposal</w:t>
      </w:r>
      <w:r>
        <w:rPr>
          <w:rFonts w:eastAsia="Times New Roman"/>
          <w:color w:val="000000"/>
          <w:sz w:val="20"/>
          <w:szCs w:val="20"/>
        </w:rPr>
        <w:t xml:space="preserve"> groups and goodwill assigned to the retained businesses of the reporting unit for impairment and concluded that no goodwill impairment existed at the time the held for sale criteria were met. </w:t>
      </w:r>
    </w:p>
    <w:p w:rsidR="00000000" w:rsidRDefault="00B11388">
      <w:pPr>
        <w:ind w:firstLine="450"/>
        <w:divId w:val="1869643081"/>
        <w:rPr>
          <w:rFonts w:eastAsia="Times New Roman"/>
        </w:rPr>
      </w:pPr>
      <w:r>
        <w:rPr>
          <w:rFonts w:eastAsia="Times New Roman"/>
          <w:color w:val="000000"/>
          <w:sz w:val="20"/>
          <w:szCs w:val="20"/>
        </w:rPr>
        <w:t>For purposes of allocating goodwill to each disposal group abo</w:t>
      </w:r>
      <w:r>
        <w:rPr>
          <w:rFonts w:eastAsia="Times New Roman"/>
          <w:color w:val="000000"/>
          <w:sz w:val="20"/>
          <w:szCs w:val="20"/>
        </w:rPr>
        <w:t>ve, we determined the fair value of the disposal group based on the negotiated or expected selling price and the fair value of the retained businesses of the reporting unit based on a combination of market-based valuation techniques, utilizing quoted marke</w:t>
      </w:r>
      <w:r>
        <w:rPr>
          <w:rFonts w:eastAsia="Times New Roman"/>
          <w:color w:val="000000"/>
          <w:sz w:val="20"/>
          <w:szCs w:val="20"/>
        </w:rPr>
        <w:t>t prices and comparable publicly reported transactions, and projected discounted cash flows. These fair value determinations are categorized as Level 3 in the fair value hierarchy due to their use of internal projections and unobservable measurement inputs</w:t>
      </w:r>
      <w:r>
        <w:rPr>
          <w:rFonts w:eastAsia="Times New Roman"/>
          <w:color w:val="000000"/>
          <w:sz w:val="20"/>
          <w:szCs w:val="20"/>
        </w:rPr>
        <w:t xml:space="preserve">. See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for additional information regarding the fair value hierarchy.</w:t>
      </w:r>
    </w:p>
    <w:p w:rsidR="00000000" w:rsidRDefault="00B11388">
      <w:pPr>
        <w:divId w:val="2077046534"/>
        <w:rPr>
          <w:rFonts w:eastAsia="Times New Roman"/>
        </w:rPr>
      </w:pPr>
      <w:r>
        <w:rPr>
          <w:rFonts w:eastAsia="Times New Roman"/>
          <w:b/>
          <w:bCs/>
          <w:color w:val="000000"/>
          <w:sz w:val="20"/>
          <w:szCs w:val="20"/>
        </w:rPr>
        <w:t>Impairment of long-lived assets</w:t>
      </w:r>
    </w:p>
    <w:p w:rsidR="00000000" w:rsidRDefault="00B11388">
      <w:pPr>
        <w:ind w:firstLine="450"/>
        <w:divId w:val="1719821824"/>
        <w:rPr>
          <w:rFonts w:eastAsia="Times New Roman"/>
        </w:rPr>
      </w:pPr>
      <w:r>
        <w:rPr>
          <w:rFonts w:eastAsia="Times New Roman"/>
          <w:color w:val="000000"/>
          <w:sz w:val="20"/>
          <w:szCs w:val="20"/>
        </w:rPr>
        <w:t>During the quarter ended July 2, 2</w:t>
      </w:r>
      <w:r>
        <w:rPr>
          <w:rFonts w:eastAsia="Times New Roman"/>
          <w:color w:val="000000"/>
          <w:sz w:val="20"/>
          <w:szCs w:val="20"/>
        </w:rPr>
        <w:t>021, we adjusted our Aviation Systems segment reporting to better align our businesses and separated the CTS business from our Commercial Aviation Solutions reporting unit, creating a new CTS reporting unit within the Commercial Aviation Solutions sector o</w:t>
      </w:r>
      <w:r>
        <w:rPr>
          <w:rFonts w:eastAsia="Times New Roman"/>
          <w:color w:val="000000"/>
          <w:sz w:val="20"/>
          <w:szCs w:val="20"/>
        </w:rPr>
        <w:t xml:space="preserve">f our Aviation Systems segment. To test for potential impairment of the </w:t>
      </w:r>
    </w:p>
    <w:p w:rsidR="00000000" w:rsidRDefault="00B11388">
      <w:pPr>
        <w:ind w:firstLine="450"/>
        <w:jc w:val="center"/>
        <w:divId w:val="634601046"/>
        <w:rPr>
          <w:rFonts w:eastAsia="Times New Roman"/>
        </w:rPr>
      </w:pPr>
      <w:r>
        <w:rPr>
          <w:rFonts w:eastAsia="Times New Roman"/>
          <w:color w:val="000000"/>
          <w:sz w:val="20"/>
          <w:szCs w:val="20"/>
        </w:rPr>
        <w:t>39</w:t>
      </w:r>
    </w:p>
    <w:p w:rsidR="00000000" w:rsidRDefault="00B11388">
      <w:pPr>
        <w:rPr>
          <w:rFonts w:eastAsia="Times New Roman"/>
        </w:rPr>
      </w:pPr>
      <w:r>
        <w:rPr>
          <w:rFonts w:eastAsia="Times New Roman"/>
        </w:rPr>
        <w:pict>
          <v:rect id="_x0000_i1066" style="width:0;height:1.5pt" o:hralign="center" o:hrstd="t" o:hr="t" fillcolor="#a0a0a0" stroked="f"/>
        </w:pict>
      </w:r>
    </w:p>
    <w:p w:rsidR="00000000" w:rsidRDefault="00B11388">
      <w:pPr>
        <w:ind w:firstLine="450"/>
        <w:divId w:val="213808496"/>
        <w:rPr>
          <w:rFonts w:eastAsia="Times New Roman"/>
        </w:rPr>
      </w:pPr>
    </w:p>
    <w:p w:rsidR="00000000" w:rsidRDefault="00B11388">
      <w:pPr>
        <w:ind w:firstLine="450"/>
        <w:divId w:val="1661080690"/>
        <w:rPr>
          <w:rFonts w:eastAsia="Times New Roman"/>
        </w:rPr>
      </w:pPr>
    </w:p>
    <w:p w:rsidR="00000000" w:rsidRDefault="00B11388">
      <w:pPr>
        <w:divId w:val="317653871"/>
        <w:rPr>
          <w:rFonts w:eastAsia="Times New Roman"/>
        </w:rPr>
      </w:pPr>
      <w:r>
        <w:rPr>
          <w:rFonts w:eastAsia="Times New Roman"/>
          <w:color w:val="000000"/>
          <w:sz w:val="20"/>
          <w:szCs w:val="20"/>
        </w:rPr>
        <w:t>long-lived assets, including identifiable intangible assets and property, plant and equipment, related to CTS, we compared the estimated fut</w:t>
      </w:r>
      <w:r>
        <w:rPr>
          <w:rFonts w:eastAsia="Times New Roman"/>
          <w:color w:val="000000"/>
          <w:sz w:val="20"/>
          <w:szCs w:val="20"/>
        </w:rPr>
        <w:t>ure cash flows (on an undiscounted basis) to be generated from the use and hypothetical eventual disposition of the asset group to its carrying value and, as a result, we determined the carrying value of the CTS asset group was not recoverable. Next, we pr</w:t>
      </w:r>
      <w:r>
        <w:rPr>
          <w:rFonts w:eastAsia="Times New Roman"/>
          <w:color w:val="000000"/>
          <w:sz w:val="20"/>
          <w:szCs w:val="20"/>
        </w:rPr>
        <w:t xml:space="preserve">epared an estimate of the fair value of CTS based on a combination of market-based valuation techniques, utilizing quoted market prices and comparable publicly reported transactions and projected discounted cash flows. We compared the fair value of CTS to </w:t>
      </w:r>
      <w:r>
        <w:rPr>
          <w:rFonts w:eastAsia="Times New Roman"/>
          <w:color w:val="000000"/>
          <w:sz w:val="20"/>
          <w:szCs w:val="20"/>
        </w:rPr>
        <w:t>our carrying value and recorded a $145 million non-cash charge for the impairment of CTS long-lived assets, including $63 million for impairment of identifiable intangible assets, which is included in the “Impairment of goodwill and other assets” line item</w:t>
      </w:r>
      <w:r>
        <w:rPr>
          <w:rFonts w:eastAsia="Times New Roman"/>
          <w:color w:val="000000"/>
          <w:sz w:val="20"/>
          <w:szCs w:val="20"/>
        </w:rPr>
        <w:t xml:space="preserve"> in our Condensed Consolidated Statement of Income (Unaudited) for the quarter and two quarters ended July 2, 2021. See </w:t>
      </w:r>
      <w:r>
        <w:rPr>
          <w:rFonts w:eastAsia="Times New Roman"/>
          <w:i/>
          <w:iCs/>
          <w:color w:val="000000"/>
          <w:sz w:val="20"/>
          <w:szCs w:val="20"/>
        </w:rPr>
        <w:t>Note H — Property, Plant and Equipment, net</w:t>
      </w:r>
      <w:r>
        <w:rPr>
          <w:rFonts w:eastAsia="Times New Roman"/>
          <w:color w:val="000000"/>
          <w:sz w:val="20"/>
          <w:szCs w:val="20"/>
        </w:rPr>
        <w:t xml:space="preserve"> and </w:t>
      </w:r>
      <w:r>
        <w:rPr>
          <w:rFonts w:eastAsia="Times New Roman"/>
          <w:i/>
          <w:iCs/>
          <w:color w:val="000000"/>
          <w:sz w:val="20"/>
          <w:szCs w:val="20"/>
        </w:rPr>
        <w:t>Note I — Goodwill and Other Intangible Assets</w:t>
      </w:r>
      <w:r>
        <w:rPr>
          <w:rFonts w:eastAsia="Times New Roman"/>
          <w:color w:val="000000"/>
          <w:sz w:val="20"/>
          <w:szCs w:val="20"/>
        </w:rPr>
        <w:t xml:space="preserve"> in the Notes for additional information.</w:t>
      </w:r>
    </w:p>
    <w:p w:rsidR="00000000" w:rsidRDefault="00B11388">
      <w:pPr>
        <w:divId w:val="814183170"/>
        <w:rPr>
          <w:rFonts w:eastAsia="Times New Roman"/>
        </w:rPr>
      </w:pPr>
      <w:r>
        <w:rPr>
          <w:rFonts w:eastAsia="Times New Roman"/>
          <w:b/>
          <w:bCs/>
          <w:color w:val="000000"/>
          <w:sz w:val="20"/>
          <w:szCs w:val="20"/>
        </w:rPr>
        <w:t>F</w:t>
      </w:r>
      <w:r>
        <w:rPr>
          <w:rFonts w:eastAsia="Times New Roman"/>
          <w:b/>
          <w:bCs/>
          <w:color w:val="000000"/>
          <w:sz w:val="20"/>
          <w:szCs w:val="20"/>
        </w:rPr>
        <w:t>ORWARD-LOOKING STATEMENTS AND FACTORS THAT MAY AFFECT FUTURE RESULTS</w:t>
      </w:r>
    </w:p>
    <w:p w:rsidR="00000000" w:rsidRDefault="00B11388">
      <w:pPr>
        <w:ind w:firstLine="450"/>
        <w:divId w:val="817723098"/>
        <w:rPr>
          <w:rFonts w:eastAsia="Times New Roman"/>
        </w:rPr>
      </w:pPr>
      <w:r>
        <w:rPr>
          <w:rFonts w:eastAsia="Times New Roman"/>
          <w:color w:val="000000"/>
          <w:sz w:val="20"/>
          <w:szCs w:val="20"/>
        </w:rPr>
        <w:t>This Report contains forward-looking statements that involve risks and uncertainties, as well as assumptions that may not materialize or prove to be correct, which could cause our results</w:t>
      </w:r>
      <w:r>
        <w:rPr>
          <w:rFonts w:eastAsia="Times New Roman"/>
          <w:color w:val="000000"/>
          <w:sz w:val="20"/>
          <w:szCs w:val="20"/>
        </w:rPr>
        <w:t xml:space="preserve"> to differ materially from those expressed in or implied by such forward-looking statements. All statements other than statements of historical fact are statements that could be deemed forward-looking statements, including, but not limited to, statements c</w:t>
      </w:r>
      <w:r>
        <w:rPr>
          <w:rFonts w:eastAsia="Times New Roman"/>
          <w:color w:val="000000"/>
          <w:sz w:val="20"/>
          <w:szCs w:val="20"/>
        </w:rPr>
        <w:t>oncerning: our plans, strategies and objectives for future operations; new products, systems, technologies, services or developments; future economic conditions, performance or outlook; future political conditions; the outcome of contingencies; the potenti</w:t>
      </w:r>
      <w:r>
        <w:rPr>
          <w:rFonts w:eastAsia="Times New Roman"/>
          <w:color w:val="000000"/>
          <w:sz w:val="20"/>
          <w:szCs w:val="20"/>
        </w:rPr>
        <w:t>al level of share repurchases, dividends or pension contributions; potential acquisitions or divestitures; the value of contract awards and programs; expected cash flows or capital expenditures; our beliefs or expectations; activities, events or developmen</w:t>
      </w:r>
      <w:r>
        <w:rPr>
          <w:rFonts w:eastAsia="Times New Roman"/>
          <w:color w:val="000000"/>
          <w:sz w:val="20"/>
          <w:szCs w:val="20"/>
        </w:rPr>
        <w:t>ts that we intend, expect, project, believe or anticipate will or may occur in the future, including expected COVID-related impacts in our Public Safety and Commercial Aviation Solutions sector; and assumptions underlying any of the foregoing. Forward-look</w:t>
      </w:r>
      <w:r>
        <w:rPr>
          <w:rFonts w:eastAsia="Times New Roman"/>
          <w:color w:val="000000"/>
          <w:sz w:val="20"/>
          <w:szCs w:val="20"/>
        </w:rPr>
        <w:t>ing statements may be identified by their use of forward-looking terminology, such as “believes,” “expects,” “may,” “should,” “would,” “will,” “intends,” “plans,” “estimates,” “anticipates,” “projects” and similar words or expressions. You should not place</w:t>
      </w:r>
      <w:r>
        <w:rPr>
          <w:rFonts w:eastAsia="Times New Roman"/>
          <w:color w:val="000000"/>
          <w:sz w:val="20"/>
          <w:szCs w:val="20"/>
        </w:rPr>
        <w:t xml:space="preserve"> undue reliance on these forward-looking statements, which reflect our management’s opinions only as of the date of filing of this Report and are not guarantees of future performance or actual results. Forward-looking statements are made in reliance on the</w:t>
      </w:r>
      <w:r>
        <w:rPr>
          <w:rFonts w:eastAsia="Times New Roman"/>
          <w:color w:val="000000"/>
          <w:sz w:val="20"/>
          <w:szCs w:val="20"/>
        </w:rPr>
        <w:t xml:space="preserve"> safe harbor provisions of Section 27A of the Securities Act of 1933, as amended (the “Securities Act”), and Section 21E of the Securities Exchange Act of 1934, as amended (the “Exchange Act”). The following are some of the factors we believe could cause o</w:t>
      </w:r>
      <w:r>
        <w:rPr>
          <w:rFonts w:eastAsia="Times New Roman"/>
          <w:color w:val="000000"/>
          <w:sz w:val="20"/>
          <w:szCs w:val="20"/>
        </w:rPr>
        <w:t>ur actual results to differ materially from our historical results or our current expectations or projections:</w:t>
      </w:r>
    </w:p>
    <w:p w:rsidR="00000000" w:rsidRDefault="00B11388">
      <w:pPr>
        <w:ind w:hanging="360"/>
        <w:divId w:val="1111587145"/>
        <w:rPr>
          <w:rFonts w:eastAsia="Times New Roman"/>
        </w:rPr>
      </w:pPr>
      <w:r>
        <w:rPr>
          <w:rFonts w:eastAsia="Times New Roman"/>
          <w:color w:val="000000"/>
          <w:sz w:val="20"/>
          <w:szCs w:val="20"/>
        </w:rPr>
        <w:t>•COVID and ongoing attempts to contain and reduce its spread could have a material adverse effect on our business operations, financial condition</w:t>
      </w:r>
      <w:r>
        <w:rPr>
          <w:rFonts w:eastAsia="Times New Roman"/>
          <w:color w:val="000000"/>
          <w:sz w:val="20"/>
          <w:szCs w:val="20"/>
        </w:rPr>
        <w:t>, results of operations, cash flows and equity.</w:t>
      </w:r>
    </w:p>
    <w:p w:rsidR="00000000" w:rsidRDefault="00B11388">
      <w:pPr>
        <w:ind w:hanging="360"/>
        <w:divId w:val="430587802"/>
        <w:rPr>
          <w:rFonts w:eastAsia="Times New Roman"/>
        </w:rPr>
      </w:pPr>
      <w:r>
        <w:rPr>
          <w:rFonts w:eastAsia="Times New Roman"/>
          <w:color w:val="000000"/>
          <w:sz w:val="20"/>
          <w:szCs w:val="20"/>
        </w:rPr>
        <w:t>•We depend on U.S. Government customers for a significant portion of our revenue, and the loss of these relationships, a reduction in U.S. Government funding or a change in U.S. Government spending priorities</w:t>
      </w:r>
      <w:r>
        <w:rPr>
          <w:rFonts w:eastAsia="Times New Roman"/>
          <w:color w:val="000000"/>
          <w:sz w:val="20"/>
          <w:szCs w:val="20"/>
        </w:rPr>
        <w:t xml:space="preserve"> could have an adverse impact on our business, financial condition, results of operations, cash flows and equity.</w:t>
      </w:r>
    </w:p>
    <w:p w:rsidR="00000000" w:rsidRDefault="00B11388">
      <w:pPr>
        <w:ind w:hanging="360"/>
        <w:divId w:val="600531853"/>
        <w:rPr>
          <w:rFonts w:eastAsia="Times New Roman"/>
        </w:rPr>
      </w:pPr>
      <w:r>
        <w:rPr>
          <w:rFonts w:eastAsia="Times New Roman"/>
          <w:color w:val="000000"/>
          <w:sz w:val="20"/>
          <w:szCs w:val="20"/>
        </w:rPr>
        <w:t>•We depend significantly on U.S. Government contracts, which often are only partially funded, subject to immediate termination, and heavily re</w:t>
      </w:r>
      <w:r>
        <w:rPr>
          <w:rFonts w:eastAsia="Times New Roman"/>
          <w:color w:val="000000"/>
          <w:sz w:val="20"/>
          <w:szCs w:val="20"/>
        </w:rPr>
        <w:t>gulated and audited. The termination or failure to fund, or negative audit findings for, one or more of these contracts could have an adverse impact on our business, financial condition, results of operations, cash flows and equity.</w:t>
      </w:r>
    </w:p>
    <w:p w:rsidR="00000000" w:rsidRDefault="00B11388">
      <w:pPr>
        <w:ind w:hanging="360"/>
        <w:divId w:val="1120538856"/>
        <w:rPr>
          <w:rFonts w:eastAsia="Times New Roman"/>
        </w:rPr>
      </w:pPr>
      <w:r>
        <w:rPr>
          <w:rFonts w:eastAsia="Times New Roman"/>
          <w:color w:val="000000"/>
          <w:sz w:val="20"/>
          <w:szCs w:val="20"/>
        </w:rPr>
        <w:t xml:space="preserve">•The U.S. Government’s </w:t>
      </w:r>
      <w:r>
        <w:rPr>
          <w:rFonts w:eastAsia="Times New Roman"/>
          <w:color w:val="000000"/>
          <w:sz w:val="20"/>
          <w:szCs w:val="20"/>
        </w:rPr>
        <w:t>budget deficit and the national debt, as well as any inability of the U.S. Government to complete its budget process for any government fiscal year and consequently having to shut down or operate on funding levels equivalent to its prior fiscal year pursua</w:t>
      </w:r>
      <w:r>
        <w:rPr>
          <w:rFonts w:eastAsia="Times New Roman"/>
          <w:color w:val="000000"/>
          <w:sz w:val="20"/>
          <w:szCs w:val="20"/>
        </w:rPr>
        <w:t>nt to a “continuing resolution,” could have an adverse impact on our business, financial condition, results of operations, cash flows and equity.</w:t>
      </w:r>
    </w:p>
    <w:p w:rsidR="00000000" w:rsidRDefault="00B11388">
      <w:pPr>
        <w:ind w:hanging="360"/>
        <w:divId w:val="397481503"/>
        <w:rPr>
          <w:rFonts w:eastAsia="Times New Roman"/>
        </w:rPr>
      </w:pPr>
      <w:r>
        <w:rPr>
          <w:rFonts w:eastAsia="Times New Roman"/>
          <w:color w:val="000000"/>
          <w:sz w:val="20"/>
          <w:szCs w:val="20"/>
        </w:rPr>
        <w:t xml:space="preserve">•Our results of operations and cash flows are substantially affected by our mix of fixed-price, cost-plus and </w:t>
      </w:r>
      <w:r>
        <w:rPr>
          <w:rFonts w:eastAsia="Times New Roman"/>
          <w:color w:val="000000"/>
          <w:sz w:val="20"/>
          <w:szCs w:val="20"/>
        </w:rPr>
        <w:t>time-and-material type contracts. In particular, our fixed-price contracts could subject us to losses in the event of cost overruns or a significant increase in inflation.</w:t>
      </w:r>
    </w:p>
    <w:p w:rsidR="00000000" w:rsidRDefault="00B11388">
      <w:pPr>
        <w:ind w:hanging="360"/>
        <w:divId w:val="918060614"/>
        <w:rPr>
          <w:rFonts w:eastAsia="Times New Roman"/>
        </w:rPr>
      </w:pPr>
      <w:r>
        <w:rPr>
          <w:rFonts w:eastAsia="Times New Roman"/>
          <w:color w:val="000000"/>
          <w:sz w:val="20"/>
          <w:szCs w:val="20"/>
        </w:rPr>
        <w:t>•</w:t>
      </w:r>
      <w:r>
        <w:rPr>
          <w:rFonts w:eastAsia="Times New Roman"/>
          <w:color w:val="000000"/>
          <w:sz w:val="20"/>
          <w:szCs w:val="20"/>
        </w:rPr>
        <w:t>Our commercial aviation products, systems and services businesses are affected by global demand and economic factors that could negatively impact our financial results.</w:t>
      </w:r>
    </w:p>
    <w:p w:rsidR="00000000" w:rsidRDefault="00B11388">
      <w:pPr>
        <w:ind w:hanging="360"/>
        <w:divId w:val="1621254829"/>
        <w:rPr>
          <w:rFonts w:eastAsia="Times New Roman"/>
        </w:rPr>
      </w:pPr>
      <w:r>
        <w:rPr>
          <w:rFonts w:eastAsia="Times New Roman"/>
          <w:color w:val="000000"/>
          <w:sz w:val="20"/>
          <w:szCs w:val="20"/>
        </w:rPr>
        <w:t>•We participate in markets that are often subject to uncertain economic conditions, whi</w:t>
      </w:r>
      <w:r>
        <w:rPr>
          <w:rFonts w:eastAsia="Times New Roman"/>
          <w:color w:val="000000"/>
          <w:sz w:val="20"/>
          <w:szCs w:val="20"/>
        </w:rPr>
        <w:t>ch makes it difficult to estimate growth in our markets and, as a result, future income and expenditures.</w:t>
      </w:r>
    </w:p>
    <w:p w:rsidR="00000000" w:rsidRDefault="00B11388">
      <w:pPr>
        <w:ind w:hanging="360"/>
        <w:divId w:val="723454311"/>
        <w:rPr>
          <w:rFonts w:eastAsia="Times New Roman"/>
        </w:rPr>
      </w:pPr>
      <w:r>
        <w:rPr>
          <w:rFonts w:eastAsia="Times New Roman"/>
          <w:color w:val="000000"/>
          <w:sz w:val="20"/>
          <w:szCs w:val="20"/>
        </w:rPr>
        <w:t>•We cannot predict the consequences of future geo-political events, but they may adversely affect the markets in which we operate, our ability to insu</w:t>
      </w:r>
      <w:r>
        <w:rPr>
          <w:rFonts w:eastAsia="Times New Roman"/>
          <w:color w:val="000000"/>
          <w:sz w:val="20"/>
          <w:szCs w:val="20"/>
        </w:rPr>
        <w:t>re against risks, our operations or our profitability.</w:t>
      </w:r>
    </w:p>
    <w:p w:rsidR="00000000" w:rsidRDefault="00B11388">
      <w:pPr>
        <w:ind w:hanging="360"/>
        <w:divId w:val="862982665"/>
        <w:rPr>
          <w:rFonts w:eastAsia="Times New Roman"/>
        </w:rPr>
      </w:pPr>
      <w:r>
        <w:rPr>
          <w:rFonts w:eastAsia="Times New Roman"/>
          <w:color w:val="000000"/>
          <w:sz w:val="20"/>
          <w:szCs w:val="20"/>
        </w:rPr>
        <w:t>•We derive a significant portion of our revenue from international operations and are subject to the risks of doing business internationally, including fluctuations in currency exchange rates.</w:t>
      </w:r>
    </w:p>
    <w:p w:rsidR="00000000" w:rsidRDefault="00B11388">
      <w:pPr>
        <w:ind w:hanging="360"/>
        <w:divId w:val="2094934932"/>
        <w:rPr>
          <w:rFonts w:eastAsia="Times New Roman"/>
        </w:rPr>
      </w:pPr>
      <w:r>
        <w:rPr>
          <w:rFonts w:eastAsia="Times New Roman"/>
          <w:color w:val="000000"/>
          <w:sz w:val="20"/>
          <w:szCs w:val="20"/>
        </w:rPr>
        <w:t xml:space="preserve">•We are </w:t>
      </w:r>
      <w:r>
        <w:rPr>
          <w:rFonts w:eastAsia="Times New Roman"/>
          <w:color w:val="000000"/>
          <w:sz w:val="20"/>
          <w:szCs w:val="20"/>
        </w:rPr>
        <w:t>subject to government investigations, which could have a material adverse effect on our business, financial condition, results of operations, cash flows and equity.</w:t>
      </w:r>
    </w:p>
    <w:p w:rsidR="00000000" w:rsidRDefault="00B11388">
      <w:pPr>
        <w:ind w:hanging="360"/>
        <w:divId w:val="1699283118"/>
        <w:rPr>
          <w:rFonts w:eastAsia="Times New Roman"/>
        </w:rPr>
      </w:pPr>
      <w:r>
        <w:rPr>
          <w:rFonts w:eastAsia="Times New Roman"/>
          <w:color w:val="000000"/>
          <w:sz w:val="20"/>
          <w:szCs w:val="20"/>
        </w:rPr>
        <w:t>•We could be negatively impacted by a security breach, through cyber attack, cyber intrusio</w:t>
      </w:r>
      <w:r>
        <w:rPr>
          <w:rFonts w:eastAsia="Times New Roman"/>
          <w:color w:val="000000"/>
          <w:sz w:val="20"/>
          <w:szCs w:val="20"/>
        </w:rPr>
        <w:t>n, insider threats or otherwise, or other significant disruption of our IT networks and related systems or of those we operate for certain of our customers.</w:t>
      </w:r>
    </w:p>
    <w:p w:rsidR="00000000" w:rsidRDefault="00B11388">
      <w:pPr>
        <w:ind w:firstLine="450"/>
        <w:jc w:val="center"/>
        <w:divId w:val="611058620"/>
        <w:rPr>
          <w:rFonts w:eastAsia="Times New Roman"/>
        </w:rPr>
      </w:pPr>
      <w:r>
        <w:rPr>
          <w:rFonts w:eastAsia="Times New Roman"/>
          <w:color w:val="000000"/>
          <w:sz w:val="20"/>
          <w:szCs w:val="20"/>
        </w:rPr>
        <w:t>40</w:t>
      </w:r>
    </w:p>
    <w:p w:rsidR="00000000" w:rsidRDefault="00B11388">
      <w:pPr>
        <w:rPr>
          <w:rFonts w:eastAsia="Times New Roman"/>
        </w:rPr>
      </w:pPr>
      <w:r>
        <w:rPr>
          <w:rFonts w:eastAsia="Times New Roman"/>
        </w:rPr>
        <w:pict>
          <v:rect id="_x0000_i1067" style="width:0;height:1.5pt" o:hralign="center" o:hrstd="t" o:hr="t" fillcolor="#a0a0a0" stroked="f"/>
        </w:pict>
      </w:r>
    </w:p>
    <w:p w:rsidR="00000000" w:rsidRDefault="00B11388">
      <w:pPr>
        <w:ind w:firstLine="450"/>
        <w:divId w:val="1833525539"/>
        <w:rPr>
          <w:rFonts w:eastAsia="Times New Roman"/>
        </w:rPr>
      </w:pPr>
    </w:p>
    <w:p w:rsidR="00000000" w:rsidRDefault="00B11388">
      <w:pPr>
        <w:ind w:firstLine="450"/>
        <w:divId w:val="714625256"/>
        <w:rPr>
          <w:rFonts w:eastAsia="Times New Roman"/>
        </w:rPr>
      </w:pPr>
    </w:p>
    <w:p w:rsidR="00000000" w:rsidRDefault="00B11388">
      <w:pPr>
        <w:ind w:hanging="360"/>
        <w:divId w:val="942146551"/>
        <w:rPr>
          <w:rFonts w:eastAsia="Times New Roman"/>
        </w:rPr>
      </w:pPr>
      <w:r>
        <w:rPr>
          <w:rFonts w:eastAsia="Times New Roman"/>
          <w:color w:val="000000"/>
          <w:sz w:val="20"/>
          <w:szCs w:val="20"/>
        </w:rPr>
        <w:t>•</w:t>
      </w:r>
      <w:r>
        <w:rPr>
          <w:rFonts w:eastAsia="Times New Roman"/>
          <w:color w:val="000000"/>
          <w:sz w:val="20"/>
          <w:szCs w:val="20"/>
        </w:rPr>
        <w:t>Our future success will depend on our ability to develop new products, systems, services and technologies that achieve market acceptance in our current and future markets.</w:t>
      </w:r>
    </w:p>
    <w:p w:rsidR="00000000" w:rsidRDefault="00B11388">
      <w:pPr>
        <w:ind w:hanging="360"/>
        <w:divId w:val="657458514"/>
        <w:rPr>
          <w:rFonts w:eastAsia="Times New Roman"/>
        </w:rPr>
      </w:pPr>
      <w:r>
        <w:rPr>
          <w:rFonts w:eastAsia="Times New Roman"/>
          <w:color w:val="000000"/>
          <w:sz w:val="20"/>
          <w:szCs w:val="20"/>
        </w:rPr>
        <w:t xml:space="preserve">•We must attract and retain key employees, and any failure to do so could seriously </w:t>
      </w:r>
      <w:r>
        <w:rPr>
          <w:rFonts w:eastAsia="Times New Roman"/>
          <w:color w:val="000000"/>
          <w:sz w:val="20"/>
          <w:szCs w:val="20"/>
        </w:rPr>
        <w:t>harm us.</w:t>
      </w:r>
    </w:p>
    <w:p w:rsidR="00000000" w:rsidRDefault="00B11388">
      <w:pPr>
        <w:ind w:hanging="360"/>
        <w:divId w:val="297732228"/>
        <w:rPr>
          <w:rFonts w:eastAsia="Times New Roman"/>
        </w:rPr>
      </w:pPr>
      <w:r>
        <w:rPr>
          <w:rFonts w:eastAsia="Times New Roman"/>
          <w:color w:val="000000"/>
          <w:sz w:val="20"/>
          <w:szCs w:val="20"/>
        </w:rPr>
        <w:t>•Some of our workforce is represented by labor unions, so a prolonged work stoppage could harm our business.</w:t>
      </w:r>
    </w:p>
    <w:p w:rsidR="00000000" w:rsidRDefault="00B11388">
      <w:pPr>
        <w:ind w:hanging="360"/>
        <w:divId w:val="1143354217"/>
        <w:rPr>
          <w:rFonts w:eastAsia="Times New Roman"/>
        </w:rPr>
      </w:pPr>
      <w:r>
        <w:rPr>
          <w:rFonts w:eastAsia="Times New Roman"/>
          <w:color w:val="000000"/>
          <w:sz w:val="20"/>
          <w:szCs w:val="20"/>
        </w:rPr>
        <w:t>•Disputes with our subcontractors or key suppliers, or their inability to perform or timely deliver our components, parts or services, cou</w:t>
      </w:r>
      <w:r>
        <w:rPr>
          <w:rFonts w:eastAsia="Times New Roman"/>
          <w:color w:val="000000"/>
          <w:sz w:val="20"/>
          <w:szCs w:val="20"/>
        </w:rPr>
        <w:t>ld cause our products, systems or services to be produced or delivered in an untimely or unsatisfactory manner.</w:t>
      </w:r>
    </w:p>
    <w:p w:rsidR="00000000" w:rsidRDefault="00B11388">
      <w:pPr>
        <w:ind w:hanging="360"/>
        <w:divId w:val="1393772371"/>
        <w:rPr>
          <w:rFonts w:eastAsia="Times New Roman"/>
        </w:rPr>
      </w:pPr>
      <w:r>
        <w:rPr>
          <w:rFonts w:eastAsia="Times New Roman"/>
          <w:color w:val="000000"/>
          <w:sz w:val="20"/>
          <w:szCs w:val="20"/>
        </w:rPr>
        <w:t>•We have significant operations in locations that could be materially and adversely impacted in the event of a natural disaster or other signifi</w:t>
      </w:r>
      <w:r>
        <w:rPr>
          <w:rFonts w:eastAsia="Times New Roman"/>
          <w:color w:val="000000"/>
          <w:sz w:val="20"/>
          <w:szCs w:val="20"/>
        </w:rPr>
        <w:t>cant disruption.</w:t>
      </w:r>
    </w:p>
    <w:p w:rsidR="00000000" w:rsidRDefault="00B11388">
      <w:pPr>
        <w:ind w:hanging="360"/>
        <w:divId w:val="1784156206"/>
        <w:rPr>
          <w:rFonts w:eastAsia="Times New Roman"/>
        </w:rPr>
      </w:pPr>
      <w:r>
        <w:rPr>
          <w:rFonts w:eastAsia="Times New Roman"/>
          <w:color w:val="000000"/>
          <w:sz w:val="20"/>
          <w:szCs w:val="20"/>
        </w:rPr>
        <w:t>•Changes in estimates we use in accounting for many of our programs could adversely affect our future financial results.</w:t>
      </w:r>
    </w:p>
    <w:p w:rsidR="00000000" w:rsidRDefault="00B11388">
      <w:pPr>
        <w:ind w:hanging="360"/>
        <w:divId w:val="1408570949"/>
        <w:rPr>
          <w:rFonts w:eastAsia="Times New Roman"/>
        </w:rPr>
      </w:pPr>
      <w:r>
        <w:rPr>
          <w:rFonts w:eastAsia="Times New Roman"/>
          <w:color w:val="000000"/>
          <w:sz w:val="20"/>
          <w:szCs w:val="20"/>
        </w:rPr>
        <w:t>•Our level of indebtedness and our ability to make payments on or service our indebtedness and our unfunded defined be</w:t>
      </w:r>
      <w:r>
        <w:rPr>
          <w:rFonts w:eastAsia="Times New Roman"/>
          <w:color w:val="000000"/>
          <w:sz w:val="20"/>
          <w:szCs w:val="20"/>
        </w:rPr>
        <w:t>nefit plans liability may materially adversely affect our financial and operating activities or our ability to incur additional debt.</w:t>
      </w:r>
    </w:p>
    <w:p w:rsidR="00000000" w:rsidRDefault="00B11388">
      <w:pPr>
        <w:ind w:hanging="360"/>
        <w:divId w:val="1932087074"/>
        <w:rPr>
          <w:rFonts w:eastAsia="Times New Roman"/>
        </w:rPr>
      </w:pPr>
      <w:r>
        <w:rPr>
          <w:rFonts w:eastAsia="Times New Roman"/>
          <w:color w:val="000000"/>
          <w:sz w:val="20"/>
          <w:szCs w:val="20"/>
        </w:rPr>
        <w:t>•A downgrade in our credit ratings could materially adversely affect our business.</w:t>
      </w:r>
    </w:p>
    <w:p w:rsidR="00000000" w:rsidRDefault="00B11388">
      <w:pPr>
        <w:ind w:hanging="360"/>
        <w:divId w:val="1759667930"/>
        <w:rPr>
          <w:rFonts w:eastAsia="Times New Roman"/>
        </w:rPr>
      </w:pPr>
      <w:r>
        <w:rPr>
          <w:rFonts w:eastAsia="Times New Roman"/>
          <w:color w:val="000000"/>
          <w:sz w:val="20"/>
          <w:szCs w:val="20"/>
        </w:rPr>
        <w:t>•The level of returns on defined benefi</w:t>
      </w:r>
      <w:r>
        <w:rPr>
          <w:rFonts w:eastAsia="Times New Roman"/>
          <w:color w:val="000000"/>
          <w:sz w:val="20"/>
          <w:szCs w:val="20"/>
        </w:rPr>
        <w:t>t plan assets, changes in interest rates and other factors could materially adversely affect our financial condition, results of operations, cash flows and equity in future periods.</w:t>
      </w:r>
    </w:p>
    <w:p w:rsidR="00000000" w:rsidRDefault="00B11388">
      <w:pPr>
        <w:ind w:hanging="360"/>
        <w:divId w:val="1355301604"/>
        <w:rPr>
          <w:rFonts w:eastAsia="Times New Roman"/>
        </w:rPr>
      </w:pPr>
      <w:r>
        <w:rPr>
          <w:rFonts w:eastAsia="Times New Roman"/>
          <w:color w:val="000000"/>
          <w:sz w:val="20"/>
          <w:szCs w:val="20"/>
        </w:rPr>
        <w:t>•Changes in our effective tax rate may have an adverse effect on our resul</w:t>
      </w:r>
      <w:r>
        <w:rPr>
          <w:rFonts w:eastAsia="Times New Roman"/>
          <w:color w:val="000000"/>
          <w:sz w:val="20"/>
          <w:szCs w:val="20"/>
        </w:rPr>
        <w:t>ts of operations.</w:t>
      </w:r>
    </w:p>
    <w:p w:rsidR="00000000" w:rsidRDefault="00B11388">
      <w:pPr>
        <w:ind w:hanging="360"/>
        <w:divId w:val="1018770379"/>
        <w:rPr>
          <w:rFonts w:eastAsia="Times New Roman"/>
        </w:rPr>
      </w:pPr>
      <w:r>
        <w:rPr>
          <w:rFonts w:eastAsia="Times New Roman"/>
          <w:color w:val="000000"/>
          <w:sz w:val="20"/>
          <w:szCs w:val="20"/>
        </w:rPr>
        <w:t>•We may not be successful in obtaining the necessary export licenses to conduct certain operations abroad, and Congress may prevent proposed sales to certain foreign governments.</w:t>
      </w:r>
    </w:p>
    <w:p w:rsidR="00000000" w:rsidRDefault="00B11388">
      <w:pPr>
        <w:ind w:hanging="360"/>
        <w:divId w:val="127357689"/>
        <w:rPr>
          <w:rFonts w:eastAsia="Times New Roman"/>
        </w:rPr>
      </w:pPr>
      <w:r>
        <w:rPr>
          <w:rFonts w:eastAsia="Times New Roman"/>
          <w:color w:val="000000"/>
          <w:sz w:val="20"/>
          <w:szCs w:val="20"/>
        </w:rPr>
        <w:t xml:space="preserve">•Our reputation and ability to do business may be impacted </w:t>
      </w:r>
      <w:r>
        <w:rPr>
          <w:rFonts w:eastAsia="Times New Roman"/>
          <w:color w:val="000000"/>
          <w:sz w:val="20"/>
          <w:szCs w:val="20"/>
        </w:rPr>
        <w:t>by the improper conduct of our employees, agents or business partners.</w:t>
      </w:r>
    </w:p>
    <w:p w:rsidR="00000000" w:rsidRDefault="00B11388">
      <w:pPr>
        <w:ind w:hanging="360"/>
        <w:divId w:val="850414574"/>
        <w:rPr>
          <w:rFonts w:eastAsia="Times New Roman"/>
        </w:rPr>
      </w:pPr>
      <w:r>
        <w:rPr>
          <w:rFonts w:eastAsia="Times New Roman"/>
          <w:color w:val="000000"/>
          <w:sz w:val="20"/>
          <w:szCs w:val="20"/>
        </w:rPr>
        <w:t>•The outcome of litigation or arbitration in which we are involved from time to time is unpredictable, and an adverse decision in any such matter could have a material adverse effect on</w:t>
      </w:r>
      <w:r>
        <w:rPr>
          <w:rFonts w:eastAsia="Times New Roman"/>
          <w:color w:val="000000"/>
          <w:sz w:val="20"/>
          <w:szCs w:val="20"/>
        </w:rPr>
        <w:t xml:space="preserve"> our financial condition, results of operations, cash flows and equity.</w:t>
      </w:r>
    </w:p>
    <w:p w:rsidR="00000000" w:rsidRDefault="00B11388">
      <w:pPr>
        <w:ind w:hanging="360"/>
        <w:divId w:val="94641154"/>
        <w:rPr>
          <w:rFonts w:eastAsia="Times New Roman"/>
        </w:rPr>
      </w:pPr>
      <w:r>
        <w:rPr>
          <w:rFonts w:eastAsia="Times New Roman"/>
          <w:color w:val="000000"/>
          <w:sz w:val="20"/>
          <w:szCs w:val="20"/>
        </w:rPr>
        <w:t>•Third parties have claimed in the past and may claim in the future that we are infringing directly or indirectly upon their intellectual property rights, and third parties may infring</w:t>
      </w:r>
      <w:r>
        <w:rPr>
          <w:rFonts w:eastAsia="Times New Roman"/>
          <w:color w:val="000000"/>
          <w:sz w:val="20"/>
          <w:szCs w:val="20"/>
        </w:rPr>
        <w:t>e upon our intellectual property rights.</w:t>
      </w:r>
    </w:p>
    <w:p w:rsidR="00000000" w:rsidRDefault="00B11388">
      <w:pPr>
        <w:ind w:hanging="360"/>
        <w:divId w:val="2011642960"/>
        <w:rPr>
          <w:rFonts w:eastAsia="Times New Roman"/>
        </w:rPr>
      </w:pPr>
      <w:r>
        <w:rPr>
          <w:rFonts w:eastAsia="Times New Roman"/>
          <w:color w:val="000000"/>
          <w:sz w:val="20"/>
          <w:szCs w:val="20"/>
        </w:rPr>
        <w:t>•We face certain significant risk exposures and potential liabilities that may not be covered adequately by insurance or indemnity.</w:t>
      </w:r>
    </w:p>
    <w:p w:rsidR="00000000" w:rsidRDefault="00B11388">
      <w:pPr>
        <w:ind w:hanging="360"/>
        <w:divId w:val="1396854482"/>
        <w:rPr>
          <w:rFonts w:eastAsia="Times New Roman"/>
        </w:rPr>
      </w:pPr>
      <w:r>
        <w:rPr>
          <w:rFonts w:eastAsia="Times New Roman"/>
          <w:color w:val="000000"/>
          <w:sz w:val="20"/>
          <w:szCs w:val="20"/>
        </w:rPr>
        <w:t>•Unforeseen environmental issues could have a material adverse effect on our busine</w:t>
      </w:r>
      <w:r>
        <w:rPr>
          <w:rFonts w:eastAsia="Times New Roman"/>
          <w:color w:val="000000"/>
          <w:sz w:val="20"/>
          <w:szCs w:val="20"/>
        </w:rPr>
        <w:t>ss, financial condition, results of operations, cash flows and equity.</w:t>
      </w:r>
    </w:p>
    <w:p w:rsidR="00000000" w:rsidRDefault="00B11388">
      <w:pPr>
        <w:ind w:hanging="360"/>
        <w:divId w:val="2055083928"/>
        <w:rPr>
          <w:rFonts w:eastAsia="Times New Roman"/>
        </w:rPr>
      </w:pPr>
      <w:r>
        <w:rPr>
          <w:rFonts w:eastAsia="Times New Roman"/>
          <w:color w:val="000000"/>
          <w:sz w:val="20"/>
          <w:szCs w:val="20"/>
        </w:rPr>
        <w:t>•Strategic transactions, including mergers, acquisitions and divestitures, involve significant risks and uncertainties that could adversely affect our business, financial condition, res</w:t>
      </w:r>
      <w:r>
        <w:rPr>
          <w:rFonts w:eastAsia="Times New Roman"/>
          <w:color w:val="000000"/>
          <w:sz w:val="20"/>
          <w:szCs w:val="20"/>
        </w:rPr>
        <w:t>ults of operations, cash flows and equity.</w:t>
      </w:r>
    </w:p>
    <w:p w:rsidR="00000000" w:rsidRDefault="00B11388">
      <w:pPr>
        <w:ind w:hanging="360"/>
        <w:divId w:val="541093421"/>
        <w:rPr>
          <w:rFonts w:eastAsia="Times New Roman"/>
        </w:rPr>
      </w:pPr>
      <w:r>
        <w:rPr>
          <w:rFonts w:eastAsia="Times New Roman"/>
          <w:color w:val="000000"/>
          <w:sz w:val="20"/>
          <w:szCs w:val="20"/>
        </w:rPr>
        <w:t>•Changes in future business or other market conditions could cause business investments and/or recorded goodwill or other long-term assets to become impaired, resulting in substantial losses and write-downs that w</w:t>
      </w:r>
      <w:r>
        <w:rPr>
          <w:rFonts w:eastAsia="Times New Roman"/>
          <w:color w:val="000000"/>
          <w:sz w:val="20"/>
          <w:szCs w:val="20"/>
        </w:rPr>
        <w:t>ould materially adversely affect our results of operations and financial condition.</w:t>
      </w:r>
    </w:p>
    <w:p w:rsidR="00000000" w:rsidRDefault="00B11388">
      <w:pPr>
        <w:ind w:hanging="360"/>
        <w:divId w:val="1510875601"/>
        <w:rPr>
          <w:rFonts w:eastAsia="Times New Roman"/>
        </w:rPr>
      </w:pPr>
      <w:r>
        <w:rPr>
          <w:rFonts w:eastAsia="Times New Roman"/>
          <w:color w:val="000000"/>
          <w:sz w:val="20"/>
          <w:szCs w:val="20"/>
        </w:rPr>
        <w:t>•We may fail to realize all of the anticipated benefits of the L3Harris Merger or those benefits may take longer to realize than expected. We may also encounter significant</w:t>
      </w:r>
      <w:r>
        <w:rPr>
          <w:rFonts w:eastAsia="Times New Roman"/>
          <w:color w:val="000000"/>
          <w:sz w:val="20"/>
          <w:szCs w:val="20"/>
        </w:rPr>
        <w:t xml:space="preserve"> difficulties in integrating the businesses.</w:t>
      </w:r>
    </w:p>
    <w:p w:rsidR="00000000" w:rsidRDefault="00B11388">
      <w:pPr>
        <w:ind w:firstLine="450"/>
        <w:divId w:val="1561016225"/>
        <w:rPr>
          <w:rFonts w:eastAsia="Times New Roman"/>
        </w:rPr>
      </w:pPr>
      <w:r>
        <w:rPr>
          <w:rFonts w:eastAsia="Times New Roman"/>
          <w:color w:val="000000"/>
          <w:sz w:val="20"/>
          <w:szCs w:val="20"/>
        </w:rPr>
        <w:t>Additional details and discussions concerning some of the factors that could affect our forward-looking statements or future results are set forth in our Fiscal 2020 Form 10-K under Item 1A. “Risk Factors” and i</w:t>
      </w:r>
      <w:r>
        <w:rPr>
          <w:rFonts w:eastAsia="Times New Roman"/>
          <w:color w:val="000000"/>
          <w:sz w:val="20"/>
          <w:szCs w:val="20"/>
        </w:rPr>
        <w:t>n Part II, Item 1A. “Risk Factors” in this Report. The foregoing list of factors and the factors set forth in Item 1A. “Risk Factors” included in our Fiscal 2020 Form 10-K and in Part II, Item 1A. “Risk Factors” in this Report are not exhaustive. Additiona</w:t>
      </w:r>
      <w:r>
        <w:rPr>
          <w:rFonts w:eastAsia="Times New Roman"/>
          <w:color w:val="000000"/>
          <w:sz w:val="20"/>
          <w:szCs w:val="20"/>
        </w:rPr>
        <w:t>l risks and uncertainties not known to us or that we currently believe not to be material also may adversely impact our business, financial condition, results of operations, cash flows and equity. Should any risks or uncertainties develop into actual event</w:t>
      </w:r>
      <w:r>
        <w:rPr>
          <w:rFonts w:eastAsia="Times New Roman"/>
          <w:color w:val="000000"/>
          <w:sz w:val="20"/>
          <w:szCs w:val="20"/>
        </w:rPr>
        <w:t xml:space="preserve">s, these developments could have a material adverse effect on our business, financial condition, results of operations, cash flows and equity. The forward-looking statements contained in this Report are made as of the date of filing of this Report, and we </w:t>
      </w:r>
      <w:r>
        <w:rPr>
          <w:rFonts w:eastAsia="Times New Roman"/>
          <w:color w:val="000000"/>
          <w:sz w:val="20"/>
          <w:szCs w:val="20"/>
        </w:rPr>
        <w:t xml:space="preserve">disclaim any intention or obligation, other than imposed by law, to update or revise any forward-looking statements or to update the reasons actual results could differ materially from those projected in the forward-looking statements, whether as a result </w:t>
      </w:r>
      <w:r>
        <w:rPr>
          <w:rFonts w:eastAsia="Times New Roman"/>
          <w:color w:val="000000"/>
          <w:sz w:val="20"/>
          <w:szCs w:val="20"/>
        </w:rPr>
        <w:t xml:space="preserve">of new information, future events or developments or otherwise. </w:t>
      </w:r>
    </w:p>
    <w:p w:rsidR="00000000" w:rsidRDefault="00B11388">
      <w:pPr>
        <w:divId w:val="726804829"/>
        <w:rPr>
          <w:rFonts w:eastAsia="Times New Roman"/>
        </w:rPr>
      </w:pPr>
      <w:r>
        <w:rPr>
          <w:rFonts w:eastAsia="Times New Roman"/>
          <w:b/>
          <w:bCs/>
          <w:color w:val="000000"/>
          <w:sz w:val="20"/>
          <w:szCs w:val="20"/>
        </w:rPr>
        <w:t>Item 3. Quantitative and Qualitative Disclosures about Market Risk.</w:t>
      </w:r>
    </w:p>
    <w:p w:rsidR="00000000" w:rsidRDefault="00B11388">
      <w:pPr>
        <w:ind w:firstLine="450"/>
        <w:divId w:val="1945846515"/>
        <w:rPr>
          <w:rFonts w:eastAsia="Times New Roman"/>
        </w:rPr>
      </w:pPr>
      <w:r>
        <w:rPr>
          <w:rFonts w:eastAsia="Times New Roman"/>
          <w:color w:val="000000"/>
          <w:sz w:val="20"/>
          <w:szCs w:val="20"/>
        </w:rPr>
        <w:t>In the normal course of business, we are exposed to risks associated with foreign currency exchange rates and changes in in</w:t>
      </w:r>
      <w:r>
        <w:rPr>
          <w:rFonts w:eastAsia="Times New Roman"/>
          <w:color w:val="000000"/>
          <w:sz w:val="20"/>
          <w:szCs w:val="20"/>
        </w:rPr>
        <w:t xml:space="preserve">terest rates. We employ established policies and procedures governing the use of financial instruments to manage our exposure to such risks. There were no material changes during the two quarters ended July 2, 2021 with respect to the </w:t>
      </w:r>
    </w:p>
    <w:p w:rsidR="00000000" w:rsidRDefault="00B11388">
      <w:pPr>
        <w:ind w:firstLine="450"/>
        <w:jc w:val="center"/>
        <w:divId w:val="91896919"/>
        <w:rPr>
          <w:rFonts w:eastAsia="Times New Roman"/>
        </w:rPr>
      </w:pPr>
      <w:r>
        <w:rPr>
          <w:rFonts w:eastAsia="Times New Roman"/>
          <w:color w:val="000000"/>
          <w:sz w:val="20"/>
          <w:szCs w:val="20"/>
        </w:rPr>
        <w:t>41</w:t>
      </w:r>
    </w:p>
    <w:p w:rsidR="00000000" w:rsidRDefault="00B11388">
      <w:pPr>
        <w:rPr>
          <w:rFonts w:eastAsia="Times New Roman"/>
        </w:rPr>
      </w:pPr>
      <w:r>
        <w:rPr>
          <w:rFonts w:eastAsia="Times New Roman"/>
        </w:rPr>
        <w:pict>
          <v:rect id="_x0000_i1068" style="width:0;height:1.5pt" o:hralign="center" o:hrstd="t" o:hr="t" fillcolor="#a0a0a0" stroked="f"/>
        </w:pict>
      </w:r>
    </w:p>
    <w:p w:rsidR="00000000" w:rsidRDefault="00B11388">
      <w:pPr>
        <w:ind w:firstLine="450"/>
        <w:divId w:val="1247038364"/>
        <w:rPr>
          <w:rFonts w:eastAsia="Times New Roman"/>
        </w:rPr>
      </w:pPr>
    </w:p>
    <w:p w:rsidR="00000000" w:rsidRDefault="00B11388">
      <w:pPr>
        <w:ind w:firstLine="450"/>
        <w:divId w:val="1131021364"/>
        <w:rPr>
          <w:rFonts w:eastAsia="Times New Roman"/>
        </w:rPr>
      </w:pPr>
    </w:p>
    <w:p w:rsidR="00000000" w:rsidRDefault="00B11388">
      <w:pPr>
        <w:divId w:val="686062874"/>
        <w:rPr>
          <w:rFonts w:eastAsia="Times New Roman"/>
        </w:rPr>
      </w:pPr>
      <w:r>
        <w:rPr>
          <w:rFonts w:eastAsia="Times New Roman"/>
          <w:color w:val="000000"/>
          <w:sz w:val="20"/>
          <w:szCs w:val="20"/>
        </w:rPr>
        <w:t>information appearing in Part II, Item 7A, “Quantitative and Qualitative Disclosures About Market Risk,” of our Fiscal 2020 Form 10-K.</w:t>
      </w:r>
    </w:p>
    <w:p w:rsidR="00000000" w:rsidRDefault="00B11388">
      <w:pPr>
        <w:ind w:firstLine="450"/>
        <w:divId w:val="2033798774"/>
        <w:rPr>
          <w:rFonts w:eastAsia="Times New Roman"/>
        </w:rPr>
      </w:pPr>
      <w:r>
        <w:rPr>
          <w:rFonts w:eastAsia="Times New Roman"/>
          <w:b/>
          <w:bCs/>
          <w:i/>
          <w:iCs/>
          <w:color w:val="000000"/>
          <w:sz w:val="20"/>
          <w:szCs w:val="20"/>
        </w:rPr>
        <w:t>Foreign Exchange and Currency:</w:t>
      </w:r>
      <w:r>
        <w:rPr>
          <w:rFonts w:eastAsia="Times New Roman"/>
          <w:color w:val="000000"/>
          <w:sz w:val="20"/>
          <w:szCs w:val="20"/>
        </w:rPr>
        <w:t xml:space="preserve"> </w:t>
      </w:r>
      <w:r>
        <w:rPr>
          <w:rFonts w:eastAsia="Times New Roman"/>
          <w:color w:val="000000"/>
          <w:sz w:val="20"/>
          <w:szCs w:val="20"/>
        </w:rPr>
        <w:t>Our U.S. and foreign businesses enter into contracts with customers, subcontractors or vendors that are denominated in currencies other than functional currencies of such businesses. We use foreign currency forward contracts and options to hedge both balan</w:t>
      </w:r>
      <w:r>
        <w:rPr>
          <w:rFonts w:eastAsia="Times New Roman"/>
          <w:color w:val="000000"/>
          <w:sz w:val="20"/>
          <w:szCs w:val="20"/>
        </w:rPr>
        <w:t>ce sheet and off-balance sheet future foreign currency commitments. Factors that could impact the effectiveness of our hedging programs for foreign currency include the accuracy of sales estimates, volatility of currency markets and the cost and availabili</w:t>
      </w:r>
      <w:r>
        <w:rPr>
          <w:rFonts w:eastAsia="Times New Roman"/>
          <w:color w:val="000000"/>
          <w:sz w:val="20"/>
          <w:szCs w:val="20"/>
        </w:rPr>
        <w:t xml:space="preserve">ty of hedging instruments. A 10 percent change in currency exchange rates for our foreign currency derivatives held at July 2, 2021 would not have had a material impact on the fair value of such instruments or our results of operations or cash flows. This </w:t>
      </w:r>
      <w:r>
        <w:rPr>
          <w:rFonts w:eastAsia="Times New Roman"/>
          <w:color w:val="000000"/>
          <w:sz w:val="20"/>
          <w:szCs w:val="20"/>
        </w:rPr>
        <w:t>quantification of exposure to the market risk associated with foreign currency financial instruments does not take into account the offsetting impact of changes in the fair value of our foreign currency denominated assets, liabilities and firm commitments.</w:t>
      </w:r>
      <w:r>
        <w:rPr>
          <w:rFonts w:eastAsia="Times New Roman"/>
          <w:color w:val="000000"/>
          <w:sz w:val="20"/>
          <w:szCs w:val="20"/>
        </w:rPr>
        <w:t xml:space="preserve"> See </w:t>
      </w:r>
      <w:r>
        <w:rPr>
          <w:rFonts w:eastAsia="Times New Roman"/>
          <w:i/>
          <w:iCs/>
          <w:color w:val="000000"/>
          <w:sz w:val="20"/>
          <w:szCs w:val="20"/>
        </w:rPr>
        <w:t>Note P — Derivative Instruments and Hedging Activities</w:t>
      </w:r>
      <w:r>
        <w:rPr>
          <w:rFonts w:eastAsia="Times New Roman"/>
          <w:color w:val="000000"/>
          <w:sz w:val="20"/>
          <w:szCs w:val="20"/>
        </w:rPr>
        <w:t xml:space="preserve"> in the Notes for additional information.</w:t>
      </w:r>
    </w:p>
    <w:p w:rsidR="00000000" w:rsidRDefault="00B11388">
      <w:pPr>
        <w:ind w:firstLine="450"/>
        <w:divId w:val="570967168"/>
        <w:rPr>
          <w:rFonts w:eastAsia="Times New Roman"/>
        </w:rPr>
      </w:pPr>
      <w:r>
        <w:rPr>
          <w:rFonts w:eastAsia="Times New Roman"/>
          <w:b/>
          <w:bCs/>
          <w:i/>
          <w:iCs/>
          <w:color w:val="000000"/>
          <w:sz w:val="20"/>
          <w:szCs w:val="20"/>
        </w:rPr>
        <w:t>Interest Rates:</w:t>
      </w:r>
      <w:r>
        <w:rPr>
          <w:rFonts w:eastAsia="Times New Roman"/>
          <w:color w:val="000000"/>
          <w:sz w:val="20"/>
          <w:szCs w:val="20"/>
        </w:rPr>
        <w:t xml:space="preserve"> As of July </w:t>
      </w:r>
      <w:r>
        <w:rPr>
          <w:rFonts w:eastAsia="Times New Roman"/>
          <w:color w:val="000000"/>
          <w:sz w:val="20"/>
          <w:szCs w:val="20"/>
        </w:rPr>
        <w:t>2, 2021, we had long-term fixed-rate debt obligations. The fair value of these obligations is impacted by changes in interest rates; however, a 10 percent change in interest rates for our long-term fixed-rate debt obligations at July 2, 2021 would not have</w:t>
      </w:r>
      <w:r>
        <w:rPr>
          <w:rFonts w:eastAsia="Times New Roman"/>
          <w:color w:val="000000"/>
          <w:sz w:val="20"/>
          <w:szCs w:val="20"/>
        </w:rPr>
        <w:t xml:space="preserve"> had a material impact on the fair value of these obligations. There is no interest-rate risk associated with long-term fixed-rate debt obligations on our results of operations or cash flows unless existing obligations are refinanced upon maturity at then-</w:t>
      </w:r>
      <w:r>
        <w:rPr>
          <w:rFonts w:eastAsia="Times New Roman"/>
          <w:color w:val="000000"/>
          <w:sz w:val="20"/>
          <w:szCs w:val="20"/>
        </w:rPr>
        <w:t>current interest rates, because the interest rates are fixed until maturity, and because our long-term fixed-rate debt is not putable to us (i.e., not required to be redeemed by us prior to maturity). We can give no assurances, however, that interest rates</w:t>
      </w:r>
      <w:r>
        <w:rPr>
          <w:rFonts w:eastAsia="Times New Roman"/>
          <w:color w:val="000000"/>
          <w:sz w:val="20"/>
          <w:szCs w:val="20"/>
        </w:rPr>
        <w:t xml:space="preserve"> will not change significantly or have a material effect on the fair value of our long-term debt obligations over the next twelve months.</w:t>
      </w:r>
    </w:p>
    <w:p w:rsidR="00000000" w:rsidRDefault="00B11388">
      <w:pPr>
        <w:ind w:firstLine="450"/>
        <w:divId w:val="1826581967"/>
        <w:rPr>
          <w:rFonts w:eastAsia="Times New Roman"/>
        </w:rPr>
      </w:pPr>
      <w:r>
        <w:rPr>
          <w:rFonts w:eastAsia="Times New Roman"/>
          <w:color w:val="000000"/>
          <w:sz w:val="20"/>
          <w:szCs w:val="20"/>
        </w:rPr>
        <w:t>As of July 2, 2021, we also had long-term variable-rate debt obligations of $250 million of Floating Rate Notes due Ma</w:t>
      </w:r>
      <w:r>
        <w:rPr>
          <w:rFonts w:eastAsia="Times New Roman"/>
          <w:color w:val="000000"/>
          <w:sz w:val="20"/>
          <w:szCs w:val="20"/>
        </w:rPr>
        <w:t xml:space="preserve">rch 10, 2023. These debt obligations bear interest that is variable based on certain short-term indices, thus exposing us to interest-rate risk; however, a 10 percent change in interest rates for these debt obligations at July 2, 2021 would not have had a </w:t>
      </w:r>
      <w:r>
        <w:rPr>
          <w:rFonts w:eastAsia="Times New Roman"/>
          <w:color w:val="000000"/>
          <w:sz w:val="20"/>
          <w:szCs w:val="20"/>
        </w:rPr>
        <w:t xml:space="preserve">material impact on our results of operations or cash flows. See </w:t>
      </w:r>
      <w:r>
        <w:rPr>
          <w:rFonts w:eastAsia="Times New Roman"/>
          <w:i/>
          <w:iCs/>
          <w:color w:val="000000"/>
          <w:sz w:val="20"/>
          <w:szCs w:val="20"/>
        </w:rPr>
        <w:t>Note 14: “Debt”</w:t>
      </w:r>
      <w:r>
        <w:rPr>
          <w:rFonts w:eastAsia="Times New Roman"/>
          <w:color w:val="000000"/>
          <w:sz w:val="20"/>
          <w:szCs w:val="20"/>
        </w:rPr>
        <w:t xml:space="preserve"> in the Notes to Consolidated Financial Statements in our Fiscal 2020 Form 10-K for further information.</w:t>
      </w:r>
    </w:p>
    <w:p w:rsidR="00000000" w:rsidRDefault="00B11388">
      <w:pPr>
        <w:divId w:val="1214462713"/>
        <w:rPr>
          <w:rFonts w:eastAsia="Times New Roman"/>
        </w:rPr>
      </w:pPr>
      <w:r>
        <w:rPr>
          <w:rFonts w:eastAsia="Times New Roman"/>
          <w:b/>
          <w:bCs/>
          <w:color w:val="000000"/>
          <w:sz w:val="20"/>
          <w:szCs w:val="20"/>
        </w:rPr>
        <w:t>Item 4. Controls and Procedures.</w:t>
      </w:r>
    </w:p>
    <w:p w:rsidR="00000000" w:rsidRDefault="00B11388">
      <w:pPr>
        <w:ind w:firstLine="450"/>
        <w:divId w:val="185682363"/>
        <w:rPr>
          <w:rFonts w:eastAsia="Times New Roman"/>
        </w:rPr>
      </w:pPr>
      <w:r>
        <w:rPr>
          <w:rFonts w:eastAsia="Times New Roman"/>
          <w:color w:val="000000"/>
          <w:sz w:val="20"/>
          <w:szCs w:val="20"/>
        </w:rPr>
        <w:t xml:space="preserve">(a) </w:t>
      </w:r>
      <w:r>
        <w:rPr>
          <w:rFonts w:eastAsia="Times New Roman"/>
          <w:i/>
          <w:iCs/>
          <w:color w:val="000000"/>
          <w:sz w:val="20"/>
          <w:szCs w:val="20"/>
        </w:rPr>
        <w:t>Evaluation of Disclosure Controls a</w:t>
      </w:r>
      <w:r>
        <w:rPr>
          <w:rFonts w:eastAsia="Times New Roman"/>
          <w:i/>
          <w:iCs/>
          <w:color w:val="000000"/>
          <w:sz w:val="20"/>
          <w:szCs w:val="20"/>
        </w:rPr>
        <w:t>nd Procedures:</w:t>
      </w:r>
      <w:r>
        <w:rPr>
          <w:rFonts w:eastAsia="Times New Roman"/>
          <w:color w:val="000000"/>
          <w:sz w:val="20"/>
          <w:szCs w:val="20"/>
        </w:rPr>
        <w:t xml:space="preserve"> We maintain disclosure controls and procedures that are designed to ensure that information required to be disclosed in our reports filed or submitted under the Exchange Act is recorded, processed, summarized and reported within the time per</w:t>
      </w:r>
      <w:r>
        <w:rPr>
          <w:rFonts w:eastAsia="Times New Roman"/>
          <w:color w:val="000000"/>
          <w:sz w:val="20"/>
          <w:szCs w:val="20"/>
        </w:rPr>
        <w:t>iods specified in SEC rules and forms. Our disclosure controls and procedures include, without limitation, controls and procedures designed to ensure that information required to be disclosed in our reports filed or submitted under the Exchange Act is accu</w:t>
      </w:r>
      <w:r>
        <w:rPr>
          <w:rFonts w:eastAsia="Times New Roman"/>
          <w:color w:val="000000"/>
          <w:sz w:val="20"/>
          <w:szCs w:val="20"/>
        </w:rPr>
        <w:t>mulated and communicated to management, including our Chief Executive Officer and Chief Financial Officer, as appropriate, to allow timely decisions regarding required disclosures. There are inherent limitations to the effectiveness of any system of disclo</w:t>
      </w:r>
      <w:r>
        <w:rPr>
          <w:rFonts w:eastAsia="Times New Roman"/>
          <w:color w:val="000000"/>
          <w:sz w:val="20"/>
          <w:szCs w:val="20"/>
        </w:rPr>
        <w:t>sure controls and procedures, including the possibility of human error and the circumvention or overriding of the controls and procedures. Accordingly, even effective disclosure controls and procedures can provide only reasonable assurance of achieving the</w:t>
      </w:r>
      <w:r>
        <w:rPr>
          <w:rFonts w:eastAsia="Times New Roman"/>
          <w:color w:val="000000"/>
          <w:sz w:val="20"/>
          <w:szCs w:val="20"/>
        </w:rPr>
        <w:t>ir control objectives, and management necessarily is required to use its judgment in evaluating the cost-benefit relationship of possible controls and procedures. As required by Rule 13a-15 under the Exchange Act, as of July 2, 2021, we carried out an eval</w:t>
      </w:r>
      <w:r>
        <w:rPr>
          <w:rFonts w:eastAsia="Times New Roman"/>
          <w:color w:val="000000"/>
          <w:sz w:val="20"/>
          <w:szCs w:val="20"/>
        </w:rPr>
        <w:t>uation of the effectiveness of the design and operation of our disclosure controls and procedures. This evaluation was carried out under the supervision and with the participation of our management, including our Chief Executive Officer and our Chief Finan</w:t>
      </w:r>
      <w:r>
        <w:rPr>
          <w:rFonts w:eastAsia="Times New Roman"/>
          <w:color w:val="000000"/>
          <w:sz w:val="20"/>
          <w:szCs w:val="20"/>
        </w:rPr>
        <w:t>cial Officer. Based on this work and other evaluation procedures, our management, including our Chief Executive Officer and our Chief Financial Officer, has concluded that as of July 2, 2021, our disclosure controls and procedures were effective.</w:t>
      </w:r>
    </w:p>
    <w:p w:rsidR="00000000" w:rsidRDefault="00B11388">
      <w:pPr>
        <w:ind w:firstLine="450"/>
        <w:divId w:val="451166982"/>
        <w:rPr>
          <w:rFonts w:eastAsia="Times New Roman"/>
        </w:rPr>
      </w:pPr>
      <w:r>
        <w:rPr>
          <w:rFonts w:eastAsia="Times New Roman"/>
          <w:color w:val="000000"/>
          <w:sz w:val="20"/>
          <w:szCs w:val="20"/>
        </w:rPr>
        <w:t xml:space="preserve">(b) </w:t>
      </w:r>
      <w:r>
        <w:rPr>
          <w:rFonts w:eastAsia="Times New Roman"/>
          <w:i/>
          <w:iCs/>
          <w:color w:val="000000"/>
          <w:sz w:val="20"/>
          <w:szCs w:val="20"/>
        </w:rPr>
        <w:t>Chang</w:t>
      </w:r>
      <w:r>
        <w:rPr>
          <w:rFonts w:eastAsia="Times New Roman"/>
          <w:i/>
          <w:iCs/>
          <w:color w:val="000000"/>
          <w:sz w:val="20"/>
          <w:szCs w:val="20"/>
        </w:rPr>
        <w:t xml:space="preserve">es in Internal Control: </w:t>
      </w:r>
      <w:r>
        <w:rPr>
          <w:rFonts w:eastAsia="Times New Roman"/>
          <w:color w:val="000000"/>
          <w:sz w:val="20"/>
          <w:szCs w:val="20"/>
        </w:rPr>
        <w:t xml:space="preserve">We periodically review our internal control over financial reporting as part of our efforts to ensure compliance with the requirements of Section 404 of the Sarbanes-Oxley Act of 2002. In addition, we routinely review our system of </w:t>
      </w:r>
      <w:r>
        <w:rPr>
          <w:rFonts w:eastAsia="Times New Roman"/>
          <w:color w:val="000000"/>
          <w:sz w:val="20"/>
          <w:szCs w:val="20"/>
        </w:rPr>
        <w:t>internal control over financial reporting to identify potential changes to our processes and systems that may improve controls and increase efficiency, while ensuring that we maintain an effective internal control environment. Changes may include such acti</w:t>
      </w:r>
      <w:r>
        <w:rPr>
          <w:rFonts w:eastAsia="Times New Roman"/>
          <w:color w:val="000000"/>
          <w:sz w:val="20"/>
          <w:szCs w:val="20"/>
        </w:rPr>
        <w:t>vities as implementing new, more efficient systems, consolidating the activities of business units, migrating certain processes to our shared services organizations, formalizing policies and procedures, improving segregation of duties and increasing monito</w:t>
      </w:r>
      <w:r>
        <w:rPr>
          <w:rFonts w:eastAsia="Times New Roman"/>
          <w:color w:val="000000"/>
          <w:sz w:val="20"/>
          <w:szCs w:val="20"/>
        </w:rPr>
        <w:t>ring controls. In addition, when we acquire new businesses, we incorporate our controls and procedures into the acquired business as part of our integration activities. There have been no changes in our internal control over financial reporting that occurr</w:t>
      </w:r>
      <w:r>
        <w:rPr>
          <w:rFonts w:eastAsia="Times New Roman"/>
          <w:color w:val="000000"/>
          <w:sz w:val="20"/>
          <w:szCs w:val="20"/>
        </w:rPr>
        <w:t xml:space="preserve">ed during the quarter ended July 2, 2021 that have materially affected, or are reasonably likely to materially affect, our internal control over financial reporting. </w:t>
      </w:r>
    </w:p>
    <w:p w:rsidR="00000000" w:rsidRDefault="00B11388">
      <w:pPr>
        <w:ind w:firstLine="450"/>
        <w:jc w:val="center"/>
        <w:divId w:val="1681737058"/>
        <w:rPr>
          <w:rFonts w:eastAsia="Times New Roman"/>
        </w:rPr>
      </w:pPr>
      <w:r>
        <w:rPr>
          <w:rFonts w:eastAsia="Times New Roman"/>
          <w:color w:val="000000"/>
          <w:sz w:val="20"/>
          <w:szCs w:val="20"/>
        </w:rPr>
        <w:t>42</w:t>
      </w:r>
    </w:p>
    <w:p w:rsidR="00000000" w:rsidRDefault="00B11388">
      <w:pPr>
        <w:rPr>
          <w:rFonts w:eastAsia="Times New Roman"/>
        </w:rPr>
      </w:pPr>
      <w:r>
        <w:rPr>
          <w:rFonts w:eastAsia="Times New Roman"/>
        </w:rPr>
        <w:pict>
          <v:rect id="_x0000_i1069" style="width:0;height:1.5pt" o:hralign="center" o:hrstd="t" o:hr="t" fillcolor="#a0a0a0" stroked="f"/>
        </w:pict>
      </w:r>
    </w:p>
    <w:p w:rsidR="00000000" w:rsidRDefault="00B11388">
      <w:pPr>
        <w:ind w:firstLine="450"/>
        <w:divId w:val="1809081582"/>
        <w:rPr>
          <w:rFonts w:eastAsia="Times New Roman"/>
        </w:rPr>
      </w:pPr>
    </w:p>
    <w:p w:rsidR="00000000" w:rsidRDefault="00B11388">
      <w:pPr>
        <w:ind w:firstLine="450"/>
        <w:divId w:val="387925850"/>
        <w:rPr>
          <w:rFonts w:eastAsia="Times New Roman"/>
        </w:rPr>
      </w:pPr>
    </w:p>
    <w:p w:rsidR="00000000" w:rsidRDefault="00B11388">
      <w:pPr>
        <w:ind w:firstLine="450"/>
        <w:jc w:val="center"/>
        <w:divId w:val="256405874"/>
        <w:rPr>
          <w:rFonts w:eastAsia="Times New Roman"/>
        </w:rPr>
      </w:pPr>
      <w:r>
        <w:rPr>
          <w:rFonts w:eastAsia="Times New Roman"/>
          <w:b/>
          <w:bCs/>
          <w:color w:val="000000"/>
          <w:sz w:val="20"/>
          <w:szCs w:val="20"/>
        </w:rPr>
        <w:t>PART II. OTHER INFORMATION</w:t>
      </w:r>
    </w:p>
    <w:p w:rsidR="00000000" w:rsidRDefault="00B11388">
      <w:pPr>
        <w:divId w:val="1400904292"/>
        <w:rPr>
          <w:rFonts w:eastAsia="Times New Roman"/>
        </w:rPr>
      </w:pPr>
      <w:r>
        <w:rPr>
          <w:rFonts w:eastAsia="Times New Roman"/>
          <w:b/>
          <w:bCs/>
          <w:color w:val="000000"/>
          <w:sz w:val="20"/>
          <w:szCs w:val="20"/>
        </w:rPr>
        <w:t>Item 1. Legal Proce</w:t>
      </w:r>
      <w:r>
        <w:rPr>
          <w:rFonts w:eastAsia="Times New Roman"/>
          <w:b/>
          <w:bCs/>
          <w:color w:val="000000"/>
          <w:sz w:val="20"/>
          <w:szCs w:val="20"/>
        </w:rPr>
        <w:t>edings.</w:t>
      </w:r>
    </w:p>
    <w:p w:rsidR="00000000" w:rsidRDefault="00B11388">
      <w:pPr>
        <w:ind w:firstLine="450"/>
        <w:divId w:val="2073850253"/>
        <w:rPr>
          <w:rFonts w:eastAsia="Times New Roman"/>
        </w:rPr>
      </w:pPr>
      <w:r>
        <w:rPr>
          <w:rFonts w:eastAsia="Times New Roman"/>
          <w:color w:val="000000"/>
          <w:sz w:val="20"/>
          <w:szCs w:val="20"/>
        </w:rPr>
        <w:t xml:space="preserve">See </w:t>
      </w:r>
      <w:r>
        <w:rPr>
          <w:rFonts w:eastAsia="Times New Roman"/>
          <w:i/>
          <w:iCs/>
          <w:color w:val="000000"/>
          <w:sz w:val="20"/>
          <w:szCs w:val="20"/>
        </w:rPr>
        <w:t>Note T — Legal Proceedings and Contingencies</w:t>
      </w:r>
      <w:r>
        <w:rPr>
          <w:rFonts w:eastAsia="Times New Roman"/>
          <w:color w:val="000000"/>
          <w:sz w:val="20"/>
          <w:szCs w:val="20"/>
        </w:rPr>
        <w:t xml:space="preserve"> in the Notes for discussion regarding material legal proceedings and contingencies. Except as set forth in such discussion, there have been no material developments in legal proceedings as reported i</w:t>
      </w:r>
      <w:r>
        <w:rPr>
          <w:rFonts w:eastAsia="Times New Roman"/>
          <w:color w:val="000000"/>
          <w:sz w:val="20"/>
          <w:szCs w:val="20"/>
        </w:rPr>
        <w:t>n Item 3. “Legal Proceedings” of our Fiscal 2020 Form 10-K.</w:t>
      </w:r>
    </w:p>
    <w:p w:rsidR="00000000" w:rsidRDefault="00B11388">
      <w:pPr>
        <w:divId w:val="1187258619"/>
        <w:rPr>
          <w:rFonts w:eastAsia="Times New Roman"/>
        </w:rPr>
      </w:pPr>
      <w:r>
        <w:rPr>
          <w:rFonts w:eastAsia="Times New Roman"/>
          <w:b/>
          <w:bCs/>
          <w:color w:val="000000"/>
          <w:sz w:val="20"/>
          <w:szCs w:val="20"/>
        </w:rPr>
        <w:t>Item 1A. Risk Factors.</w:t>
      </w:r>
    </w:p>
    <w:p w:rsidR="00000000" w:rsidRDefault="00B11388">
      <w:pPr>
        <w:ind w:firstLine="450"/>
        <w:divId w:val="1576815627"/>
        <w:rPr>
          <w:rFonts w:eastAsia="Times New Roman"/>
        </w:rPr>
      </w:pPr>
      <w:r>
        <w:rPr>
          <w:rFonts w:eastAsia="Times New Roman"/>
          <w:color w:val="000000"/>
          <w:sz w:val="20"/>
          <w:szCs w:val="20"/>
        </w:rPr>
        <w:t>Investors should carefully review and consider the information regarding certain factors that could materially affect our business, results of operations, financial conditio</w:t>
      </w:r>
      <w:r>
        <w:rPr>
          <w:rFonts w:eastAsia="Times New Roman"/>
          <w:color w:val="000000"/>
          <w:sz w:val="20"/>
          <w:szCs w:val="20"/>
        </w:rPr>
        <w:t>n, cash flows and equity as set forth in Item 1A. “Risk Factors” of our Fiscal 2020 Form 10-K. There have been no material changes to the risk factors disclosed in our Fiscal 2020 Form 10-K. We may disclose changes to our risk factors or disclose additiona</w:t>
      </w:r>
      <w:r>
        <w:rPr>
          <w:rFonts w:eastAsia="Times New Roman"/>
          <w:color w:val="000000"/>
          <w:sz w:val="20"/>
          <w:szCs w:val="20"/>
        </w:rPr>
        <w:t>l risk factors from time to time in our future filings with the SEC. Additional risks and uncertainties not presently known to us or that we currently believe not to be material also may adversely impact our business, financial condition, results of operat</w:t>
      </w:r>
      <w:r>
        <w:rPr>
          <w:rFonts w:eastAsia="Times New Roman"/>
          <w:color w:val="000000"/>
          <w:sz w:val="20"/>
          <w:szCs w:val="20"/>
        </w:rPr>
        <w:t>ions, cash flows and equity.</w:t>
      </w:r>
    </w:p>
    <w:p w:rsidR="00000000" w:rsidRDefault="00B11388">
      <w:pPr>
        <w:divId w:val="1839691597"/>
        <w:rPr>
          <w:rFonts w:eastAsia="Times New Roman"/>
        </w:rPr>
      </w:pPr>
      <w:r>
        <w:rPr>
          <w:rFonts w:eastAsia="Times New Roman"/>
          <w:b/>
          <w:bCs/>
          <w:color w:val="000000"/>
          <w:sz w:val="20"/>
          <w:szCs w:val="20"/>
        </w:rPr>
        <w:t>Item 2. Unregistered Sales of Equity Securities and Use of Proceeds.</w:t>
      </w:r>
    </w:p>
    <w:p w:rsidR="00000000" w:rsidRDefault="00B11388">
      <w:pPr>
        <w:divId w:val="1968850554"/>
        <w:rPr>
          <w:rFonts w:eastAsia="Times New Roman"/>
        </w:rPr>
      </w:pPr>
      <w:r>
        <w:rPr>
          <w:rFonts w:eastAsia="Times New Roman"/>
          <w:b/>
          <w:bCs/>
          <w:color w:val="000000"/>
          <w:sz w:val="20"/>
          <w:szCs w:val="20"/>
        </w:rPr>
        <w:t>Issuer Purchases of Equity Securities</w:t>
      </w:r>
    </w:p>
    <w:p w:rsidR="00000000" w:rsidRDefault="00B11388">
      <w:pPr>
        <w:ind w:firstLine="450"/>
        <w:divId w:val="1443186178"/>
        <w:rPr>
          <w:rFonts w:eastAsia="Times New Roman"/>
        </w:rPr>
      </w:pPr>
      <w:r>
        <w:rPr>
          <w:rFonts w:eastAsia="Times New Roman"/>
          <w:color w:val="000000"/>
          <w:sz w:val="20"/>
          <w:szCs w:val="20"/>
        </w:rPr>
        <w:t xml:space="preserve">During the quarter ended July 2, 2021, we repurchased 3.9 million shares of our common stock under our share repurchase </w:t>
      </w:r>
      <w:r>
        <w:rPr>
          <w:rFonts w:eastAsia="Times New Roman"/>
          <w:color w:val="000000"/>
          <w:sz w:val="20"/>
          <w:szCs w:val="20"/>
        </w:rPr>
        <w:t>program for $850 million at an average share price of $217.97, excluding commissions of $0.02 per share. The level of our repurchases depends on a number of factors, including our financial condition, capital requirements, cash flows, results of operations</w:t>
      </w:r>
      <w:r>
        <w:rPr>
          <w:rFonts w:eastAsia="Times New Roman"/>
          <w:color w:val="000000"/>
          <w:sz w:val="20"/>
          <w:szCs w:val="20"/>
        </w:rPr>
        <w:t>, future business prospects and other factors our Board of Directors and management may deem relevant. We have announced that we currently expect to repurchase up to $3.4 billion in shares under our repurchase program in fiscal 2021, but we can give no ass</w:t>
      </w:r>
      <w:r>
        <w:rPr>
          <w:rFonts w:eastAsia="Times New Roman"/>
          <w:color w:val="000000"/>
          <w:sz w:val="20"/>
          <w:szCs w:val="20"/>
        </w:rPr>
        <w:t>urances regarding the level and timing of share repurchases. The timing, volume and nature of repurchases are subject to market conditions, applicable securities laws and other factors and are at our discretion and may be suspended or discontinued at any t</w:t>
      </w:r>
      <w:r>
        <w:rPr>
          <w:rFonts w:eastAsia="Times New Roman"/>
          <w:color w:val="000000"/>
          <w:sz w:val="20"/>
          <w:szCs w:val="20"/>
        </w:rPr>
        <w:t>ime. Shares repurchased by us are cancelled and retired. The following table sets forth information with respect to repurchases by us of our common stock during the quarter ended July 2,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1224"/>
        <w:gridCol w:w="39"/>
        <w:gridCol w:w="39"/>
        <w:gridCol w:w="1225"/>
        <w:gridCol w:w="38"/>
        <w:gridCol w:w="91"/>
        <w:gridCol w:w="1127"/>
        <w:gridCol w:w="36"/>
        <w:gridCol w:w="36"/>
        <w:gridCol w:w="36"/>
        <w:gridCol w:w="36"/>
        <w:gridCol w:w="121"/>
        <w:gridCol w:w="944"/>
        <w:gridCol w:w="36"/>
        <w:gridCol w:w="36"/>
        <w:gridCol w:w="36"/>
        <w:gridCol w:w="36"/>
        <w:gridCol w:w="92"/>
        <w:gridCol w:w="1180"/>
        <w:gridCol w:w="36"/>
        <w:gridCol w:w="36"/>
        <w:gridCol w:w="36"/>
        <w:gridCol w:w="36"/>
        <w:gridCol w:w="121"/>
        <w:gridCol w:w="1558"/>
        <w:gridCol w:w="36"/>
      </w:tblGrid>
      <w:tr w:rsidR="00000000">
        <w:trPr>
          <w:divId w:val="1594821237"/>
        </w:trPr>
        <w:tc>
          <w:tcPr>
            <w:tcW w:w="50" w:type="pct"/>
            <w:vAlign w:val="center"/>
            <w:hideMark/>
          </w:tcPr>
          <w:p w:rsidR="00000000" w:rsidRDefault="00B11388">
            <w:pPr>
              <w:ind w:firstLine="450"/>
              <w:rPr>
                <w:rFonts w:eastAsia="Times New Roman"/>
              </w:rPr>
            </w:pPr>
          </w:p>
        </w:tc>
        <w:tc>
          <w:tcPr>
            <w:tcW w:w="85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85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2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7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24"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7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64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7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81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r>
            <w:r>
              <w:rPr>
                <w:rFonts w:eastAsia="Times New Roman"/>
                <w:b/>
                <w:bCs/>
                <w:color w:val="000000"/>
                <w:sz w:val="16"/>
                <w:szCs w:val="16"/>
              </w:rPr>
              <w:t>shares purchased</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Total number of</w:t>
            </w:r>
          </w:p>
          <w:p w:rsidR="00000000" w:rsidRDefault="00B11388">
            <w:pPr>
              <w:spacing w:after="100"/>
              <w:jc w:val="center"/>
              <w:rPr>
                <w:rFonts w:eastAsia="Times New Roman"/>
              </w:rPr>
            </w:pPr>
            <w:r>
              <w:rPr>
                <w:rFonts w:eastAsia="Times New Roman"/>
                <w:b/>
                <w:bCs/>
                <w:color w:val="000000"/>
                <w:sz w:val="16"/>
                <w:szCs w:val="16"/>
              </w:rPr>
              <w:t>shares purchased</w:t>
            </w:r>
          </w:p>
          <w:p w:rsidR="00000000" w:rsidRDefault="00B11388">
            <w:pPr>
              <w:spacing w:after="100"/>
              <w:jc w:val="center"/>
              <w:rPr>
                <w:rFonts w:eastAsia="Times New Roman"/>
              </w:rPr>
            </w:pPr>
            <w:r>
              <w:rPr>
                <w:rFonts w:eastAsia="Times New Roman"/>
                <w:b/>
                <w:bCs/>
                <w:color w:val="000000"/>
                <w:sz w:val="16"/>
                <w:szCs w:val="16"/>
              </w:rPr>
              <w:t>as part of publicly</w:t>
            </w:r>
          </w:p>
          <w:p w:rsidR="00000000" w:rsidRDefault="00B11388">
            <w:pPr>
              <w:spacing w:after="100"/>
              <w:jc w:val="center"/>
              <w:rPr>
                <w:rFonts w:eastAsia="Times New Roman"/>
              </w:rPr>
            </w:pPr>
            <w:r>
              <w:rPr>
                <w:rFonts w:eastAsia="Times New Roman"/>
                <w:b/>
                <w:bCs/>
                <w:color w:val="000000"/>
                <w:sz w:val="16"/>
                <w:szCs w:val="16"/>
              </w:rPr>
              <w:t>announced plans</w:t>
            </w:r>
          </w:p>
          <w:p w:rsidR="00000000" w:rsidRDefault="00B11388">
            <w:pPr>
              <w:spacing w:after="100"/>
              <w:jc w:val="center"/>
              <w:rPr>
                <w:rFonts w:eastAsia="Times New Roman"/>
              </w:rPr>
            </w:pPr>
            <w:r>
              <w:rPr>
                <w:rFonts w:eastAsia="Times New Roman"/>
                <w:b/>
                <w:bCs/>
                <w:color w:val="000000"/>
                <w:sz w:val="16"/>
                <w:szCs w:val="16"/>
              </w:rPr>
              <w:t>or programs</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jc w:val="center"/>
              <w:rPr>
                <w:rFonts w:eastAsia="Times New Roman"/>
              </w:rPr>
            </w:pPr>
            <w:r>
              <w:rPr>
                <w:rFonts w:eastAsia="Times New Roman"/>
                <w:b/>
                <w:bCs/>
                <w:color w:val="000000"/>
                <w:sz w:val="16"/>
                <w:szCs w:val="16"/>
              </w:rPr>
              <w:t>Maximum approximate</w:t>
            </w:r>
          </w:p>
          <w:p w:rsidR="00000000" w:rsidRDefault="00B11388">
            <w:pPr>
              <w:spacing w:after="100"/>
              <w:jc w:val="center"/>
              <w:rPr>
                <w:rFonts w:eastAsia="Times New Roman"/>
              </w:rPr>
            </w:pPr>
            <w:r>
              <w:rPr>
                <w:rFonts w:eastAsia="Times New Roman"/>
                <w:b/>
                <w:bCs/>
                <w:color w:val="000000"/>
                <w:sz w:val="16"/>
                <w:szCs w:val="16"/>
              </w:rPr>
              <w:t>dollar value of shares</w:t>
            </w:r>
          </w:p>
          <w:p w:rsidR="00000000" w:rsidRDefault="00B11388">
            <w:pPr>
              <w:spacing w:after="100"/>
              <w:jc w:val="center"/>
              <w:rPr>
                <w:rFonts w:eastAsia="Times New Roman"/>
              </w:rPr>
            </w:pPr>
            <w:r>
              <w:rPr>
                <w:rFonts w:eastAsia="Times New Roman"/>
                <w:b/>
                <w:bCs/>
                <w:color w:val="000000"/>
                <w:sz w:val="16"/>
                <w:szCs w:val="16"/>
              </w:rPr>
              <w:t>that may yet be</w:t>
            </w:r>
          </w:p>
          <w:p w:rsidR="00000000" w:rsidRDefault="00B11388">
            <w:pPr>
              <w:spacing w:after="100"/>
              <w:jc w:val="center"/>
              <w:rPr>
                <w:rFonts w:eastAsia="Times New Roman"/>
              </w:rPr>
            </w:pPr>
            <w:r>
              <w:rPr>
                <w:rFonts w:eastAsia="Times New Roman"/>
                <w:b/>
                <w:bCs/>
                <w:color w:val="000000"/>
                <w:sz w:val="16"/>
                <w:szCs w:val="16"/>
              </w:rPr>
              <w:t>purchased under the</w:t>
            </w:r>
          </w:p>
          <w:p w:rsidR="00000000" w:rsidRDefault="00B11388">
            <w:pPr>
              <w:spacing w:after="100"/>
              <w:jc w:val="center"/>
              <w:rPr>
                <w:rFonts w:eastAsia="Times New Roman"/>
              </w:rPr>
            </w:pPr>
            <w:r>
              <w:rPr>
                <w:rFonts w:eastAsia="Times New Roman"/>
                <w:b/>
                <w:bCs/>
                <w:color w:val="000000"/>
                <w:sz w:val="16"/>
                <w:szCs w:val="16"/>
              </w:rPr>
              <w:t>plans or programs</w:t>
            </w:r>
            <w:r>
              <w:rPr>
                <w:rFonts w:eastAsia="Times New Roman"/>
                <w:b/>
                <w:bCs/>
                <w:color w:val="000000"/>
                <w:sz w:val="16"/>
                <w:szCs w:val="16"/>
              </w:rPr>
              <w:t> </w:t>
            </w:r>
            <w:r>
              <w:rPr>
                <w:rFonts w:eastAsia="Times New Roman"/>
                <w:b/>
                <w:bCs/>
                <w:color w:val="000000"/>
                <w:sz w:val="10"/>
                <w:szCs w:val="10"/>
              </w:rPr>
              <w:t>(1</w:t>
            </w:r>
            <w:r>
              <w:rPr>
                <w:rFonts w:eastAsia="Times New Roman"/>
                <w:b/>
                <w:bCs/>
                <w:color w:val="000000"/>
                <w:sz w:val="10"/>
                <w:szCs w:val="10"/>
              </w:rPr>
              <w:t>)</w:t>
            </w:r>
          </w:p>
        </w:tc>
      </w:tr>
      <w:tr w:rsidR="00000000">
        <w:trPr>
          <w:divId w:val="1594821237"/>
          <w:trHeight w:val="60"/>
        </w:trPr>
        <w:tc>
          <w:tcPr>
            <w:tcW w:w="0" w:type="auto"/>
            <w:gridSpan w:val="3"/>
            <w:tcMar>
              <w:top w:w="0" w:type="dxa"/>
              <w:left w:w="20" w:type="dxa"/>
              <w:bottom w:w="0" w:type="dxa"/>
              <w:right w:w="20" w:type="dxa"/>
            </w:tcMar>
            <w:vAlign w:val="center"/>
            <w:hideMark/>
          </w:tcPr>
          <w:p w:rsidR="00000000" w:rsidRDefault="00B1138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Month No. 1</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(April 3, 2021 - April 30, 2021)</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divId w:val="1534029360"/>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5,510,459,057 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94821237"/>
        </w:trPr>
        <w:tc>
          <w:tcPr>
            <w:tcW w:w="0" w:type="auto"/>
            <w:gridSpan w:val="6"/>
            <w:shd w:val="clear" w:color="auto" w:fill="FFFFFF"/>
            <w:tcMar>
              <w:top w:w="30" w:type="dxa"/>
              <w:left w:w="20" w:type="dxa"/>
              <w:bottom w:w="30" w:type="dxa"/>
              <w:right w:w="20" w:type="dxa"/>
            </w:tcMar>
            <w:hideMark/>
          </w:tcPr>
          <w:p w:rsidR="00000000" w:rsidRDefault="00B11388">
            <w:pPr>
              <w:spacing w:after="100"/>
              <w:divId w:val="1180046966"/>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11,274 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207.33 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(May 1, 2021 - May 28, 2021)</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divId w:val="955984323"/>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2,077,422 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216.18 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2,077,422 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5,061,368,423 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94821237"/>
        </w:trPr>
        <w:tc>
          <w:tcPr>
            <w:tcW w:w="0" w:type="auto"/>
            <w:gridSpan w:val="3"/>
            <w:vAlign w:val="center"/>
            <w:hideMark/>
          </w:tcPr>
          <w:p w:rsidR="00000000" w:rsidRDefault="00B11388">
            <w:pPr>
              <w:spacing w:after="100"/>
              <w:jc w:val="right"/>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gridSpan w:val="3"/>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c>
          <w:tcPr>
            <w:tcW w:w="0" w:type="auto"/>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FFFFFF"/>
            <w:tcMar>
              <w:top w:w="30" w:type="dxa"/>
              <w:left w:w="20" w:type="dxa"/>
              <w:bottom w:w="30" w:type="dxa"/>
              <w:right w:w="20" w:type="dxa"/>
            </w:tcMar>
            <w:hideMark/>
          </w:tcPr>
          <w:p w:rsidR="00000000" w:rsidRDefault="00B11388">
            <w:pPr>
              <w:spacing w:after="100"/>
              <w:divId w:val="822816291"/>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20,798 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214.72 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FFFF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(May 29, 2021 - July 2, 2021)</w:t>
            </w: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divId w:val="2134398075"/>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1,821,807 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220.01 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1,821,807 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4,660,543,994 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94821237"/>
        </w:trPr>
        <w:tc>
          <w:tcPr>
            <w:tcW w:w="0" w:type="auto"/>
            <w:gridSpan w:val="6"/>
            <w:shd w:val="clear" w:color="auto" w:fill="FFFFFF"/>
            <w:tcMar>
              <w:top w:w="30" w:type="dxa"/>
              <w:left w:w="20" w:type="dxa"/>
              <w:bottom w:w="30" w:type="dxa"/>
              <w:right w:w="20" w:type="dxa"/>
            </w:tcMar>
            <w:hideMark/>
          </w:tcPr>
          <w:p w:rsidR="00000000" w:rsidRDefault="00B11388">
            <w:pPr>
              <w:spacing w:after="100"/>
              <w:divId w:val="423847381"/>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18,259 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219.87 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11388">
            <w:pPr>
              <w:spacing w:after="100"/>
              <w:jc w:val="right"/>
              <w:rPr>
                <w:rFonts w:eastAsia="Times New Roman"/>
              </w:rPr>
            </w:pPr>
          </w:p>
        </w:tc>
      </w:tr>
      <w:tr w:rsidR="00000000">
        <w:trPr>
          <w:divId w:val="1594821237"/>
        </w:trPr>
        <w:tc>
          <w:tcPr>
            <w:tcW w:w="0" w:type="auto"/>
            <w:gridSpan w:val="6"/>
            <w:shd w:val="clear" w:color="auto" w:fill="CCEEFF"/>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3,949,560 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3,899,229 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1138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1388">
            <w:pPr>
              <w:spacing w:after="100"/>
              <w:jc w:val="right"/>
              <w:rPr>
                <w:rFonts w:eastAsia="Times New Roman"/>
              </w:rPr>
            </w:pPr>
            <w:r>
              <w:rPr>
                <w:rFonts w:eastAsia="Times New Roman"/>
                <w:color w:val="000000"/>
                <w:sz w:val="20"/>
                <w:szCs w:val="20"/>
              </w:rPr>
              <w:t>4,660,543,994 </w:t>
            </w:r>
          </w:p>
        </w:tc>
        <w:tc>
          <w:tcPr>
            <w:tcW w:w="0" w:type="auto"/>
            <w:shd w:val="clear" w:color="auto" w:fill="CCEEFF"/>
            <w:tcMar>
              <w:top w:w="30" w:type="dxa"/>
              <w:left w:w="0" w:type="dxa"/>
              <w:bottom w:w="30" w:type="dxa"/>
              <w:right w:w="20" w:type="dxa"/>
            </w:tcMar>
            <w:vAlign w:val="bottom"/>
            <w:hideMark/>
          </w:tcPr>
          <w:p w:rsidR="00000000" w:rsidRDefault="00B11388">
            <w:pPr>
              <w:spacing w:after="100"/>
              <w:jc w:val="right"/>
              <w:rPr>
                <w:rFonts w:eastAsia="Times New Roman"/>
              </w:rPr>
            </w:pPr>
          </w:p>
        </w:tc>
      </w:tr>
    </w:tbl>
    <w:p w:rsidR="00000000" w:rsidRDefault="00B11388">
      <w:pPr>
        <w:divId w:val="982857210"/>
        <w:rPr>
          <w:rFonts w:eastAsia="Times New Roman"/>
        </w:rPr>
      </w:pPr>
      <w:r>
        <w:rPr>
          <w:rFonts w:eastAsia="Times New Roman"/>
          <w:color w:val="000000"/>
          <w:sz w:val="16"/>
          <w:szCs w:val="16"/>
        </w:rPr>
        <w:t>_______________</w:t>
      </w:r>
    </w:p>
    <w:p w:rsidR="00000000" w:rsidRDefault="00B11388">
      <w:pPr>
        <w:ind w:hanging="270"/>
        <w:divId w:val="1347437060"/>
        <w:rPr>
          <w:rFonts w:eastAsia="Times New Roman"/>
        </w:rPr>
      </w:pPr>
      <w:r>
        <w:rPr>
          <w:rFonts w:eastAsia="Times New Roman"/>
          <w:color w:val="000000"/>
          <w:sz w:val="16"/>
          <w:szCs w:val="16"/>
        </w:rPr>
        <w:t>*    Periods represent our fiscal months</w:t>
      </w:r>
    </w:p>
    <w:p w:rsidR="00000000" w:rsidRDefault="00B11388">
      <w:pPr>
        <w:ind w:hanging="270"/>
        <w:divId w:val="844169247"/>
        <w:rPr>
          <w:rFonts w:eastAsia="Times New Roman"/>
        </w:rPr>
      </w:pPr>
      <w:r>
        <w:rPr>
          <w:rFonts w:eastAsia="Times New Roman"/>
          <w:color w:val="000000"/>
          <w:sz w:val="16"/>
          <w:szCs w:val="16"/>
        </w:rPr>
        <w:t>(1)On January 28, 2021, we announced</w:t>
      </w:r>
      <w:r>
        <w:rPr>
          <w:rFonts w:eastAsia="Times New Roman"/>
          <w:color w:val="000000"/>
          <w:sz w:val="16"/>
          <w:szCs w:val="16"/>
        </w:rPr>
        <w:t xml:space="preserve"> that our Board of Directors approved a $6 billion share repurchase authorization under our share repurchase program that was in addition to the remaining unused authorization of $210 million as of January 1, 2021. We repurchase shares of our common stock </w:t>
      </w:r>
      <w:r>
        <w:rPr>
          <w:rFonts w:eastAsia="Times New Roman"/>
          <w:color w:val="000000"/>
          <w:sz w:val="16"/>
          <w:szCs w:val="16"/>
        </w:rPr>
        <w:t>through open-market purchases, private transactions, transactions structured through investment banking institutions or any combination thereof. As of July 2, 2021, $4.7 billion (as reflected in the table above) was the approximate dollar amount of our com</w:t>
      </w:r>
      <w:r>
        <w:rPr>
          <w:rFonts w:eastAsia="Times New Roman"/>
          <w:color w:val="000000"/>
          <w:sz w:val="16"/>
          <w:szCs w:val="16"/>
        </w:rPr>
        <w:t xml:space="preserve">mon stock that can still be purchased under our share repurchase program, which does not have a stated expiration date. </w:t>
      </w:r>
    </w:p>
    <w:p w:rsidR="00000000" w:rsidRDefault="00B11388">
      <w:pPr>
        <w:ind w:hanging="270"/>
        <w:divId w:val="984092790"/>
        <w:rPr>
          <w:rFonts w:eastAsia="Times New Roman"/>
        </w:rPr>
      </w:pPr>
      <w:r>
        <w:rPr>
          <w:rFonts w:eastAsia="Times New Roman"/>
          <w:color w:val="000000"/>
          <w:sz w:val="16"/>
          <w:szCs w:val="16"/>
        </w:rPr>
        <w:t>(2)Represents a combination of: (a) shares of our common stock delivered to us in satisfaction of the tax withholding obligation of hol</w:t>
      </w:r>
      <w:r>
        <w:rPr>
          <w:rFonts w:eastAsia="Times New Roman"/>
          <w:color w:val="000000"/>
          <w:sz w:val="16"/>
          <w:szCs w:val="16"/>
        </w:rPr>
        <w:t>ders of performance units, restricted units or restricted shares that vested during the quarter and (b) performance units, restricted units or restricted shares returned to us upon retirement or employment termination of employees. Our equity incentive pla</w:t>
      </w:r>
      <w:r>
        <w:rPr>
          <w:rFonts w:eastAsia="Times New Roman"/>
          <w:color w:val="000000"/>
          <w:sz w:val="16"/>
          <w:szCs w:val="16"/>
        </w:rPr>
        <w:t>ns provide that the value of shares delivered to us to pay the exercise price of options or to cover tax withholding obligations shall be the closing price of our common stock on the date the relevant transaction occurs.</w:t>
      </w:r>
    </w:p>
    <w:p w:rsidR="00000000" w:rsidRDefault="00B11388">
      <w:pPr>
        <w:ind w:firstLine="450"/>
        <w:jc w:val="center"/>
        <w:divId w:val="455758672"/>
        <w:rPr>
          <w:rFonts w:eastAsia="Times New Roman"/>
        </w:rPr>
      </w:pPr>
      <w:r>
        <w:rPr>
          <w:rFonts w:eastAsia="Times New Roman"/>
          <w:color w:val="000000"/>
          <w:sz w:val="20"/>
          <w:szCs w:val="20"/>
        </w:rPr>
        <w:t>43</w:t>
      </w:r>
    </w:p>
    <w:p w:rsidR="00000000" w:rsidRDefault="00B11388">
      <w:pPr>
        <w:rPr>
          <w:rFonts w:eastAsia="Times New Roman"/>
        </w:rPr>
      </w:pPr>
      <w:r>
        <w:rPr>
          <w:rFonts w:eastAsia="Times New Roman"/>
        </w:rPr>
        <w:pict>
          <v:rect id="_x0000_i1070" style="width:0;height:1.5pt" o:hralign="center" o:hrstd="t" o:hr="t" fillcolor="#a0a0a0" stroked="f"/>
        </w:pict>
      </w:r>
    </w:p>
    <w:p w:rsidR="00000000" w:rsidRDefault="00B11388">
      <w:pPr>
        <w:ind w:firstLine="450"/>
        <w:divId w:val="1980377241"/>
        <w:rPr>
          <w:rFonts w:eastAsia="Times New Roman"/>
        </w:rPr>
      </w:pPr>
    </w:p>
    <w:p w:rsidR="00000000" w:rsidRDefault="00B11388">
      <w:pPr>
        <w:ind w:firstLine="450"/>
        <w:divId w:val="279186877"/>
        <w:rPr>
          <w:rFonts w:eastAsia="Times New Roman"/>
        </w:rPr>
      </w:pPr>
    </w:p>
    <w:p w:rsidR="00000000" w:rsidRDefault="00B11388">
      <w:pPr>
        <w:divId w:val="336155853"/>
        <w:rPr>
          <w:rFonts w:eastAsia="Times New Roman"/>
        </w:rPr>
      </w:pPr>
      <w:r>
        <w:rPr>
          <w:rFonts w:eastAsia="Times New Roman"/>
          <w:b/>
          <w:bCs/>
          <w:color w:val="000000"/>
          <w:sz w:val="20"/>
          <w:szCs w:val="20"/>
        </w:rPr>
        <w:t>Sales of Unregistered Equity Securities</w:t>
      </w:r>
    </w:p>
    <w:p w:rsidR="00000000" w:rsidRDefault="00B11388">
      <w:pPr>
        <w:ind w:firstLine="450"/>
        <w:divId w:val="1569417197"/>
        <w:rPr>
          <w:rFonts w:eastAsia="Times New Roman"/>
        </w:rPr>
      </w:pPr>
      <w:r>
        <w:rPr>
          <w:rFonts w:eastAsia="Times New Roman"/>
          <w:color w:val="000000"/>
          <w:sz w:val="20"/>
          <w:szCs w:val="20"/>
        </w:rPr>
        <w:t>During the second quarter of fiscal 2021, we did not issue or sell any unregistered equity securities.</w:t>
      </w:r>
    </w:p>
    <w:p w:rsidR="00000000" w:rsidRDefault="00B11388">
      <w:pPr>
        <w:divId w:val="152532581"/>
        <w:rPr>
          <w:rFonts w:eastAsia="Times New Roman"/>
        </w:rPr>
      </w:pPr>
      <w:r>
        <w:rPr>
          <w:rFonts w:eastAsia="Times New Roman"/>
          <w:b/>
          <w:bCs/>
          <w:color w:val="000000"/>
          <w:sz w:val="20"/>
          <w:szCs w:val="20"/>
        </w:rPr>
        <w:t>Item 3. Defaults Upon Senior Securities.</w:t>
      </w:r>
    </w:p>
    <w:p w:rsidR="00000000" w:rsidRDefault="00B11388">
      <w:pPr>
        <w:ind w:firstLine="450"/>
        <w:jc w:val="both"/>
        <w:divId w:val="940576095"/>
        <w:rPr>
          <w:rFonts w:eastAsia="Times New Roman"/>
        </w:rPr>
      </w:pPr>
      <w:r>
        <w:rPr>
          <w:rFonts w:eastAsia="Times New Roman"/>
          <w:color w:val="000000"/>
          <w:sz w:val="20"/>
          <w:szCs w:val="20"/>
        </w:rPr>
        <w:t>Not Applicable.</w:t>
      </w:r>
    </w:p>
    <w:p w:rsidR="00000000" w:rsidRDefault="00B11388">
      <w:pPr>
        <w:divId w:val="2125884833"/>
        <w:rPr>
          <w:rFonts w:eastAsia="Times New Roman"/>
        </w:rPr>
      </w:pPr>
      <w:r>
        <w:rPr>
          <w:rFonts w:eastAsia="Times New Roman"/>
          <w:b/>
          <w:bCs/>
          <w:color w:val="000000"/>
          <w:sz w:val="20"/>
          <w:szCs w:val="20"/>
        </w:rPr>
        <w:t>Item 4. Mine Safety Disclosures.</w:t>
      </w:r>
    </w:p>
    <w:p w:rsidR="00000000" w:rsidRDefault="00B11388">
      <w:pPr>
        <w:ind w:firstLine="450"/>
        <w:jc w:val="both"/>
        <w:divId w:val="1493177067"/>
        <w:rPr>
          <w:rFonts w:eastAsia="Times New Roman"/>
        </w:rPr>
      </w:pPr>
      <w:r>
        <w:rPr>
          <w:rFonts w:eastAsia="Times New Roman"/>
          <w:color w:val="000000"/>
          <w:sz w:val="20"/>
          <w:szCs w:val="20"/>
        </w:rPr>
        <w:t>Not Applicable.</w:t>
      </w:r>
    </w:p>
    <w:p w:rsidR="00000000" w:rsidRDefault="00B11388">
      <w:pPr>
        <w:divId w:val="1201630268"/>
        <w:rPr>
          <w:rFonts w:eastAsia="Times New Roman"/>
        </w:rPr>
      </w:pPr>
      <w:r>
        <w:rPr>
          <w:rFonts w:eastAsia="Times New Roman"/>
          <w:b/>
          <w:bCs/>
          <w:color w:val="000000"/>
          <w:sz w:val="20"/>
          <w:szCs w:val="20"/>
        </w:rPr>
        <w:t>Item 5. Other Information.</w:t>
      </w:r>
    </w:p>
    <w:p w:rsidR="00000000" w:rsidRDefault="00B11388">
      <w:pPr>
        <w:ind w:firstLine="450"/>
        <w:jc w:val="both"/>
        <w:divId w:val="1355500649"/>
        <w:rPr>
          <w:rFonts w:eastAsia="Times New Roman"/>
        </w:rPr>
      </w:pPr>
      <w:r>
        <w:rPr>
          <w:rFonts w:eastAsia="Times New Roman"/>
          <w:color w:val="000000"/>
          <w:sz w:val="20"/>
          <w:szCs w:val="20"/>
        </w:rPr>
        <w:t>Not Applicable.</w:t>
      </w:r>
    </w:p>
    <w:p w:rsidR="00000000" w:rsidRDefault="00B11388">
      <w:pPr>
        <w:divId w:val="2034842661"/>
        <w:rPr>
          <w:rFonts w:eastAsia="Times New Roman"/>
        </w:rPr>
      </w:pPr>
      <w:r>
        <w:rPr>
          <w:rFonts w:eastAsia="Times New Roman"/>
          <w:b/>
          <w:bCs/>
          <w:color w:val="000000"/>
          <w:sz w:val="20"/>
          <w:szCs w:val="20"/>
        </w:rPr>
        <w:t>Item</w:t>
      </w:r>
      <w:r>
        <w:rPr>
          <w:rFonts w:eastAsia="Times New Roman"/>
          <w:b/>
          <w:bCs/>
          <w:color w:val="000000"/>
          <w:sz w:val="20"/>
          <w:szCs w:val="20"/>
        </w:rPr>
        <w:t xml:space="preserve"> 6. Exhibits. </w:t>
      </w:r>
    </w:p>
    <w:p w:rsidR="00000000" w:rsidRDefault="00B11388">
      <w:pPr>
        <w:ind w:firstLine="450"/>
        <w:jc w:val="center"/>
        <w:divId w:val="2069376072"/>
        <w:rPr>
          <w:rFonts w:eastAsia="Times New Roman"/>
        </w:rPr>
      </w:pPr>
      <w:r>
        <w:rPr>
          <w:rFonts w:eastAsia="Times New Roman"/>
          <w:b/>
          <w:bCs/>
          <w:color w:val="000000"/>
          <w:sz w:val="20"/>
          <w:szCs w:val="20"/>
        </w:rPr>
        <w:t>EXHIBIT INDEX</w:t>
      </w:r>
    </w:p>
    <w:p w:rsidR="00000000" w:rsidRDefault="00B11388">
      <w:pPr>
        <w:ind w:firstLine="450"/>
        <w:jc w:val="both"/>
        <w:divId w:val="1628319490"/>
        <w:rPr>
          <w:rFonts w:eastAsia="Times New Roman"/>
        </w:rPr>
      </w:pPr>
      <w:r>
        <w:rPr>
          <w:rFonts w:eastAsia="Times New Roman"/>
          <w:color w:val="000000"/>
          <w:sz w:val="20"/>
          <w:szCs w:val="20"/>
        </w:rPr>
        <w:t>The following exhibits are filed herewith or incorporated by reference to exhibits previously filed with the SEC:</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185"/>
        <w:gridCol w:w="36"/>
        <w:gridCol w:w="69"/>
        <w:gridCol w:w="7037"/>
        <w:gridCol w:w="37"/>
      </w:tblGrid>
      <w:tr w:rsidR="00000000">
        <w:trPr>
          <w:divId w:val="1235554638"/>
        </w:trPr>
        <w:tc>
          <w:tcPr>
            <w:tcW w:w="50" w:type="pct"/>
            <w:vAlign w:val="center"/>
            <w:hideMark/>
          </w:tcPr>
          <w:p w:rsidR="00000000" w:rsidRDefault="00B11388">
            <w:pPr>
              <w:ind w:firstLine="450"/>
              <w:jc w:val="both"/>
              <w:rPr>
                <w:rFonts w:eastAsia="Times New Roman"/>
              </w:rPr>
            </w:pPr>
          </w:p>
        </w:tc>
        <w:tc>
          <w:tcPr>
            <w:tcW w:w="471"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2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24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1235554638"/>
        </w:trPr>
        <w:tc>
          <w:tcPr>
            <w:tcW w:w="0" w:type="auto"/>
            <w:gridSpan w:val="2"/>
            <w:tcMar>
              <w:top w:w="30" w:type="dxa"/>
              <w:left w:w="20" w:type="dxa"/>
              <w:bottom w:w="30" w:type="dxa"/>
              <w:right w:w="0" w:type="dxa"/>
            </w:tcMar>
            <w:hideMark/>
          </w:tcPr>
          <w:p w:rsidR="00000000" w:rsidRDefault="00B11388">
            <w:pPr>
              <w:spacing w:after="100"/>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hideMark/>
          </w:tcPr>
          <w:p w:rsidR="00000000" w:rsidRDefault="00B1138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B11388">
            <w:pPr>
              <w:spacing w:after="100"/>
              <w:divId w:val="1830095895"/>
              <w:rPr>
                <w:rFonts w:eastAsia="Times New Roman"/>
              </w:rPr>
            </w:pPr>
            <w:hyperlink r:id="rId5" w:history="1">
              <w:r>
                <w:rPr>
                  <w:rStyle w:val="a3"/>
                  <w:rFonts w:eastAsia="Times New Roman"/>
                  <w:sz w:val="20"/>
                  <w:szCs w:val="20"/>
                </w:rPr>
                <w:t>(a) Restated Certificate of Incorporation of L3Harris Technologies, Inc. (1995), as amended, incorporated herein by reference to Exhibit 3(a) to t</w:t>
              </w:r>
              <w:r>
                <w:rPr>
                  <w:rStyle w:val="a3"/>
                  <w:rFonts w:eastAsia="Times New Roman"/>
                  <w:sz w:val="20"/>
                  <w:szCs w:val="20"/>
                </w:rPr>
                <w:t>he Company’s Quarterly Report on Form 10-Q filed with the SEC on May 7, 2020. (Commission File Number 1-3863)</w:t>
              </w:r>
            </w:hyperlink>
          </w:p>
        </w:tc>
      </w:tr>
      <w:tr w:rsidR="00000000">
        <w:trPr>
          <w:divId w:val="1235554638"/>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11388">
            <w:pPr>
              <w:spacing w:after="100"/>
              <w:divId w:val="1726180378"/>
              <w:rPr>
                <w:rFonts w:eastAsia="Times New Roman"/>
              </w:rPr>
            </w:pPr>
            <w:hyperlink r:id="rId6" w:history="1">
              <w:r>
                <w:rPr>
                  <w:rStyle w:val="a3"/>
                  <w:rFonts w:eastAsia="Times New Roman"/>
                  <w:sz w:val="20"/>
                  <w:szCs w:val="20"/>
                </w:rPr>
                <w:t>(b) Amended and Restated B</w:t>
              </w:r>
              <w:r>
                <w:rPr>
                  <w:rStyle w:val="a3"/>
                  <w:rFonts w:eastAsia="Times New Roman"/>
                  <w:sz w:val="20"/>
                  <w:szCs w:val="20"/>
                </w:rPr>
                <w:t>y-Laws of L3Harris Technologies, Inc., incorporated herein by reference to Exhibit 3.1 to the Company’s Current Report on Form 8-K filed with the SEC on April 7, 2020. (Commission File Number 1-3863)</w:t>
              </w:r>
            </w:hyperlink>
          </w:p>
        </w:tc>
      </w:tr>
      <w:tr w:rsidR="00000000">
        <w:trPr>
          <w:divId w:val="1235554638"/>
        </w:trPr>
        <w:tc>
          <w:tcPr>
            <w:tcW w:w="0" w:type="auto"/>
            <w:gridSpan w:val="3"/>
            <w:tcMar>
              <w:top w:w="30" w:type="dxa"/>
              <w:left w:w="20" w:type="dxa"/>
              <w:bottom w:w="30" w:type="dxa"/>
              <w:right w:w="20" w:type="dxa"/>
            </w:tcMar>
            <w:hideMark/>
          </w:tcPr>
          <w:p w:rsidR="00000000" w:rsidRDefault="00B11388">
            <w:pPr>
              <w:spacing w:after="100"/>
              <w:jc w:val="right"/>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11388">
            <w:pPr>
              <w:spacing w:after="100"/>
              <w:divId w:val="1056127623"/>
              <w:rPr>
                <w:rFonts w:eastAsia="Times New Roman"/>
              </w:rPr>
            </w:pPr>
            <w:hyperlink r:id="rId7" w:history="1">
              <w:r>
                <w:rPr>
                  <w:rStyle w:val="a3"/>
                  <w:rFonts w:eastAsia="Times New Roman"/>
                  <w:sz w:val="20"/>
                  <w:szCs w:val="20"/>
                </w:rPr>
                <w:t>Amendment 3 to the L3Harris Retirement Savings Plan (amended and restated effective January 1, 2021), dated May 12, 2021</w:t>
              </w:r>
            </w:hyperlink>
          </w:p>
        </w:tc>
      </w:tr>
      <w:tr w:rsidR="00000000">
        <w:trPr>
          <w:divId w:val="1235554638"/>
        </w:trPr>
        <w:tc>
          <w:tcPr>
            <w:tcW w:w="0" w:type="auto"/>
            <w:gridSpan w:val="3"/>
            <w:tcMar>
              <w:top w:w="30" w:type="dxa"/>
              <w:left w:w="20" w:type="dxa"/>
              <w:bottom w:w="30" w:type="dxa"/>
              <w:right w:w="20" w:type="dxa"/>
            </w:tcMar>
            <w:hideMark/>
          </w:tcPr>
          <w:p w:rsidR="00000000" w:rsidRDefault="00B11388">
            <w:pPr>
              <w:spacing w:after="100"/>
              <w:jc w:val="right"/>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11388">
            <w:pPr>
              <w:spacing w:after="100"/>
              <w:divId w:val="1948805246"/>
              <w:rPr>
                <w:rFonts w:eastAsia="Times New Roman"/>
              </w:rPr>
            </w:pPr>
            <w:hyperlink r:id="rId8" w:history="1">
              <w:r>
                <w:rPr>
                  <w:rStyle w:val="a3"/>
                  <w:rFonts w:eastAsia="Times New Roman"/>
                  <w:sz w:val="20"/>
                  <w:szCs w:val="20"/>
                </w:rPr>
                <w:t>Amendment 4 to the L3Harris R</w:t>
              </w:r>
              <w:r>
                <w:rPr>
                  <w:rStyle w:val="a3"/>
                  <w:rFonts w:eastAsia="Times New Roman"/>
                  <w:sz w:val="20"/>
                  <w:szCs w:val="20"/>
                </w:rPr>
                <w:t>etirement Savings Plan (amended and restated effective January 1, 2021), dated May 12, 2021</w:t>
              </w:r>
            </w:hyperlink>
          </w:p>
        </w:tc>
      </w:tr>
      <w:tr w:rsidR="00000000">
        <w:trPr>
          <w:divId w:val="1235554638"/>
        </w:trPr>
        <w:tc>
          <w:tcPr>
            <w:tcW w:w="0" w:type="auto"/>
            <w:gridSpan w:val="2"/>
            <w:tcMar>
              <w:top w:w="30" w:type="dxa"/>
              <w:left w:w="20" w:type="dxa"/>
              <w:bottom w:w="30" w:type="dxa"/>
              <w:right w:w="0" w:type="dxa"/>
            </w:tcMar>
            <w:hideMark/>
          </w:tcPr>
          <w:p w:rsidR="00000000" w:rsidRDefault="00B11388">
            <w:pPr>
              <w:spacing w:after="100"/>
              <w:jc w:val="right"/>
              <w:rPr>
                <w:rFonts w:eastAsia="Times New Roman"/>
              </w:rPr>
            </w:pPr>
            <w:r>
              <w:rPr>
                <w:rFonts w:eastAsia="Times New Roman"/>
                <w:color w:val="000000"/>
                <w:sz w:val="20"/>
                <w:szCs w:val="20"/>
              </w:rPr>
              <w:t>(15)</w:t>
            </w:r>
          </w:p>
        </w:tc>
        <w:tc>
          <w:tcPr>
            <w:tcW w:w="0" w:type="auto"/>
            <w:tcMar>
              <w:top w:w="30" w:type="dxa"/>
              <w:left w:w="0" w:type="dxa"/>
              <w:bottom w:w="30" w:type="dxa"/>
              <w:right w:w="20" w:type="dxa"/>
            </w:tcMa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divId w:val="1594629925"/>
              <w:rPr>
                <w:rFonts w:eastAsia="Times New Roman"/>
              </w:rPr>
            </w:pPr>
            <w:hyperlink r:id="rId9" w:history="1">
              <w:r>
                <w:rPr>
                  <w:rStyle w:val="a3"/>
                  <w:rFonts w:eastAsia="Times New Roman"/>
                  <w:sz w:val="20"/>
                  <w:szCs w:val="20"/>
                </w:rPr>
                <w:t>Letter Regarding Unaudited Interim Financial Information</w:t>
              </w:r>
            </w:hyperlink>
          </w:p>
        </w:tc>
      </w:tr>
      <w:tr w:rsidR="00000000">
        <w:trPr>
          <w:divId w:val="1235554638"/>
        </w:trPr>
        <w:tc>
          <w:tcPr>
            <w:tcW w:w="0" w:type="auto"/>
            <w:gridSpan w:val="2"/>
            <w:tcMar>
              <w:top w:w="30" w:type="dxa"/>
              <w:left w:w="20" w:type="dxa"/>
              <w:bottom w:w="30" w:type="dxa"/>
              <w:right w:w="0" w:type="dxa"/>
            </w:tcMar>
            <w:hideMark/>
          </w:tcPr>
          <w:p w:rsidR="00000000" w:rsidRDefault="00B11388">
            <w:pPr>
              <w:spacing w:after="100"/>
              <w:jc w:val="right"/>
              <w:rPr>
                <w:rFonts w:eastAsia="Times New Roman"/>
              </w:rPr>
            </w:pPr>
            <w:r>
              <w:rPr>
                <w:rFonts w:eastAsia="Times New Roman"/>
                <w:color w:val="000000"/>
                <w:sz w:val="20"/>
                <w:szCs w:val="20"/>
              </w:rPr>
              <w:t>(31.1)</w:t>
            </w:r>
          </w:p>
        </w:tc>
        <w:tc>
          <w:tcPr>
            <w:tcW w:w="0" w:type="auto"/>
            <w:tcMar>
              <w:top w:w="30" w:type="dxa"/>
              <w:left w:w="0" w:type="dxa"/>
              <w:bottom w:w="30" w:type="dxa"/>
              <w:right w:w="20" w:type="dxa"/>
            </w:tcMa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divId w:val="1855879856"/>
              <w:rPr>
                <w:rFonts w:eastAsia="Times New Roman"/>
              </w:rPr>
            </w:pPr>
            <w:hyperlink r:id="rId10" w:history="1">
              <w:r>
                <w:rPr>
                  <w:rStyle w:val="a3"/>
                  <w:rFonts w:eastAsia="Times New Roman"/>
                  <w:sz w:val="20"/>
                  <w:szCs w:val="20"/>
                </w:rPr>
                <w:t>Rule 13a-14(a)/15d-14(a) Certification of Chief Executive Officer</w:t>
              </w:r>
            </w:hyperlink>
          </w:p>
        </w:tc>
      </w:tr>
      <w:tr w:rsidR="00000000">
        <w:trPr>
          <w:divId w:val="1235554638"/>
        </w:trPr>
        <w:tc>
          <w:tcPr>
            <w:tcW w:w="0" w:type="auto"/>
            <w:gridSpan w:val="2"/>
            <w:tcMar>
              <w:top w:w="30" w:type="dxa"/>
              <w:left w:w="20" w:type="dxa"/>
              <w:bottom w:w="30" w:type="dxa"/>
              <w:right w:w="0" w:type="dxa"/>
            </w:tcMar>
            <w:hideMark/>
          </w:tcPr>
          <w:p w:rsidR="00000000" w:rsidRDefault="00B11388">
            <w:pPr>
              <w:spacing w:after="100"/>
              <w:jc w:val="right"/>
              <w:rPr>
                <w:rFonts w:eastAsia="Times New Roman"/>
              </w:rPr>
            </w:pPr>
            <w:r>
              <w:rPr>
                <w:rFonts w:eastAsia="Times New Roman"/>
                <w:color w:val="000000"/>
                <w:sz w:val="20"/>
                <w:szCs w:val="20"/>
              </w:rPr>
              <w:t>(31.2)</w:t>
            </w:r>
          </w:p>
        </w:tc>
        <w:tc>
          <w:tcPr>
            <w:tcW w:w="0" w:type="auto"/>
            <w:tcMar>
              <w:top w:w="30" w:type="dxa"/>
              <w:left w:w="0" w:type="dxa"/>
              <w:bottom w:w="30" w:type="dxa"/>
              <w:right w:w="20" w:type="dxa"/>
            </w:tcMa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divId w:val="1707900100"/>
              <w:rPr>
                <w:rFonts w:eastAsia="Times New Roman"/>
              </w:rPr>
            </w:pPr>
            <w:hyperlink r:id="rId11" w:history="1">
              <w:r>
                <w:rPr>
                  <w:rStyle w:val="a3"/>
                  <w:rFonts w:eastAsia="Times New Roman"/>
                  <w:sz w:val="20"/>
                  <w:szCs w:val="20"/>
                </w:rPr>
                <w:t>Rule 13a-14(a)/15</w:t>
              </w:r>
              <w:r>
                <w:rPr>
                  <w:rStyle w:val="a3"/>
                  <w:rFonts w:eastAsia="Times New Roman"/>
                  <w:sz w:val="20"/>
                  <w:szCs w:val="20"/>
                </w:rPr>
                <w:t>d-14(a) Certification of Chief Financial Officer</w:t>
              </w:r>
            </w:hyperlink>
          </w:p>
        </w:tc>
      </w:tr>
      <w:tr w:rsidR="00000000">
        <w:trPr>
          <w:divId w:val="1235554638"/>
        </w:trPr>
        <w:tc>
          <w:tcPr>
            <w:tcW w:w="0" w:type="auto"/>
            <w:gridSpan w:val="2"/>
            <w:tcMar>
              <w:top w:w="30" w:type="dxa"/>
              <w:left w:w="20" w:type="dxa"/>
              <w:bottom w:w="30" w:type="dxa"/>
              <w:right w:w="0" w:type="dxa"/>
            </w:tcMar>
            <w:hideMark/>
          </w:tcPr>
          <w:p w:rsidR="00000000" w:rsidRDefault="00B11388">
            <w:pPr>
              <w:spacing w:after="100"/>
              <w:jc w:val="right"/>
              <w:rPr>
                <w:rFonts w:eastAsia="Times New Roman"/>
              </w:rPr>
            </w:pPr>
            <w:r>
              <w:rPr>
                <w:rFonts w:eastAsia="Times New Roman"/>
                <w:color w:val="000000"/>
                <w:sz w:val="20"/>
                <w:szCs w:val="20"/>
              </w:rPr>
              <w:t>(32.1)</w:t>
            </w:r>
          </w:p>
        </w:tc>
        <w:tc>
          <w:tcPr>
            <w:tcW w:w="0" w:type="auto"/>
            <w:tcMar>
              <w:top w:w="30" w:type="dxa"/>
              <w:left w:w="0" w:type="dxa"/>
              <w:bottom w:w="30" w:type="dxa"/>
              <w:right w:w="20" w:type="dxa"/>
            </w:tcMa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divId w:val="388001525"/>
              <w:rPr>
                <w:rFonts w:eastAsia="Times New Roman"/>
              </w:rPr>
            </w:pPr>
            <w:hyperlink r:id="rId12" w:history="1">
              <w:r>
                <w:rPr>
                  <w:rStyle w:val="a3"/>
                  <w:rFonts w:eastAsia="Times New Roman"/>
                  <w:sz w:val="20"/>
                  <w:szCs w:val="20"/>
                </w:rPr>
                <w:t>Section 1350 Certification of Chief Executive Officer</w:t>
              </w:r>
            </w:hyperlink>
          </w:p>
        </w:tc>
      </w:tr>
      <w:tr w:rsidR="00000000">
        <w:trPr>
          <w:divId w:val="1235554638"/>
        </w:trPr>
        <w:tc>
          <w:tcPr>
            <w:tcW w:w="0" w:type="auto"/>
            <w:gridSpan w:val="2"/>
            <w:tcMar>
              <w:top w:w="30" w:type="dxa"/>
              <w:left w:w="20" w:type="dxa"/>
              <w:bottom w:w="30" w:type="dxa"/>
              <w:right w:w="0" w:type="dxa"/>
            </w:tcMar>
            <w:hideMark/>
          </w:tcPr>
          <w:p w:rsidR="00000000" w:rsidRDefault="00B11388">
            <w:pPr>
              <w:spacing w:after="100"/>
              <w:jc w:val="right"/>
              <w:rPr>
                <w:rFonts w:eastAsia="Times New Roman"/>
              </w:rPr>
            </w:pPr>
            <w:r>
              <w:rPr>
                <w:rFonts w:eastAsia="Times New Roman"/>
                <w:color w:val="000000"/>
                <w:sz w:val="20"/>
                <w:szCs w:val="20"/>
              </w:rPr>
              <w:t>(32.2)</w:t>
            </w:r>
          </w:p>
        </w:tc>
        <w:tc>
          <w:tcPr>
            <w:tcW w:w="0" w:type="auto"/>
            <w:tcMar>
              <w:top w:w="30" w:type="dxa"/>
              <w:left w:w="0" w:type="dxa"/>
              <w:bottom w:w="30" w:type="dxa"/>
              <w:right w:w="20" w:type="dxa"/>
            </w:tcMar>
            <w:hideMark/>
          </w:tcPr>
          <w:p w:rsidR="00000000" w:rsidRDefault="00B1138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divId w:val="1290890685"/>
              <w:rPr>
                <w:rFonts w:eastAsia="Times New Roman"/>
              </w:rPr>
            </w:pPr>
            <w:hyperlink r:id="rId13" w:history="1">
              <w:r>
                <w:rPr>
                  <w:rStyle w:val="a3"/>
                  <w:rFonts w:eastAsia="Times New Roman"/>
                  <w:sz w:val="20"/>
                  <w:szCs w:val="20"/>
                </w:rPr>
                <w:t>Section 1350 Certification of Chief Financial Officer</w:t>
              </w:r>
            </w:hyperlink>
          </w:p>
        </w:tc>
      </w:tr>
      <w:tr w:rsidR="00000000">
        <w:trPr>
          <w:divId w:val="1235554638"/>
        </w:trPr>
        <w:tc>
          <w:tcPr>
            <w:tcW w:w="0" w:type="auto"/>
            <w:gridSpan w:val="3"/>
            <w:tcMar>
              <w:top w:w="30" w:type="dxa"/>
              <w:left w:w="20" w:type="dxa"/>
              <w:bottom w:w="30" w:type="dxa"/>
              <w:right w:w="20" w:type="dxa"/>
            </w:tcMar>
            <w:hideMark/>
          </w:tcPr>
          <w:p w:rsidR="00000000" w:rsidRDefault="00B11388">
            <w:pPr>
              <w:spacing w:after="100"/>
              <w:jc w:val="right"/>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divId w:val="40134043"/>
              <w:rPr>
                <w:rFonts w:eastAsia="Times New Roman"/>
              </w:rPr>
            </w:pPr>
            <w:r>
              <w:rPr>
                <w:rFonts w:eastAsia="Times New Roman"/>
                <w:color w:val="000000"/>
                <w:sz w:val="20"/>
                <w:szCs w:val="20"/>
              </w:rPr>
              <w:t>The financial information from the Company’s Quarterly Report on Form 10-Q for the fiscal quarter ended July </w:t>
            </w:r>
            <w:r>
              <w:rPr>
                <w:rFonts w:eastAsia="Times New Roman"/>
                <w:color w:val="000000"/>
                <w:sz w:val="20"/>
                <w:szCs w:val="20"/>
              </w:rPr>
              <w:t xml:space="preserve">2, 2021 formatted in Inline XBRL (Extensible Business Reporting Language) includes: (i) the Condensed Consolidated Statement of Income, (ii) the Condensed Consolidated Statement of Comprehensive Income, (iii) the Condensed Consolidated Balance Sheet, (iv) </w:t>
            </w:r>
            <w:r>
              <w:rPr>
                <w:rFonts w:eastAsia="Times New Roman"/>
                <w:color w:val="000000"/>
                <w:sz w:val="20"/>
                <w:szCs w:val="20"/>
              </w:rPr>
              <w:t>the Condensed Consolidated Statement of Cash Flows, (v) the Condensed Consolidated Statement of Equity, and (vi) the Notes to the Condensed Consolidated Financial Statements.</w:t>
            </w:r>
          </w:p>
        </w:tc>
      </w:tr>
      <w:tr w:rsidR="00000000">
        <w:trPr>
          <w:divId w:val="1235554638"/>
        </w:trPr>
        <w:tc>
          <w:tcPr>
            <w:tcW w:w="0" w:type="auto"/>
            <w:gridSpan w:val="3"/>
            <w:tcMar>
              <w:top w:w="30" w:type="dxa"/>
              <w:left w:w="20" w:type="dxa"/>
              <w:bottom w:w="30" w:type="dxa"/>
              <w:right w:w="20" w:type="dxa"/>
            </w:tcMar>
            <w:hideMark/>
          </w:tcPr>
          <w:p w:rsidR="00000000" w:rsidRDefault="00B11388">
            <w:pPr>
              <w:spacing w:after="100"/>
              <w:jc w:val="right"/>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Cover Page Interactive Data File formatted in Inline XBRL and contained in Exhibit 101.</w:t>
            </w:r>
          </w:p>
        </w:tc>
      </w:tr>
    </w:tbl>
    <w:p w:rsidR="00000000" w:rsidRDefault="00B11388">
      <w:pPr>
        <w:divId w:val="1681470788"/>
        <w:rPr>
          <w:rFonts w:eastAsia="Times New Roman"/>
        </w:rPr>
      </w:pPr>
      <w:r>
        <w:rPr>
          <w:rFonts w:eastAsia="Times New Roman"/>
          <w:color w:val="000000"/>
          <w:sz w:val="16"/>
          <w:szCs w:val="16"/>
        </w:rPr>
        <w:t>_______________</w:t>
      </w:r>
    </w:p>
    <w:p w:rsidR="00000000" w:rsidRDefault="00B11388">
      <w:pPr>
        <w:ind w:hanging="270"/>
        <w:divId w:val="68188007"/>
        <w:rPr>
          <w:rFonts w:eastAsia="Times New Roman"/>
        </w:rPr>
      </w:pPr>
      <w:r>
        <w:rPr>
          <w:rFonts w:eastAsia="Times New Roman"/>
          <w:color w:val="000000"/>
          <w:sz w:val="16"/>
          <w:szCs w:val="16"/>
        </w:rPr>
        <w:t>*    Management contract or compensatory plan or arrangement</w:t>
      </w:r>
    </w:p>
    <w:p w:rsidR="00000000" w:rsidRDefault="00B11388">
      <w:pPr>
        <w:jc w:val="both"/>
        <w:rPr>
          <w:rFonts w:eastAsia="Times New Roman"/>
        </w:rPr>
      </w:pPr>
    </w:p>
    <w:p w:rsidR="00000000" w:rsidRDefault="00B11388">
      <w:pPr>
        <w:ind w:firstLine="450"/>
        <w:jc w:val="center"/>
        <w:divId w:val="1704860611"/>
        <w:rPr>
          <w:rFonts w:eastAsia="Times New Roman"/>
        </w:rPr>
      </w:pPr>
      <w:r>
        <w:rPr>
          <w:rFonts w:eastAsia="Times New Roman"/>
          <w:color w:val="000000"/>
          <w:sz w:val="20"/>
          <w:szCs w:val="20"/>
        </w:rPr>
        <w:t>44</w:t>
      </w:r>
    </w:p>
    <w:p w:rsidR="00000000" w:rsidRDefault="00B11388">
      <w:pPr>
        <w:rPr>
          <w:rFonts w:eastAsia="Times New Roman"/>
        </w:rPr>
      </w:pPr>
      <w:r>
        <w:rPr>
          <w:rFonts w:eastAsia="Times New Roman"/>
        </w:rPr>
        <w:pict>
          <v:rect id="_x0000_i1071" style="width:0;height:1.5pt" o:hralign="center" o:hrstd="t" o:hr="t" fillcolor="#a0a0a0" stroked="f"/>
        </w:pict>
      </w:r>
    </w:p>
    <w:p w:rsidR="00000000" w:rsidRDefault="00B11388">
      <w:pPr>
        <w:ind w:firstLine="450"/>
        <w:divId w:val="2045054984"/>
        <w:rPr>
          <w:rFonts w:eastAsia="Times New Roman"/>
        </w:rPr>
      </w:pPr>
    </w:p>
    <w:p w:rsidR="00000000" w:rsidRDefault="00B11388">
      <w:pPr>
        <w:ind w:firstLine="450"/>
        <w:divId w:val="424150962"/>
        <w:rPr>
          <w:rFonts w:eastAsia="Times New Roman"/>
        </w:rPr>
      </w:pPr>
    </w:p>
    <w:p w:rsidR="00000000" w:rsidRDefault="00B11388">
      <w:pPr>
        <w:ind w:firstLine="450"/>
        <w:jc w:val="center"/>
        <w:divId w:val="2115634724"/>
        <w:rPr>
          <w:rFonts w:eastAsia="Times New Roman"/>
        </w:rPr>
      </w:pPr>
      <w:r>
        <w:rPr>
          <w:rFonts w:eastAsia="Times New Roman"/>
          <w:b/>
          <w:bCs/>
          <w:color w:val="000000"/>
          <w:sz w:val="20"/>
          <w:szCs w:val="20"/>
        </w:rPr>
        <w:t>SIGNATURE</w:t>
      </w:r>
    </w:p>
    <w:p w:rsidR="00000000" w:rsidRDefault="00B11388">
      <w:pPr>
        <w:ind w:firstLine="450"/>
        <w:divId w:val="61193558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B11388">
      <w:pPr>
        <w:ind w:firstLine="450"/>
        <w:divId w:val="156505714"/>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2257"/>
        <w:gridCol w:w="36"/>
        <w:gridCol w:w="36"/>
        <w:gridCol w:w="155"/>
        <w:gridCol w:w="36"/>
        <w:gridCol w:w="62"/>
        <w:gridCol w:w="275"/>
        <w:gridCol w:w="36"/>
        <w:gridCol w:w="62"/>
        <w:gridCol w:w="798"/>
        <w:gridCol w:w="36"/>
        <w:gridCol w:w="67"/>
        <w:gridCol w:w="283"/>
        <w:gridCol w:w="38"/>
        <w:gridCol w:w="36"/>
        <w:gridCol w:w="155"/>
        <w:gridCol w:w="36"/>
        <w:gridCol w:w="63"/>
        <w:gridCol w:w="3741"/>
        <w:gridCol w:w="36"/>
      </w:tblGrid>
      <w:tr w:rsidR="00000000">
        <w:trPr>
          <w:divId w:val="348070849"/>
        </w:trPr>
        <w:tc>
          <w:tcPr>
            <w:tcW w:w="50" w:type="pct"/>
            <w:vAlign w:val="center"/>
            <w:hideMark/>
          </w:tcPr>
          <w:p w:rsidR="00000000" w:rsidRDefault="00B11388">
            <w:pPr>
              <w:ind w:firstLine="450"/>
              <w:rPr>
                <w:rFonts w:eastAsia="Times New Roman"/>
              </w:rPr>
            </w:pPr>
          </w:p>
        </w:tc>
        <w:tc>
          <w:tcPr>
            <w:tcW w:w="1370"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0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78"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493"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18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106"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c>
          <w:tcPr>
            <w:tcW w:w="50" w:type="pct"/>
            <w:vAlign w:val="center"/>
            <w:hideMark/>
          </w:tcPr>
          <w:p w:rsidR="00000000" w:rsidRDefault="00B11388">
            <w:pPr>
              <w:spacing w:after="100"/>
              <w:rPr>
                <w:rFonts w:eastAsia="Times New Roman"/>
                <w:sz w:val="20"/>
                <w:szCs w:val="20"/>
              </w:rPr>
            </w:pPr>
          </w:p>
        </w:tc>
        <w:tc>
          <w:tcPr>
            <w:tcW w:w="2262" w:type="pct"/>
            <w:vAlign w:val="center"/>
            <w:hideMark/>
          </w:tcPr>
          <w:p w:rsidR="00000000" w:rsidRDefault="00B11388">
            <w:pPr>
              <w:spacing w:after="100"/>
              <w:rPr>
                <w:rFonts w:eastAsia="Times New Roman"/>
                <w:sz w:val="20"/>
                <w:szCs w:val="20"/>
              </w:rPr>
            </w:pPr>
          </w:p>
        </w:tc>
        <w:tc>
          <w:tcPr>
            <w:tcW w:w="5" w:type="pct"/>
            <w:vAlign w:val="center"/>
            <w:hideMark/>
          </w:tcPr>
          <w:p w:rsidR="00000000" w:rsidRDefault="00B11388">
            <w:pPr>
              <w:spacing w:after="100"/>
              <w:rPr>
                <w:rFonts w:eastAsia="Times New Roman"/>
                <w:sz w:val="20"/>
                <w:szCs w:val="20"/>
              </w:rPr>
            </w:pPr>
          </w:p>
        </w:tc>
      </w:tr>
      <w:tr w:rsidR="00000000">
        <w:trPr>
          <w:divId w:val="348070849"/>
          <w:trHeight w:val="30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348070849"/>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L3HARRIS TECHNOLOGIES, INC.</w:t>
            </w:r>
          </w:p>
        </w:tc>
      </w:tr>
      <w:tr w:rsidR="00000000">
        <w:trPr>
          <w:divId w:val="348070849"/>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(Registrant)</w:t>
            </w:r>
          </w:p>
        </w:tc>
      </w:tr>
      <w:tr w:rsidR="00000000">
        <w:trPr>
          <w:divId w:val="348070849"/>
          <w:trHeight w:val="300"/>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B11388">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B11388">
            <w:pPr>
              <w:spacing w:after="100"/>
              <w:rPr>
                <w:rFonts w:eastAsia="Times New Roman"/>
                <w:sz w:val="20"/>
                <w:szCs w:val="20"/>
              </w:rPr>
            </w:pPr>
          </w:p>
        </w:tc>
      </w:tr>
      <w:tr w:rsidR="00000000">
        <w:trPr>
          <w:divId w:val="348070849"/>
        </w:trPr>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Date: August 4, 2021</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/s/ Jesus Malave Jr.</w:t>
            </w:r>
          </w:p>
        </w:tc>
      </w:tr>
      <w:tr w:rsidR="00000000">
        <w:trPr>
          <w:divId w:val="348070849"/>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Jesus Malave Jr.</w:t>
            </w:r>
          </w:p>
        </w:tc>
      </w:tr>
      <w:tr w:rsidR="00000000">
        <w:trPr>
          <w:divId w:val="348070849"/>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11388">
            <w:pPr>
              <w:spacing w:after="100"/>
              <w:rPr>
                <w:rFonts w:eastAsia="Times New Roman"/>
              </w:rPr>
            </w:pPr>
            <w:r>
              <w:rPr>
                <w:rFonts w:eastAsia="Times New Roman"/>
                <w:color w:val="000000"/>
                <w:sz w:val="20"/>
                <w:szCs w:val="20"/>
              </w:rPr>
              <w:t>Senior Vice President and Chief Financial Officer</w:t>
            </w:r>
          </w:p>
        </w:tc>
      </w:tr>
      <w:tr w:rsidR="00000000">
        <w:trPr>
          <w:divId w:val="348070849"/>
        </w:trPr>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1138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11388">
            <w:pPr>
              <w:spacing w:after="100"/>
              <w:rPr>
                <w:rFonts w:eastAsia="Times New Roman"/>
              </w:rPr>
            </w:pPr>
            <w:r>
              <w:rPr>
                <w:rFonts w:eastAsia="Times New Roman"/>
                <w:color w:val="000000"/>
                <w:sz w:val="20"/>
                <w:szCs w:val="20"/>
              </w:rPr>
              <w:t>(principal financial officer and duly authorized officer)</w:t>
            </w:r>
          </w:p>
        </w:tc>
      </w:tr>
    </w:tbl>
    <w:p w:rsidR="00B11388" w:rsidRDefault="00B11388">
      <w:pPr>
        <w:ind w:firstLine="450"/>
        <w:jc w:val="center"/>
        <w:divId w:val="1096899227"/>
        <w:rPr>
          <w:rFonts w:eastAsia="Times New Roman"/>
        </w:rPr>
      </w:pPr>
      <w:r>
        <w:rPr>
          <w:rFonts w:eastAsia="Times New Roman"/>
          <w:color w:val="000000"/>
          <w:sz w:val="20"/>
          <w:szCs w:val="20"/>
        </w:rPr>
        <w:t>45</w:t>
      </w:r>
    </w:p>
    <w:sectPr w:rsidR="00B1138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1388"/>
    <w:rsid w:val="00B11388"/>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13/inlineXBRL"/>
  <w:attachedSchema w:val="http://www.w3.org/1999/xlink"/>
  <w:attachedSchema w:val="http://www.xbrl.org/inlineXBRL/transformation/2015-02-26"/>
  <w:attachedSchema w:val="http://harris.com/20210702"/>
  <w:attachedSchema w:val="http://xbrl.sec.gov/dei/2021"/>
  <w:attachedSchema w:val="http://www.xbrl.org/2003/iso4217"/>
  <w:attachedSchema w:val="http://xbrl.org/2006/xbrldi"/>
  <w:attachedSchema w:val="http://www.xbrl.org/2003/instance"/>
  <w:attachedSchema w:val="http://fasb.org/srt/2021-01-31"/>
  <w:attachedSchema w:val="http://www.xbrl.org/2003/linkbase"/>
  <w:attachedSchema w:val="http://www.sec.gov/inlineXBRL/transformation/2015-08-31"/>
  <w:attachedSchema w:val="http://xbrl.sec.gov/country/20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89">
      <w:marLeft w:val="0"/>
      <w:marRight w:val="0"/>
      <w:marTop w:val="100"/>
      <w:marBottom w:val="100"/>
      <w:divBdr>
        <w:top w:val="none" w:sz="0" w:space="0" w:color="auto"/>
        <w:left w:val="none" w:sz="0" w:space="0" w:color="auto"/>
        <w:bottom w:val="none" w:sz="0" w:space="0" w:color="auto"/>
        <w:right w:val="none" w:sz="0" w:space="0" w:color="auto"/>
      </w:divBdr>
    </w:div>
    <w:div w:id="6373707">
      <w:marLeft w:val="0"/>
      <w:marRight w:val="0"/>
      <w:marTop w:val="100"/>
      <w:marBottom w:val="100"/>
      <w:divBdr>
        <w:top w:val="none" w:sz="0" w:space="0" w:color="auto"/>
        <w:left w:val="none" w:sz="0" w:space="0" w:color="auto"/>
        <w:bottom w:val="none" w:sz="0" w:space="0" w:color="auto"/>
        <w:right w:val="none" w:sz="0" w:space="0" w:color="auto"/>
      </w:divBdr>
    </w:div>
    <w:div w:id="7607469">
      <w:marLeft w:val="0"/>
      <w:marRight w:val="0"/>
      <w:marTop w:val="0"/>
      <w:marBottom w:val="0"/>
      <w:divBdr>
        <w:top w:val="none" w:sz="0" w:space="0" w:color="auto"/>
        <w:left w:val="none" w:sz="0" w:space="0" w:color="auto"/>
        <w:bottom w:val="none" w:sz="0" w:space="0" w:color="auto"/>
        <w:right w:val="none" w:sz="0" w:space="0" w:color="auto"/>
      </w:divBdr>
      <w:divsChild>
        <w:div w:id="130025187">
          <w:marLeft w:val="0"/>
          <w:marRight w:val="0"/>
          <w:marTop w:val="100"/>
          <w:marBottom w:val="100"/>
          <w:divBdr>
            <w:top w:val="none" w:sz="0" w:space="0" w:color="auto"/>
            <w:left w:val="none" w:sz="0" w:space="0" w:color="auto"/>
            <w:bottom w:val="none" w:sz="0" w:space="0" w:color="auto"/>
            <w:right w:val="none" w:sz="0" w:space="0" w:color="auto"/>
          </w:divBdr>
        </w:div>
        <w:div w:id="1033655732">
          <w:marLeft w:val="0"/>
          <w:marRight w:val="0"/>
          <w:marTop w:val="100"/>
          <w:marBottom w:val="100"/>
          <w:divBdr>
            <w:top w:val="none" w:sz="0" w:space="0" w:color="auto"/>
            <w:left w:val="none" w:sz="0" w:space="0" w:color="auto"/>
            <w:bottom w:val="none" w:sz="0" w:space="0" w:color="auto"/>
            <w:right w:val="none" w:sz="0" w:space="0" w:color="auto"/>
          </w:divBdr>
        </w:div>
      </w:divsChild>
    </w:div>
    <w:div w:id="9181790">
      <w:marLeft w:val="0"/>
      <w:marRight w:val="0"/>
      <w:marTop w:val="100"/>
      <w:marBottom w:val="100"/>
      <w:divBdr>
        <w:top w:val="none" w:sz="0" w:space="0" w:color="auto"/>
        <w:left w:val="none" w:sz="0" w:space="0" w:color="auto"/>
        <w:bottom w:val="none" w:sz="0" w:space="0" w:color="auto"/>
        <w:right w:val="none" w:sz="0" w:space="0" w:color="auto"/>
      </w:divBdr>
    </w:div>
    <w:div w:id="10572621">
      <w:marLeft w:val="0"/>
      <w:marRight w:val="0"/>
      <w:marTop w:val="0"/>
      <w:marBottom w:val="0"/>
      <w:divBdr>
        <w:top w:val="none" w:sz="0" w:space="0" w:color="auto"/>
        <w:left w:val="none" w:sz="0" w:space="0" w:color="auto"/>
        <w:bottom w:val="none" w:sz="0" w:space="0" w:color="auto"/>
        <w:right w:val="none" w:sz="0" w:space="0" w:color="auto"/>
      </w:divBdr>
      <w:divsChild>
        <w:div w:id="102002463">
          <w:marLeft w:val="0"/>
          <w:marRight w:val="0"/>
          <w:marTop w:val="100"/>
          <w:marBottom w:val="100"/>
          <w:divBdr>
            <w:top w:val="none" w:sz="0" w:space="0" w:color="auto"/>
            <w:left w:val="none" w:sz="0" w:space="0" w:color="auto"/>
            <w:bottom w:val="none" w:sz="0" w:space="0" w:color="auto"/>
            <w:right w:val="none" w:sz="0" w:space="0" w:color="auto"/>
          </w:divBdr>
        </w:div>
        <w:div w:id="449784261">
          <w:marLeft w:val="0"/>
          <w:marRight w:val="0"/>
          <w:marTop w:val="100"/>
          <w:marBottom w:val="100"/>
          <w:divBdr>
            <w:top w:val="none" w:sz="0" w:space="0" w:color="auto"/>
            <w:left w:val="none" w:sz="0" w:space="0" w:color="auto"/>
            <w:bottom w:val="none" w:sz="0" w:space="0" w:color="auto"/>
            <w:right w:val="none" w:sz="0" w:space="0" w:color="auto"/>
          </w:divBdr>
        </w:div>
      </w:divsChild>
    </w:div>
    <w:div w:id="11104174">
      <w:marLeft w:val="0"/>
      <w:marRight w:val="0"/>
      <w:marTop w:val="100"/>
      <w:marBottom w:val="100"/>
      <w:divBdr>
        <w:top w:val="none" w:sz="0" w:space="0" w:color="auto"/>
        <w:left w:val="none" w:sz="0" w:space="0" w:color="auto"/>
        <w:bottom w:val="none" w:sz="0" w:space="0" w:color="auto"/>
        <w:right w:val="none" w:sz="0" w:space="0" w:color="auto"/>
      </w:divBdr>
    </w:div>
    <w:div w:id="15619691">
      <w:marLeft w:val="0"/>
      <w:marRight w:val="0"/>
      <w:marTop w:val="100"/>
      <w:marBottom w:val="100"/>
      <w:divBdr>
        <w:top w:val="none" w:sz="0" w:space="0" w:color="auto"/>
        <w:left w:val="none" w:sz="0" w:space="0" w:color="auto"/>
        <w:bottom w:val="none" w:sz="0" w:space="0" w:color="auto"/>
        <w:right w:val="none" w:sz="0" w:space="0" w:color="auto"/>
      </w:divBdr>
    </w:div>
    <w:div w:id="20207570">
      <w:marLeft w:val="0"/>
      <w:marRight w:val="0"/>
      <w:marTop w:val="100"/>
      <w:marBottom w:val="100"/>
      <w:divBdr>
        <w:top w:val="none" w:sz="0" w:space="0" w:color="auto"/>
        <w:left w:val="none" w:sz="0" w:space="0" w:color="auto"/>
        <w:bottom w:val="none" w:sz="0" w:space="0" w:color="auto"/>
        <w:right w:val="none" w:sz="0" w:space="0" w:color="auto"/>
      </w:divBdr>
    </w:div>
    <w:div w:id="28914446">
      <w:marLeft w:val="0"/>
      <w:marRight w:val="0"/>
      <w:marTop w:val="100"/>
      <w:marBottom w:val="100"/>
      <w:divBdr>
        <w:top w:val="none" w:sz="0" w:space="0" w:color="auto"/>
        <w:left w:val="none" w:sz="0" w:space="0" w:color="auto"/>
        <w:bottom w:val="none" w:sz="0" w:space="0" w:color="auto"/>
        <w:right w:val="none" w:sz="0" w:space="0" w:color="auto"/>
      </w:divBdr>
    </w:div>
    <w:div w:id="30040014">
      <w:marLeft w:val="0"/>
      <w:marRight w:val="0"/>
      <w:marTop w:val="100"/>
      <w:marBottom w:val="100"/>
      <w:divBdr>
        <w:top w:val="none" w:sz="0" w:space="0" w:color="auto"/>
        <w:left w:val="none" w:sz="0" w:space="0" w:color="auto"/>
        <w:bottom w:val="none" w:sz="0" w:space="0" w:color="auto"/>
        <w:right w:val="none" w:sz="0" w:space="0" w:color="auto"/>
      </w:divBdr>
    </w:div>
    <w:div w:id="36127850">
      <w:marLeft w:val="0"/>
      <w:marRight w:val="0"/>
      <w:marTop w:val="100"/>
      <w:marBottom w:val="100"/>
      <w:divBdr>
        <w:top w:val="none" w:sz="0" w:space="0" w:color="auto"/>
        <w:left w:val="none" w:sz="0" w:space="0" w:color="auto"/>
        <w:bottom w:val="none" w:sz="0" w:space="0" w:color="auto"/>
        <w:right w:val="none" w:sz="0" w:space="0" w:color="auto"/>
      </w:divBdr>
    </w:div>
    <w:div w:id="46071965">
      <w:marLeft w:val="0"/>
      <w:marRight w:val="0"/>
      <w:marTop w:val="0"/>
      <w:marBottom w:val="0"/>
      <w:divBdr>
        <w:top w:val="none" w:sz="0" w:space="0" w:color="auto"/>
        <w:left w:val="none" w:sz="0" w:space="0" w:color="auto"/>
        <w:bottom w:val="none" w:sz="0" w:space="0" w:color="auto"/>
        <w:right w:val="none" w:sz="0" w:space="0" w:color="auto"/>
      </w:divBdr>
    </w:div>
    <w:div w:id="51345131">
      <w:marLeft w:val="0"/>
      <w:marRight w:val="0"/>
      <w:marTop w:val="100"/>
      <w:marBottom w:val="100"/>
      <w:divBdr>
        <w:top w:val="none" w:sz="0" w:space="0" w:color="auto"/>
        <w:left w:val="none" w:sz="0" w:space="0" w:color="auto"/>
        <w:bottom w:val="none" w:sz="0" w:space="0" w:color="auto"/>
        <w:right w:val="none" w:sz="0" w:space="0" w:color="auto"/>
      </w:divBdr>
    </w:div>
    <w:div w:id="52899650">
      <w:marLeft w:val="0"/>
      <w:marRight w:val="0"/>
      <w:marTop w:val="60"/>
      <w:marBottom w:val="0"/>
      <w:divBdr>
        <w:top w:val="none" w:sz="0" w:space="0" w:color="auto"/>
        <w:left w:val="none" w:sz="0" w:space="0" w:color="auto"/>
        <w:bottom w:val="none" w:sz="0" w:space="0" w:color="auto"/>
        <w:right w:val="none" w:sz="0" w:space="0" w:color="auto"/>
      </w:divBdr>
    </w:div>
    <w:div w:id="58285501">
      <w:marLeft w:val="0"/>
      <w:marRight w:val="0"/>
      <w:marTop w:val="0"/>
      <w:marBottom w:val="0"/>
      <w:divBdr>
        <w:top w:val="none" w:sz="0" w:space="0" w:color="auto"/>
        <w:left w:val="none" w:sz="0" w:space="0" w:color="auto"/>
        <w:bottom w:val="none" w:sz="0" w:space="0" w:color="auto"/>
        <w:right w:val="none" w:sz="0" w:space="0" w:color="auto"/>
      </w:divBdr>
    </w:div>
    <w:div w:id="61220033">
      <w:marLeft w:val="0"/>
      <w:marRight w:val="0"/>
      <w:marTop w:val="100"/>
      <w:marBottom w:val="100"/>
      <w:divBdr>
        <w:top w:val="none" w:sz="0" w:space="0" w:color="auto"/>
        <w:left w:val="none" w:sz="0" w:space="0" w:color="auto"/>
        <w:bottom w:val="none" w:sz="0" w:space="0" w:color="auto"/>
        <w:right w:val="none" w:sz="0" w:space="0" w:color="auto"/>
      </w:divBdr>
    </w:div>
    <w:div w:id="68188007">
      <w:marLeft w:val="0"/>
      <w:marRight w:val="0"/>
      <w:marTop w:val="0"/>
      <w:marBottom w:val="0"/>
      <w:divBdr>
        <w:top w:val="none" w:sz="0" w:space="0" w:color="auto"/>
        <w:left w:val="none" w:sz="0" w:space="0" w:color="auto"/>
        <w:bottom w:val="none" w:sz="0" w:space="0" w:color="auto"/>
        <w:right w:val="none" w:sz="0" w:space="0" w:color="auto"/>
      </w:divBdr>
    </w:div>
    <w:div w:id="75132264">
      <w:marLeft w:val="0"/>
      <w:marRight w:val="0"/>
      <w:marTop w:val="0"/>
      <w:marBottom w:val="0"/>
      <w:divBdr>
        <w:top w:val="none" w:sz="0" w:space="0" w:color="auto"/>
        <w:left w:val="none" w:sz="0" w:space="0" w:color="auto"/>
        <w:bottom w:val="none" w:sz="0" w:space="0" w:color="auto"/>
        <w:right w:val="none" w:sz="0" w:space="0" w:color="auto"/>
      </w:divBdr>
    </w:div>
    <w:div w:id="76287240">
      <w:marLeft w:val="0"/>
      <w:marRight w:val="0"/>
      <w:marTop w:val="0"/>
      <w:marBottom w:val="0"/>
      <w:divBdr>
        <w:top w:val="none" w:sz="0" w:space="0" w:color="auto"/>
        <w:left w:val="none" w:sz="0" w:space="0" w:color="auto"/>
        <w:bottom w:val="none" w:sz="0" w:space="0" w:color="auto"/>
        <w:right w:val="none" w:sz="0" w:space="0" w:color="auto"/>
      </w:divBdr>
      <w:divsChild>
        <w:div w:id="885994106">
          <w:marLeft w:val="0"/>
          <w:marRight w:val="0"/>
          <w:marTop w:val="0"/>
          <w:marBottom w:val="0"/>
          <w:divBdr>
            <w:top w:val="none" w:sz="0" w:space="0" w:color="auto"/>
            <w:left w:val="none" w:sz="0" w:space="0" w:color="auto"/>
            <w:bottom w:val="none" w:sz="0" w:space="0" w:color="auto"/>
            <w:right w:val="none" w:sz="0" w:space="0" w:color="auto"/>
          </w:divBdr>
          <w:divsChild>
            <w:div w:id="19841953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6875853">
      <w:marLeft w:val="0"/>
      <w:marRight w:val="0"/>
      <w:marTop w:val="100"/>
      <w:marBottom w:val="100"/>
      <w:divBdr>
        <w:top w:val="none" w:sz="0" w:space="0" w:color="auto"/>
        <w:left w:val="none" w:sz="0" w:space="0" w:color="auto"/>
        <w:bottom w:val="none" w:sz="0" w:space="0" w:color="auto"/>
        <w:right w:val="none" w:sz="0" w:space="0" w:color="auto"/>
      </w:divBdr>
    </w:div>
    <w:div w:id="76944580">
      <w:marLeft w:val="0"/>
      <w:marRight w:val="0"/>
      <w:marTop w:val="0"/>
      <w:marBottom w:val="0"/>
      <w:divBdr>
        <w:top w:val="none" w:sz="0" w:space="0" w:color="auto"/>
        <w:left w:val="none" w:sz="0" w:space="0" w:color="auto"/>
        <w:bottom w:val="none" w:sz="0" w:space="0" w:color="auto"/>
        <w:right w:val="none" w:sz="0" w:space="0" w:color="auto"/>
      </w:divBdr>
    </w:div>
    <w:div w:id="77294560">
      <w:marLeft w:val="0"/>
      <w:marRight w:val="0"/>
      <w:marTop w:val="0"/>
      <w:marBottom w:val="0"/>
      <w:divBdr>
        <w:top w:val="none" w:sz="0" w:space="0" w:color="auto"/>
        <w:left w:val="none" w:sz="0" w:space="0" w:color="auto"/>
        <w:bottom w:val="none" w:sz="0" w:space="0" w:color="auto"/>
        <w:right w:val="none" w:sz="0" w:space="0" w:color="auto"/>
      </w:divBdr>
      <w:divsChild>
        <w:div w:id="1846897756">
          <w:marLeft w:val="0"/>
          <w:marRight w:val="0"/>
          <w:marTop w:val="100"/>
          <w:marBottom w:val="100"/>
          <w:divBdr>
            <w:top w:val="none" w:sz="0" w:space="0" w:color="auto"/>
            <w:left w:val="none" w:sz="0" w:space="0" w:color="auto"/>
            <w:bottom w:val="none" w:sz="0" w:space="0" w:color="auto"/>
            <w:right w:val="none" w:sz="0" w:space="0" w:color="auto"/>
          </w:divBdr>
        </w:div>
        <w:div w:id="985352254">
          <w:marLeft w:val="0"/>
          <w:marRight w:val="0"/>
          <w:marTop w:val="100"/>
          <w:marBottom w:val="100"/>
          <w:divBdr>
            <w:top w:val="none" w:sz="0" w:space="0" w:color="auto"/>
            <w:left w:val="none" w:sz="0" w:space="0" w:color="auto"/>
            <w:bottom w:val="none" w:sz="0" w:space="0" w:color="auto"/>
            <w:right w:val="none" w:sz="0" w:space="0" w:color="auto"/>
          </w:divBdr>
        </w:div>
      </w:divsChild>
    </w:div>
    <w:div w:id="78447259">
      <w:marLeft w:val="0"/>
      <w:marRight w:val="0"/>
      <w:marTop w:val="0"/>
      <w:marBottom w:val="0"/>
      <w:divBdr>
        <w:top w:val="none" w:sz="0" w:space="0" w:color="auto"/>
        <w:left w:val="none" w:sz="0" w:space="0" w:color="auto"/>
        <w:bottom w:val="none" w:sz="0" w:space="0" w:color="auto"/>
        <w:right w:val="none" w:sz="0" w:space="0" w:color="auto"/>
      </w:divBdr>
    </w:div>
    <w:div w:id="88501763">
      <w:marLeft w:val="0"/>
      <w:marRight w:val="0"/>
      <w:marTop w:val="0"/>
      <w:marBottom w:val="0"/>
      <w:divBdr>
        <w:top w:val="none" w:sz="0" w:space="0" w:color="auto"/>
        <w:left w:val="none" w:sz="0" w:space="0" w:color="auto"/>
        <w:bottom w:val="none" w:sz="0" w:space="0" w:color="auto"/>
        <w:right w:val="none" w:sz="0" w:space="0" w:color="auto"/>
      </w:divBdr>
      <w:divsChild>
        <w:div w:id="1879315844">
          <w:marLeft w:val="0"/>
          <w:marRight w:val="0"/>
          <w:marTop w:val="0"/>
          <w:marBottom w:val="0"/>
          <w:divBdr>
            <w:top w:val="none" w:sz="0" w:space="0" w:color="auto"/>
            <w:left w:val="none" w:sz="0" w:space="0" w:color="auto"/>
            <w:bottom w:val="none" w:sz="0" w:space="0" w:color="auto"/>
            <w:right w:val="none" w:sz="0" w:space="0" w:color="auto"/>
          </w:divBdr>
          <w:divsChild>
            <w:div w:id="1097889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9937972">
      <w:marLeft w:val="0"/>
      <w:marRight w:val="0"/>
      <w:marTop w:val="100"/>
      <w:marBottom w:val="100"/>
      <w:divBdr>
        <w:top w:val="none" w:sz="0" w:space="0" w:color="auto"/>
        <w:left w:val="none" w:sz="0" w:space="0" w:color="auto"/>
        <w:bottom w:val="none" w:sz="0" w:space="0" w:color="auto"/>
        <w:right w:val="none" w:sz="0" w:space="0" w:color="auto"/>
      </w:divBdr>
    </w:div>
    <w:div w:id="93325037">
      <w:marLeft w:val="0"/>
      <w:marRight w:val="0"/>
      <w:marTop w:val="100"/>
      <w:marBottom w:val="100"/>
      <w:divBdr>
        <w:top w:val="none" w:sz="0" w:space="0" w:color="auto"/>
        <w:left w:val="none" w:sz="0" w:space="0" w:color="auto"/>
        <w:bottom w:val="none" w:sz="0" w:space="0" w:color="auto"/>
        <w:right w:val="none" w:sz="0" w:space="0" w:color="auto"/>
      </w:divBdr>
    </w:div>
    <w:div w:id="94641154">
      <w:marLeft w:val="0"/>
      <w:marRight w:val="0"/>
      <w:marTop w:val="0"/>
      <w:marBottom w:val="0"/>
      <w:divBdr>
        <w:top w:val="none" w:sz="0" w:space="0" w:color="auto"/>
        <w:left w:val="none" w:sz="0" w:space="0" w:color="auto"/>
        <w:bottom w:val="none" w:sz="0" w:space="0" w:color="auto"/>
        <w:right w:val="none" w:sz="0" w:space="0" w:color="auto"/>
      </w:divBdr>
    </w:div>
    <w:div w:id="98452226">
      <w:marLeft w:val="0"/>
      <w:marRight w:val="0"/>
      <w:marTop w:val="0"/>
      <w:marBottom w:val="0"/>
      <w:divBdr>
        <w:top w:val="none" w:sz="0" w:space="0" w:color="auto"/>
        <w:left w:val="none" w:sz="0" w:space="0" w:color="auto"/>
        <w:bottom w:val="none" w:sz="0" w:space="0" w:color="auto"/>
        <w:right w:val="none" w:sz="0" w:space="0" w:color="auto"/>
      </w:divBdr>
    </w:div>
    <w:div w:id="98528114">
      <w:marLeft w:val="0"/>
      <w:marRight w:val="0"/>
      <w:marTop w:val="0"/>
      <w:marBottom w:val="0"/>
      <w:divBdr>
        <w:top w:val="none" w:sz="0" w:space="0" w:color="auto"/>
        <w:left w:val="none" w:sz="0" w:space="0" w:color="auto"/>
        <w:bottom w:val="none" w:sz="0" w:space="0" w:color="auto"/>
        <w:right w:val="none" w:sz="0" w:space="0" w:color="auto"/>
      </w:divBdr>
    </w:div>
    <w:div w:id="100272304">
      <w:marLeft w:val="0"/>
      <w:marRight w:val="0"/>
      <w:marTop w:val="100"/>
      <w:marBottom w:val="100"/>
      <w:divBdr>
        <w:top w:val="none" w:sz="0" w:space="0" w:color="auto"/>
        <w:left w:val="none" w:sz="0" w:space="0" w:color="auto"/>
        <w:bottom w:val="none" w:sz="0" w:space="0" w:color="auto"/>
        <w:right w:val="none" w:sz="0" w:space="0" w:color="auto"/>
      </w:divBdr>
    </w:div>
    <w:div w:id="101456538">
      <w:marLeft w:val="0"/>
      <w:marRight w:val="0"/>
      <w:marTop w:val="0"/>
      <w:marBottom w:val="0"/>
      <w:divBdr>
        <w:top w:val="none" w:sz="0" w:space="0" w:color="auto"/>
        <w:left w:val="none" w:sz="0" w:space="0" w:color="auto"/>
        <w:bottom w:val="none" w:sz="0" w:space="0" w:color="auto"/>
        <w:right w:val="none" w:sz="0" w:space="0" w:color="auto"/>
      </w:divBdr>
    </w:div>
    <w:div w:id="110826586">
      <w:marLeft w:val="0"/>
      <w:marRight w:val="0"/>
      <w:marTop w:val="0"/>
      <w:marBottom w:val="0"/>
      <w:divBdr>
        <w:top w:val="none" w:sz="0" w:space="0" w:color="auto"/>
        <w:left w:val="none" w:sz="0" w:space="0" w:color="auto"/>
        <w:bottom w:val="none" w:sz="0" w:space="0" w:color="auto"/>
        <w:right w:val="none" w:sz="0" w:space="0" w:color="auto"/>
      </w:divBdr>
      <w:divsChild>
        <w:div w:id="1835098663">
          <w:marLeft w:val="0"/>
          <w:marRight w:val="0"/>
          <w:marTop w:val="0"/>
          <w:marBottom w:val="0"/>
          <w:divBdr>
            <w:top w:val="none" w:sz="0" w:space="0" w:color="auto"/>
            <w:left w:val="none" w:sz="0" w:space="0" w:color="auto"/>
            <w:bottom w:val="none" w:sz="0" w:space="0" w:color="auto"/>
            <w:right w:val="none" w:sz="0" w:space="0" w:color="auto"/>
          </w:divBdr>
          <w:divsChild>
            <w:div w:id="9648896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3520614">
      <w:marLeft w:val="0"/>
      <w:marRight w:val="0"/>
      <w:marTop w:val="100"/>
      <w:marBottom w:val="100"/>
      <w:divBdr>
        <w:top w:val="none" w:sz="0" w:space="0" w:color="auto"/>
        <w:left w:val="none" w:sz="0" w:space="0" w:color="auto"/>
        <w:bottom w:val="none" w:sz="0" w:space="0" w:color="auto"/>
        <w:right w:val="none" w:sz="0" w:space="0" w:color="auto"/>
      </w:divBdr>
    </w:div>
    <w:div w:id="115802781">
      <w:marLeft w:val="0"/>
      <w:marRight w:val="0"/>
      <w:marTop w:val="100"/>
      <w:marBottom w:val="100"/>
      <w:divBdr>
        <w:top w:val="none" w:sz="0" w:space="0" w:color="auto"/>
        <w:left w:val="none" w:sz="0" w:space="0" w:color="auto"/>
        <w:bottom w:val="none" w:sz="0" w:space="0" w:color="auto"/>
        <w:right w:val="none" w:sz="0" w:space="0" w:color="auto"/>
      </w:divBdr>
    </w:div>
    <w:div w:id="118257058">
      <w:marLeft w:val="0"/>
      <w:marRight w:val="0"/>
      <w:marTop w:val="80"/>
      <w:marBottom w:val="100"/>
      <w:divBdr>
        <w:top w:val="none" w:sz="0" w:space="0" w:color="auto"/>
        <w:left w:val="none" w:sz="0" w:space="0" w:color="auto"/>
        <w:bottom w:val="none" w:sz="0" w:space="0" w:color="auto"/>
        <w:right w:val="none" w:sz="0" w:space="0" w:color="auto"/>
      </w:divBdr>
    </w:div>
    <w:div w:id="119304780">
      <w:marLeft w:val="0"/>
      <w:marRight w:val="0"/>
      <w:marTop w:val="100"/>
      <w:marBottom w:val="100"/>
      <w:divBdr>
        <w:top w:val="none" w:sz="0" w:space="0" w:color="auto"/>
        <w:left w:val="none" w:sz="0" w:space="0" w:color="auto"/>
        <w:bottom w:val="none" w:sz="0" w:space="0" w:color="auto"/>
        <w:right w:val="none" w:sz="0" w:space="0" w:color="auto"/>
      </w:divBdr>
    </w:div>
    <w:div w:id="120804457">
      <w:marLeft w:val="0"/>
      <w:marRight w:val="0"/>
      <w:marTop w:val="100"/>
      <w:marBottom w:val="100"/>
      <w:divBdr>
        <w:top w:val="none" w:sz="0" w:space="0" w:color="auto"/>
        <w:left w:val="none" w:sz="0" w:space="0" w:color="auto"/>
        <w:bottom w:val="none" w:sz="0" w:space="0" w:color="auto"/>
        <w:right w:val="none" w:sz="0" w:space="0" w:color="auto"/>
      </w:divBdr>
    </w:div>
    <w:div w:id="122505662">
      <w:marLeft w:val="0"/>
      <w:marRight w:val="0"/>
      <w:marTop w:val="0"/>
      <w:marBottom w:val="0"/>
      <w:divBdr>
        <w:top w:val="none" w:sz="0" w:space="0" w:color="auto"/>
        <w:left w:val="none" w:sz="0" w:space="0" w:color="auto"/>
        <w:bottom w:val="none" w:sz="0" w:space="0" w:color="auto"/>
        <w:right w:val="none" w:sz="0" w:space="0" w:color="auto"/>
      </w:divBdr>
      <w:divsChild>
        <w:div w:id="1642543166">
          <w:marLeft w:val="0"/>
          <w:marRight w:val="0"/>
          <w:marTop w:val="100"/>
          <w:marBottom w:val="100"/>
          <w:divBdr>
            <w:top w:val="none" w:sz="0" w:space="0" w:color="auto"/>
            <w:left w:val="none" w:sz="0" w:space="0" w:color="auto"/>
            <w:bottom w:val="none" w:sz="0" w:space="0" w:color="auto"/>
            <w:right w:val="none" w:sz="0" w:space="0" w:color="auto"/>
          </w:divBdr>
        </w:div>
        <w:div w:id="1243224485">
          <w:marLeft w:val="0"/>
          <w:marRight w:val="0"/>
          <w:marTop w:val="100"/>
          <w:marBottom w:val="100"/>
          <w:divBdr>
            <w:top w:val="none" w:sz="0" w:space="0" w:color="auto"/>
            <w:left w:val="none" w:sz="0" w:space="0" w:color="auto"/>
            <w:bottom w:val="none" w:sz="0" w:space="0" w:color="auto"/>
            <w:right w:val="none" w:sz="0" w:space="0" w:color="auto"/>
          </w:divBdr>
        </w:div>
        <w:div w:id="1530292731">
          <w:marLeft w:val="0"/>
          <w:marRight w:val="0"/>
          <w:marTop w:val="100"/>
          <w:marBottom w:val="100"/>
          <w:divBdr>
            <w:top w:val="none" w:sz="0" w:space="0" w:color="auto"/>
            <w:left w:val="none" w:sz="0" w:space="0" w:color="auto"/>
            <w:bottom w:val="none" w:sz="0" w:space="0" w:color="auto"/>
            <w:right w:val="none" w:sz="0" w:space="0" w:color="auto"/>
          </w:divBdr>
        </w:div>
        <w:div w:id="1863668602">
          <w:marLeft w:val="0"/>
          <w:marRight w:val="0"/>
          <w:marTop w:val="100"/>
          <w:marBottom w:val="100"/>
          <w:divBdr>
            <w:top w:val="none" w:sz="0" w:space="0" w:color="auto"/>
            <w:left w:val="none" w:sz="0" w:space="0" w:color="auto"/>
            <w:bottom w:val="none" w:sz="0" w:space="0" w:color="auto"/>
            <w:right w:val="none" w:sz="0" w:space="0" w:color="auto"/>
          </w:divBdr>
        </w:div>
      </w:divsChild>
    </w:div>
    <w:div w:id="123472519">
      <w:marLeft w:val="0"/>
      <w:marRight w:val="0"/>
      <w:marTop w:val="60"/>
      <w:marBottom w:val="0"/>
      <w:divBdr>
        <w:top w:val="none" w:sz="0" w:space="0" w:color="auto"/>
        <w:left w:val="none" w:sz="0" w:space="0" w:color="auto"/>
        <w:bottom w:val="none" w:sz="0" w:space="0" w:color="auto"/>
        <w:right w:val="none" w:sz="0" w:space="0" w:color="auto"/>
      </w:divBdr>
    </w:div>
    <w:div w:id="123889582">
      <w:marLeft w:val="0"/>
      <w:marRight w:val="0"/>
      <w:marTop w:val="0"/>
      <w:marBottom w:val="0"/>
      <w:divBdr>
        <w:top w:val="none" w:sz="0" w:space="0" w:color="auto"/>
        <w:left w:val="none" w:sz="0" w:space="0" w:color="auto"/>
        <w:bottom w:val="none" w:sz="0" w:space="0" w:color="auto"/>
        <w:right w:val="none" w:sz="0" w:space="0" w:color="auto"/>
      </w:divBdr>
    </w:div>
    <w:div w:id="124390343">
      <w:marLeft w:val="0"/>
      <w:marRight w:val="0"/>
      <w:marTop w:val="0"/>
      <w:marBottom w:val="0"/>
      <w:divBdr>
        <w:top w:val="none" w:sz="0" w:space="0" w:color="auto"/>
        <w:left w:val="none" w:sz="0" w:space="0" w:color="auto"/>
        <w:bottom w:val="none" w:sz="0" w:space="0" w:color="auto"/>
        <w:right w:val="none" w:sz="0" w:space="0" w:color="auto"/>
      </w:divBdr>
      <w:divsChild>
        <w:div w:id="1249119737">
          <w:marLeft w:val="0"/>
          <w:marRight w:val="0"/>
          <w:marTop w:val="100"/>
          <w:marBottom w:val="100"/>
          <w:divBdr>
            <w:top w:val="none" w:sz="0" w:space="0" w:color="auto"/>
            <w:left w:val="none" w:sz="0" w:space="0" w:color="auto"/>
            <w:bottom w:val="none" w:sz="0" w:space="0" w:color="auto"/>
            <w:right w:val="none" w:sz="0" w:space="0" w:color="auto"/>
          </w:divBdr>
        </w:div>
        <w:div w:id="268855747">
          <w:marLeft w:val="0"/>
          <w:marRight w:val="0"/>
          <w:marTop w:val="100"/>
          <w:marBottom w:val="100"/>
          <w:divBdr>
            <w:top w:val="none" w:sz="0" w:space="0" w:color="auto"/>
            <w:left w:val="none" w:sz="0" w:space="0" w:color="auto"/>
            <w:bottom w:val="none" w:sz="0" w:space="0" w:color="auto"/>
            <w:right w:val="none" w:sz="0" w:space="0" w:color="auto"/>
          </w:divBdr>
        </w:div>
      </w:divsChild>
    </w:div>
    <w:div w:id="127020330">
      <w:marLeft w:val="0"/>
      <w:marRight w:val="0"/>
      <w:marTop w:val="0"/>
      <w:marBottom w:val="0"/>
      <w:divBdr>
        <w:top w:val="none" w:sz="0" w:space="0" w:color="auto"/>
        <w:left w:val="none" w:sz="0" w:space="0" w:color="auto"/>
        <w:bottom w:val="none" w:sz="0" w:space="0" w:color="auto"/>
        <w:right w:val="none" w:sz="0" w:space="0" w:color="auto"/>
      </w:divBdr>
      <w:divsChild>
        <w:div w:id="583800575">
          <w:marLeft w:val="0"/>
          <w:marRight w:val="0"/>
          <w:marTop w:val="100"/>
          <w:marBottom w:val="100"/>
          <w:divBdr>
            <w:top w:val="none" w:sz="0" w:space="0" w:color="auto"/>
            <w:left w:val="none" w:sz="0" w:space="0" w:color="auto"/>
            <w:bottom w:val="none" w:sz="0" w:space="0" w:color="auto"/>
            <w:right w:val="none" w:sz="0" w:space="0" w:color="auto"/>
          </w:divBdr>
        </w:div>
        <w:div w:id="906768100">
          <w:marLeft w:val="0"/>
          <w:marRight w:val="0"/>
          <w:marTop w:val="100"/>
          <w:marBottom w:val="100"/>
          <w:divBdr>
            <w:top w:val="none" w:sz="0" w:space="0" w:color="auto"/>
            <w:left w:val="none" w:sz="0" w:space="0" w:color="auto"/>
            <w:bottom w:val="none" w:sz="0" w:space="0" w:color="auto"/>
            <w:right w:val="none" w:sz="0" w:space="0" w:color="auto"/>
          </w:divBdr>
        </w:div>
      </w:divsChild>
    </w:div>
    <w:div w:id="127357689">
      <w:marLeft w:val="0"/>
      <w:marRight w:val="0"/>
      <w:marTop w:val="0"/>
      <w:marBottom w:val="0"/>
      <w:divBdr>
        <w:top w:val="none" w:sz="0" w:space="0" w:color="auto"/>
        <w:left w:val="none" w:sz="0" w:space="0" w:color="auto"/>
        <w:bottom w:val="none" w:sz="0" w:space="0" w:color="auto"/>
        <w:right w:val="none" w:sz="0" w:space="0" w:color="auto"/>
      </w:divBdr>
    </w:div>
    <w:div w:id="136802697">
      <w:marLeft w:val="0"/>
      <w:marRight w:val="0"/>
      <w:marTop w:val="100"/>
      <w:marBottom w:val="100"/>
      <w:divBdr>
        <w:top w:val="none" w:sz="0" w:space="0" w:color="auto"/>
        <w:left w:val="none" w:sz="0" w:space="0" w:color="auto"/>
        <w:bottom w:val="none" w:sz="0" w:space="0" w:color="auto"/>
        <w:right w:val="none" w:sz="0" w:space="0" w:color="auto"/>
      </w:divBdr>
    </w:div>
    <w:div w:id="141195371">
      <w:marLeft w:val="0"/>
      <w:marRight w:val="0"/>
      <w:marTop w:val="180"/>
      <w:marBottom w:val="100"/>
      <w:divBdr>
        <w:top w:val="none" w:sz="0" w:space="0" w:color="auto"/>
        <w:left w:val="none" w:sz="0" w:space="0" w:color="auto"/>
        <w:bottom w:val="none" w:sz="0" w:space="0" w:color="auto"/>
        <w:right w:val="none" w:sz="0" w:space="0" w:color="auto"/>
      </w:divBdr>
      <w:divsChild>
        <w:div w:id="1635865467">
          <w:marLeft w:val="0"/>
          <w:marRight w:val="0"/>
          <w:marTop w:val="0"/>
          <w:marBottom w:val="0"/>
          <w:divBdr>
            <w:top w:val="none" w:sz="0" w:space="0" w:color="auto"/>
            <w:left w:val="none" w:sz="0" w:space="0" w:color="auto"/>
            <w:bottom w:val="none" w:sz="0" w:space="0" w:color="auto"/>
            <w:right w:val="none" w:sz="0" w:space="0" w:color="auto"/>
          </w:divBdr>
        </w:div>
        <w:div w:id="666177951">
          <w:marLeft w:val="0"/>
          <w:marRight w:val="0"/>
          <w:marTop w:val="0"/>
          <w:marBottom w:val="0"/>
          <w:divBdr>
            <w:top w:val="none" w:sz="0" w:space="0" w:color="auto"/>
            <w:left w:val="none" w:sz="0" w:space="0" w:color="auto"/>
            <w:bottom w:val="none" w:sz="0" w:space="0" w:color="auto"/>
            <w:right w:val="none" w:sz="0" w:space="0" w:color="auto"/>
          </w:divBdr>
        </w:div>
        <w:div w:id="91247027">
          <w:marLeft w:val="0"/>
          <w:marRight w:val="0"/>
          <w:marTop w:val="0"/>
          <w:marBottom w:val="0"/>
          <w:divBdr>
            <w:top w:val="none" w:sz="0" w:space="0" w:color="auto"/>
            <w:left w:val="none" w:sz="0" w:space="0" w:color="auto"/>
            <w:bottom w:val="none" w:sz="0" w:space="0" w:color="auto"/>
            <w:right w:val="none" w:sz="0" w:space="0" w:color="auto"/>
          </w:divBdr>
        </w:div>
        <w:div w:id="1889028978">
          <w:marLeft w:val="0"/>
          <w:marRight w:val="0"/>
          <w:marTop w:val="0"/>
          <w:marBottom w:val="0"/>
          <w:divBdr>
            <w:top w:val="none" w:sz="0" w:space="0" w:color="auto"/>
            <w:left w:val="none" w:sz="0" w:space="0" w:color="auto"/>
            <w:bottom w:val="none" w:sz="0" w:space="0" w:color="auto"/>
            <w:right w:val="none" w:sz="0" w:space="0" w:color="auto"/>
          </w:divBdr>
        </w:div>
      </w:divsChild>
    </w:div>
    <w:div w:id="141846535">
      <w:marLeft w:val="0"/>
      <w:marRight w:val="0"/>
      <w:marTop w:val="0"/>
      <w:marBottom w:val="0"/>
      <w:divBdr>
        <w:top w:val="none" w:sz="0" w:space="0" w:color="auto"/>
        <w:left w:val="none" w:sz="0" w:space="0" w:color="auto"/>
        <w:bottom w:val="none" w:sz="0" w:space="0" w:color="auto"/>
        <w:right w:val="none" w:sz="0" w:space="0" w:color="auto"/>
      </w:divBdr>
    </w:div>
    <w:div w:id="150879189">
      <w:marLeft w:val="0"/>
      <w:marRight w:val="0"/>
      <w:marTop w:val="0"/>
      <w:marBottom w:val="0"/>
      <w:divBdr>
        <w:top w:val="none" w:sz="0" w:space="0" w:color="auto"/>
        <w:left w:val="none" w:sz="0" w:space="0" w:color="auto"/>
        <w:bottom w:val="none" w:sz="0" w:space="0" w:color="auto"/>
        <w:right w:val="none" w:sz="0" w:space="0" w:color="auto"/>
      </w:divBdr>
    </w:div>
    <w:div w:id="152532581">
      <w:marLeft w:val="0"/>
      <w:marRight w:val="0"/>
      <w:marTop w:val="180"/>
      <w:marBottom w:val="0"/>
      <w:divBdr>
        <w:top w:val="none" w:sz="0" w:space="0" w:color="auto"/>
        <w:left w:val="none" w:sz="0" w:space="0" w:color="auto"/>
        <w:bottom w:val="none" w:sz="0" w:space="0" w:color="auto"/>
        <w:right w:val="none" w:sz="0" w:space="0" w:color="auto"/>
      </w:divBdr>
    </w:div>
    <w:div w:id="156505714">
      <w:marLeft w:val="0"/>
      <w:marRight w:val="0"/>
      <w:marTop w:val="100"/>
      <w:marBottom w:val="100"/>
      <w:divBdr>
        <w:top w:val="none" w:sz="0" w:space="0" w:color="auto"/>
        <w:left w:val="none" w:sz="0" w:space="0" w:color="auto"/>
        <w:bottom w:val="none" w:sz="0" w:space="0" w:color="auto"/>
        <w:right w:val="none" w:sz="0" w:space="0" w:color="auto"/>
      </w:divBdr>
    </w:div>
    <w:div w:id="157578417">
      <w:marLeft w:val="0"/>
      <w:marRight w:val="0"/>
      <w:marTop w:val="0"/>
      <w:marBottom w:val="0"/>
      <w:divBdr>
        <w:top w:val="none" w:sz="0" w:space="0" w:color="auto"/>
        <w:left w:val="none" w:sz="0" w:space="0" w:color="auto"/>
        <w:bottom w:val="none" w:sz="0" w:space="0" w:color="auto"/>
        <w:right w:val="none" w:sz="0" w:space="0" w:color="auto"/>
      </w:divBdr>
      <w:divsChild>
        <w:div w:id="337661009">
          <w:marLeft w:val="0"/>
          <w:marRight w:val="0"/>
          <w:marTop w:val="100"/>
          <w:marBottom w:val="100"/>
          <w:divBdr>
            <w:top w:val="none" w:sz="0" w:space="0" w:color="auto"/>
            <w:left w:val="none" w:sz="0" w:space="0" w:color="auto"/>
            <w:bottom w:val="none" w:sz="0" w:space="0" w:color="auto"/>
            <w:right w:val="none" w:sz="0" w:space="0" w:color="auto"/>
          </w:divBdr>
        </w:div>
        <w:div w:id="1532106610">
          <w:marLeft w:val="0"/>
          <w:marRight w:val="0"/>
          <w:marTop w:val="100"/>
          <w:marBottom w:val="100"/>
          <w:divBdr>
            <w:top w:val="none" w:sz="0" w:space="0" w:color="auto"/>
            <w:left w:val="none" w:sz="0" w:space="0" w:color="auto"/>
            <w:bottom w:val="none" w:sz="0" w:space="0" w:color="auto"/>
            <w:right w:val="none" w:sz="0" w:space="0" w:color="auto"/>
          </w:divBdr>
        </w:div>
      </w:divsChild>
    </w:div>
    <w:div w:id="158235539">
      <w:marLeft w:val="0"/>
      <w:marRight w:val="0"/>
      <w:marTop w:val="0"/>
      <w:marBottom w:val="0"/>
      <w:divBdr>
        <w:top w:val="none" w:sz="0" w:space="0" w:color="auto"/>
        <w:left w:val="none" w:sz="0" w:space="0" w:color="auto"/>
        <w:bottom w:val="none" w:sz="0" w:space="0" w:color="auto"/>
        <w:right w:val="none" w:sz="0" w:space="0" w:color="auto"/>
      </w:divBdr>
    </w:div>
    <w:div w:id="163521423">
      <w:marLeft w:val="0"/>
      <w:marRight w:val="0"/>
      <w:marTop w:val="100"/>
      <w:marBottom w:val="100"/>
      <w:divBdr>
        <w:top w:val="none" w:sz="0" w:space="0" w:color="auto"/>
        <w:left w:val="none" w:sz="0" w:space="0" w:color="auto"/>
        <w:bottom w:val="none" w:sz="0" w:space="0" w:color="auto"/>
        <w:right w:val="none" w:sz="0" w:space="0" w:color="auto"/>
      </w:divBdr>
    </w:div>
    <w:div w:id="168446895">
      <w:marLeft w:val="0"/>
      <w:marRight w:val="0"/>
      <w:marTop w:val="100"/>
      <w:marBottom w:val="100"/>
      <w:divBdr>
        <w:top w:val="none" w:sz="0" w:space="0" w:color="auto"/>
        <w:left w:val="none" w:sz="0" w:space="0" w:color="auto"/>
        <w:bottom w:val="none" w:sz="0" w:space="0" w:color="auto"/>
        <w:right w:val="none" w:sz="0" w:space="0" w:color="auto"/>
      </w:divBdr>
    </w:div>
    <w:div w:id="178394585">
      <w:marLeft w:val="0"/>
      <w:marRight w:val="0"/>
      <w:marTop w:val="0"/>
      <w:marBottom w:val="0"/>
      <w:divBdr>
        <w:top w:val="none" w:sz="0" w:space="0" w:color="auto"/>
        <w:left w:val="none" w:sz="0" w:space="0" w:color="auto"/>
        <w:bottom w:val="none" w:sz="0" w:space="0" w:color="auto"/>
        <w:right w:val="none" w:sz="0" w:space="0" w:color="auto"/>
      </w:divBdr>
    </w:div>
    <w:div w:id="185682363">
      <w:marLeft w:val="0"/>
      <w:marRight w:val="0"/>
      <w:marTop w:val="100"/>
      <w:marBottom w:val="100"/>
      <w:divBdr>
        <w:top w:val="none" w:sz="0" w:space="0" w:color="auto"/>
        <w:left w:val="none" w:sz="0" w:space="0" w:color="auto"/>
        <w:bottom w:val="none" w:sz="0" w:space="0" w:color="auto"/>
        <w:right w:val="none" w:sz="0" w:space="0" w:color="auto"/>
      </w:divBdr>
    </w:div>
    <w:div w:id="188301014">
      <w:marLeft w:val="0"/>
      <w:marRight w:val="0"/>
      <w:marTop w:val="0"/>
      <w:marBottom w:val="0"/>
      <w:divBdr>
        <w:top w:val="none" w:sz="0" w:space="0" w:color="auto"/>
        <w:left w:val="none" w:sz="0" w:space="0" w:color="auto"/>
        <w:bottom w:val="none" w:sz="0" w:space="0" w:color="auto"/>
        <w:right w:val="none" w:sz="0" w:space="0" w:color="auto"/>
      </w:divBdr>
      <w:divsChild>
        <w:div w:id="1479690706">
          <w:marLeft w:val="0"/>
          <w:marRight w:val="0"/>
          <w:marTop w:val="0"/>
          <w:marBottom w:val="0"/>
          <w:divBdr>
            <w:top w:val="none" w:sz="0" w:space="0" w:color="auto"/>
            <w:left w:val="none" w:sz="0" w:space="0" w:color="auto"/>
            <w:bottom w:val="none" w:sz="0" w:space="0" w:color="auto"/>
            <w:right w:val="none" w:sz="0" w:space="0" w:color="auto"/>
          </w:divBdr>
          <w:divsChild>
            <w:div w:id="16593787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1959987">
      <w:marLeft w:val="0"/>
      <w:marRight w:val="0"/>
      <w:marTop w:val="0"/>
      <w:marBottom w:val="0"/>
      <w:divBdr>
        <w:top w:val="none" w:sz="0" w:space="0" w:color="auto"/>
        <w:left w:val="none" w:sz="0" w:space="0" w:color="auto"/>
        <w:bottom w:val="none" w:sz="0" w:space="0" w:color="auto"/>
        <w:right w:val="none" w:sz="0" w:space="0" w:color="auto"/>
      </w:divBdr>
    </w:div>
    <w:div w:id="192159658">
      <w:marLeft w:val="0"/>
      <w:marRight w:val="0"/>
      <w:marTop w:val="100"/>
      <w:marBottom w:val="100"/>
      <w:divBdr>
        <w:top w:val="none" w:sz="0" w:space="0" w:color="auto"/>
        <w:left w:val="none" w:sz="0" w:space="0" w:color="auto"/>
        <w:bottom w:val="none" w:sz="0" w:space="0" w:color="auto"/>
        <w:right w:val="none" w:sz="0" w:space="0" w:color="auto"/>
      </w:divBdr>
    </w:div>
    <w:div w:id="194081354">
      <w:marLeft w:val="0"/>
      <w:marRight w:val="0"/>
      <w:marTop w:val="100"/>
      <w:marBottom w:val="100"/>
      <w:divBdr>
        <w:top w:val="none" w:sz="0" w:space="0" w:color="auto"/>
        <w:left w:val="none" w:sz="0" w:space="0" w:color="auto"/>
        <w:bottom w:val="none" w:sz="0" w:space="0" w:color="auto"/>
        <w:right w:val="none" w:sz="0" w:space="0" w:color="auto"/>
      </w:divBdr>
    </w:div>
    <w:div w:id="195118713">
      <w:marLeft w:val="0"/>
      <w:marRight w:val="0"/>
      <w:marTop w:val="0"/>
      <w:marBottom w:val="0"/>
      <w:divBdr>
        <w:top w:val="none" w:sz="0" w:space="0" w:color="auto"/>
        <w:left w:val="none" w:sz="0" w:space="0" w:color="auto"/>
        <w:bottom w:val="none" w:sz="0" w:space="0" w:color="auto"/>
        <w:right w:val="none" w:sz="0" w:space="0" w:color="auto"/>
      </w:divBdr>
    </w:div>
    <w:div w:id="197008557">
      <w:marLeft w:val="0"/>
      <w:marRight w:val="0"/>
      <w:marTop w:val="80"/>
      <w:marBottom w:val="100"/>
      <w:divBdr>
        <w:top w:val="none" w:sz="0" w:space="0" w:color="auto"/>
        <w:left w:val="none" w:sz="0" w:space="0" w:color="auto"/>
        <w:bottom w:val="none" w:sz="0" w:space="0" w:color="auto"/>
        <w:right w:val="none" w:sz="0" w:space="0" w:color="auto"/>
      </w:divBdr>
    </w:div>
    <w:div w:id="203178404">
      <w:marLeft w:val="0"/>
      <w:marRight w:val="0"/>
      <w:marTop w:val="100"/>
      <w:marBottom w:val="100"/>
      <w:divBdr>
        <w:top w:val="none" w:sz="0" w:space="0" w:color="auto"/>
        <w:left w:val="none" w:sz="0" w:space="0" w:color="auto"/>
        <w:bottom w:val="none" w:sz="0" w:space="0" w:color="auto"/>
        <w:right w:val="none" w:sz="0" w:space="0" w:color="auto"/>
      </w:divBdr>
    </w:div>
    <w:div w:id="213084701">
      <w:marLeft w:val="0"/>
      <w:marRight w:val="0"/>
      <w:marTop w:val="100"/>
      <w:marBottom w:val="100"/>
      <w:divBdr>
        <w:top w:val="none" w:sz="0" w:space="0" w:color="auto"/>
        <w:left w:val="none" w:sz="0" w:space="0" w:color="auto"/>
        <w:bottom w:val="none" w:sz="0" w:space="0" w:color="auto"/>
        <w:right w:val="none" w:sz="0" w:space="0" w:color="auto"/>
      </w:divBdr>
    </w:div>
    <w:div w:id="216285559">
      <w:marLeft w:val="0"/>
      <w:marRight w:val="0"/>
      <w:marTop w:val="0"/>
      <w:marBottom w:val="0"/>
      <w:divBdr>
        <w:top w:val="none" w:sz="0" w:space="0" w:color="auto"/>
        <w:left w:val="none" w:sz="0" w:space="0" w:color="auto"/>
        <w:bottom w:val="none" w:sz="0" w:space="0" w:color="auto"/>
        <w:right w:val="none" w:sz="0" w:space="0" w:color="auto"/>
      </w:divBdr>
      <w:divsChild>
        <w:div w:id="1524244729">
          <w:marLeft w:val="0"/>
          <w:marRight w:val="0"/>
          <w:marTop w:val="0"/>
          <w:marBottom w:val="0"/>
          <w:divBdr>
            <w:top w:val="none" w:sz="0" w:space="0" w:color="auto"/>
            <w:left w:val="none" w:sz="0" w:space="0" w:color="auto"/>
            <w:bottom w:val="none" w:sz="0" w:space="0" w:color="auto"/>
            <w:right w:val="none" w:sz="0" w:space="0" w:color="auto"/>
          </w:divBdr>
          <w:divsChild>
            <w:div w:id="8042029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24222430">
      <w:marLeft w:val="0"/>
      <w:marRight w:val="0"/>
      <w:marTop w:val="0"/>
      <w:marBottom w:val="0"/>
      <w:divBdr>
        <w:top w:val="none" w:sz="0" w:space="0" w:color="auto"/>
        <w:left w:val="none" w:sz="0" w:space="0" w:color="auto"/>
        <w:bottom w:val="none" w:sz="0" w:space="0" w:color="auto"/>
        <w:right w:val="none" w:sz="0" w:space="0" w:color="auto"/>
      </w:divBdr>
      <w:divsChild>
        <w:div w:id="812721605">
          <w:marLeft w:val="0"/>
          <w:marRight w:val="0"/>
          <w:marTop w:val="0"/>
          <w:marBottom w:val="0"/>
          <w:divBdr>
            <w:top w:val="none" w:sz="0" w:space="0" w:color="auto"/>
            <w:left w:val="none" w:sz="0" w:space="0" w:color="auto"/>
            <w:bottom w:val="none" w:sz="0" w:space="0" w:color="auto"/>
            <w:right w:val="none" w:sz="0" w:space="0" w:color="auto"/>
          </w:divBdr>
          <w:divsChild>
            <w:div w:id="9006782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25726251">
      <w:marLeft w:val="0"/>
      <w:marRight w:val="0"/>
      <w:marTop w:val="0"/>
      <w:marBottom w:val="0"/>
      <w:divBdr>
        <w:top w:val="none" w:sz="0" w:space="0" w:color="auto"/>
        <w:left w:val="none" w:sz="0" w:space="0" w:color="auto"/>
        <w:bottom w:val="none" w:sz="0" w:space="0" w:color="auto"/>
        <w:right w:val="none" w:sz="0" w:space="0" w:color="auto"/>
      </w:divBdr>
    </w:div>
    <w:div w:id="226455292">
      <w:marLeft w:val="0"/>
      <w:marRight w:val="0"/>
      <w:marTop w:val="100"/>
      <w:marBottom w:val="100"/>
      <w:divBdr>
        <w:top w:val="none" w:sz="0" w:space="0" w:color="auto"/>
        <w:left w:val="none" w:sz="0" w:space="0" w:color="auto"/>
        <w:bottom w:val="none" w:sz="0" w:space="0" w:color="auto"/>
        <w:right w:val="none" w:sz="0" w:space="0" w:color="auto"/>
      </w:divBdr>
    </w:div>
    <w:div w:id="228158332">
      <w:marLeft w:val="0"/>
      <w:marRight w:val="0"/>
      <w:marTop w:val="0"/>
      <w:marBottom w:val="0"/>
      <w:divBdr>
        <w:top w:val="none" w:sz="0" w:space="0" w:color="auto"/>
        <w:left w:val="none" w:sz="0" w:space="0" w:color="auto"/>
        <w:bottom w:val="none" w:sz="0" w:space="0" w:color="auto"/>
        <w:right w:val="none" w:sz="0" w:space="0" w:color="auto"/>
      </w:divBdr>
      <w:divsChild>
        <w:div w:id="307561739">
          <w:marLeft w:val="0"/>
          <w:marRight w:val="0"/>
          <w:marTop w:val="0"/>
          <w:marBottom w:val="0"/>
          <w:divBdr>
            <w:top w:val="none" w:sz="0" w:space="0" w:color="auto"/>
            <w:left w:val="none" w:sz="0" w:space="0" w:color="auto"/>
            <w:bottom w:val="none" w:sz="0" w:space="0" w:color="auto"/>
            <w:right w:val="none" w:sz="0" w:space="0" w:color="auto"/>
          </w:divBdr>
          <w:divsChild>
            <w:div w:id="7705868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29116992">
      <w:marLeft w:val="0"/>
      <w:marRight w:val="0"/>
      <w:marTop w:val="100"/>
      <w:marBottom w:val="100"/>
      <w:divBdr>
        <w:top w:val="none" w:sz="0" w:space="0" w:color="auto"/>
        <w:left w:val="none" w:sz="0" w:space="0" w:color="auto"/>
        <w:bottom w:val="none" w:sz="0" w:space="0" w:color="auto"/>
        <w:right w:val="none" w:sz="0" w:space="0" w:color="auto"/>
      </w:divBdr>
    </w:div>
    <w:div w:id="234358948">
      <w:marLeft w:val="0"/>
      <w:marRight w:val="0"/>
      <w:marTop w:val="100"/>
      <w:marBottom w:val="100"/>
      <w:divBdr>
        <w:top w:val="none" w:sz="0" w:space="0" w:color="auto"/>
        <w:left w:val="none" w:sz="0" w:space="0" w:color="auto"/>
        <w:bottom w:val="none" w:sz="0" w:space="0" w:color="auto"/>
        <w:right w:val="none" w:sz="0" w:space="0" w:color="auto"/>
      </w:divBdr>
    </w:div>
    <w:div w:id="240415275">
      <w:marLeft w:val="0"/>
      <w:marRight w:val="0"/>
      <w:marTop w:val="180"/>
      <w:marBottom w:val="0"/>
      <w:divBdr>
        <w:top w:val="none" w:sz="0" w:space="0" w:color="auto"/>
        <w:left w:val="none" w:sz="0" w:space="0" w:color="auto"/>
        <w:bottom w:val="none" w:sz="0" w:space="0" w:color="auto"/>
        <w:right w:val="none" w:sz="0" w:space="0" w:color="auto"/>
      </w:divBdr>
    </w:div>
    <w:div w:id="249169626">
      <w:marLeft w:val="0"/>
      <w:marRight w:val="0"/>
      <w:marTop w:val="100"/>
      <w:marBottom w:val="100"/>
      <w:divBdr>
        <w:top w:val="none" w:sz="0" w:space="0" w:color="auto"/>
        <w:left w:val="none" w:sz="0" w:space="0" w:color="auto"/>
        <w:bottom w:val="none" w:sz="0" w:space="0" w:color="auto"/>
        <w:right w:val="none" w:sz="0" w:space="0" w:color="auto"/>
      </w:divBdr>
    </w:div>
    <w:div w:id="252708332">
      <w:marLeft w:val="0"/>
      <w:marRight w:val="0"/>
      <w:marTop w:val="100"/>
      <w:marBottom w:val="100"/>
      <w:divBdr>
        <w:top w:val="none" w:sz="0" w:space="0" w:color="auto"/>
        <w:left w:val="none" w:sz="0" w:space="0" w:color="auto"/>
        <w:bottom w:val="none" w:sz="0" w:space="0" w:color="auto"/>
        <w:right w:val="none" w:sz="0" w:space="0" w:color="auto"/>
      </w:divBdr>
    </w:div>
    <w:div w:id="256405874">
      <w:marLeft w:val="0"/>
      <w:marRight w:val="0"/>
      <w:marTop w:val="100"/>
      <w:marBottom w:val="100"/>
      <w:divBdr>
        <w:top w:val="none" w:sz="0" w:space="0" w:color="auto"/>
        <w:left w:val="none" w:sz="0" w:space="0" w:color="auto"/>
        <w:bottom w:val="none" w:sz="0" w:space="0" w:color="auto"/>
        <w:right w:val="none" w:sz="0" w:space="0" w:color="auto"/>
      </w:divBdr>
    </w:div>
    <w:div w:id="267587626">
      <w:marLeft w:val="0"/>
      <w:marRight w:val="0"/>
      <w:marTop w:val="0"/>
      <w:marBottom w:val="0"/>
      <w:divBdr>
        <w:top w:val="none" w:sz="0" w:space="0" w:color="auto"/>
        <w:left w:val="none" w:sz="0" w:space="0" w:color="auto"/>
        <w:bottom w:val="none" w:sz="0" w:space="0" w:color="auto"/>
        <w:right w:val="none" w:sz="0" w:space="0" w:color="auto"/>
      </w:divBdr>
    </w:div>
    <w:div w:id="273682937">
      <w:marLeft w:val="0"/>
      <w:marRight w:val="0"/>
      <w:marTop w:val="0"/>
      <w:marBottom w:val="0"/>
      <w:divBdr>
        <w:top w:val="none" w:sz="0" w:space="0" w:color="auto"/>
        <w:left w:val="none" w:sz="0" w:space="0" w:color="auto"/>
        <w:bottom w:val="none" w:sz="0" w:space="0" w:color="auto"/>
        <w:right w:val="none" w:sz="0" w:space="0" w:color="auto"/>
      </w:divBdr>
    </w:div>
    <w:div w:id="283316787">
      <w:marLeft w:val="0"/>
      <w:marRight w:val="0"/>
      <w:marTop w:val="180"/>
      <w:marBottom w:val="100"/>
      <w:divBdr>
        <w:top w:val="none" w:sz="0" w:space="0" w:color="auto"/>
        <w:left w:val="none" w:sz="0" w:space="0" w:color="auto"/>
        <w:bottom w:val="none" w:sz="0" w:space="0" w:color="auto"/>
        <w:right w:val="none" w:sz="0" w:space="0" w:color="auto"/>
      </w:divBdr>
    </w:div>
    <w:div w:id="297732228">
      <w:marLeft w:val="0"/>
      <w:marRight w:val="0"/>
      <w:marTop w:val="0"/>
      <w:marBottom w:val="0"/>
      <w:divBdr>
        <w:top w:val="none" w:sz="0" w:space="0" w:color="auto"/>
        <w:left w:val="none" w:sz="0" w:space="0" w:color="auto"/>
        <w:bottom w:val="none" w:sz="0" w:space="0" w:color="auto"/>
        <w:right w:val="none" w:sz="0" w:space="0" w:color="auto"/>
      </w:divBdr>
    </w:div>
    <w:div w:id="301665336">
      <w:marLeft w:val="0"/>
      <w:marRight w:val="0"/>
      <w:marTop w:val="100"/>
      <w:marBottom w:val="100"/>
      <w:divBdr>
        <w:top w:val="none" w:sz="0" w:space="0" w:color="auto"/>
        <w:left w:val="none" w:sz="0" w:space="0" w:color="auto"/>
        <w:bottom w:val="none" w:sz="0" w:space="0" w:color="auto"/>
        <w:right w:val="none" w:sz="0" w:space="0" w:color="auto"/>
      </w:divBdr>
    </w:div>
    <w:div w:id="304241108">
      <w:marLeft w:val="0"/>
      <w:marRight w:val="0"/>
      <w:marTop w:val="100"/>
      <w:marBottom w:val="100"/>
      <w:divBdr>
        <w:top w:val="none" w:sz="0" w:space="0" w:color="auto"/>
        <w:left w:val="none" w:sz="0" w:space="0" w:color="auto"/>
        <w:bottom w:val="none" w:sz="0" w:space="0" w:color="auto"/>
        <w:right w:val="none" w:sz="0" w:space="0" w:color="auto"/>
      </w:divBdr>
    </w:div>
    <w:div w:id="307981978">
      <w:marLeft w:val="0"/>
      <w:marRight w:val="0"/>
      <w:marTop w:val="100"/>
      <w:marBottom w:val="100"/>
      <w:divBdr>
        <w:top w:val="none" w:sz="0" w:space="0" w:color="auto"/>
        <w:left w:val="none" w:sz="0" w:space="0" w:color="auto"/>
        <w:bottom w:val="none" w:sz="0" w:space="0" w:color="auto"/>
        <w:right w:val="none" w:sz="0" w:space="0" w:color="auto"/>
      </w:divBdr>
    </w:div>
    <w:div w:id="308025857">
      <w:marLeft w:val="0"/>
      <w:marRight w:val="0"/>
      <w:marTop w:val="100"/>
      <w:marBottom w:val="100"/>
      <w:divBdr>
        <w:top w:val="none" w:sz="0" w:space="0" w:color="auto"/>
        <w:left w:val="none" w:sz="0" w:space="0" w:color="auto"/>
        <w:bottom w:val="none" w:sz="0" w:space="0" w:color="auto"/>
        <w:right w:val="none" w:sz="0" w:space="0" w:color="auto"/>
      </w:divBdr>
    </w:div>
    <w:div w:id="309139380">
      <w:marLeft w:val="0"/>
      <w:marRight w:val="0"/>
      <w:marTop w:val="0"/>
      <w:marBottom w:val="0"/>
      <w:divBdr>
        <w:top w:val="none" w:sz="0" w:space="0" w:color="auto"/>
        <w:left w:val="none" w:sz="0" w:space="0" w:color="auto"/>
        <w:bottom w:val="none" w:sz="0" w:space="0" w:color="auto"/>
        <w:right w:val="none" w:sz="0" w:space="0" w:color="auto"/>
      </w:divBdr>
    </w:div>
    <w:div w:id="309748741">
      <w:marLeft w:val="0"/>
      <w:marRight w:val="0"/>
      <w:marTop w:val="180"/>
      <w:marBottom w:val="0"/>
      <w:divBdr>
        <w:top w:val="none" w:sz="0" w:space="0" w:color="auto"/>
        <w:left w:val="none" w:sz="0" w:space="0" w:color="auto"/>
        <w:bottom w:val="none" w:sz="0" w:space="0" w:color="auto"/>
        <w:right w:val="none" w:sz="0" w:space="0" w:color="auto"/>
      </w:divBdr>
    </w:div>
    <w:div w:id="315500958">
      <w:marLeft w:val="0"/>
      <w:marRight w:val="0"/>
      <w:marTop w:val="0"/>
      <w:marBottom w:val="0"/>
      <w:divBdr>
        <w:top w:val="none" w:sz="0" w:space="0" w:color="auto"/>
        <w:left w:val="none" w:sz="0" w:space="0" w:color="auto"/>
        <w:bottom w:val="none" w:sz="0" w:space="0" w:color="auto"/>
        <w:right w:val="none" w:sz="0" w:space="0" w:color="auto"/>
      </w:divBdr>
      <w:divsChild>
        <w:div w:id="1980377241">
          <w:marLeft w:val="0"/>
          <w:marRight w:val="0"/>
          <w:marTop w:val="100"/>
          <w:marBottom w:val="100"/>
          <w:divBdr>
            <w:top w:val="none" w:sz="0" w:space="0" w:color="auto"/>
            <w:left w:val="none" w:sz="0" w:space="0" w:color="auto"/>
            <w:bottom w:val="none" w:sz="0" w:space="0" w:color="auto"/>
            <w:right w:val="none" w:sz="0" w:space="0" w:color="auto"/>
          </w:divBdr>
        </w:div>
        <w:div w:id="279186877">
          <w:marLeft w:val="0"/>
          <w:marRight w:val="0"/>
          <w:marTop w:val="100"/>
          <w:marBottom w:val="100"/>
          <w:divBdr>
            <w:top w:val="none" w:sz="0" w:space="0" w:color="auto"/>
            <w:left w:val="none" w:sz="0" w:space="0" w:color="auto"/>
            <w:bottom w:val="none" w:sz="0" w:space="0" w:color="auto"/>
            <w:right w:val="none" w:sz="0" w:space="0" w:color="auto"/>
          </w:divBdr>
        </w:div>
      </w:divsChild>
    </w:div>
    <w:div w:id="317615800">
      <w:marLeft w:val="0"/>
      <w:marRight w:val="0"/>
      <w:marTop w:val="0"/>
      <w:marBottom w:val="0"/>
      <w:divBdr>
        <w:top w:val="none" w:sz="0" w:space="0" w:color="auto"/>
        <w:left w:val="none" w:sz="0" w:space="0" w:color="auto"/>
        <w:bottom w:val="none" w:sz="0" w:space="0" w:color="auto"/>
        <w:right w:val="none" w:sz="0" w:space="0" w:color="auto"/>
      </w:divBdr>
    </w:div>
    <w:div w:id="317653871">
      <w:marLeft w:val="0"/>
      <w:marRight w:val="0"/>
      <w:marTop w:val="100"/>
      <w:marBottom w:val="100"/>
      <w:divBdr>
        <w:top w:val="none" w:sz="0" w:space="0" w:color="auto"/>
        <w:left w:val="none" w:sz="0" w:space="0" w:color="auto"/>
        <w:bottom w:val="none" w:sz="0" w:space="0" w:color="auto"/>
        <w:right w:val="none" w:sz="0" w:space="0" w:color="auto"/>
      </w:divBdr>
    </w:div>
    <w:div w:id="324944611">
      <w:marLeft w:val="0"/>
      <w:marRight w:val="0"/>
      <w:marTop w:val="100"/>
      <w:marBottom w:val="100"/>
      <w:divBdr>
        <w:top w:val="none" w:sz="0" w:space="0" w:color="auto"/>
        <w:left w:val="none" w:sz="0" w:space="0" w:color="auto"/>
        <w:bottom w:val="none" w:sz="0" w:space="0" w:color="auto"/>
        <w:right w:val="none" w:sz="0" w:space="0" w:color="auto"/>
      </w:divBdr>
    </w:div>
    <w:div w:id="329603759">
      <w:marLeft w:val="0"/>
      <w:marRight w:val="0"/>
      <w:marTop w:val="100"/>
      <w:marBottom w:val="100"/>
      <w:divBdr>
        <w:top w:val="none" w:sz="0" w:space="0" w:color="auto"/>
        <w:left w:val="none" w:sz="0" w:space="0" w:color="auto"/>
        <w:bottom w:val="none" w:sz="0" w:space="0" w:color="auto"/>
        <w:right w:val="none" w:sz="0" w:space="0" w:color="auto"/>
      </w:divBdr>
    </w:div>
    <w:div w:id="330377145">
      <w:marLeft w:val="0"/>
      <w:marRight w:val="0"/>
      <w:marTop w:val="0"/>
      <w:marBottom w:val="0"/>
      <w:divBdr>
        <w:top w:val="none" w:sz="0" w:space="0" w:color="auto"/>
        <w:left w:val="none" w:sz="0" w:space="0" w:color="auto"/>
        <w:bottom w:val="none" w:sz="0" w:space="0" w:color="auto"/>
        <w:right w:val="none" w:sz="0" w:space="0" w:color="auto"/>
      </w:divBdr>
      <w:divsChild>
        <w:div w:id="921061872">
          <w:marLeft w:val="0"/>
          <w:marRight w:val="0"/>
          <w:marTop w:val="0"/>
          <w:marBottom w:val="0"/>
          <w:divBdr>
            <w:top w:val="none" w:sz="0" w:space="0" w:color="auto"/>
            <w:left w:val="none" w:sz="0" w:space="0" w:color="auto"/>
            <w:bottom w:val="none" w:sz="0" w:space="0" w:color="auto"/>
            <w:right w:val="none" w:sz="0" w:space="0" w:color="auto"/>
          </w:divBdr>
          <w:divsChild>
            <w:div w:id="20179245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30989512">
      <w:marLeft w:val="0"/>
      <w:marRight w:val="0"/>
      <w:marTop w:val="180"/>
      <w:marBottom w:val="0"/>
      <w:divBdr>
        <w:top w:val="none" w:sz="0" w:space="0" w:color="auto"/>
        <w:left w:val="none" w:sz="0" w:space="0" w:color="auto"/>
        <w:bottom w:val="none" w:sz="0" w:space="0" w:color="auto"/>
        <w:right w:val="none" w:sz="0" w:space="0" w:color="auto"/>
      </w:divBdr>
    </w:div>
    <w:div w:id="333188274">
      <w:marLeft w:val="0"/>
      <w:marRight w:val="0"/>
      <w:marTop w:val="100"/>
      <w:marBottom w:val="100"/>
      <w:divBdr>
        <w:top w:val="none" w:sz="0" w:space="0" w:color="auto"/>
        <w:left w:val="none" w:sz="0" w:space="0" w:color="auto"/>
        <w:bottom w:val="none" w:sz="0" w:space="0" w:color="auto"/>
        <w:right w:val="none" w:sz="0" w:space="0" w:color="auto"/>
      </w:divBdr>
    </w:div>
    <w:div w:id="336155853">
      <w:marLeft w:val="0"/>
      <w:marRight w:val="0"/>
      <w:marTop w:val="180"/>
      <w:marBottom w:val="0"/>
      <w:divBdr>
        <w:top w:val="none" w:sz="0" w:space="0" w:color="auto"/>
        <w:left w:val="none" w:sz="0" w:space="0" w:color="auto"/>
        <w:bottom w:val="none" w:sz="0" w:space="0" w:color="auto"/>
        <w:right w:val="none" w:sz="0" w:space="0" w:color="auto"/>
      </w:divBdr>
    </w:div>
    <w:div w:id="343870626">
      <w:marLeft w:val="0"/>
      <w:marRight w:val="0"/>
      <w:marTop w:val="100"/>
      <w:marBottom w:val="100"/>
      <w:divBdr>
        <w:top w:val="none" w:sz="0" w:space="0" w:color="auto"/>
        <w:left w:val="none" w:sz="0" w:space="0" w:color="auto"/>
        <w:bottom w:val="none" w:sz="0" w:space="0" w:color="auto"/>
        <w:right w:val="none" w:sz="0" w:space="0" w:color="auto"/>
      </w:divBdr>
    </w:div>
    <w:div w:id="345399471">
      <w:marLeft w:val="0"/>
      <w:marRight w:val="0"/>
      <w:marTop w:val="0"/>
      <w:marBottom w:val="0"/>
      <w:divBdr>
        <w:top w:val="none" w:sz="0" w:space="0" w:color="auto"/>
        <w:left w:val="none" w:sz="0" w:space="0" w:color="auto"/>
        <w:bottom w:val="none" w:sz="0" w:space="0" w:color="auto"/>
        <w:right w:val="none" w:sz="0" w:space="0" w:color="auto"/>
      </w:divBdr>
    </w:div>
    <w:div w:id="347030738">
      <w:marLeft w:val="0"/>
      <w:marRight w:val="0"/>
      <w:marTop w:val="0"/>
      <w:marBottom w:val="0"/>
      <w:divBdr>
        <w:top w:val="none" w:sz="0" w:space="0" w:color="auto"/>
        <w:left w:val="none" w:sz="0" w:space="0" w:color="auto"/>
        <w:bottom w:val="none" w:sz="0" w:space="0" w:color="auto"/>
        <w:right w:val="none" w:sz="0" w:space="0" w:color="auto"/>
      </w:divBdr>
    </w:div>
    <w:div w:id="348070849">
      <w:marLeft w:val="0"/>
      <w:marRight w:val="0"/>
      <w:marTop w:val="100"/>
      <w:marBottom w:val="100"/>
      <w:divBdr>
        <w:top w:val="none" w:sz="0" w:space="0" w:color="auto"/>
        <w:left w:val="none" w:sz="0" w:space="0" w:color="auto"/>
        <w:bottom w:val="none" w:sz="0" w:space="0" w:color="auto"/>
        <w:right w:val="none" w:sz="0" w:space="0" w:color="auto"/>
      </w:divBdr>
    </w:div>
    <w:div w:id="348990790">
      <w:marLeft w:val="0"/>
      <w:marRight w:val="0"/>
      <w:marTop w:val="0"/>
      <w:marBottom w:val="0"/>
      <w:divBdr>
        <w:top w:val="none" w:sz="0" w:space="0" w:color="auto"/>
        <w:left w:val="none" w:sz="0" w:space="0" w:color="auto"/>
        <w:bottom w:val="none" w:sz="0" w:space="0" w:color="auto"/>
        <w:right w:val="none" w:sz="0" w:space="0" w:color="auto"/>
      </w:divBdr>
      <w:divsChild>
        <w:div w:id="1702634137">
          <w:marLeft w:val="0"/>
          <w:marRight w:val="0"/>
          <w:marTop w:val="100"/>
          <w:marBottom w:val="100"/>
          <w:divBdr>
            <w:top w:val="none" w:sz="0" w:space="0" w:color="auto"/>
            <w:left w:val="none" w:sz="0" w:space="0" w:color="auto"/>
            <w:bottom w:val="none" w:sz="0" w:space="0" w:color="auto"/>
            <w:right w:val="none" w:sz="0" w:space="0" w:color="auto"/>
          </w:divBdr>
        </w:div>
        <w:div w:id="1289821660">
          <w:marLeft w:val="0"/>
          <w:marRight w:val="0"/>
          <w:marTop w:val="100"/>
          <w:marBottom w:val="100"/>
          <w:divBdr>
            <w:top w:val="none" w:sz="0" w:space="0" w:color="auto"/>
            <w:left w:val="none" w:sz="0" w:space="0" w:color="auto"/>
            <w:bottom w:val="none" w:sz="0" w:space="0" w:color="auto"/>
            <w:right w:val="none" w:sz="0" w:space="0" w:color="auto"/>
          </w:divBdr>
        </w:div>
      </w:divsChild>
    </w:div>
    <w:div w:id="351884791">
      <w:marLeft w:val="0"/>
      <w:marRight w:val="0"/>
      <w:marTop w:val="0"/>
      <w:marBottom w:val="0"/>
      <w:divBdr>
        <w:top w:val="none" w:sz="0" w:space="0" w:color="auto"/>
        <w:left w:val="none" w:sz="0" w:space="0" w:color="auto"/>
        <w:bottom w:val="none" w:sz="0" w:space="0" w:color="auto"/>
        <w:right w:val="none" w:sz="0" w:space="0" w:color="auto"/>
      </w:divBdr>
    </w:div>
    <w:div w:id="353582810">
      <w:marLeft w:val="0"/>
      <w:marRight w:val="0"/>
      <w:marTop w:val="100"/>
      <w:marBottom w:val="100"/>
      <w:divBdr>
        <w:top w:val="none" w:sz="0" w:space="0" w:color="auto"/>
        <w:left w:val="none" w:sz="0" w:space="0" w:color="auto"/>
        <w:bottom w:val="none" w:sz="0" w:space="0" w:color="auto"/>
        <w:right w:val="none" w:sz="0" w:space="0" w:color="auto"/>
      </w:divBdr>
    </w:div>
    <w:div w:id="353730285">
      <w:marLeft w:val="0"/>
      <w:marRight w:val="0"/>
      <w:marTop w:val="180"/>
      <w:marBottom w:val="0"/>
      <w:divBdr>
        <w:top w:val="none" w:sz="0" w:space="0" w:color="auto"/>
        <w:left w:val="none" w:sz="0" w:space="0" w:color="auto"/>
        <w:bottom w:val="none" w:sz="0" w:space="0" w:color="auto"/>
        <w:right w:val="none" w:sz="0" w:space="0" w:color="auto"/>
      </w:divBdr>
    </w:div>
    <w:div w:id="358628887">
      <w:marLeft w:val="0"/>
      <w:marRight w:val="0"/>
      <w:marTop w:val="100"/>
      <w:marBottom w:val="100"/>
      <w:divBdr>
        <w:top w:val="none" w:sz="0" w:space="0" w:color="auto"/>
        <w:left w:val="none" w:sz="0" w:space="0" w:color="auto"/>
        <w:bottom w:val="none" w:sz="0" w:space="0" w:color="auto"/>
        <w:right w:val="none" w:sz="0" w:space="0" w:color="auto"/>
      </w:divBdr>
    </w:div>
    <w:div w:id="361326444">
      <w:marLeft w:val="0"/>
      <w:marRight w:val="0"/>
      <w:marTop w:val="100"/>
      <w:marBottom w:val="100"/>
      <w:divBdr>
        <w:top w:val="none" w:sz="0" w:space="0" w:color="auto"/>
        <w:left w:val="none" w:sz="0" w:space="0" w:color="auto"/>
        <w:bottom w:val="none" w:sz="0" w:space="0" w:color="auto"/>
        <w:right w:val="none" w:sz="0" w:space="0" w:color="auto"/>
      </w:divBdr>
    </w:div>
    <w:div w:id="362101471">
      <w:marLeft w:val="0"/>
      <w:marRight w:val="0"/>
      <w:marTop w:val="0"/>
      <w:marBottom w:val="0"/>
      <w:divBdr>
        <w:top w:val="none" w:sz="0" w:space="0" w:color="auto"/>
        <w:left w:val="none" w:sz="0" w:space="0" w:color="auto"/>
        <w:bottom w:val="none" w:sz="0" w:space="0" w:color="auto"/>
        <w:right w:val="none" w:sz="0" w:space="0" w:color="auto"/>
      </w:divBdr>
    </w:div>
    <w:div w:id="363600288">
      <w:marLeft w:val="0"/>
      <w:marRight w:val="0"/>
      <w:marTop w:val="0"/>
      <w:marBottom w:val="100"/>
      <w:divBdr>
        <w:top w:val="none" w:sz="0" w:space="0" w:color="auto"/>
        <w:left w:val="none" w:sz="0" w:space="0" w:color="auto"/>
        <w:bottom w:val="none" w:sz="0" w:space="0" w:color="auto"/>
        <w:right w:val="none" w:sz="0" w:space="0" w:color="auto"/>
      </w:divBdr>
    </w:div>
    <w:div w:id="370344045">
      <w:marLeft w:val="0"/>
      <w:marRight w:val="0"/>
      <w:marTop w:val="100"/>
      <w:marBottom w:val="100"/>
      <w:divBdr>
        <w:top w:val="none" w:sz="0" w:space="0" w:color="auto"/>
        <w:left w:val="none" w:sz="0" w:space="0" w:color="auto"/>
        <w:bottom w:val="none" w:sz="0" w:space="0" w:color="auto"/>
        <w:right w:val="none" w:sz="0" w:space="0" w:color="auto"/>
      </w:divBdr>
    </w:div>
    <w:div w:id="373965643">
      <w:marLeft w:val="0"/>
      <w:marRight w:val="0"/>
      <w:marTop w:val="180"/>
      <w:marBottom w:val="0"/>
      <w:divBdr>
        <w:top w:val="none" w:sz="0" w:space="0" w:color="auto"/>
        <w:left w:val="none" w:sz="0" w:space="0" w:color="auto"/>
        <w:bottom w:val="none" w:sz="0" w:space="0" w:color="auto"/>
        <w:right w:val="none" w:sz="0" w:space="0" w:color="auto"/>
      </w:divBdr>
    </w:div>
    <w:div w:id="376048396">
      <w:marLeft w:val="0"/>
      <w:marRight w:val="0"/>
      <w:marTop w:val="180"/>
      <w:marBottom w:val="100"/>
      <w:divBdr>
        <w:top w:val="none" w:sz="0" w:space="0" w:color="auto"/>
        <w:left w:val="none" w:sz="0" w:space="0" w:color="auto"/>
        <w:bottom w:val="none" w:sz="0" w:space="0" w:color="auto"/>
        <w:right w:val="none" w:sz="0" w:space="0" w:color="auto"/>
      </w:divBdr>
    </w:div>
    <w:div w:id="381638326">
      <w:marLeft w:val="0"/>
      <w:marRight w:val="0"/>
      <w:marTop w:val="0"/>
      <w:marBottom w:val="0"/>
      <w:divBdr>
        <w:top w:val="none" w:sz="0" w:space="0" w:color="auto"/>
        <w:left w:val="none" w:sz="0" w:space="0" w:color="auto"/>
        <w:bottom w:val="none" w:sz="0" w:space="0" w:color="auto"/>
        <w:right w:val="none" w:sz="0" w:space="0" w:color="auto"/>
      </w:divBdr>
    </w:div>
    <w:div w:id="393699477">
      <w:marLeft w:val="0"/>
      <w:marRight w:val="0"/>
      <w:marTop w:val="0"/>
      <w:marBottom w:val="0"/>
      <w:divBdr>
        <w:top w:val="none" w:sz="0" w:space="0" w:color="auto"/>
        <w:left w:val="none" w:sz="0" w:space="0" w:color="auto"/>
        <w:bottom w:val="none" w:sz="0" w:space="0" w:color="auto"/>
        <w:right w:val="none" w:sz="0" w:space="0" w:color="auto"/>
      </w:divBdr>
      <w:divsChild>
        <w:div w:id="362480822">
          <w:marLeft w:val="0"/>
          <w:marRight w:val="0"/>
          <w:marTop w:val="100"/>
          <w:marBottom w:val="100"/>
          <w:divBdr>
            <w:top w:val="none" w:sz="0" w:space="0" w:color="auto"/>
            <w:left w:val="none" w:sz="0" w:space="0" w:color="auto"/>
            <w:bottom w:val="none" w:sz="0" w:space="0" w:color="auto"/>
            <w:right w:val="none" w:sz="0" w:space="0" w:color="auto"/>
          </w:divBdr>
        </w:div>
        <w:div w:id="1063210790">
          <w:marLeft w:val="0"/>
          <w:marRight w:val="0"/>
          <w:marTop w:val="100"/>
          <w:marBottom w:val="100"/>
          <w:divBdr>
            <w:top w:val="none" w:sz="0" w:space="0" w:color="auto"/>
            <w:left w:val="none" w:sz="0" w:space="0" w:color="auto"/>
            <w:bottom w:val="none" w:sz="0" w:space="0" w:color="auto"/>
            <w:right w:val="none" w:sz="0" w:space="0" w:color="auto"/>
          </w:divBdr>
        </w:div>
      </w:divsChild>
    </w:div>
    <w:div w:id="397481503">
      <w:marLeft w:val="0"/>
      <w:marRight w:val="0"/>
      <w:marTop w:val="0"/>
      <w:marBottom w:val="0"/>
      <w:divBdr>
        <w:top w:val="none" w:sz="0" w:space="0" w:color="auto"/>
        <w:left w:val="none" w:sz="0" w:space="0" w:color="auto"/>
        <w:bottom w:val="none" w:sz="0" w:space="0" w:color="auto"/>
        <w:right w:val="none" w:sz="0" w:space="0" w:color="auto"/>
      </w:divBdr>
    </w:div>
    <w:div w:id="397750103">
      <w:marLeft w:val="0"/>
      <w:marRight w:val="0"/>
      <w:marTop w:val="0"/>
      <w:marBottom w:val="0"/>
      <w:divBdr>
        <w:top w:val="none" w:sz="0" w:space="0" w:color="auto"/>
        <w:left w:val="none" w:sz="0" w:space="0" w:color="auto"/>
        <w:bottom w:val="none" w:sz="0" w:space="0" w:color="auto"/>
        <w:right w:val="none" w:sz="0" w:space="0" w:color="auto"/>
      </w:divBdr>
    </w:div>
    <w:div w:id="398020644">
      <w:marLeft w:val="0"/>
      <w:marRight w:val="0"/>
      <w:marTop w:val="0"/>
      <w:marBottom w:val="0"/>
      <w:divBdr>
        <w:top w:val="none" w:sz="0" w:space="0" w:color="auto"/>
        <w:left w:val="none" w:sz="0" w:space="0" w:color="auto"/>
        <w:bottom w:val="none" w:sz="0" w:space="0" w:color="auto"/>
        <w:right w:val="none" w:sz="0" w:space="0" w:color="auto"/>
      </w:divBdr>
    </w:div>
    <w:div w:id="404962724">
      <w:marLeft w:val="0"/>
      <w:marRight w:val="0"/>
      <w:marTop w:val="100"/>
      <w:marBottom w:val="100"/>
      <w:divBdr>
        <w:top w:val="none" w:sz="0" w:space="0" w:color="auto"/>
        <w:left w:val="none" w:sz="0" w:space="0" w:color="auto"/>
        <w:bottom w:val="none" w:sz="0" w:space="0" w:color="auto"/>
        <w:right w:val="none" w:sz="0" w:space="0" w:color="auto"/>
      </w:divBdr>
    </w:div>
    <w:div w:id="409153773">
      <w:marLeft w:val="0"/>
      <w:marRight w:val="0"/>
      <w:marTop w:val="100"/>
      <w:marBottom w:val="100"/>
      <w:divBdr>
        <w:top w:val="none" w:sz="0" w:space="0" w:color="auto"/>
        <w:left w:val="none" w:sz="0" w:space="0" w:color="auto"/>
        <w:bottom w:val="none" w:sz="0" w:space="0" w:color="auto"/>
        <w:right w:val="none" w:sz="0" w:space="0" w:color="auto"/>
      </w:divBdr>
    </w:div>
    <w:div w:id="409158468">
      <w:marLeft w:val="0"/>
      <w:marRight w:val="0"/>
      <w:marTop w:val="0"/>
      <w:marBottom w:val="0"/>
      <w:divBdr>
        <w:top w:val="none" w:sz="0" w:space="0" w:color="auto"/>
        <w:left w:val="none" w:sz="0" w:space="0" w:color="auto"/>
        <w:bottom w:val="none" w:sz="0" w:space="0" w:color="auto"/>
        <w:right w:val="none" w:sz="0" w:space="0" w:color="auto"/>
      </w:divBdr>
      <w:divsChild>
        <w:div w:id="2096972291">
          <w:marLeft w:val="0"/>
          <w:marRight w:val="0"/>
          <w:marTop w:val="0"/>
          <w:marBottom w:val="0"/>
          <w:divBdr>
            <w:top w:val="none" w:sz="0" w:space="0" w:color="auto"/>
            <w:left w:val="none" w:sz="0" w:space="0" w:color="auto"/>
            <w:bottom w:val="none" w:sz="0" w:space="0" w:color="auto"/>
            <w:right w:val="none" w:sz="0" w:space="0" w:color="auto"/>
          </w:divBdr>
          <w:divsChild>
            <w:div w:id="1096899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09736489">
      <w:marLeft w:val="0"/>
      <w:marRight w:val="0"/>
      <w:marTop w:val="180"/>
      <w:marBottom w:val="0"/>
      <w:divBdr>
        <w:top w:val="none" w:sz="0" w:space="0" w:color="auto"/>
        <w:left w:val="none" w:sz="0" w:space="0" w:color="auto"/>
        <w:bottom w:val="none" w:sz="0" w:space="0" w:color="auto"/>
        <w:right w:val="none" w:sz="0" w:space="0" w:color="auto"/>
      </w:divBdr>
    </w:div>
    <w:div w:id="419376363">
      <w:marLeft w:val="0"/>
      <w:marRight w:val="0"/>
      <w:marTop w:val="100"/>
      <w:marBottom w:val="100"/>
      <w:divBdr>
        <w:top w:val="none" w:sz="0" w:space="0" w:color="auto"/>
        <w:left w:val="none" w:sz="0" w:space="0" w:color="auto"/>
        <w:bottom w:val="none" w:sz="0" w:space="0" w:color="auto"/>
        <w:right w:val="none" w:sz="0" w:space="0" w:color="auto"/>
      </w:divBdr>
    </w:div>
    <w:div w:id="423185763">
      <w:marLeft w:val="0"/>
      <w:marRight w:val="0"/>
      <w:marTop w:val="180"/>
      <w:marBottom w:val="0"/>
      <w:divBdr>
        <w:top w:val="none" w:sz="0" w:space="0" w:color="auto"/>
        <w:left w:val="none" w:sz="0" w:space="0" w:color="auto"/>
        <w:bottom w:val="none" w:sz="0" w:space="0" w:color="auto"/>
        <w:right w:val="none" w:sz="0" w:space="0" w:color="auto"/>
      </w:divBdr>
    </w:div>
    <w:div w:id="425729583">
      <w:marLeft w:val="0"/>
      <w:marRight w:val="0"/>
      <w:marTop w:val="0"/>
      <w:marBottom w:val="0"/>
      <w:divBdr>
        <w:top w:val="none" w:sz="0" w:space="0" w:color="auto"/>
        <w:left w:val="none" w:sz="0" w:space="0" w:color="auto"/>
        <w:bottom w:val="none" w:sz="0" w:space="0" w:color="auto"/>
        <w:right w:val="none" w:sz="0" w:space="0" w:color="auto"/>
      </w:divBdr>
    </w:div>
    <w:div w:id="430587802">
      <w:marLeft w:val="0"/>
      <w:marRight w:val="0"/>
      <w:marTop w:val="0"/>
      <w:marBottom w:val="0"/>
      <w:divBdr>
        <w:top w:val="none" w:sz="0" w:space="0" w:color="auto"/>
        <w:left w:val="none" w:sz="0" w:space="0" w:color="auto"/>
        <w:bottom w:val="none" w:sz="0" w:space="0" w:color="auto"/>
        <w:right w:val="none" w:sz="0" w:space="0" w:color="auto"/>
      </w:divBdr>
    </w:div>
    <w:div w:id="431702376">
      <w:marLeft w:val="0"/>
      <w:marRight w:val="0"/>
      <w:marTop w:val="100"/>
      <w:marBottom w:val="100"/>
      <w:divBdr>
        <w:top w:val="none" w:sz="0" w:space="0" w:color="auto"/>
        <w:left w:val="none" w:sz="0" w:space="0" w:color="auto"/>
        <w:bottom w:val="none" w:sz="0" w:space="0" w:color="auto"/>
        <w:right w:val="none" w:sz="0" w:space="0" w:color="auto"/>
      </w:divBdr>
    </w:div>
    <w:div w:id="438381366">
      <w:marLeft w:val="0"/>
      <w:marRight w:val="0"/>
      <w:marTop w:val="0"/>
      <w:marBottom w:val="0"/>
      <w:divBdr>
        <w:top w:val="none" w:sz="0" w:space="0" w:color="auto"/>
        <w:left w:val="none" w:sz="0" w:space="0" w:color="auto"/>
        <w:bottom w:val="none" w:sz="0" w:space="0" w:color="auto"/>
        <w:right w:val="none" w:sz="0" w:space="0" w:color="auto"/>
      </w:divBdr>
    </w:div>
    <w:div w:id="445471229">
      <w:marLeft w:val="0"/>
      <w:marRight w:val="0"/>
      <w:marTop w:val="0"/>
      <w:marBottom w:val="0"/>
      <w:divBdr>
        <w:top w:val="none" w:sz="0" w:space="0" w:color="auto"/>
        <w:left w:val="none" w:sz="0" w:space="0" w:color="auto"/>
        <w:bottom w:val="none" w:sz="0" w:space="0" w:color="auto"/>
        <w:right w:val="none" w:sz="0" w:space="0" w:color="auto"/>
      </w:divBdr>
      <w:divsChild>
        <w:div w:id="1085228147">
          <w:marLeft w:val="0"/>
          <w:marRight w:val="0"/>
          <w:marTop w:val="100"/>
          <w:marBottom w:val="100"/>
          <w:divBdr>
            <w:top w:val="none" w:sz="0" w:space="0" w:color="auto"/>
            <w:left w:val="none" w:sz="0" w:space="0" w:color="auto"/>
            <w:bottom w:val="none" w:sz="0" w:space="0" w:color="auto"/>
            <w:right w:val="none" w:sz="0" w:space="0" w:color="auto"/>
          </w:divBdr>
        </w:div>
        <w:div w:id="2063558003">
          <w:marLeft w:val="0"/>
          <w:marRight w:val="0"/>
          <w:marTop w:val="100"/>
          <w:marBottom w:val="100"/>
          <w:divBdr>
            <w:top w:val="none" w:sz="0" w:space="0" w:color="auto"/>
            <w:left w:val="none" w:sz="0" w:space="0" w:color="auto"/>
            <w:bottom w:val="none" w:sz="0" w:space="0" w:color="auto"/>
            <w:right w:val="none" w:sz="0" w:space="0" w:color="auto"/>
          </w:divBdr>
        </w:div>
      </w:divsChild>
    </w:div>
    <w:div w:id="446435556">
      <w:marLeft w:val="0"/>
      <w:marRight w:val="0"/>
      <w:marTop w:val="0"/>
      <w:marBottom w:val="0"/>
      <w:divBdr>
        <w:top w:val="none" w:sz="0" w:space="0" w:color="auto"/>
        <w:left w:val="none" w:sz="0" w:space="0" w:color="auto"/>
        <w:bottom w:val="none" w:sz="0" w:space="0" w:color="auto"/>
        <w:right w:val="none" w:sz="0" w:space="0" w:color="auto"/>
      </w:divBdr>
    </w:div>
    <w:div w:id="447041441">
      <w:marLeft w:val="0"/>
      <w:marRight w:val="0"/>
      <w:marTop w:val="180"/>
      <w:marBottom w:val="0"/>
      <w:divBdr>
        <w:top w:val="none" w:sz="0" w:space="0" w:color="auto"/>
        <w:left w:val="none" w:sz="0" w:space="0" w:color="auto"/>
        <w:bottom w:val="none" w:sz="0" w:space="0" w:color="auto"/>
        <w:right w:val="none" w:sz="0" w:space="0" w:color="auto"/>
      </w:divBdr>
      <w:divsChild>
        <w:div w:id="207886560">
          <w:marLeft w:val="0"/>
          <w:marRight w:val="0"/>
          <w:marTop w:val="0"/>
          <w:marBottom w:val="0"/>
          <w:divBdr>
            <w:top w:val="none" w:sz="0" w:space="0" w:color="auto"/>
            <w:left w:val="none" w:sz="0" w:space="0" w:color="auto"/>
            <w:bottom w:val="none" w:sz="0" w:space="0" w:color="auto"/>
            <w:right w:val="none" w:sz="0" w:space="0" w:color="auto"/>
          </w:divBdr>
        </w:div>
      </w:divsChild>
    </w:div>
    <w:div w:id="451166982">
      <w:marLeft w:val="0"/>
      <w:marRight w:val="0"/>
      <w:marTop w:val="100"/>
      <w:marBottom w:val="100"/>
      <w:divBdr>
        <w:top w:val="none" w:sz="0" w:space="0" w:color="auto"/>
        <w:left w:val="none" w:sz="0" w:space="0" w:color="auto"/>
        <w:bottom w:val="none" w:sz="0" w:space="0" w:color="auto"/>
        <w:right w:val="none" w:sz="0" w:space="0" w:color="auto"/>
      </w:divBdr>
    </w:div>
    <w:div w:id="457996766">
      <w:marLeft w:val="0"/>
      <w:marRight w:val="0"/>
      <w:marTop w:val="100"/>
      <w:marBottom w:val="100"/>
      <w:divBdr>
        <w:top w:val="none" w:sz="0" w:space="0" w:color="auto"/>
        <w:left w:val="none" w:sz="0" w:space="0" w:color="auto"/>
        <w:bottom w:val="none" w:sz="0" w:space="0" w:color="auto"/>
        <w:right w:val="none" w:sz="0" w:space="0" w:color="auto"/>
      </w:divBdr>
    </w:div>
    <w:div w:id="463498873">
      <w:marLeft w:val="0"/>
      <w:marRight w:val="0"/>
      <w:marTop w:val="180"/>
      <w:marBottom w:val="0"/>
      <w:divBdr>
        <w:top w:val="none" w:sz="0" w:space="0" w:color="auto"/>
        <w:left w:val="none" w:sz="0" w:space="0" w:color="auto"/>
        <w:bottom w:val="none" w:sz="0" w:space="0" w:color="auto"/>
        <w:right w:val="none" w:sz="0" w:space="0" w:color="auto"/>
      </w:divBdr>
    </w:div>
    <w:div w:id="463549078">
      <w:marLeft w:val="0"/>
      <w:marRight w:val="0"/>
      <w:marTop w:val="100"/>
      <w:marBottom w:val="100"/>
      <w:divBdr>
        <w:top w:val="none" w:sz="0" w:space="0" w:color="auto"/>
        <w:left w:val="none" w:sz="0" w:space="0" w:color="auto"/>
        <w:bottom w:val="none" w:sz="0" w:space="0" w:color="auto"/>
        <w:right w:val="none" w:sz="0" w:space="0" w:color="auto"/>
      </w:divBdr>
    </w:div>
    <w:div w:id="466431865">
      <w:marLeft w:val="0"/>
      <w:marRight w:val="0"/>
      <w:marTop w:val="100"/>
      <w:marBottom w:val="100"/>
      <w:divBdr>
        <w:top w:val="none" w:sz="0" w:space="0" w:color="auto"/>
        <w:left w:val="none" w:sz="0" w:space="0" w:color="auto"/>
        <w:bottom w:val="none" w:sz="0" w:space="0" w:color="auto"/>
        <w:right w:val="none" w:sz="0" w:space="0" w:color="auto"/>
      </w:divBdr>
    </w:div>
    <w:div w:id="466551890">
      <w:marLeft w:val="0"/>
      <w:marRight w:val="0"/>
      <w:marTop w:val="0"/>
      <w:marBottom w:val="0"/>
      <w:divBdr>
        <w:top w:val="none" w:sz="0" w:space="0" w:color="auto"/>
        <w:left w:val="none" w:sz="0" w:space="0" w:color="auto"/>
        <w:bottom w:val="none" w:sz="0" w:space="0" w:color="auto"/>
        <w:right w:val="none" w:sz="0" w:space="0" w:color="auto"/>
      </w:divBdr>
      <w:divsChild>
        <w:div w:id="1091513989">
          <w:marLeft w:val="0"/>
          <w:marRight w:val="0"/>
          <w:marTop w:val="100"/>
          <w:marBottom w:val="100"/>
          <w:divBdr>
            <w:top w:val="none" w:sz="0" w:space="0" w:color="auto"/>
            <w:left w:val="none" w:sz="0" w:space="0" w:color="auto"/>
            <w:bottom w:val="none" w:sz="0" w:space="0" w:color="auto"/>
            <w:right w:val="none" w:sz="0" w:space="0" w:color="auto"/>
          </w:divBdr>
        </w:div>
        <w:div w:id="1276254821">
          <w:marLeft w:val="0"/>
          <w:marRight w:val="0"/>
          <w:marTop w:val="100"/>
          <w:marBottom w:val="100"/>
          <w:divBdr>
            <w:top w:val="none" w:sz="0" w:space="0" w:color="auto"/>
            <w:left w:val="none" w:sz="0" w:space="0" w:color="auto"/>
            <w:bottom w:val="none" w:sz="0" w:space="0" w:color="auto"/>
            <w:right w:val="none" w:sz="0" w:space="0" w:color="auto"/>
          </w:divBdr>
        </w:div>
      </w:divsChild>
    </w:div>
    <w:div w:id="473911422">
      <w:marLeft w:val="0"/>
      <w:marRight w:val="0"/>
      <w:marTop w:val="100"/>
      <w:marBottom w:val="100"/>
      <w:divBdr>
        <w:top w:val="none" w:sz="0" w:space="0" w:color="auto"/>
        <w:left w:val="none" w:sz="0" w:space="0" w:color="auto"/>
        <w:bottom w:val="none" w:sz="0" w:space="0" w:color="auto"/>
        <w:right w:val="none" w:sz="0" w:space="0" w:color="auto"/>
      </w:divBdr>
    </w:div>
    <w:div w:id="475604484">
      <w:marLeft w:val="0"/>
      <w:marRight w:val="0"/>
      <w:marTop w:val="90"/>
      <w:marBottom w:val="90"/>
      <w:divBdr>
        <w:top w:val="none" w:sz="0" w:space="0" w:color="auto"/>
        <w:left w:val="none" w:sz="0" w:space="0" w:color="auto"/>
        <w:bottom w:val="none" w:sz="0" w:space="0" w:color="auto"/>
        <w:right w:val="none" w:sz="0" w:space="0" w:color="auto"/>
      </w:divBdr>
      <w:divsChild>
        <w:div w:id="183516916">
          <w:marLeft w:val="0"/>
          <w:marRight w:val="0"/>
          <w:marTop w:val="0"/>
          <w:marBottom w:val="0"/>
          <w:divBdr>
            <w:top w:val="none" w:sz="0" w:space="0" w:color="auto"/>
            <w:left w:val="none" w:sz="0" w:space="0" w:color="auto"/>
            <w:bottom w:val="none" w:sz="0" w:space="0" w:color="auto"/>
            <w:right w:val="none" w:sz="0" w:space="0" w:color="auto"/>
          </w:divBdr>
        </w:div>
      </w:divsChild>
    </w:div>
    <w:div w:id="477264593">
      <w:marLeft w:val="0"/>
      <w:marRight w:val="0"/>
      <w:marTop w:val="100"/>
      <w:marBottom w:val="100"/>
      <w:divBdr>
        <w:top w:val="none" w:sz="0" w:space="0" w:color="auto"/>
        <w:left w:val="none" w:sz="0" w:space="0" w:color="auto"/>
        <w:bottom w:val="none" w:sz="0" w:space="0" w:color="auto"/>
        <w:right w:val="none" w:sz="0" w:space="0" w:color="auto"/>
      </w:divBdr>
    </w:div>
    <w:div w:id="477310536">
      <w:marLeft w:val="0"/>
      <w:marRight w:val="0"/>
      <w:marTop w:val="100"/>
      <w:marBottom w:val="100"/>
      <w:divBdr>
        <w:top w:val="none" w:sz="0" w:space="0" w:color="auto"/>
        <w:left w:val="none" w:sz="0" w:space="0" w:color="auto"/>
        <w:bottom w:val="none" w:sz="0" w:space="0" w:color="auto"/>
        <w:right w:val="none" w:sz="0" w:space="0" w:color="auto"/>
      </w:divBdr>
    </w:div>
    <w:div w:id="480930674">
      <w:marLeft w:val="0"/>
      <w:marRight w:val="0"/>
      <w:marTop w:val="100"/>
      <w:marBottom w:val="100"/>
      <w:divBdr>
        <w:top w:val="none" w:sz="0" w:space="0" w:color="auto"/>
        <w:left w:val="none" w:sz="0" w:space="0" w:color="auto"/>
        <w:bottom w:val="none" w:sz="0" w:space="0" w:color="auto"/>
        <w:right w:val="none" w:sz="0" w:space="0" w:color="auto"/>
      </w:divBdr>
    </w:div>
    <w:div w:id="486558167">
      <w:marLeft w:val="0"/>
      <w:marRight w:val="0"/>
      <w:marTop w:val="0"/>
      <w:marBottom w:val="0"/>
      <w:divBdr>
        <w:top w:val="none" w:sz="0" w:space="0" w:color="auto"/>
        <w:left w:val="none" w:sz="0" w:space="0" w:color="auto"/>
        <w:bottom w:val="none" w:sz="0" w:space="0" w:color="auto"/>
        <w:right w:val="none" w:sz="0" w:space="0" w:color="auto"/>
      </w:divBdr>
      <w:divsChild>
        <w:div w:id="961810568">
          <w:marLeft w:val="0"/>
          <w:marRight w:val="0"/>
          <w:marTop w:val="100"/>
          <w:marBottom w:val="100"/>
          <w:divBdr>
            <w:top w:val="none" w:sz="0" w:space="0" w:color="auto"/>
            <w:left w:val="none" w:sz="0" w:space="0" w:color="auto"/>
            <w:bottom w:val="none" w:sz="0" w:space="0" w:color="auto"/>
            <w:right w:val="none" w:sz="0" w:space="0" w:color="auto"/>
          </w:divBdr>
        </w:div>
        <w:div w:id="1327710590">
          <w:marLeft w:val="0"/>
          <w:marRight w:val="0"/>
          <w:marTop w:val="100"/>
          <w:marBottom w:val="100"/>
          <w:divBdr>
            <w:top w:val="none" w:sz="0" w:space="0" w:color="auto"/>
            <w:left w:val="none" w:sz="0" w:space="0" w:color="auto"/>
            <w:bottom w:val="none" w:sz="0" w:space="0" w:color="auto"/>
            <w:right w:val="none" w:sz="0" w:space="0" w:color="auto"/>
          </w:divBdr>
        </w:div>
      </w:divsChild>
    </w:div>
    <w:div w:id="488405009">
      <w:marLeft w:val="0"/>
      <w:marRight w:val="0"/>
      <w:marTop w:val="0"/>
      <w:marBottom w:val="0"/>
      <w:divBdr>
        <w:top w:val="none" w:sz="0" w:space="0" w:color="auto"/>
        <w:left w:val="none" w:sz="0" w:space="0" w:color="auto"/>
        <w:bottom w:val="none" w:sz="0" w:space="0" w:color="auto"/>
        <w:right w:val="none" w:sz="0" w:space="0" w:color="auto"/>
      </w:divBdr>
    </w:div>
    <w:div w:id="489951573">
      <w:marLeft w:val="0"/>
      <w:marRight w:val="0"/>
      <w:marTop w:val="80"/>
      <w:marBottom w:val="100"/>
      <w:divBdr>
        <w:top w:val="none" w:sz="0" w:space="0" w:color="auto"/>
        <w:left w:val="none" w:sz="0" w:space="0" w:color="auto"/>
        <w:bottom w:val="none" w:sz="0" w:space="0" w:color="auto"/>
        <w:right w:val="none" w:sz="0" w:space="0" w:color="auto"/>
      </w:divBdr>
    </w:div>
    <w:div w:id="491457955">
      <w:marLeft w:val="0"/>
      <w:marRight w:val="0"/>
      <w:marTop w:val="0"/>
      <w:marBottom w:val="0"/>
      <w:divBdr>
        <w:top w:val="none" w:sz="0" w:space="0" w:color="auto"/>
        <w:left w:val="none" w:sz="0" w:space="0" w:color="auto"/>
        <w:bottom w:val="none" w:sz="0" w:space="0" w:color="auto"/>
        <w:right w:val="none" w:sz="0" w:space="0" w:color="auto"/>
      </w:divBdr>
    </w:div>
    <w:div w:id="498038862">
      <w:marLeft w:val="0"/>
      <w:marRight w:val="0"/>
      <w:marTop w:val="180"/>
      <w:marBottom w:val="0"/>
      <w:divBdr>
        <w:top w:val="none" w:sz="0" w:space="0" w:color="auto"/>
        <w:left w:val="none" w:sz="0" w:space="0" w:color="auto"/>
        <w:bottom w:val="none" w:sz="0" w:space="0" w:color="auto"/>
        <w:right w:val="none" w:sz="0" w:space="0" w:color="auto"/>
      </w:divBdr>
    </w:div>
    <w:div w:id="501430599">
      <w:marLeft w:val="0"/>
      <w:marRight w:val="0"/>
      <w:marTop w:val="20"/>
      <w:marBottom w:val="40"/>
      <w:divBdr>
        <w:top w:val="none" w:sz="0" w:space="0" w:color="auto"/>
        <w:left w:val="none" w:sz="0" w:space="0" w:color="auto"/>
        <w:bottom w:val="none" w:sz="0" w:space="0" w:color="auto"/>
        <w:right w:val="none" w:sz="0" w:space="0" w:color="auto"/>
      </w:divBdr>
    </w:div>
    <w:div w:id="502622414">
      <w:marLeft w:val="0"/>
      <w:marRight w:val="0"/>
      <w:marTop w:val="180"/>
      <w:marBottom w:val="0"/>
      <w:divBdr>
        <w:top w:val="none" w:sz="0" w:space="0" w:color="auto"/>
        <w:left w:val="none" w:sz="0" w:space="0" w:color="auto"/>
        <w:bottom w:val="none" w:sz="0" w:space="0" w:color="auto"/>
        <w:right w:val="none" w:sz="0" w:space="0" w:color="auto"/>
      </w:divBdr>
    </w:div>
    <w:div w:id="515924794">
      <w:marLeft w:val="0"/>
      <w:marRight w:val="0"/>
      <w:marTop w:val="100"/>
      <w:marBottom w:val="0"/>
      <w:divBdr>
        <w:top w:val="none" w:sz="0" w:space="0" w:color="auto"/>
        <w:left w:val="none" w:sz="0" w:space="0" w:color="auto"/>
        <w:bottom w:val="none" w:sz="0" w:space="0" w:color="auto"/>
        <w:right w:val="none" w:sz="0" w:space="0" w:color="auto"/>
      </w:divBdr>
    </w:div>
    <w:div w:id="516432571">
      <w:marLeft w:val="0"/>
      <w:marRight w:val="0"/>
      <w:marTop w:val="100"/>
      <w:marBottom w:val="0"/>
      <w:divBdr>
        <w:top w:val="none" w:sz="0" w:space="0" w:color="auto"/>
        <w:left w:val="none" w:sz="0" w:space="0" w:color="auto"/>
        <w:bottom w:val="none" w:sz="0" w:space="0" w:color="auto"/>
        <w:right w:val="none" w:sz="0" w:space="0" w:color="auto"/>
      </w:divBdr>
    </w:div>
    <w:div w:id="518468055">
      <w:marLeft w:val="0"/>
      <w:marRight w:val="0"/>
      <w:marTop w:val="90"/>
      <w:marBottom w:val="100"/>
      <w:divBdr>
        <w:top w:val="none" w:sz="0" w:space="0" w:color="auto"/>
        <w:left w:val="none" w:sz="0" w:space="0" w:color="auto"/>
        <w:bottom w:val="none" w:sz="0" w:space="0" w:color="auto"/>
        <w:right w:val="none" w:sz="0" w:space="0" w:color="auto"/>
      </w:divBdr>
    </w:div>
    <w:div w:id="518659892">
      <w:marLeft w:val="0"/>
      <w:marRight w:val="0"/>
      <w:marTop w:val="100"/>
      <w:marBottom w:val="100"/>
      <w:divBdr>
        <w:top w:val="none" w:sz="0" w:space="0" w:color="auto"/>
        <w:left w:val="none" w:sz="0" w:space="0" w:color="auto"/>
        <w:bottom w:val="none" w:sz="0" w:space="0" w:color="auto"/>
        <w:right w:val="none" w:sz="0" w:space="0" w:color="auto"/>
      </w:divBdr>
    </w:div>
    <w:div w:id="532614302">
      <w:marLeft w:val="0"/>
      <w:marRight w:val="0"/>
      <w:marTop w:val="100"/>
      <w:marBottom w:val="100"/>
      <w:divBdr>
        <w:top w:val="none" w:sz="0" w:space="0" w:color="auto"/>
        <w:left w:val="none" w:sz="0" w:space="0" w:color="auto"/>
        <w:bottom w:val="none" w:sz="0" w:space="0" w:color="auto"/>
        <w:right w:val="none" w:sz="0" w:space="0" w:color="auto"/>
      </w:divBdr>
    </w:div>
    <w:div w:id="536234352">
      <w:marLeft w:val="0"/>
      <w:marRight w:val="0"/>
      <w:marTop w:val="100"/>
      <w:marBottom w:val="60"/>
      <w:divBdr>
        <w:top w:val="none" w:sz="0" w:space="0" w:color="auto"/>
        <w:left w:val="none" w:sz="0" w:space="0" w:color="auto"/>
        <w:bottom w:val="none" w:sz="0" w:space="0" w:color="auto"/>
        <w:right w:val="none" w:sz="0" w:space="0" w:color="auto"/>
      </w:divBdr>
    </w:div>
    <w:div w:id="538473063">
      <w:marLeft w:val="0"/>
      <w:marRight w:val="0"/>
      <w:marTop w:val="100"/>
      <w:marBottom w:val="100"/>
      <w:divBdr>
        <w:top w:val="none" w:sz="0" w:space="0" w:color="auto"/>
        <w:left w:val="none" w:sz="0" w:space="0" w:color="auto"/>
        <w:bottom w:val="none" w:sz="0" w:space="0" w:color="auto"/>
        <w:right w:val="none" w:sz="0" w:space="0" w:color="auto"/>
      </w:divBdr>
    </w:div>
    <w:div w:id="538473436">
      <w:marLeft w:val="0"/>
      <w:marRight w:val="0"/>
      <w:marTop w:val="180"/>
      <w:marBottom w:val="0"/>
      <w:divBdr>
        <w:top w:val="none" w:sz="0" w:space="0" w:color="auto"/>
        <w:left w:val="none" w:sz="0" w:space="0" w:color="auto"/>
        <w:bottom w:val="none" w:sz="0" w:space="0" w:color="auto"/>
        <w:right w:val="none" w:sz="0" w:space="0" w:color="auto"/>
      </w:divBdr>
    </w:div>
    <w:div w:id="538585888">
      <w:marLeft w:val="0"/>
      <w:marRight w:val="0"/>
      <w:marTop w:val="180"/>
      <w:marBottom w:val="0"/>
      <w:divBdr>
        <w:top w:val="none" w:sz="0" w:space="0" w:color="auto"/>
        <w:left w:val="none" w:sz="0" w:space="0" w:color="auto"/>
        <w:bottom w:val="none" w:sz="0" w:space="0" w:color="auto"/>
        <w:right w:val="none" w:sz="0" w:space="0" w:color="auto"/>
      </w:divBdr>
    </w:div>
    <w:div w:id="541093421">
      <w:marLeft w:val="0"/>
      <w:marRight w:val="0"/>
      <w:marTop w:val="0"/>
      <w:marBottom w:val="0"/>
      <w:divBdr>
        <w:top w:val="none" w:sz="0" w:space="0" w:color="auto"/>
        <w:left w:val="none" w:sz="0" w:space="0" w:color="auto"/>
        <w:bottom w:val="none" w:sz="0" w:space="0" w:color="auto"/>
        <w:right w:val="none" w:sz="0" w:space="0" w:color="auto"/>
      </w:divBdr>
    </w:div>
    <w:div w:id="544215395">
      <w:marLeft w:val="0"/>
      <w:marRight w:val="0"/>
      <w:marTop w:val="0"/>
      <w:marBottom w:val="0"/>
      <w:divBdr>
        <w:top w:val="none" w:sz="0" w:space="0" w:color="auto"/>
        <w:left w:val="none" w:sz="0" w:space="0" w:color="auto"/>
        <w:bottom w:val="none" w:sz="0" w:space="0" w:color="auto"/>
        <w:right w:val="none" w:sz="0" w:space="0" w:color="auto"/>
      </w:divBdr>
    </w:div>
    <w:div w:id="545531063">
      <w:marLeft w:val="0"/>
      <w:marRight w:val="0"/>
      <w:marTop w:val="0"/>
      <w:marBottom w:val="0"/>
      <w:divBdr>
        <w:top w:val="none" w:sz="0" w:space="0" w:color="auto"/>
        <w:left w:val="none" w:sz="0" w:space="0" w:color="auto"/>
        <w:bottom w:val="none" w:sz="0" w:space="0" w:color="auto"/>
        <w:right w:val="none" w:sz="0" w:space="0" w:color="auto"/>
      </w:divBdr>
      <w:divsChild>
        <w:div w:id="2032411051">
          <w:marLeft w:val="0"/>
          <w:marRight w:val="0"/>
          <w:marTop w:val="0"/>
          <w:marBottom w:val="0"/>
          <w:divBdr>
            <w:top w:val="none" w:sz="0" w:space="0" w:color="auto"/>
            <w:left w:val="none" w:sz="0" w:space="0" w:color="auto"/>
            <w:bottom w:val="none" w:sz="0" w:space="0" w:color="auto"/>
            <w:right w:val="none" w:sz="0" w:space="0" w:color="auto"/>
          </w:divBdr>
          <w:divsChild>
            <w:div w:id="6156052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51620601">
      <w:marLeft w:val="0"/>
      <w:marRight w:val="0"/>
      <w:marTop w:val="100"/>
      <w:marBottom w:val="100"/>
      <w:divBdr>
        <w:top w:val="none" w:sz="0" w:space="0" w:color="auto"/>
        <w:left w:val="none" w:sz="0" w:space="0" w:color="auto"/>
        <w:bottom w:val="none" w:sz="0" w:space="0" w:color="auto"/>
        <w:right w:val="none" w:sz="0" w:space="0" w:color="auto"/>
      </w:divBdr>
    </w:div>
    <w:div w:id="559097536">
      <w:marLeft w:val="0"/>
      <w:marRight w:val="0"/>
      <w:marTop w:val="0"/>
      <w:marBottom w:val="0"/>
      <w:divBdr>
        <w:top w:val="none" w:sz="0" w:space="0" w:color="auto"/>
        <w:left w:val="none" w:sz="0" w:space="0" w:color="auto"/>
        <w:bottom w:val="none" w:sz="0" w:space="0" w:color="auto"/>
        <w:right w:val="none" w:sz="0" w:space="0" w:color="auto"/>
      </w:divBdr>
    </w:div>
    <w:div w:id="564336693">
      <w:marLeft w:val="0"/>
      <w:marRight w:val="0"/>
      <w:marTop w:val="0"/>
      <w:marBottom w:val="0"/>
      <w:divBdr>
        <w:top w:val="none" w:sz="0" w:space="0" w:color="auto"/>
        <w:left w:val="none" w:sz="0" w:space="0" w:color="auto"/>
        <w:bottom w:val="none" w:sz="0" w:space="0" w:color="auto"/>
        <w:right w:val="none" w:sz="0" w:space="0" w:color="auto"/>
      </w:divBdr>
    </w:div>
    <w:div w:id="567034242">
      <w:marLeft w:val="0"/>
      <w:marRight w:val="0"/>
      <w:marTop w:val="0"/>
      <w:marBottom w:val="0"/>
      <w:divBdr>
        <w:top w:val="none" w:sz="0" w:space="0" w:color="auto"/>
        <w:left w:val="none" w:sz="0" w:space="0" w:color="auto"/>
        <w:bottom w:val="none" w:sz="0" w:space="0" w:color="auto"/>
        <w:right w:val="none" w:sz="0" w:space="0" w:color="auto"/>
      </w:divBdr>
    </w:div>
    <w:div w:id="570967168">
      <w:marLeft w:val="0"/>
      <w:marRight w:val="0"/>
      <w:marTop w:val="100"/>
      <w:marBottom w:val="100"/>
      <w:divBdr>
        <w:top w:val="none" w:sz="0" w:space="0" w:color="auto"/>
        <w:left w:val="none" w:sz="0" w:space="0" w:color="auto"/>
        <w:bottom w:val="none" w:sz="0" w:space="0" w:color="auto"/>
        <w:right w:val="none" w:sz="0" w:space="0" w:color="auto"/>
      </w:divBdr>
    </w:div>
    <w:div w:id="574978269">
      <w:marLeft w:val="0"/>
      <w:marRight w:val="0"/>
      <w:marTop w:val="0"/>
      <w:marBottom w:val="0"/>
      <w:divBdr>
        <w:top w:val="none" w:sz="0" w:space="0" w:color="auto"/>
        <w:left w:val="none" w:sz="0" w:space="0" w:color="auto"/>
        <w:bottom w:val="none" w:sz="0" w:space="0" w:color="auto"/>
        <w:right w:val="none" w:sz="0" w:space="0" w:color="auto"/>
      </w:divBdr>
      <w:divsChild>
        <w:div w:id="1074623804">
          <w:marLeft w:val="0"/>
          <w:marRight w:val="0"/>
          <w:marTop w:val="0"/>
          <w:marBottom w:val="0"/>
          <w:divBdr>
            <w:top w:val="none" w:sz="0" w:space="0" w:color="auto"/>
            <w:left w:val="none" w:sz="0" w:space="0" w:color="auto"/>
            <w:bottom w:val="none" w:sz="0" w:space="0" w:color="auto"/>
            <w:right w:val="none" w:sz="0" w:space="0" w:color="auto"/>
          </w:divBdr>
          <w:divsChild>
            <w:div w:id="6110586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79288379">
      <w:marLeft w:val="0"/>
      <w:marRight w:val="0"/>
      <w:marTop w:val="0"/>
      <w:marBottom w:val="0"/>
      <w:divBdr>
        <w:top w:val="none" w:sz="0" w:space="0" w:color="auto"/>
        <w:left w:val="none" w:sz="0" w:space="0" w:color="auto"/>
        <w:bottom w:val="none" w:sz="0" w:space="0" w:color="auto"/>
        <w:right w:val="none" w:sz="0" w:space="0" w:color="auto"/>
      </w:divBdr>
    </w:div>
    <w:div w:id="585767399">
      <w:marLeft w:val="0"/>
      <w:marRight w:val="0"/>
      <w:marTop w:val="0"/>
      <w:marBottom w:val="0"/>
      <w:divBdr>
        <w:top w:val="none" w:sz="0" w:space="0" w:color="auto"/>
        <w:left w:val="none" w:sz="0" w:space="0" w:color="auto"/>
        <w:bottom w:val="none" w:sz="0" w:space="0" w:color="auto"/>
        <w:right w:val="none" w:sz="0" w:space="0" w:color="auto"/>
      </w:divBdr>
      <w:divsChild>
        <w:div w:id="1153327512">
          <w:marLeft w:val="0"/>
          <w:marRight w:val="0"/>
          <w:marTop w:val="100"/>
          <w:marBottom w:val="100"/>
          <w:divBdr>
            <w:top w:val="none" w:sz="0" w:space="0" w:color="auto"/>
            <w:left w:val="none" w:sz="0" w:space="0" w:color="auto"/>
            <w:bottom w:val="none" w:sz="0" w:space="0" w:color="auto"/>
            <w:right w:val="none" w:sz="0" w:space="0" w:color="auto"/>
          </w:divBdr>
        </w:div>
        <w:div w:id="957569495">
          <w:marLeft w:val="0"/>
          <w:marRight w:val="0"/>
          <w:marTop w:val="100"/>
          <w:marBottom w:val="100"/>
          <w:divBdr>
            <w:top w:val="none" w:sz="0" w:space="0" w:color="auto"/>
            <w:left w:val="none" w:sz="0" w:space="0" w:color="auto"/>
            <w:bottom w:val="none" w:sz="0" w:space="0" w:color="auto"/>
            <w:right w:val="none" w:sz="0" w:space="0" w:color="auto"/>
          </w:divBdr>
        </w:div>
      </w:divsChild>
    </w:div>
    <w:div w:id="587468564">
      <w:marLeft w:val="0"/>
      <w:marRight w:val="0"/>
      <w:marTop w:val="100"/>
      <w:marBottom w:val="100"/>
      <w:divBdr>
        <w:top w:val="none" w:sz="0" w:space="0" w:color="auto"/>
        <w:left w:val="none" w:sz="0" w:space="0" w:color="auto"/>
        <w:bottom w:val="none" w:sz="0" w:space="0" w:color="auto"/>
        <w:right w:val="none" w:sz="0" w:space="0" w:color="auto"/>
      </w:divBdr>
    </w:div>
    <w:div w:id="588077158">
      <w:marLeft w:val="0"/>
      <w:marRight w:val="0"/>
      <w:marTop w:val="100"/>
      <w:marBottom w:val="100"/>
      <w:divBdr>
        <w:top w:val="none" w:sz="0" w:space="0" w:color="auto"/>
        <w:left w:val="none" w:sz="0" w:space="0" w:color="auto"/>
        <w:bottom w:val="none" w:sz="0" w:space="0" w:color="auto"/>
        <w:right w:val="none" w:sz="0" w:space="0" w:color="auto"/>
      </w:divBdr>
      <w:divsChild>
        <w:div w:id="954362993">
          <w:marLeft w:val="0"/>
          <w:marRight w:val="0"/>
          <w:marTop w:val="0"/>
          <w:marBottom w:val="0"/>
          <w:divBdr>
            <w:top w:val="none" w:sz="0" w:space="0" w:color="auto"/>
            <w:left w:val="none" w:sz="0" w:space="0" w:color="auto"/>
            <w:bottom w:val="none" w:sz="0" w:space="0" w:color="auto"/>
            <w:right w:val="none" w:sz="0" w:space="0" w:color="auto"/>
          </w:divBdr>
        </w:div>
        <w:div w:id="1260723560">
          <w:marLeft w:val="0"/>
          <w:marRight w:val="0"/>
          <w:marTop w:val="0"/>
          <w:marBottom w:val="0"/>
          <w:divBdr>
            <w:top w:val="none" w:sz="0" w:space="0" w:color="auto"/>
            <w:left w:val="none" w:sz="0" w:space="0" w:color="auto"/>
            <w:bottom w:val="none" w:sz="0" w:space="0" w:color="auto"/>
            <w:right w:val="none" w:sz="0" w:space="0" w:color="auto"/>
          </w:divBdr>
        </w:div>
        <w:div w:id="865749256">
          <w:marLeft w:val="0"/>
          <w:marRight w:val="0"/>
          <w:marTop w:val="0"/>
          <w:marBottom w:val="0"/>
          <w:divBdr>
            <w:top w:val="none" w:sz="0" w:space="0" w:color="auto"/>
            <w:left w:val="none" w:sz="0" w:space="0" w:color="auto"/>
            <w:bottom w:val="none" w:sz="0" w:space="0" w:color="auto"/>
            <w:right w:val="none" w:sz="0" w:space="0" w:color="auto"/>
          </w:divBdr>
        </w:div>
        <w:div w:id="1291326771">
          <w:marLeft w:val="0"/>
          <w:marRight w:val="0"/>
          <w:marTop w:val="0"/>
          <w:marBottom w:val="0"/>
          <w:divBdr>
            <w:top w:val="none" w:sz="0" w:space="0" w:color="auto"/>
            <w:left w:val="none" w:sz="0" w:space="0" w:color="auto"/>
            <w:bottom w:val="none" w:sz="0" w:space="0" w:color="auto"/>
            <w:right w:val="none" w:sz="0" w:space="0" w:color="auto"/>
          </w:divBdr>
        </w:div>
        <w:div w:id="1682538368">
          <w:marLeft w:val="0"/>
          <w:marRight w:val="0"/>
          <w:marTop w:val="0"/>
          <w:marBottom w:val="0"/>
          <w:divBdr>
            <w:top w:val="none" w:sz="0" w:space="0" w:color="auto"/>
            <w:left w:val="none" w:sz="0" w:space="0" w:color="auto"/>
            <w:bottom w:val="none" w:sz="0" w:space="0" w:color="auto"/>
            <w:right w:val="none" w:sz="0" w:space="0" w:color="auto"/>
          </w:divBdr>
        </w:div>
      </w:divsChild>
    </w:div>
    <w:div w:id="593171402">
      <w:marLeft w:val="0"/>
      <w:marRight w:val="0"/>
      <w:marTop w:val="180"/>
      <w:marBottom w:val="0"/>
      <w:divBdr>
        <w:top w:val="none" w:sz="0" w:space="0" w:color="auto"/>
        <w:left w:val="none" w:sz="0" w:space="0" w:color="auto"/>
        <w:bottom w:val="none" w:sz="0" w:space="0" w:color="auto"/>
        <w:right w:val="none" w:sz="0" w:space="0" w:color="auto"/>
      </w:divBdr>
    </w:div>
    <w:div w:id="600531853">
      <w:marLeft w:val="0"/>
      <w:marRight w:val="0"/>
      <w:marTop w:val="0"/>
      <w:marBottom w:val="0"/>
      <w:divBdr>
        <w:top w:val="none" w:sz="0" w:space="0" w:color="auto"/>
        <w:left w:val="none" w:sz="0" w:space="0" w:color="auto"/>
        <w:bottom w:val="none" w:sz="0" w:space="0" w:color="auto"/>
        <w:right w:val="none" w:sz="0" w:space="0" w:color="auto"/>
      </w:divBdr>
    </w:div>
    <w:div w:id="601189420">
      <w:marLeft w:val="0"/>
      <w:marRight w:val="0"/>
      <w:marTop w:val="180"/>
      <w:marBottom w:val="100"/>
      <w:divBdr>
        <w:top w:val="none" w:sz="0" w:space="0" w:color="auto"/>
        <w:left w:val="none" w:sz="0" w:space="0" w:color="auto"/>
        <w:bottom w:val="none" w:sz="0" w:space="0" w:color="auto"/>
        <w:right w:val="none" w:sz="0" w:space="0" w:color="auto"/>
      </w:divBdr>
      <w:divsChild>
        <w:div w:id="507982491">
          <w:marLeft w:val="0"/>
          <w:marRight w:val="0"/>
          <w:marTop w:val="0"/>
          <w:marBottom w:val="0"/>
          <w:divBdr>
            <w:top w:val="none" w:sz="0" w:space="0" w:color="auto"/>
            <w:left w:val="none" w:sz="0" w:space="0" w:color="auto"/>
            <w:bottom w:val="none" w:sz="0" w:space="0" w:color="auto"/>
            <w:right w:val="none" w:sz="0" w:space="0" w:color="auto"/>
          </w:divBdr>
        </w:div>
        <w:div w:id="22294245">
          <w:marLeft w:val="0"/>
          <w:marRight w:val="0"/>
          <w:marTop w:val="0"/>
          <w:marBottom w:val="0"/>
          <w:divBdr>
            <w:top w:val="none" w:sz="0" w:space="0" w:color="auto"/>
            <w:left w:val="none" w:sz="0" w:space="0" w:color="auto"/>
            <w:bottom w:val="none" w:sz="0" w:space="0" w:color="auto"/>
            <w:right w:val="none" w:sz="0" w:space="0" w:color="auto"/>
          </w:divBdr>
        </w:div>
      </w:divsChild>
    </w:div>
    <w:div w:id="601498276">
      <w:marLeft w:val="0"/>
      <w:marRight w:val="0"/>
      <w:marTop w:val="100"/>
      <w:marBottom w:val="100"/>
      <w:divBdr>
        <w:top w:val="none" w:sz="0" w:space="0" w:color="auto"/>
        <w:left w:val="none" w:sz="0" w:space="0" w:color="auto"/>
        <w:bottom w:val="none" w:sz="0" w:space="0" w:color="auto"/>
        <w:right w:val="none" w:sz="0" w:space="0" w:color="auto"/>
      </w:divBdr>
    </w:div>
    <w:div w:id="604308484">
      <w:marLeft w:val="0"/>
      <w:marRight w:val="0"/>
      <w:marTop w:val="0"/>
      <w:marBottom w:val="0"/>
      <w:divBdr>
        <w:top w:val="none" w:sz="0" w:space="0" w:color="auto"/>
        <w:left w:val="none" w:sz="0" w:space="0" w:color="auto"/>
        <w:bottom w:val="none" w:sz="0" w:space="0" w:color="auto"/>
        <w:right w:val="none" w:sz="0" w:space="0" w:color="auto"/>
      </w:divBdr>
      <w:divsChild>
        <w:div w:id="545487301">
          <w:marLeft w:val="0"/>
          <w:marRight w:val="0"/>
          <w:marTop w:val="100"/>
          <w:marBottom w:val="100"/>
          <w:divBdr>
            <w:top w:val="none" w:sz="0" w:space="0" w:color="auto"/>
            <w:left w:val="none" w:sz="0" w:space="0" w:color="auto"/>
            <w:bottom w:val="none" w:sz="0" w:space="0" w:color="auto"/>
            <w:right w:val="none" w:sz="0" w:space="0" w:color="auto"/>
          </w:divBdr>
        </w:div>
        <w:div w:id="691149416">
          <w:marLeft w:val="0"/>
          <w:marRight w:val="0"/>
          <w:marTop w:val="100"/>
          <w:marBottom w:val="100"/>
          <w:divBdr>
            <w:top w:val="none" w:sz="0" w:space="0" w:color="auto"/>
            <w:left w:val="none" w:sz="0" w:space="0" w:color="auto"/>
            <w:bottom w:val="none" w:sz="0" w:space="0" w:color="auto"/>
            <w:right w:val="none" w:sz="0" w:space="0" w:color="auto"/>
          </w:divBdr>
        </w:div>
      </w:divsChild>
    </w:div>
    <w:div w:id="611935586">
      <w:marLeft w:val="0"/>
      <w:marRight w:val="0"/>
      <w:marTop w:val="180"/>
      <w:marBottom w:val="100"/>
      <w:divBdr>
        <w:top w:val="none" w:sz="0" w:space="0" w:color="auto"/>
        <w:left w:val="none" w:sz="0" w:space="0" w:color="auto"/>
        <w:bottom w:val="none" w:sz="0" w:space="0" w:color="auto"/>
        <w:right w:val="none" w:sz="0" w:space="0" w:color="auto"/>
      </w:divBdr>
    </w:div>
    <w:div w:id="618410863">
      <w:marLeft w:val="0"/>
      <w:marRight w:val="0"/>
      <w:marTop w:val="180"/>
      <w:marBottom w:val="0"/>
      <w:divBdr>
        <w:top w:val="none" w:sz="0" w:space="0" w:color="auto"/>
        <w:left w:val="none" w:sz="0" w:space="0" w:color="auto"/>
        <w:bottom w:val="none" w:sz="0" w:space="0" w:color="auto"/>
        <w:right w:val="none" w:sz="0" w:space="0" w:color="auto"/>
      </w:divBdr>
    </w:div>
    <w:div w:id="619144805">
      <w:marLeft w:val="0"/>
      <w:marRight w:val="0"/>
      <w:marTop w:val="0"/>
      <w:marBottom w:val="0"/>
      <w:divBdr>
        <w:top w:val="none" w:sz="0" w:space="0" w:color="auto"/>
        <w:left w:val="none" w:sz="0" w:space="0" w:color="auto"/>
        <w:bottom w:val="none" w:sz="0" w:space="0" w:color="auto"/>
        <w:right w:val="none" w:sz="0" w:space="0" w:color="auto"/>
      </w:divBdr>
      <w:divsChild>
        <w:div w:id="407466009">
          <w:marLeft w:val="0"/>
          <w:marRight w:val="0"/>
          <w:marTop w:val="0"/>
          <w:marBottom w:val="0"/>
          <w:divBdr>
            <w:top w:val="none" w:sz="0" w:space="0" w:color="auto"/>
            <w:left w:val="none" w:sz="0" w:space="0" w:color="auto"/>
            <w:bottom w:val="none" w:sz="0" w:space="0" w:color="auto"/>
            <w:right w:val="none" w:sz="0" w:space="0" w:color="auto"/>
          </w:divBdr>
          <w:divsChild>
            <w:div w:id="13696426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3925814">
      <w:marLeft w:val="0"/>
      <w:marRight w:val="0"/>
      <w:marTop w:val="0"/>
      <w:marBottom w:val="0"/>
      <w:divBdr>
        <w:top w:val="none" w:sz="0" w:space="0" w:color="auto"/>
        <w:left w:val="none" w:sz="0" w:space="0" w:color="auto"/>
        <w:bottom w:val="none" w:sz="0" w:space="0" w:color="auto"/>
        <w:right w:val="none" w:sz="0" w:space="0" w:color="auto"/>
      </w:divBdr>
      <w:divsChild>
        <w:div w:id="1168979349">
          <w:marLeft w:val="0"/>
          <w:marRight w:val="0"/>
          <w:marTop w:val="0"/>
          <w:marBottom w:val="0"/>
          <w:divBdr>
            <w:top w:val="none" w:sz="0" w:space="0" w:color="auto"/>
            <w:left w:val="none" w:sz="0" w:space="0" w:color="auto"/>
            <w:bottom w:val="none" w:sz="0" w:space="0" w:color="auto"/>
            <w:right w:val="none" w:sz="0" w:space="0" w:color="auto"/>
          </w:divBdr>
          <w:divsChild>
            <w:div w:id="7596416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30015693">
      <w:marLeft w:val="0"/>
      <w:marRight w:val="0"/>
      <w:marTop w:val="100"/>
      <w:marBottom w:val="100"/>
      <w:divBdr>
        <w:top w:val="none" w:sz="0" w:space="0" w:color="auto"/>
        <w:left w:val="none" w:sz="0" w:space="0" w:color="auto"/>
        <w:bottom w:val="none" w:sz="0" w:space="0" w:color="auto"/>
        <w:right w:val="none" w:sz="0" w:space="0" w:color="auto"/>
      </w:divBdr>
    </w:div>
    <w:div w:id="630019831">
      <w:marLeft w:val="0"/>
      <w:marRight w:val="0"/>
      <w:marTop w:val="180"/>
      <w:marBottom w:val="0"/>
      <w:divBdr>
        <w:top w:val="none" w:sz="0" w:space="0" w:color="auto"/>
        <w:left w:val="none" w:sz="0" w:space="0" w:color="auto"/>
        <w:bottom w:val="none" w:sz="0" w:space="0" w:color="auto"/>
        <w:right w:val="none" w:sz="0" w:space="0" w:color="auto"/>
      </w:divBdr>
    </w:div>
    <w:div w:id="633751198">
      <w:marLeft w:val="0"/>
      <w:marRight w:val="0"/>
      <w:marTop w:val="0"/>
      <w:marBottom w:val="0"/>
      <w:divBdr>
        <w:top w:val="none" w:sz="0" w:space="0" w:color="auto"/>
        <w:left w:val="none" w:sz="0" w:space="0" w:color="auto"/>
        <w:bottom w:val="none" w:sz="0" w:space="0" w:color="auto"/>
        <w:right w:val="none" w:sz="0" w:space="0" w:color="auto"/>
      </w:divBdr>
      <w:divsChild>
        <w:div w:id="294603852">
          <w:marLeft w:val="0"/>
          <w:marRight w:val="0"/>
          <w:marTop w:val="0"/>
          <w:marBottom w:val="0"/>
          <w:divBdr>
            <w:top w:val="none" w:sz="0" w:space="0" w:color="auto"/>
            <w:left w:val="none" w:sz="0" w:space="0" w:color="auto"/>
            <w:bottom w:val="none" w:sz="0" w:space="0" w:color="auto"/>
            <w:right w:val="none" w:sz="0" w:space="0" w:color="auto"/>
          </w:divBdr>
          <w:divsChild>
            <w:div w:id="848084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36910274">
      <w:marLeft w:val="0"/>
      <w:marRight w:val="0"/>
      <w:marTop w:val="0"/>
      <w:marBottom w:val="0"/>
      <w:divBdr>
        <w:top w:val="none" w:sz="0" w:space="0" w:color="auto"/>
        <w:left w:val="none" w:sz="0" w:space="0" w:color="auto"/>
        <w:bottom w:val="none" w:sz="0" w:space="0" w:color="auto"/>
        <w:right w:val="none" w:sz="0" w:space="0" w:color="auto"/>
      </w:divBdr>
    </w:div>
    <w:div w:id="653023360">
      <w:marLeft w:val="0"/>
      <w:marRight w:val="0"/>
      <w:marTop w:val="0"/>
      <w:marBottom w:val="0"/>
      <w:divBdr>
        <w:top w:val="none" w:sz="0" w:space="0" w:color="auto"/>
        <w:left w:val="none" w:sz="0" w:space="0" w:color="auto"/>
        <w:bottom w:val="none" w:sz="0" w:space="0" w:color="auto"/>
        <w:right w:val="none" w:sz="0" w:space="0" w:color="auto"/>
      </w:divBdr>
      <w:divsChild>
        <w:div w:id="391999340">
          <w:marLeft w:val="0"/>
          <w:marRight w:val="0"/>
          <w:marTop w:val="0"/>
          <w:marBottom w:val="0"/>
          <w:divBdr>
            <w:top w:val="none" w:sz="0" w:space="0" w:color="auto"/>
            <w:left w:val="none" w:sz="0" w:space="0" w:color="auto"/>
            <w:bottom w:val="none" w:sz="0" w:space="0" w:color="auto"/>
            <w:right w:val="none" w:sz="0" w:space="0" w:color="auto"/>
          </w:divBdr>
          <w:divsChild>
            <w:div w:id="11300491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55114606">
      <w:marLeft w:val="0"/>
      <w:marRight w:val="0"/>
      <w:marTop w:val="180"/>
      <w:marBottom w:val="0"/>
      <w:divBdr>
        <w:top w:val="none" w:sz="0" w:space="0" w:color="auto"/>
        <w:left w:val="none" w:sz="0" w:space="0" w:color="auto"/>
        <w:bottom w:val="none" w:sz="0" w:space="0" w:color="auto"/>
        <w:right w:val="none" w:sz="0" w:space="0" w:color="auto"/>
      </w:divBdr>
    </w:div>
    <w:div w:id="655380987">
      <w:marLeft w:val="0"/>
      <w:marRight w:val="0"/>
      <w:marTop w:val="0"/>
      <w:marBottom w:val="0"/>
      <w:divBdr>
        <w:top w:val="none" w:sz="0" w:space="0" w:color="auto"/>
        <w:left w:val="none" w:sz="0" w:space="0" w:color="auto"/>
        <w:bottom w:val="none" w:sz="0" w:space="0" w:color="auto"/>
        <w:right w:val="none" w:sz="0" w:space="0" w:color="auto"/>
      </w:divBdr>
    </w:div>
    <w:div w:id="657458514">
      <w:marLeft w:val="0"/>
      <w:marRight w:val="0"/>
      <w:marTop w:val="0"/>
      <w:marBottom w:val="0"/>
      <w:divBdr>
        <w:top w:val="none" w:sz="0" w:space="0" w:color="auto"/>
        <w:left w:val="none" w:sz="0" w:space="0" w:color="auto"/>
        <w:bottom w:val="none" w:sz="0" w:space="0" w:color="auto"/>
        <w:right w:val="none" w:sz="0" w:space="0" w:color="auto"/>
      </w:divBdr>
    </w:div>
    <w:div w:id="657467538">
      <w:marLeft w:val="0"/>
      <w:marRight w:val="0"/>
      <w:marTop w:val="0"/>
      <w:marBottom w:val="0"/>
      <w:divBdr>
        <w:top w:val="none" w:sz="0" w:space="0" w:color="auto"/>
        <w:left w:val="none" w:sz="0" w:space="0" w:color="auto"/>
        <w:bottom w:val="none" w:sz="0" w:space="0" w:color="auto"/>
        <w:right w:val="none" w:sz="0" w:space="0" w:color="auto"/>
      </w:divBdr>
    </w:div>
    <w:div w:id="658001535">
      <w:marLeft w:val="0"/>
      <w:marRight w:val="0"/>
      <w:marTop w:val="0"/>
      <w:marBottom w:val="0"/>
      <w:divBdr>
        <w:top w:val="none" w:sz="0" w:space="0" w:color="auto"/>
        <w:left w:val="none" w:sz="0" w:space="0" w:color="auto"/>
        <w:bottom w:val="none" w:sz="0" w:space="0" w:color="auto"/>
        <w:right w:val="none" w:sz="0" w:space="0" w:color="auto"/>
      </w:divBdr>
    </w:div>
    <w:div w:id="658578827">
      <w:marLeft w:val="0"/>
      <w:marRight w:val="0"/>
      <w:marTop w:val="100"/>
      <w:marBottom w:val="100"/>
      <w:divBdr>
        <w:top w:val="none" w:sz="0" w:space="0" w:color="auto"/>
        <w:left w:val="none" w:sz="0" w:space="0" w:color="auto"/>
        <w:bottom w:val="none" w:sz="0" w:space="0" w:color="auto"/>
        <w:right w:val="none" w:sz="0" w:space="0" w:color="auto"/>
      </w:divBdr>
    </w:div>
    <w:div w:id="663437430">
      <w:marLeft w:val="0"/>
      <w:marRight w:val="0"/>
      <w:marTop w:val="100"/>
      <w:marBottom w:val="0"/>
      <w:divBdr>
        <w:top w:val="none" w:sz="0" w:space="0" w:color="auto"/>
        <w:left w:val="none" w:sz="0" w:space="0" w:color="auto"/>
        <w:bottom w:val="none" w:sz="0" w:space="0" w:color="auto"/>
        <w:right w:val="none" w:sz="0" w:space="0" w:color="auto"/>
      </w:divBdr>
    </w:div>
    <w:div w:id="669992514">
      <w:marLeft w:val="0"/>
      <w:marRight w:val="0"/>
      <w:marTop w:val="100"/>
      <w:marBottom w:val="20"/>
      <w:divBdr>
        <w:top w:val="none" w:sz="0" w:space="0" w:color="auto"/>
        <w:left w:val="none" w:sz="0" w:space="0" w:color="auto"/>
        <w:bottom w:val="none" w:sz="0" w:space="0" w:color="auto"/>
        <w:right w:val="none" w:sz="0" w:space="0" w:color="auto"/>
      </w:divBdr>
    </w:div>
    <w:div w:id="677655038">
      <w:marLeft w:val="0"/>
      <w:marRight w:val="0"/>
      <w:marTop w:val="180"/>
      <w:marBottom w:val="0"/>
      <w:divBdr>
        <w:top w:val="none" w:sz="0" w:space="0" w:color="auto"/>
        <w:left w:val="none" w:sz="0" w:space="0" w:color="auto"/>
        <w:bottom w:val="none" w:sz="0" w:space="0" w:color="auto"/>
        <w:right w:val="none" w:sz="0" w:space="0" w:color="auto"/>
      </w:divBdr>
    </w:div>
    <w:div w:id="679237323">
      <w:marLeft w:val="0"/>
      <w:marRight w:val="0"/>
      <w:marTop w:val="180"/>
      <w:marBottom w:val="0"/>
      <w:divBdr>
        <w:top w:val="none" w:sz="0" w:space="0" w:color="auto"/>
        <w:left w:val="none" w:sz="0" w:space="0" w:color="auto"/>
        <w:bottom w:val="none" w:sz="0" w:space="0" w:color="auto"/>
        <w:right w:val="none" w:sz="0" w:space="0" w:color="auto"/>
      </w:divBdr>
    </w:div>
    <w:div w:id="686062874">
      <w:marLeft w:val="0"/>
      <w:marRight w:val="0"/>
      <w:marTop w:val="100"/>
      <w:marBottom w:val="100"/>
      <w:divBdr>
        <w:top w:val="none" w:sz="0" w:space="0" w:color="auto"/>
        <w:left w:val="none" w:sz="0" w:space="0" w:color="auto"/>
        <w:bottom w:val="none" w:sz="0" w:space="0" w:color="auto"/>
        <w:right w:val="none" w:sz="0" w:space="0" w:color="auto"/>
      </w:divBdr>
    </w:div>
    <w:div w:id="699597231">
      <w:marLeft w:val="0"/>
      <w:marRight w:val="0"/>
      <w:marTop w:val="100"/>
      <w:marBottom w:val="100"/>
      <w:divBdr>
        <w:top w:val="none" w:sz="0" w:space="0" w:color="auto"/>
        <w:left w:val="none" w:sz="0" w:space="0" w:color="auto"/>
        <w:bottom w:val="none" w:sz="0" w:space="0" w:color="auto"/>
        <w:right w:val="none" w:sz="0" w:space="0" w:color="auto"/>
      </w:divBdr>
    </w:div>
    <w:div w:id="701323385">
      <w:marLeft w:val="0"/>
      <w:marRight w:val="0"/>
      <w:marTop w:val="180"/>
      <w:marBottom w:val="0"/>
      <w:divBdr>
        <w:top w:val="none" w:sz="0" w:space="0" w:color="auto"/>
        <w:left w:val="none" w:sz="0" w:space="0" w:color="auto"/>
        <w:bottom w:val="none" w:sz="0" w:space="0" w:color="auto"/>
        <w:right w:val="none" w:sz="0" w:space="0" w:color="auto"/>
      </w:divBdr>
    </w:div>
    <w:div w:id="701593882">
      <w:marLeft w:val="0"/>
      <w:marRight w:val="0"/>
      <w:marTop w:val="100"/>
      <w:marBottom w:val="100"/>
      <w:divBdr>
        <w:top w:val="none" w:sz="0" w:space="0" w:color="auto"/>
        <w:left w:val="none" w:sz="0" w:space="0" w:color="auto"/>
        <w:bottom w:val="none" w:sz="0" w:space="0" w:color="auto"/>
        <w:right w:val="none" w:sz="0" w:space="0" w:color="auto"/>
      </w:divBdr>
    </w:div>
    <w:div w:id="702289571">
      <w:marLeft w:val="0"/>
      <w:marRight w:val="0"/>
      <w:marTop w:val="0"/>
      <w:marBottom w:val="0"/>
      <w:divBdr>
        <w:top w:val="none" w:sz="0" w:space="0" w:color="auto"/>
        <w:left w:val="none" w:sz="0" w:space="0" w:color="auto"/>
        <w:bottom w:val="none" w:sz="0" w:space="0" w:color="auto"/>
        <w:right w:val="none" w:sz="0" w:space="0" w:color="auto"/>
      </w:divBdr>
      <w:divsChild>
        <w:div w:id="421607954">
          <w:marLeft w:val="0"/>
          <w:marRight w:val="0"/>
          <w:marTop w:val="100"/>
          <w:marBottom w:val="100"/>
          <w:divBdr>
            <w:top w:val="none" w:sz="0" w:space="0" w:color="auto"/>
            <w:left w:val="none" w:sz="0" w:space="0" w:color="auto"/>
            <w:bottom w:val="none" w:sz="0" w:space="0" w:color="auto"/>
            <w:right w:val="none" w:sz="0" w:space="0" w:color="auto"/>
          </w:divBdr>
        </w:div>
        <w:div w:id="1622570367">
          <w:marLeft w:val="0"/>
          <w:marRight w:val="0"/>
          <w:marTop w:val="100"/>
          <w:marBottom w:val="100"/>
          <w:divBdr>
            <w:top w:val="none" w:sz="0" w:space="0" w:color="auto"/>
            <w:left w:val="none" w:sz="0" w:space="0" w:color="auto"/>
            <w:bottom w:val="none" w:sz="0" w:space="0" w:color="auto"/>
            <w:right w:val="none" w:sz="0" w:space="0" w:color="auto"/>
          </w:divBdr>
        </w:div>
      </w:divsChild>
    </w:div>
    <w:div w:id="703293668">
      <w:marLeft w:val="0"/>
      <w:marRight w:val="0"/>
      <w:marTop w:val="160"/>
      <w:marBottom w:val="100"/>
      <w:divBdr>
        <w:top w:val="none" w:sz="0" w:space="0" w:color="auto"/>
        <w:left w:val="none" w:sz="0" w:space="0" w:color="auto"/>
        <w:bottom w:val="none" w:sz="0" w:space="0" w:color="auto"/>
        <w:right w:val="none" w:sz="0" w:space="0" w:color="auto"/>
      </w:divBdr>
      <w:divsChild>
        <w:div w:id="1468351213">
          <w:marLeft w:val="0"/>
          <w:marRight w:val="0"/>
          <w:marTop w:val="0"/>
          <w:marBottom w:val="0"/>
          <w:divBdr>
            <w:top w:val="none" w:sz="0" w:space="0" w:color="auto"/>
            <w:left w:val="none" w:sz="0" w:space="0" w:color="auto"/>
            <w:bottom w:val="none" w:sz="0" w:space="0" w:color="auto"/>
            <w:right w:val="none" w:sz="0" w:space="0" w:color="auto"/>
          </w:divBdr>
        </w:div>
      </w:divsChild>
    </w:div>
    <w:div w:id="704017275">
      <w:marLeft w:val="0"/>
      <w:marRight w:val="0"/>
      <w:marTop w:val="180"/>
      <w:marBottom w:val="0"/>
      <w:divBdr>
        <w:top w:val="none" w:sz="0" w:space="0" w:color="auto"/>
        <w:left w:val="none" w:sz="0" w:space="0" w:color="auto"/>
        <w:bottom w:val="none" w:sz="0" w:space="0" w:color="auto"/>
        <w:right w:val="none" w:sz="0" w:space="0" w:color="auto"/>
      </w:divBdr>
    </w:div>
    <w:div w:id="705719819">
      <w:marLeft w:val="0"/>
      <w:marRight w:val="0"/>
      <w:marTop w:val="0"/>
      <w:marBottom w:val="0"/>
      <w:divBdr>
        <w:top w:val="none" w:sz="0" w:space="0" w:color="auto"/>
        <w:left w:val="none" w:sz="0" w:space="0" w:color="auto"/>
        <w:bottom w:val="none" w:sz="0" w:space="0" w:color="auto"/>
        <w:right w:val="none" w:sz="0" w:space="0" w:color="auto"/>
      </w:divBdr>
    </w:div>
    <w:div w:id="707292825">
      <w:marLeft w:val="0"/>
      <w:marRight w:val="0"/>
      <w:marTop w:val="100"/>
      <w:marBottom w:val="100"/>
      <w:divBdr>
        <w:top w:val="none" w:sz="0" w:space="0" w:color="auto"/>
        <w:left w:val="none" w:sz="0" w:space="0" w:color="auto"/>
        <w:bottom w:val="none" w:sz="0" w:space="0" w:color="auto"/>
        <w:right w:val="none" w:sz="0" w:space="0" w:color="auto"/>
      </w:divBdr>
    </w:div>
    <w:div w:id="715661260">
      <w:marLeft w:val="0"/>
      <w:marRight w:val="0"/>
      <w:marTop w:val="0"/>
      <w:marBottom w:val="0"/>
      <w:divBdr>
        <w:top w:val="none" w:sz="0" w:space="0" w:color="auto"/>
        <w:left w:val="none" w:sz="0" w:space="0" w:color="auto"/>
        <w:bottom w:val="none" w:sz="0" w:space="0" w:color="auto"/>
        <w:right w:val="none" w:sz="0" w:space="0" w:color="auto"/>
      </w:divBdr>
      <w:divsChild>
        <w:div w:id="1514806037">
          <w:marLeft w:val="0"/>
          <w:marRight w:val="0"/>
          <w:marTop w:val="100"/>
          <w:marBottom w:val="100"/>
          <w:divBdr>
            <w:top w:val="none" w:sz="0" w:space="0" w:color="auto"/>
            <w:left w:val="none" w:sz="0" w:space="0" w:color="auto"/>
            <w:bottom w:val="none" w:sz="0" w:space="0" w:color="auto"/>
            <w:right w:val="none" w:sz="0" w:space="0" w:color="auto"/>
          </w:divBdr>
        </w:div>
        <w:div w:id="244732982">
          <w:marLeft w:val="0"/>
          <w:marRight w:val="0"/>
          <w:marTop w:val="100"/>
          <w:marBottom w:val="100"/>
          <w:divBdr>
            <w:top w:val="none" w:sz="0" w:space="0" w:color="auto"/>
            <w:left w:val="none" w:sz="0" w:space="0" w:color="auto"/>
            <w:bottom w:val="none" w:sz="0" w:space="0" w:color="auto"/>
            <w:right w:val="none" w:sz="0" w:space="0" w:color="auto"/>
          </w:divBdr>
        </w:div>
      </w:divsChild>
    </w:div>
    <w:div w:id="716976981">
      <w:marLeft w:val="0"/>
      <w:marRight w:val="0"/>
      <w:marTop w:val="100"/>
      <w:marBottom w:val="100"/>
      <w:divBdr>
        <w:top w:val="none" w:sz="0" w:space="0" w:color="auto"/>
        <w:left w:val="none" w:sz="0" w:space="0" w:color="auto"/>
        <w:bottom w:val="none" w:sz="0" w:space="0" w:color="auto"/>
        <w:right w:val="none" w:sz="0" w:space="0" w:color="auto"/>
      </w:divBdr>
    </w:div>
    <w:div w:id="718675933">
      <w:marLeft w:val="0"/>
      <w:marRight w:val="0"/>
      <w:marTop w:val="100"/>
      <w:marBottom w:val="100"/>
      <w:divBdr>
        <w:top w:val="none" w:sz="0" w:space="0" w:color="auto"/>
        <w:left w:val="none" w:sz="0" w:space="0" w:color="auto"/>
        <w:bottom w:val="none" w:sz="0" w:space="0" w:color="auto"/>
        <w:right w:val="none" w:sz="0" w:space="0" w:color="auto"/>
      </w:divBdr>
    </w:div>
    <w:div w:id="718941057">
      <w:marLeft w:val="0"/>
      <w:marRight w:val="0"/>
      <w:marTop w:val="100"/>
      <w:marBottom w:val="100"/>
      <w:divBdr>
        <w:top w:val="none" w:sz="0" w:space="0" w:color="auto"/>
        <w:left w:val="none" w:sz="0" w:space="0" w:color="auto"/>
        <w:bottom w:val="none" w:sz="0" w:space="0" w:color="auto"/>
        <w:right w:val="none" w:sz="0" w:space="0" w:color="auto"/>
      </w:divBdr>
      <w:divsChild>
        <w:div w:id="1695184383">
          <w:marLeft w:val="0"/>
          <w:marRight w:val="0"/>
          <w:marTop w:val="0"/>
          <w:marBottom w:val="0"/>
          <w:divBdr>
            <w:top w:val="none" w:sz="0" w:space="0" w:color="auto"/>
            <w:left w:val="none" w:sz="0" w:space="0" w:color="auto"/>
            <w:bottom w:val="none" w:sz="0" w:space="0" w:color="auto"/>
            <w:right w:val="none" w:sz="0" w:space="0" w:color="auto"/>
          </w:divBdr>
        </w:div>
      </w:divsChild>
    </w:div>
    <w:div w:id="721251506">
      <w:marLeft w:val="0"/>
      <w:marRight w:val="0"/>
      <w:marTop w:val="100"/>
      <w:marBottom w:val="100"/>
      <w:divBdr>
        <w:top w:val="none" w:sz="0" w:space="0" w:color="auto"/>
        <w:left w:val="none" w:sz="0" w:space="0" w:color="auto"/>
        <w:bottom w:val="none" w:sz="0" w:space="0" w:color="auto"/>
        <w:right w:val="none" w:sz="0" w:space="0" w:color="auto"/>
      </w:divBdr>
      <w:divsChild>
        <w:div w:id="1210923854">
          <w:marLeft w:val="0"/>
          <w:marRight w:val="0"/>
          <w:marTop w:val="0"/>
          <w:marBottom w:val="0"/>
          <w:divBdr>
            <w:top w:val="none" w:sz="0" w:space="0" w:color="auto"/>
            <w:left w:val="none" w:sz="0" w:space="0" w:color="auto"/>
            <w:bottom w:val="none" w:sz="0" w:space="0" w:color="auto"/>
            <w:right w:val="none" w:sz="0" w:space="0" w:color="auto"/>
          </w:divBdr>
        </w:div>
      </w:divsChild>
    </w:div>
    <w:div w:id="721950400">
      <w:marLeft w:val="0"/>
      <w:marRight w:val="0"/>
      <w:marTop w:val="100"/>
      <w:marBottom w:val="100"/>
      <w:divBdr>
        <w:top w:val="none" w:sz="0" w:space="0" w:color="auto"/>
        <w:left w:val="none" w:sz="0" w:space="0" w:color="auto"/>
        <w:bottom w:val="none" w:sz="0" w:space="0" w:color="auto"/>
        <w:right w:val="none" w:sz="0" w:space="0" w:color="auto"/>
      </w:divBdr>
    </w:div>
    <w:div w:id="723454311">
      <w:marLeft w:val="0"/>
      <w:marRight w:val="0"/>
      <w:marTop w:val="0"/>
      <w:marBottom w:val="0"/>
      <w:divBdr>
        <w:top w:val="none" w:sz="0" w:space="0" w:color="auto"/>
        <w:left w:val="none" w:sz="0" w:space="0" w:color="auto"/>
        <w:bottom w:val="none" w:sz="0" w:space="0" w:color="auto"/>
        <w:right w:val="none" w:sz="0" w:space="0" w:color="auto"/>
      </w:divBdr>
    </w:div>
    <w:div w:id="726804829">
      <w:marLeft w:val="0"/>
      <w:marRight w:val="0"/>
      <w:marTop w:val="180"/>
      <w:marBottom w:val="0"/>
      <w:divBdr>
        <w:top w:val="none" w:sz="0" w:space="0" w:color="auto"/>
        <w:left w:val="none" w:sz="0" w:space="0" w:color="auto"/>
        <w:bottom w:val="none" w:sz="0" w:space="0" w:color="auto"/>
        <w:right w:val="none" w:sz="0" w:space="0" w:color="auto"/>
      </w:divBdr>
    </w:div>
    <w:div w:id="728960932">
      <w:marLeft w:val="0"/>
      <w:marRight w:val="0"/>
      <w:marTop w:val="0"/>
      <w:marBottom w:val="0"/>
      <w:divBdr>
        <w:top w:val="none" w:sz="0" w:space="0" w:color="auto"/>
        <w:left w:val="none" w:sz="0" w:space="0" w:color="auto"/>
        <w:bottom w:val="none" w:sz="0" w:space="0" w:color="auto"/>
        <w:right w:val="none" w:sz="0" w:space="0" w:color="auto"/>
      </w:divBdr>
    </w:div>
    <w:div w:id="734357143">
      <w:marLeft w:val="0"/>
      <w:marRight w:val="0"/>
      <w:marTop w:val="100"/>
      <w:marBottom w:val="100"/>
      <w:divBdr>
        <w:top w:val="none" w:sz="0" w:space="0" w:color="auto"/>
        <w:left w:val="none" w:sz="0" w:space="0" w:color="auto"/>
        <w:bottom w:val="none" w:sz="0" w:space="0" w:color="auto"/>
        <w:right w:val="none" w:sz="0" w:space="0" w:color="auto"/>
      </w:divBdr>
    </w:div>
    <w:div w:id="744953577">
      <w:marLeft w:val="0"/>
      <w:marRight w:val="0"/>
      <w:marTop w:val="80"/>
      <w:marBottom w:val="0"/>
      <w:divBdr>
        <w:top w:val="none" w:sz="0" w:space="0" w:color="auto"/>
        <w:left w:val="none" w:sz="0" w:space="0" w:color="auto"/>
        <w:bottom w:val="none" w:sz="0" w:space="0" w:color="auto"/>
        <w:right w:val="none" w:sz="0" w:space="0" w:color="auto"/>
      </w:divBdr>
    </w:div>
    <w:div w:id="755979529">
      <w:marLeft w:val="0"/>
      <w:marRight w:val="0"/>
      <w:marTop w:val="0"/>
      <w:marBottom w:val="0"/>
      <w:divBdr>
        <w:top w:val="none" w:sz="0" w:space="0" w:color="auto"/>
        <w:left w:val="none" w:sz="0" w:space="0" w:color="auto"/>
        <w:bottom w:val="none" w:sz="0" w:space="0" w:color="auto"/>
        <w:right w:val="none" w:sz="0" w:space="0" w:color="auto"/>
      </w:divBdr>
    </w:div>
    <w:div w:id="772282133">
      <w:marLeft w:val="0"/>
      <w:marRight w:val="0"/>
      <w:marTop w:val="0"/>
      <w:marBottom w:val="0"/>
      <w:divBdr>
        <w:top w:val="none" w:sz="0" w:space="0" w:color="auto"/>
        <w:left w:val="none" w:sz="0" w:space="0" w:color="auto"/>
        <w:bottom w:val="none" w:sz="0" w:space="0" w:color="auto"/>
        <w:right w:val="none" w:sz="0" w:space="0" w:color="auto"/>
      </w:divBdr>
    </w:div>
    <w:div w:id="776632055">
      <w:marLeft w:val="0"/>
      <w:marRight w:val="0"/>
      <w:marTop w:val="0"/>
      <w:marBottom w:val="0"/>
      <w:divBdr>
        <w:top w:val="none" w:sz="0" w:space="0" w:color="auto"/>
        <w:left w:val="none" w:sz="0" w:space="0" w:color="auto"/>
        <w:bottom w:val="none" w:sz="0" w:space="0" w:color="auto"/>
        <w:right w:val="none" w:sz="0" w:space="0" w:color="auto"/>
      </w:divBdr>
      <w:divsChild>
        <w:div w:id="169611453">
          <w:marLeft w:val="0"/>
          <w:marRight w:val="0"/>
          <w:marTop w:val="0"/>
          <w:marBottom w:val="0"/>
          <w:divBdr>
            <w:top w:val="none" w:sz="0" w:space="0" w:color="auto"/>
            <w:left w:val="none" w:sz="0" w:space="0" w:color="auto"/>
            <w:bottom w:val="none" w:sz="0" w:space="0" w:color="auto"/>
            <w:right w:val="none" w:sz="0" w:space="0" w:color="auto"/>
          </w:divBdr>
          <w:divsChild>
            <w:div w:id="6346010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78524429">
      <w:marLeft w:val="0"/>
      <w:marRight w:val="0"/>
      <w:marTop w:val="0"/>
      <w:marBottom w:val="0"/>
      <w:divBdr>
        <w:top w:val="none" w:sz="0" w:space="0" w:color="auto"/>
        <w:left w:val="none" w:sz="0" w:space="0" w:color="auto"/>
        <w:bottom w:val="none" w:sz="0" w:space="0" w:color="auto"/>
        <w:right w:val="none" w:sz="0" w:space="0" w:color="auto"/>
      </w:divBdr>
    </w:div>
    <w:div w:id="779956300">
      <w:marLeft w:val="0"/>
      <w:marRight w:val="0"/>
      <w:marTop w:val="180"/>
      <w:marBottom w:val="100"/>
      <w:divBdr>
        <w:top w:val="none" w:sz="0" w:space="0" w:color="auto"/>
        <w:left w:val="none" w:sz="0" w:space="0" w:color="auto"/>
        <w:bottom w:val="none" w:sz="0" w:space="0" w:color="auto"/>
        <w:right w:val="none" w:sz="0" w:space="0" w:color="auto"/>
      </w:divBdr>
    </w:div>
    <w:div w:id="780801063">
      <w:marLeft w:val="0"/>
      <w:marRight w:val="0"/>
      <w:marTop w:val="180"/>
      <w:marBottom w:val="0"/>
      <w:divBdr>
        <w:top w:val="none" w:sz="0" w:space="0" w:color="auto"/>
        <w:left w:val="none" w:sz="0" w:space="0" w:color="auto"/>
        <w:bottom w:val="none" w:sz="0" w:space="0" w:color="auto"/>
        <w:right w:val="none" w:sz="0" w:space="0" w:color="auto"/>
      </w:divBdr>
    </w:div>
    <w:div w:id="783156450">
      <w:marLeft w:val="0"/>
      <w:marRight w:val="0"/>
      <w:marTop w:val="100"/>
      <w:marBottom w:val="100"/>
      <w:divBdr>
        <w:top w:val="none" w:sz="0" w:space="0" w:color="auto"/>
        <w:left w:val="none" w:sz="0" w:space="0" w:color="auto"/>
        <w:bottom w:val="none" w:sz="0" w:space="0" w:color="auto"/>
        <w:right w:val="none" w:sz="0" w:space="0" w:color="auto"/>
      </w:divBdr>
    </w:div>
    <w:div w:id="792750726">
      <w:marLeft w:val="0"/>
      <w:marRight w:val="0"/>
      <w:marTop w:val="100"/>
      <w:marBottom w:val="100"/>
      <w:divBdr>
        <w:top w:val="none" w:sz="0" w:space="0" w:color="auto"/>
        <w:left w:val="none" w:sz="0" w:space="0" w:color="auto"/>
        <w:bottom w:val="none" w:sz="0" w:space="0" w:color="auto"/>
        <w:right w:val="none" w:sz="0" w:space="0" w:color="auto"/>
      </w:divBdr>
      <w:divsChild>
        <w:div w:id="85618463">
          <w:marLeft w:val="0"/>
          <w:marRight w:val="0"/>
          <w:marTop w:val="0"/>
          <w:marBottom w:val="0"/>
          <w:divBdr>
            <w:top w:val="none" w:sz="0" w:space="0" w:color="auto"/>
            <w:left w:val="none" w:sz="0" w:space="0" w:color="auto"/>
            <w:bottom w:val="none" w:sz="0" w:space="0" w:color="auto"/>
            <w:right w:val="none" w:sz="0" w:space="0" w:color="auto"/>
          </w:divBdr>
        </w:div>
      </w:divsChild>
    </w:div>
    <w:div w:id="801462229">
      <w:marLeft w:val="0"/>
      <w:marRight w:val="0"/>
      <w:marTop w:val="100"/>
      <w:marBottom w:val="100"/>
      <w:divBdr>
        <w:top w:val="none" w:sz="0" w:space="0" w:color="auto"/>
        <w:left w:val="none" w:sz="0" w:space="0" w:color="auto"/>
        <w:bottom w:val="none" w:sz="0" w:space="0" w:color="auto"/>
        <w:right w:val="none" w:sz="0" w:space="0" w:color="auto"/>
      </w:divBdr>
    </w:div>
    <w:div w:id="803473045">
      <w:marLeft w:val="0"/>
      <w:marRight w:val="0"/>
      <w:marTop w:val="100"/>
      <w:marBottom w:val="100"/>
      <w:divBdr>
        <w:top w:val="none" w:sz="0" w:space="0" w:color="auto"/>
        <w:left w:val="none" w:sz="0" w:space="0" w:color="auto"/>
        <w:bottom w:val="none" w:sz="0" w:space="0" w:color="auto"/>
        <w:right w:val="none" w:sz="0" w:space="0" w:color="auto"/>
      </w:divBdr>
      <w:divsChild>
        <w:div w:id="535045783">
          <w:marLeft w:val="0"/>
          <w:marRight w:val="0"/>
          <w:marTop w:val="180"/>
          <w:marBottom w:val="0"/>
          <w:divBdr>
            <w:top w:val="none" w:sz="0" w:space="0" w:color="auto"/>
            <w:left w:val="none" w:sz="0" w:space="0" w:color="auto"/>
            <w:bottom w:val="none" w:sz="0" w:space="0" w:color="auto"/>
            <w:right w:val="none" w:sz="0" w:space="0" w:color="auto"/>
          </w:divBdr>
        </w:div>
      </w:divsChild>
    </w:div>
    <w:div w:id="812255444">
      <w:marLeft w:val="0"/>
      <w:marRight w:val="0"/>
      <w:marTop w:val="100"/>
      <w:marBottom w:val="100"/>
      <w:divBdr>
        <w:top w:val="none" w:sz="0" w:space="0" w:color="auto"/>
        <w:left w:val="none" w:sz="0" w:space="0" w:color="auto"/>
        <w:bottom w:val="none" w:sz="0" w:space="0" w:color="auto"/>
        <w:right w:val="none" w:sz="0" w:space="0" w:color="auto"/>
      </w:divBdr>
    </w:div>
    <w:div w:id="814183170">
      <w:marLeft w:val="0"/>
      <w:marRight w:val="0"/>
      <w:marTop w:val="180"/>
      <w:marBottom w:val="0"/>
      <w:divBdr>
        <w:top w:val="none" w:sz="0" w:space="0" w:color="auto"/>
        <w:left w:val="none" w:sz="0" w:space="0" w:color="auto"/>
        <w:bottom w:val="none" w:sz="0" w:space="0" w:color="auto"/>
        <w:right w:val="none" w:sz="0" w:space="0" w:color="auto"/>
      </w:divBdr>
    </w:div>
    <w:div w:id="817723098">
      <w:marLeft w:val="0"/>
      <w:marRight w:val="0"/>
      <w:marTop w:val="100"/>
      <w:marBottom w:val="0"/>
      <w:divBdr>
        <w:top w:val="none" w:sz="0" w:space="0" w:color="auto"/>
        <w:left w:val="none" w:sz="0" w:space="0" w:color="auto"/>
        <w:bottom w:val="none" w:sz="0" w:space="0" w:color="auto"/>
        <w:right w:val="none" w:sz="0" w:space="0" w:color="auto"/>
      </w:divBdr>
    </w:div>
    <w:div w:id="822427711">
      <w:marLeft w:val="0"/>
      <w:marRight w:val="0"/>
      <w:marTop w:val="100"/>
      <w:marBottom w:val="100"/>
      <w:divBdr>
        <w:top w:val="none" w:sz="0" w:space="0" w:color="auto"/>
        <w:left w:val="none" w:sz="0" w:space="0" w:color="auto"/>
        <w:bottom w:val="none" w:sz="0" w:space="0" w:color="auto"/>
        <w:right w:val="none" w:sz="0" w:space="0" w:color="auto"/>
      </w:divBdr>
    </w:div>
    <w:div w:id="824510513">
      <w:marLeft w:val="0"/>
      <w:marRight w:val="0"/>
      <w:marTop w:val="180"/>
      <w:marBottom w:val="0"/>
      <w:divBdr>
        <w:top w:val="none" w:sz="0" w:space="0" w:color="auto"/>
        <w:left w:val="none" w:sz="0" w:space="0" w:color="auto"/>
        <w:bottom w:val="none" w:sz="0" w:space="0" w:color="auto"/>
        <w:right w:val="none" w:sz="0" w:space="0" w:color="auto"/>
      </w:divBdr>
    </w:div>
    <w:div w:id="834883236">
      <w:marLeft w:val="0"/>
      <w:marRight w:val="0"/>
      <w:marTop w:val="100"/>
      <w:marBottom w:val="100"/>
      <w:divBdr>
        <w:top w:val="none" w:sz="0" w:space="0" w:color="auto"/>
        <w:left w:val="none" w:sz="0" w:space="0" w:color="auto"/>
        <w:bottom w:val="none" w:sz="0" w:space="0" w:color="auto"/>
        <w:right w:val="none" w:sz="0" w:space="0" w:color="auto"/>
      </w:divBdr>
    </w:div>
    <w:div w:id="840045639">
      <w:marLeft w:val="0"/>
      <w:marRight w:val="0"/>
      <w:marTop w:val="180"/>
      <w:marBottom w:val="0"/>
      <w:divBdr>
        <w:top w:val="none" w:sz="0" w:space="0" w:color="auto"/>
        <w:left w:val="none" w:sz="0" w:space="0" w:color="auto"/>
        <w:bottom w:val="none" w:sz="0" w:space="0" w:color="auto"/>
        <w:right w:val="none" w:sz="0" w:space="0" w:color="auto"/>
      </w:divBdr>
    </w:div>
    <w:div w:id="844169247">
      <w:marLeft w:val="0"/>
      <w:marRight w:val="0"/>
      <w:marTop w:val="0"/>
      <w:marBottom w:val="0"/>
      <w:divBdr>
        <w:top w:val="none" w:sz="0" w:space="0" w:color="auto"/>
        <w:left w:val="none" w:sz="0" w:space="0" w:color="auto"/>
        <w:bottom w:val="none" w:sz="0" w:space="0" w:color="auto"/>
        <w:right w:val="none" w:sz="0" w:space="0" w:color="auto"/>
      </w:divBdr>
    </w:div>
    <w:div w:id="846604564">
      <w:marLeft w:val="0"/>
      <w:marRight w:val="0"/>
      <w:marTop w:val="100"/>
      <w:marBottom w:val="100"/>
      <w:divBdr>
        <w:top w:val="none" w:sz="0" w:space="0" w:color="auto"/>
        <w:left w:val="none" w:sz="0" w:space="0" w:color="auto"/>
        <w:bottom w:val="none" w:sz="0" w:space="0" w:color="auto"/>
        <w:right w:val="none" w:sz="0" w:space="0" w:color="auto"/>
      </w:divBdr>
    </w:div>
    <w:div w:id="850336498">
      <w:marLeft w:val="0"/>
      <w:marRight w:val="0"/>
      <w:marTop w:val="0"/>
      <w:marBottom w:val="0"/>
      <w:divBdr>
        <w:top w:val="none" w:sz="0" w:space="0" w:color="auto"/>
        <w:left w:val="none" w:sz="0" w:space="0" w:color="auto"/>
        <w:bottom w:val="none" w:sz="0" w:space="0" w:color="auto"/>
        <w:right w:val="none" w:sz="0" w:space="0" w:color="auto"/>
      </w:divBdr>
    </w:div>
    <w:div w:id="850414574">
      <w:marLeft w:val="0"/>
      <w:marRight w:val="0"/>
      <w:marTop w:val="0"/>
      <w:marBottom w:val="0"/>
      <w:divBdr>
        <w:top w:val="none" w:sz="0" w:space="0" w:color="auto"/>
        <w:left w:val="none" w:sz="0" w:space="0" w:color="auto"/>
        <w:bottom w:val="none" w:sz="0" w:space="0" w:color="auto"/>
        <w:right w:val="none" w:sz="0" w:space="0" w:color="auto"/>
      </w:divBdr>
    </w:div>
    <w:div w:id="851065788">
      <w:marLeft w:val="0"/>
      <w:marRight w:val="0"/>
      <w:marTop w:val="0"/>
      <w:marBottom w:val="0"/>
      <w:divBdr>
        <w:top w:val="none" w:sz="0" w:space="0" w:color="auto"/>
        <w:left w:val="none" w:sz="0" w:space="0" w:color="auto"/>
        <w:bottom w:val="none" w:sz="0" w:space="0" w:color="auto"/>
        <w:right w:val="none" w:sz="0" w:space="0" w:color="auto"/>
      </w:divBdr>
    </w:div>
    <w:div w:id="855383473">
      <w:marLeft w:val="0"/>
      <w:marRight w:val="0"/>
      <w:marTop w:val="100"/>
      <w:marBottom w:val="10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 w:id="860359052">
      <w:marLeft w:val="0"/>
      <w:marRight w:val="0"/>
      <w:marTop w:val="0"/>
      <w:marBottom w:val="0"/>
      <w:divBdr>
        <w:top w:val="none" w:sz="0" w:space="0" w:color="auto"/>
        <w:left w:val="none" w:sz="0" w:space="0" w:color="auto"/>
        <w:bottom w:val="none" w:sz="0" w:space="0" w:color="auto"/>
        <w:right w:val="none" w:sz="0" w:space="0" w:color="auto"/>
      </w:divBdr>
      <w:divsChild>
        <w:div w:id="1029837147">
          <w:marLeft w:val="0"/>
          <w:marRight w:val="0"/>
          <w:marTop w:val="100"/>
          <w:marBottom w:val="100"/>
          <w:divBdr>
            <w:top w:val="none" w:sz="0" w:space="0" w:color="auto"/>
            <w:left w:val="none" w:sz="0" w:space="0" w:color="auto"/>
            <w:bottom w:val="none" w:sz="0" w:space="0" w:color="auto"/>
            <w:right w:val="none" w:sz="0" w:space="0" w:color="auto"/>
          </w:divBdr>
        </w:div>
        <w:div w:id="1435394046">
          <w:marLeft w:val="0"/>
          <w:marRight w:val="0"/>
          <w:marTop w:val="100"/>
          <w:marBottom w:val="100"/>
          <w:divBdr>
            <w:top w:val="none" w:sz="0" w:space="0" w:color="auto"/>
            <w:left w:val="none" w:sz="0" w:space="0" w:color="auto"/>
            <w:bottom w:val="none" w:sz="0" w:space="0" w:color="auto"/>
            <w:right w:val="none" w:sz="0" w:space="0" w:color="auto"/>
          </w:divBdr>
        </w:div>
      </w:divsChild>
    </w:div>
    <w:div w:id="862982665">
      <w:marLeft w:val="0"/>
      <w:marRight w:val="0"/>
      <w:marTop w:val="0"/>
      <w:marBottom w:val="0"/>
      <w:divBdr>
        <w:top w:val="none" w:sz="0" w:space="0" w:color="auto"/>
        <w:left w:val="none" w:sz="0" w:space="0" w:color="auto"/>
        <w:bottom w:val="none" w:sz="0" w:space="0" w:color="auto"/>
        <w:right w:val="none" w:sz="0" w:space="0" w:color="auto"/>
      </w:divBdr>
    </w:div>
    <w:div w:id="863246458">
      <w:marLeft w:val="0"/>
      <w:marRight w:val="0"/>
      <w:marTop w:val="0"/>
      <w:marBottom w:val="0"/>
      <w:divBdr>
        <w:top w:val="none" w:sz="0" w:space="0" w:color="auto"/>
        <w:left w:val="none" w:sz="0" w:space="0" w:color="auto"/>
        <w:bottom w:val="none" w:sz="0" w:space="0" w:color="auto"/>
        <w:right w:val="none" w:sz="0" w:space="0" w:color="auto"/>
      </w:divBdr>
    </w:div>
    <w:div w:id="867332952">
      <w:marLeft w:val="0"/>
      <w:marRight w:val="0"/>
      <w:marTop w:val="100"/>
      <w:marBottom w:val="100"/>
      <w:divBdr>
        <w:top w:val="none" w:sz="0" w:space="0" w:color="auto"/>
        <w:left w:val="none" w:sz="0" w:space="0" w:color="auto"/>
        <w:bottom w:val="none" w:sz="0" w:space="0" w:color="auto"/>
        <w:right w:val="none" w:sz="0" w:space="0" w:color="auto"/>
      </w:divBdr>
    </w:div>
    <w:div w:id="868371521">
      <w:marLeft w:val="0"/>
      <w:marRight w:val="0"/>
      <w:marTop w:val="0"/>
      <w:marBottom w:val="0"/>
      <w:divBdr>
        <w:top w:val="none" w:sz="0" w:space="0" w:color="auto"/>
        <w:left w:val="none" w:sz="0" w:space="0" w:color="auto"/>
        <w:bottom w:val="none" w:sz="0" w:space="0" w:color="auto"/>
        <w:right w:val="none" w:sz="0" w:space="0" w:color="auto"/>
      </w:divBdr>
    </w:div>
    <w:div w:id="869301409">
      <w:marLeft w:val="0"/>
      <w:marRight w:val="0"/>
      <w:marTop w:val="100"/>
      <w:marBottom w:val="100"/>
      <w:divBdr>
        <w:top w:val="none" w:sz="0" w:space="0" w:color="auto"/>
        <w:left w:val="none" w:sz="0" w:space="0" w:color="auto"/>
        <w:bottom w:val="none" w:sz="0" w:space="0" w:color="auto"/>
        <w:right w:val="none" w:sz="0" w:space="0" w:color="auto"/>
      </w:divBdr>
    </w:div>
    <w:div w:id="876895802">
      <w:marLeft w:val="0"/>
      <w:marRight w:val="0"/>
      <w:marTop w:val="180"/>
      <w:marBottom w:val="0"/>
      <w:divBdr>
        <w:top w:val="none" w:sz="0" w:space="0" w:color="auto"/>
        <w:left w:val="none" w:sz="0" w:space="0" w:color="auto"/>
        <w:bottom w:val="none" w:sz="0" w:space="0" w:color="auto"/>
        <w:right w:val="none" w:sz="0" w:space="0" w:color="auto"/>
      </w:divBdr>
    </w:div>
    <w:div w:id="878202718">
      <w:marLeft w:val="0"/>
      <w:marRight w:val="0"/>
      <w:marTop w:val="180"/>
      <w:marBottom w:val="0"/>
      <w:divBdr>
        <w:top w:val="none" w:sz="0" w:space="0" w:color="auto"/>
        <w:left w:val="none" w:sz="0" w:space="0" w:color="auto"/>
        <w:bottom w:val="none" w:sz="0" w:space="0" w:color="auto"/>
        <w:right w:val="none" w:sz="0" w:space="0" w:color="auto"/>
      </w:divBdr>
    </w:div>
    <w:div w:id="881864910">
      <w:marLeft w:val="0"/>
      <w:marRight w:val="0"/>
      <w:marTop w:val="100"/>
      <w:marBottom w:val="100"/>
      <w:divBdr>
        <w:top w:val="none" w:sz="0" w:space="0" w:color="auto"/>
        <w:left w:val="none" w:sz="0" w:space="0" w:color="auto"/>
        <w:bottom w:val="none" w:sz="0" w:space="0" w:color="auto"/>
        <w:right w:val="none" w:sz="0" w:space="0" w:color="auto"/>
      </w:divBdr>
    </w:div>
    <w:div w:id="882835504">
      <w:marLeft w:val="0"/>
      <w:marRight w:val="0"/>
      <w:marTop w:val="0"/>
      <w:marBottom w:val="0"/>
      <w:divBdr>
        <w:top w:val="none" w:sz="0" w:space="0" w:color="auto"/>
        <w:left w:val="none" w:sz="0" w:space="0" w:color="auto"/>
        <w:bottom w:val="none" w:sz="0" w:space="0" w:color="auto"/>
        <w:right w:val="none" w:sz="0" w:space="0" w:color="auto"/>
      </w:divBdr>
      <w:divsChild>
        <w:div w:id="464394783">
          <w:marLeft w:val="0"/>
          <w:marRight w:val="0"/>
          <w:marTop w:val="100"/>
          <w:marBottom w:val="100"/>
          <w:divBdr>
            <w:top w:val="none" w:sz="0" w:space="0" w:color="auto"/>
            <w:left w:val="none" w:sz="0" w:space="0" w:color="auto"/>
            <w:bottom w:val="none" w:sz="0" w:space="0" w:color="auto"/>
            <w:right w:val="none" w:sz="0" w:space="0" w:color="auto"/>
          </w:divBdr>
        </w:div>
        <w:div w:id="439491407">
          <w:marLeft w:val="0"/>
          <w:marRight w:val="0"/>
          <w:marTop w:val="100"/>
          <w:marBottom w:val="100"/>
          <w:divBdr>
            <w:top w:val="none" w:sz="0" w:space="0" w:color="auto"/>
            <w:left w:val="none" w:sz="0" w:space="0" w:color="auto"/>
            <w:bottom w:val="none" w:sz="0" w:space="0" w:color="auto"/>
            <w:right w:val="none" w:sz="0" w:space="0" w:color="auto"/>
          </w:divBdr>
        </w:div>
      </w:divsChild>
    </w:div>
    <w:div w:id="887686097">
      <w:marLeft w:val="0"/>
      <w:marRight w:val="0"/>
      <w:marTop w:val="100"/>
      <w:marBottom w:val="100"/>
      <w:divBdr>
        <w:top w:val="none" w:sz="0" w:space="0" w:color="auto"/>
        <w:left w:val="none" w:sz="0" w:space="0" w:color="auto"/>
        <w:bottom w:val="none" w:sz="0" w:space="0" w:color="auto"/>
        <w:right w:val="none" w:sz="0" w:space="0" w:color="auto"/>
      </w:divBdr>
    </w:div>
    <w:div w:id="891355707">
      <w:marLeft w:val="0"/>
      <w:marRight w:val="0"/>
      <w:marTop w:val="100"/>
      <w:marBottom w:val="100"/>
      <w:divBdr>
        <w:top w:val="none" w:sz="0" w:space="0" w:color="auto"/>
        <w:left w:val="none" w:sz="0" w:space="0" w:color="auto"/>
        <w:bottom w:val="none" w:sz="0" w:space="0" w:color="auto"/>
        <w:right w:val="none" w:sz="0" w:space="0" w:color="auto"/>
      </w:divBdr>
    </w:div>
    <w:div w:id="902371831">
      <w:marLeft w:val="0"/>
      <w:marRight w:val="0"/>
      <w:marTop w:val="100"/>
      <w:marBottom w:val="100"/>
      <w:divBdr>
        <w:top w:val="none" w:sz="0" w:space="0" w:color="auto"/>
        <w:left w:val="none" w:sz="0" w:space="0" w:color="auto"/>
        <w:bottom w:val="none" w:sz="0" w:space="0" w:color="auto"/>
        <w:right w:val="none" w:sz="0" w:space="0" w:color="auto"/>
      </w:divBdr>
      <w:divsChild>
        <w:div w:id="819807647">
          <w:marLeft w:val="0"/>
          <w:marRight w:val="0"/>
          <w:marTop w:val="0"/>
          <w:marBottom w:val="0"/>
          <w:divBdr>
            <w:top w:val="none" w:sz="0" w:space="0" w:color="auto"/>
            <w:left w:val="none" w:sz="0" w:space="0" w:color="auto"/>
            <w:bottom w:val="none" w:sz="0" w:space="0" w:color="auto"/>
            <w:right w:val="none" w:sz="0" w:space="0" w:color="auto"/>
          </w:divBdr>
        </w:div>
      </w:divsChild>
    </w:div>
    <w:div w:id="903761296">
      <w:marLeft w:val="0"/>
      <w:marRight w:val="0"/>
      <w:marTop w:val="0"/>
      <w:marBottom w:val="0"/>
      <w:divBdr>
        <w:top w:val="none" w:sz="0" w:space="0" w:color="auto"/>
        <w:left w:val="none" w:sz="0" w:space="0" w:color="auto"/>
        <w:bottom w:val="none" w:sz="0" w:space="0" w:color="auto"/>
        <w:right w:val="none" w:sz="0" w:space="0" w:color="auto"/>
      </w:divBdr>
      <w:divsChild>
        <w:div w:id="1986736196">
          <w:marLeft w:val="0"/>
          <w:marRight w:val="0"/>
          <w:marTop w:val="0"/>
          <w:marBottom w:val="0"/>
          <w:divBdr>
            <w:top w:val="none" w:sz="0" w:space="0" w:color="auto"/>
            <w:left w:val="none" w:sz="0" w:space="0" w:color="auto"/>
            <w:bottom w:val="none" w:sz="0" w:space="0" w:color="auto"/>
            <w:right w:val="none" w:sz="0" w:space="0" w:color="auto"/>
          </w:divBdr>
          <w:divsChild>
            <w:div w:id="15701442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04993882">
      <w:marLeft w:val="0"/>
      <w:marRight w:val="0"/>
      <w:marTop w:val="180"/>
      <w:marBottom w:val="0"/>
      <w:divBdr>
        <w:top w:val="none" w:sz="0" w:space="0" w:color="auto"/>
        <w:left w:val="none" w:sz="0" w:space="0" w:color="auto"/>
        <w:bottom w:val="none" w:sz="0" w:space="0" w:color="auto"/>
        <w:right w:val="none" w:sz="0" w:space="0" w:color="auto"/>
      </w:divBdr>
    </w:div>
    <w:div w:id="906188117">
      <w:marLeft w:val="0"/>
      <w:marRight w:val="0"/>
      <w:marTop w:val="180"/>
      <w:marBottom w:val="0"/>
      <w:divBdr>
        <w:top w:val="none" w:sz="0" w:space="0" w:color="auto"/>
        <w:left w:val="none" w:sz="0" w:space="0" w:color="auto"/>
        <w:bottom w:val="none" w:sz="0" w:space="0" w:color="auto"/>
        <w:right w:val="none" w:sz="0" w:space="0" w:color="auto"/>
      </w:divBdr>
    </w:div>
    <w:div w:id="910694419">
      <w:marLeft w:val="0"/>
      <w:marRight w:val="0"/>
      <w:marTop w:val="100"/>
      <w:marBottom w:val="100"/>
      <w:divBdr>
        <w:top w:val="none" w:sz="0" w:space="0" w:color="auto"/>
        <w:left w:val="none" w:sz="0" w:space="0" w:color="auto"/>
        <w:bottom w:val="none" w:sz="0" w:space="0" w:color="auto"/>
        <w:right w:val="none" w:sz="0" w:space="0" w:color="auto"/>
      </w:divBdr>
    </w:div>
    <w:div w:id="918060614">
      <w:marLeft w:val="0"/>
      <w:marRight w:val="0"/>
      <w:marTop w:val="0"/>
      <w:marBottom w:val="0"/>
      <w:divBdr>
        <w:top w:val="none" w:sz="0" w:space="0" w:color="auto"/>
        <w:left w:val="none" w:sz="0" w:space="0" w:color="auto"/>
        <w:bottom w:val="none" w:sz="0" w:space="0" w:color="auto"/>
        <w:right w:val="none" w:sz="0" w:space="0" w:color="auto"/>
      </w:divBdr>
    </w:div>
    <w:div w:id="921064661">
      <w:marLeft w:val="0"/>
      <w:marRight w:val="0"/>
      <w:marTop w:val="100"/>
      <w:marBottom w:val="100"/>
      <w:divBdr>
        <w:top w:val="none" w:sz="0" w:space="0" w:color="auto"/>
        <w:left w:val="none" w:sz="0" w:space="0" w:color="auto"/>
        <w:bottom w:val="none" w:sz="0" w:space="0" w:color="auto"/>
        <w:right w:val="none" w:sz="0" w:space="0" w:color="auto"/>
      </w:divBdr>
    </w:div>
    <w:div w:id="921177694">
      <w:marLeft w:val="0"/>
      <w:marRight w:val="0"/>
      <w:marTop w:val="100"/>
      <w:marBottom w:val="100"/>
      <w:divBdr>
        <w:top w:val="none" w:sz="0" w:space="0" w:color="auto"/>
        <w:left w:val="none" w:sz="0" w:space="0" w:color="auto"/>
        <w:bottom w:val="none" w:sz="0" w:space="0" w:color="auto"/>
        <w:right w:val="none" w:sz="0" w:space="0" w:color="auto"/>
      </w:divBdr>
    </w:div>
    <w:div w:id="922762778">
      <w:marLeft w:val="0"/>
      <w:marRight w:val="0"/>
      <w:marTop w:val="0"/>
      <w:marBottom w:val="0"/>
      <w:divBdr>
        <w:top w:val="none" w:sz="0" w:space="0" w:color="auto"/>
        <w:left w:val="none" w:sz="0" w:space="0" w:color="auto"/>
        <w:bottom w:val="none" w:sz="0" w:space="0" w:color="auto"/>
        <w:right w:val="none" w:sz="0" w:space="0" w:color="auto"/>
      </w:divBdr>
    </w:div>
    <w:div w:id="940576095">
      <w:marLeft w:val="0"/>
      <w:marRight w:val="0"/>
      <w:marTop w:val="100"/>
      <w:marBottom w:val="100"/>
      <w:divBdr>
        <w:top w:val="none" w:sz="0" w:space="0" w:color="auto"/>
        <w:left w:val="none" w:sz="0" w:space="0" w:color="auto"/>
        <w:bottom w:val="none" w:sz="0" w:space="0" w:color="auto"/>
        <w:right w:val="none" w:sz="0" w:space="0" w:color="auto"/>
      </w:divBdr>
    </w:div>
    <w:div w:id="942146551">
      <w:marLeft w:val="0"/>
      <w:marRight w:val="0"/>
      <w:marTop w:val="0"/>
      <w:marBottom w:val="0"/>
      <w:divBdr>
        <w:top w:val="none" w:sz="0" w:space="0" w:color="auto"/>
        <w:left w:val="none" w:sz="0" w:space="0" w:color="auto"/>
        <w:bottom w:val="none" w:sz="0" w:space="0" w:color="auto"/>
        <w:right w:val="none" w:sz="0" w:space="0" w:color="auto"/>
      </w:divBdr>
    </w:div>
    <w:div w:id="946229363">
      <w:marLeft w:val="0"/>
      <w:marRight w:val="0"/>
      <w:marTop w:val="100"/>
      <w:marBottom w:val="100"/>
      <w:divBdr>
        <w:top w:val="none" w:sz="0" w:space="0" w:color="auto"/>
        <w:left w:val="none" w:sz="0" w:space="0" w:color="auto"/>
        <w:bottom w:val="none" w:sz="0" w:space="0" w:color="auto"/>
        <w:right w:val="none" w:sz="0" w:space="0" w:color="auto"/>
      </w:divBdr>
    </w:div>
    <w:div w:id="946933486">
      <w:marLeft w:val="0"/>
      <w:marRight w:val="0"/>
      <w:marTop w:val="100"/>
      <w:marBottom w:val="100"/>
      <w:divBdr>
        <w:top w:val="none" w:sz="0" w:space="0" w:color="auto"/>
        <w:left w:val="none" w:sz="0" w:space="0" w:color="auto"/>
        <w:bottom w:val="none" w:sz="0" w:space="0" w:color="auto"/>
        <w:right w:val="none" w:sz="0" w:space="0" w:color="auto"/>
      </w:divBdr>
    </w:div>
    <w:div w:id="947398030">
      <w:marLeft w:val="0"/>
      <w:marRight w:val="0"/>
      <w:marTop w:val="0"/>
      <w:marBottom w:val="0"/>
      <w:divBdr>
        <w:top w:val="none" w:sz="0" w:space="0" w:color="auto"/>
        <w:left w:val="none" w:sz="0" w:space="0" w:color="auto"/>
        <w:bottom w:val="none" w:sz="0" w:space="0" w:color="auto"/>
        <w:right w:val="none" w:sz="0" w:space="0" w:color="auto"/>
      </w:divBdr>
      <w:divsChild>
        <w:div w:id="2020157108">
          <w:marLeft w:val="0"/>
          <w:marRight w:val="0"/>
          <w:marTop w:val="100"/>
          <w:marBottom w:val="100"/>
          <w:divBdr>
            <w:top w:val="none" w:sz="0" w:space="0" w:color="auto"/>
            <w:left w:val="none" w:sz="0" w:space="0" w:color="auto"/>
            <w:bottom w:val="none" w:sz="0" w:space="0" w:color="auto"/>
            <w:right w:val="none" w:sz="0" w:space="0" w:color="auto"/>
          </w:divBdr>
        </w:div>
        <w:div w:id="1392266163">
          <w:marLeft w:val="0"/>
          <w:marRight w:val="0"/>
          <w:marTop w:val="100"/>
          <w:marBottom w:val="100"/>
          <w:divBdr>
            <w:top w:val="none" w:sz="0" w:space="0" w:color="auto"/>
            <w:left w:val="none" w:sz="0" w:space="0" w:color="auto"/>
            <w:bottom w:val="none" w:sz="0" w:space="0" w:color="auto"/>
            <w:right w:val="none" w:sz="0" w:space="0" w:color="auto"/>
          </w:divBdr>
        </w:div>
      </w:divsChild>
    </w:div>
    <w:div w:id="948928185">
      <w:marLeft w:val="0"/>
      <w:marRight w:val="0"/>
      <w:marTop w:val="0"/>
      <w:marBottom w:val="0"/>
      <w:divBdr>
        <w:top w:val="none" w:sz="0" w:space="0" w:color="auto"/>
        <w:left w:val="none" w:sz="0" w:space="0" w:color="auto"/>
        <w:bottom w:val="none" w:sz="0" w:space="0" w:color="auto"/>
        <w:right w:val="none" w:sz="0" w:space="0" w:color="auto"/>
      </w:divBdr>
      <w:divsChild>
        <w:div w:id="1247038364">
          <w:marLeft w:val="0"/>
          <w:marRight w:val="0"/>
          <w:marTop w:val="100"/>
          <w:marBottom w:val="100"/>
          <w:divBdr>
            <w:top w:val="none" w:sz="0" w:space="0" w:color="auto"/>
            <w:left w:val="none" w:sz="0" w:space="0" w:color="auto"/>
            <w:bottom w:val="none" w:sz="0" w:space="0" w:color="auto"/>
            <w:right w:val="none" w:sz="0" w:space="0" w:color="auto"/>
          </w:divBdr>
        </w:div>
        <w:div w:id="1131021364">
          <w:marLeft w:val="0"/>
          <w:marRight w:val="0"/>
          <w:marTop w:val="100"/>
          <w:marBottom w:val="100"/>
          <w:divBdr>
            <w:top w:val="none" w:sz="0" w:space="0" w:color="auto"/>
            <w:left w:val="none" w:sz="0" w:space="0" w:color="auto"/>
            <w:bottom w:val="none" w:sz="0" w:space="0" w:color="auto"/>
            <w:right w:val="none" w:sz="0" w:space="0" w:color="auto"/>
          </w:divBdr>
        </w:div>
      </w:divsChild>
    </w:div>
    <w:div w:id="950866170">
      <w:marLeft w:val="0"/>
      <w:marRight w:val="0"/>
      <w:marTop w:val="0"/>
      <w:marBottom w:val="0"/>
      <w:divBdr>
        <w:top w:val="none" w:sz="0" w:space="0" w:color="auto"/>
        <w:left w:val="none" w:sz="0" w:space="0" w:color="auto"/>
        <w:bottom w:val="none" w:sz="0" w:space="0" w:color="auto"/>
        <w:right w:val="none" w:sz="0" w:space="0" w:color="auto"/>
      </w:divBdr>
      <w:divsChild>
        <w:div w:id="605892201">
          <w:marLeft w:val="0"/>
          <w:marRight w:val="0"/>
          <w:marTop w:val="100"/>
          <w:marBottom w:val="100"/>
          <w:divBdr>
            <w:top w:val="none" w:sz="0" w:space="0" w:color="auto"/>
            <w:left w:val="none" w:sz="0" w:space="0" w:color="auto"/>
            <w:bottom w:val="none" w:sz="0" w:space="0" w:color="auto"/>
            <w:right w:val="none" w:sz="0" w:space="0" w:color="auto"/>
          </w:divBdr>
        </w:div>
        <w:div w:id="288556324">
          <w:marLeft w:val="0"/>
          <w:marRight w:val="0"/>
          <w:marTop w:val="100"/>
          <w:marBottom w:val="100"/>
          <w:divBdr>
            <w:top w:val="none" w:sz="0" w:space="0" w:color="auto"/>
            <w:left w:val="none" w:sz="0" w:space="0" w:color="auto"/>
            <w:bottom w:val="none" w:sz="0" w:space="0" w:color="auto"/>
            <w:right w:val="none" w:sz="0" w:space="0" w:color="auto"/>
          </w:divBdr>
        </w:div>
      </w:divsChild>
    </w:div>
    <w:div w:id="955647552">
      <w:marLeft w:val="0"/>
      <w:marRight w:val="0"/>
      <w:marTop w:val="100"/>
      <w:marBottom w:val="0"/>
      <w:divBdr>
        <w:top w:val="none" w:sz="0" w:space="0" w:color="auto"/>
        <w:left w:val="none" w:sz="0" w:space="0" w:color="auto"/>
        <w:bottom w:val="none" w:sz="0" w:space="0" w:color="auto"/>
        <w:right w:val="none" w:sz="0" w:space="0" w:color="auto"/>
      </w:divBdr>
    </w:div>
    <w:div w:id="956595468">
      <w:marLeft w:val="0"/>
      <w:marRight w:val="0"/>
      <w:marTop w:val="0"/>
      <w:marBottom w:val="0"/>
      <w:divBdr>
        <w:top w:val="none" w:sz="0" w:space="0" w:color="auto"/>
        <w:left w:val="none" w:sz="0" w:space="0" w:color="auto"/>
        <w:bottom w:val="none" w:sz="0" w:space="0" w:color="auto"/>
        <w:right w:val="none" w:sz="0" w:space="0" w:color="auto"/>
      </w:divBdr>
    </w:div>
    <w:div w:id="960111423">
      <w:marLeft w:val="0"/>
      <w:marRight w:val="0"/>
      <w:marTop w:val="100"/>
      <w:marBottom w:val="100"/>
      <w:divBdr>
        <w:top w:val="none" w:sz="0" w:space="0" w:color="auto"/>
        <w:left w:val="none" w:sz="0" w:space="0" w:color="auto"/>
        <w:bottom w:val="none" w:sz="0" w:space="0" w:color="auto"/>
        <w:right w:val="none" w:sz="0" w:space="0" w:color="auto"/>
      </w:divBdr>
    </w:div>
    <w:div w:id="961501387">
      <w:marLeft w:val="0"/>
      <w:marRight w:val="0"/>
      <w:marTop w:val="0"/>
      <w:marBottom w:val="0"/>
      <w:divBdr>
        <w:top w:val="none" w:sz="0" w:space="0" w:color="auto"/>
        <w:left w:val="none" w:sz="0" w:space="0" w:color="auto"/>
        <w:bottom w:val="none" w:sz="0" w:space="0" w:color="auto"/>
        <w:right w:val="none" w:sz="0" w:space="0" w:color="auto"/>
      </w:divBdr>
    </w:div>
    <w:div w:id="963578476">
      <w:marLeft w:val="0"/>
      <w:marRight w:val="0"/>
      <w:marTop w:val="0"/>
      <w:marBottom w:val="0"/>
      <w:divBdr>
        <w:top w:val="none" w:sz="0" w:space="0" w:color="auto"/>
        <w:left w:val="none" w:sz="0" w:space="0" w:color="auto"/>
        <w:bottom w:val="none" w:sz="0" w:space="0" w:color="auto"/>
        <w:right w:val="none" w:sz="0" w:space="0" w:color="auto"/>
      </w:divBdr>
    </w:div>
    <w:div w:id="969365510">
      <w:marLeft w:val="0"/>
      <w:marRight w:val="0"/>
      <w:marTop w:val="100"/>
      <w:marBottom w:val="100"/>
      <w:divBdr>
        <w:top w:val="none" w:sz="0" w:space="0" w:color="auto"/>
        <w:left w:val="none" w:sz="0" w:space="0" w:color="auto"/>
        <w:bottom w:val="none" w:sz="0" w:space="0" w:color="auto"/>
        <w:right w:val="none" w:sz="0" w:space="0" w:color="auto"/>
      </w:divBdr>
    </w:div>
    <w:div w:id="972559394">
      <w:marLeft w:val="0"/>
      <w:marRight w:val="0"/>
      <w:marTop w:val="0"/>
      <w:marBottom w:val="0"/>
      <w:divBdr>
        <w:top w:val="none" w:sz="0" w:space="0" w:color="auto"/>
        <w:left w:val="none" w:sz="0" w:space="0" w:color="auto"/>
        <w:bottom w:val="none" w:sz="0" w:space="0" w:color="auto"/>
        <w:right w:val="none" w:sz="0" w:space="0" w:color="auto"/>
      </w:divBdr>
    </w:div>
    <w:div w:id="974139001">
      <w:marLeft w:val="0"/>
      <w:marRight w:val="0"/>
      <w:marTop w:val="100"/>
      <w:marBottom w:val="100"/>
      <w:divBdr>
        <w:top w:val="none" w:sz="0" w:space="0" w:color="auto"/>
        <w:left w:val="none" w:sz="0" w:space="0" w:color="auto"/>
        <w:bottom w:val="none" w:sz="0" w:space="0" w:color="auto"/>
        <w:right w:val="none" w:sz="0" w:space="0" w:color="auto"/>
      </w:divBdr>
    </w:div>
    <w:div w:id="979068305">
      <w:marLeft w:val="0"/>
      <w:marRight w:val="0"/>
      <w:marTop w:val="100"/>
      <w:marBottom w:val="100"/>
      <w:divBdr>
        <w:top w:val="none" w:sz="0" w:space="0" w:color="auto"/>
        <w:left w:val="none" w:sz="0" w:space="0" w:color="auto"/>
        <w:bottom w:val="none" w:sz="0" w:space="0" w:color="auto"/>
        <w:right w:val="none" w:sz="0" w:space="0" w:color="auto"/>
      </w:divBdr>
    </w:div>
    <w:div w:id="979379280">
      <w:marLeft w:val="0"/>
      <w:marRight w:val="0"/>
      <w:marTop w:val="0"/>
      <w:marBottom w:val="0"/>
      <w:divBdr>
        <w:top w:val="none" w:sz="0" w:space="0" w:color="auto"/>
        <w:left w:val="none" w:sz="0" w:space="0" w:color="auto"/>
        <w:bottom w:val="none" w:sz="0" w:space="0" w:color="auto"/>
        <w:right w:val="none" w:sz="0" w:space="0" w:color="auto"/>
      </w:divBdr>
    </w:div>
    <w:div w:id="981421088">
      <w:marLeft w:val="0"/>
      <w:marRight w:val="0"/>
      <w:marTop w:val="100"/>
      <w:marBottom w:val="100"/>
      <w:divBdr>
        <w:top w:val="none" w:sz="0" w:space="0" w:color="auto"/>
        <w:left w:val="none" w:sz="0" w:space="0" w:color="auto"/>
        <w:bottom w:val="none" w:sz="0" w:space="0" w:color="auto"/>
        <w:right w:val="none" w:sz="0" w:space="0" w:color="auto"/>
      </w:divBdr>
    </w:div>
    <w:div w:id="982008918">
      <w:marLeft w:val="0"/>
      <w:marRight w:val="0"/>
      <w:marTop w:val="0"/>
      <w:marBottom w:val="0"/>
      <w:divBdr>
        <w:top w:val="none" w:sz="0" w:space="0" w:color="auto"/>
        <w:left w:val="none" w:sz="0" w:space="0" w:color="auto"/>
        <w:bottom w:val="none" w:sz="0" w:space="0" w:color="auto"/>
        <w:right w:val="none" w:sz="0" w:space="0" w:color="auto"/>
      </w:divBdr>
    </w:div>
    <w:div w:id="982857210">
      <w:marLeft w:val="0"/>
      <w:marRight w:val="0"/>
      <w:marTop w:val="0"/>
      <w:marBottom w:val="0"/>
      <w:divBdr>
        <w:top w:val="none" w:sz="0" w:space="0" w:color="auto"/>
        <w:left w:val="none" w:sz="0" w:space="0" w:color="auto"/>
        <w:bottom w:val="none" w:sz="0" w:space="0" w:color="auto"/>
        <w:right w:val="none" w:sz="0" w:space="0" w:color="auto"/>
      </w:divBdr>
    </w:div>
    <w:div w:id="983387950">
      <w:marLeft w:val="0"/>
      <w:marRight w:val="0"/>
      <w:marTop w:val="0"/>
      <w:marBottom w:val="0"/>
      <w:divBdr>
        <w:top w:val="none" w:sz="0" w:space="0" w:color="auto"/>
        <w:left w:val="none" w:sz="0" w:space="0" w:color="auto"/>
        <w:bottom w:val="none" w:sz="0" w:space="0" w:color="auto"/>
        <w:right w:val="none" w:sz="0" w:space="0" w:color="auto"/>
      </w:divBdr>
    </w:div>
    <w:div w:id="984092790">
      <w:marLeft w:val="0"/>
      <w:marRight w:val="0"/>
      <w:marTop w:val="0"/>
      <w:marBottom w:val="0"/>
      <w:divBdr>
        <w:top w:val="none" w:sz="0" w:space="0" w:color="auto"/>
        <w:left w:val="none" w:sz="0" w:space="0" w:color="auto"/>
        <w:bottom w:val="none" w:sz="0" w:space="0" w:color="auto"/>
        <w:right w:val="none" w:sz="0" w:space="0" w:color="auto"/>
      </w:divBdr>
    </w:div>
    <w:div w:id="986587021">
      <w:marLeft w:val="0"/>
      <w:marRight w:val="0"/>
      <w:marTop w:val="0"/>
      <w:marBottom w:val="0"/>
      <w:divBdr>
        <w:top w:val="none" w:sz="0" w:space="0" w:color="auto"/>
        <w:left w:val="none" w:sz="0" w:space="0" w:color="auto"/>
        <w:bottom w:val="none" w:sz="0" w:space="0" w:color="auto"/>
        <w:right w:val="none" w:sz="0" w:space="0" w:color="auto"/>
      </w:divBdr>
      <w:divsChild>
        <w:div w:id="2105572616">
          <w:marLeft w:val="0"/>
          <w:marRight w:val="0"/>
          <w:marTop w:val="0"/>
          <w:marBottom w:val="0"/>
          <w:divBdr>
            <w:top w:val="none" w:sz="0" w:space="0" w:color="auto"/>
            <w:left w:val="none" w:sz="0" w:space="0" w:color="auto"/>
            <w:bottom w:val="none" w:sz="0" w:space="0" w:color="auto"/>
            <w:right w:val="none" w:sz="0" w:space="0" w:color="auto"/>
          </w:divBdr>
          <w:divsChild>
            <w:div w:id="1359433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94383494">
      <w:marLeft w:val="0"/>
      <w:marRight w:val="0"/>
      <w:marTop w:val="180"/>
      <w:marBottom w:val="0"/>
      <w:divBdr>
        <w:top w:val="none" w:sz="0" w:space="0" w:color="auto"/>
        <w:left w:val="none" w:sz="0" w:space="0" w:color="auto"/>
        <w:bottom w:val="none" w:sz="0" w:space="0" w:color="auto"/>
        <w:right w:val="none" w:sz="0" w:space="0" w:color="auto"/>
      </w:divBdr>
    </w:div>
    <w:div w:id="1001199337">
      <w:marLeft w:val="0"/>
      <w:marRight w:val="0"/>
      <w:marTop w:val="0"/>
      <w:marBottom w:val="0"/>
      <w:divBdr>
        <w:top w:val="none" w:sz="0" w:space="0" w:color="auto"/>
        <w:left w:val="none" w:sz="0" w:space="0" w:color="auto"/>
        <w:bottom w:val="none" w:sz="0" w:space="0" w:color="auto"/>
        <w:right w:val="none" w:sz="0" w:space="0" w:color="auto"/>
      </w:divBdr>
      <w:divsChild>
        <w:div w:id="913078476">
          <w:marLeft w:val="0"/>
          <w:marRight w:val="0"/>
          <w:marTop w:val="100"/>
          <w:marBottom w:val="100"/>
          <w:divBdr>
            <w:top w:val="none" w:sz="0" w:space="0" w:color="auto"/>
            <w:left w:val="none" w:sz="0" w:space="0" w:color="auto"/>
            <w:bottom w:val="none" w:sz="0" w:space="0" w:color="auto"/>
            <w:right w:val="none" w:sz="0" w:space="0" w:color="auto"/>
          </w:divBdr>
        </w:div>
        <w:div w:id="1650018914">
          <w:marLeft w:val="0"/>
          <w:marRight w:val="0"/>
          <w:marTop w:val="100"/>
          <w:marBottom w:val="100"/>
          <w:divBdr>
            <w:top w:val="none" w:sz="0" w:space="0" w:color="auto"/>
            <w:left w:val="none" w:sz="0" w:space="0" w:color="auto"/>
            <w:bottom w:val="none" w:sz="0" w:space="0" w:color="auto"/>
            <w:right w:val="none" w:sz="0" w:space="0" w:color="auto"/>
          </w:divBdr>
        </w:div>
      </w:divsChild>
    </w:div>
    <w:div w:id="1007749836">
      <w:marLeft w:val="0"/>
      <w:marRight w:val="0"/>
      <w:marTop w:val="0"/>
      <w:marBottom w:val="0"/>
      <w:divBdr>
        <w:top w:val="none" w:sz="0" w:space="0" w:color="auto"/>
        <w:left w:val="none" w:sz="0" w:space="0" w:color="auto"/>
        <w:bottom w:val="none" w:sz="0" w:space="0" w:color="auto"/>
        <w:right w:val="none" w:sz="0" w:space="0" w:color="auto"/>
      </w:divBdr>
    </w:div>
    <w:div w:id="1010645549">
      <w:marLeft w:val="0"/>
      <w:marRight w:val="0"/>
      <w:marTop w:val="100"/>
      <w:marBottom w:val="100"/>
      <w:divBdr>
        <w:top w:val="none" w:sz="0" w:space="0" w:color="auto"/>
        <w:left w:val="none" w:sz="0" w:space="0" w:color="auto"/>
        <w:bottom w:val="none" w:sz="0" w:space="0" w:color="auto"/>
        <w:right w:val="none" w:sz="0" w:space="0" w:color="auto"/>
      </w:divBdr>
    </w:div>
    <w:div w:id="1013260464">
      <w:marLeft w:val="0"/>
      <w:marRight w:val="0"/>
      <w:marTop w:val="180"/>
      <w:marBottom w:val="0"/>
      <w:divBdr>
        <w:top w:val="none" w:sz="0" w:space="0" w:color="auto"/>
        <w:left w:val="none" w:sz="0" w:space="0" w:color="auto"/>
        <w:bottom w:val="none" w:sz="0" w:space="0" w:color="auto"/>
        <w:right w:val="none" w:sz="0" w:space="0" w:color="auto"/>
      </w:divBdr>
    </w:div>
    <w:div w:id="1015499263">
      <w:marLeft w:val="0"/>
      <w:marRight w:val="0"/>
      <w:marTop w:val="100"/>
      <w:marBottom w:val="100"/>
      <w:divBdr>
        <w:top w:val="none" w:sz="0" w:space="0" w:color="auto"/>
        <w:left w:val="none" w:sz="0" w:space="0" w:color="auto"/>
        <w:bottom w:val="none" w:sz="0" w:space="0" w:color="auto"/>
        <w:right w:val="none" w:sz="0" w:space="0" w:color="auto"/>
      </w:divBdr>
    </w:div>
    <w:div w:id="1018770379">
      <w:marLeft w:val="0"/>
      <w:marRight w:val="0"/>
      <w:marTop w:val="0"/>
      <w:marBottom w:val="0"/>
      <w:divBdr>
        <w:top w:val="none" w:sz="0" w:space="0" w:color="auto"/>
        <w:left w:val="none" w:sz="0" w:space="0" w:color="auto"/>
        <w:bottom w:val="none" w:sz="0" w:space="0" w:color="auto"/>
        <w:right w:val="none" w:sz="0" w:space="0" w:color="auto"/>
      </w:divBdr>
    </w:div>
    <w:div w:id="1020088676">
      <w:marLeft w:val="0"/>
      <w:marRight w:val="0"/>
      <w:marTop w:val="100"/>
      <w:marBottom w:val="100"/>
      <w:divBdr>
        <w:top w:val="none" w:sz="0" w:space="0" w:color="auto"/>
        <w:left w:val="none" w:sz="0" w:space="0" w:color="auto"/>
        <w:bottom w:val="none" w:sz="0" w:space="0" w:color="auto"/>
        <w:right w:val="none" w:sz="0" w:space="0" w:color="auto"/>
      </w:divBdr>
    </w:div>
    <w:div w:id="1023215385">
      <w:marLeft w:val="0"/>
      <w:marRight w:val="0"/>
      <w:marTop w:val="0"/>
      <w:marBottom w:val="0"/>
      <w:divBdr>
        <w:top w:val="none" w:sz="0" w:space="0" w:color="auto"/>
        <w:left w:val="none" w:sz="0" w:space="0" w:color="auto"/>
        <w:bottom w:val="none" w:sz="0" w:space="0" w:color="auto"/>
        <w:right w:val="none" w:sz="0" w:space="0" w:color="auto"/>
      </w:divBdr>
      <w:divsChild>
        <w:div w:id="724915838">
          <w:marLeft w:val="0"/>
          <w:marRight w:val="0"/>
          <w:marTop w:val="0"/>
          <w:marBottom w:val="0"/>
          <w:divBdr>
            <w:top w:val="none" w:sz="0" w:space="0" w:color="auto"/>
            <w:left w:val="none" w:sz="0" w:space="0" w:color="auto"/>
            <w:bottom w:val="none" w:sz="0" w:space="0" w:color="auto"/>
            <w:right w:val="none" w:sz="0" w:space="0" w:color="auto"/>
          </w:divBdr>
          <w:divsChild>
            <w:div w:id="15467228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34385583">
      <w:marLeft w:val="0"/>
      <w:marRight w:val="0"/>
      <w:marTop w:val="0"/>
      <w:marBottom w:val="0"/>
      <w:divBdr>
        <w:top w:val="none" w:sz="0" w:space="0" w:color="auto"/>
        <w:left w:val="none" w:sz="0" w:space="0" w:color="auto"/>
        <w:bottom w:val="none" w:sz="0" w:space="0" w:color="auto"/>
        <w:right w:val="none" w:sz="0" w:space="0" w:color="auto"/>
      </w:divBdr>
    </w:div>
    <w:div w:id="1034502930">
      <w:marLeft w:val="0"/>
      <w:marRight w:val="0"/>
      <w:marTop w:val="100"/>
      <w:marBottom w:val="100"/>
      <w:divBdr>
        <w:top w:val="none" w:sz="0" w:space="0" w:color="auto"/>
        <w:left w:val="none" w:sz="0" w:space="0" w:color="auto"/>
        <w:bottom w:val="none" w:sz="0" w:space="0" w:color="auto"/>
        <w:right w:val="none" w:sz="0" w:space="0" w:color="auto"/>
      </w:divBdr>
    </w:div>
    <w:div w:id="1037587899">
      <w:marLeft w:val="0"/>
      <w:marRight w:val="0"/>
      <w:marTop w:val="100"/>
      <w:marBottom w:val="100"/>
      <w:divBdr>
        <w:top w:val="none" w:sz="0" w:space="0" w:color="auto"/>
        <w:left w:val="none" w:sz="0" w:space="0" w:color="auto"/>
        <w:bottom w:val="none" w:sz="0" w:space="0" w:color="auto"/>
        <w:right w:val="none" w:sz="0" w:space="0" w:color="auto"/>
      </w:divBdr>
    </w:div>
    <w:div w:id="1049495098">
      <w:marLeft w:val="0"/>
      <w:marRight w:val="0"/>
      <w:marTop w:val="100"/>
      <w:marBottom w:val="100"/>
      <w:divBdr>
        <w:top w:val="none" w:sz="0" w:space="0" w:color="auto"/>
        <w:left w:val="none" w:sz="0" w:space="0" w:color="auto"/>
        <w:bottom w:val="none" w:sz="0" w:space="0" w:color="auto"/>
        <w:right w:val="none" w:sz="0" w:space="0" w:color="auto"/>
      </w:divBdr>
      <w:divsChild>
        <w:div w:id="1942175782">
          <w:marLeft w:val="0"/>
          <w:marRight w:val="0"/>
          <w:marTop w:val="0"/>
          <w:marBottom w:val="0"/>
          <w:divBdr>
            <w:top w:val="none" w:sz="0" w:space="0" w:color="auto"/>
            <w:left w:val="none" w:sz="0" w:space="0" w:color="auto"/>
            <w:bottom w:val="none" w:sz="0" w:space="0" w:color="auto"/>
            <w:right w:val="none" w:sz="0" w:space="0" w:color="auto"/>
          </w:divBdr>
        </w:div>
        <w:div w:id="100492413">
          <w:marLeft w:val="0"/>
          <w:marRight w:val="0"/>
          <w:marTop w:val="0"/>
          <w:marBottom w:val="0"/>
          <w:divBdr>
            <w:top w:val="none" w:sz="0" w:space="0" w:color="auto"/>
            <w:left w:val="none" w:sz="0" w:space="0" w:color="auto"/>
            <w:bottom w:val="none" w:sz="0" w:space="0" w:color="auto"/>
            <w:right w:val="none" w:sz="0" w:space="0" w:color="auto"/>
          </w:divBdr>
        </w:div>
        <w:div w:id="1200783045">
          <w:marLeft w:val="0"/>
          <w:marRight w:val="0"/>
          <w:marTop w:val="0"/>
          <w:marBottom w:val="0"/>
          <w:divBdr>
            <w:top w:val="none" w:sz="0" w:space="0" w:color="auto"/>
            <w:left w:val="none" w:sz="0" w:space="0" w:color="auto"/>
            <w:bottom w:val="none" w:sz="0" w:space="0" w:color="auto"/>
            <w:right w:val="none" w:sz="0" w:space="0" w:color="auto"/>
          </w:divBdr>
        </w:div>
      </w:divsChild>
    </w:div>
    <w:div w:id="1050762301">
      <w:marLeft w:val="0"/>
      <w:marRight w:val="0"/>
      <w:marTop w:val="0"/>
      <w:marBottom w:val="0"/>
      <w:divBdr>
        <w:top w:val="none" w:sz="0" w:space="0" w:color="auto"/>
        <w:left w:val="none" w:sz="0" w:space="0" w:color="auto"/>
        <w:bottom w:val="none" w:sz="0" w:space="0" w:color="auto"/>
        <w:right w:val="none" w:sz="0" w:space="0" w:color="auto"/>
      </w:divBdr>
      <w:divsChild>
        <w:div w:id="1414430295">
          <w:marLeft w:val="0"/>
          <w:marRight w:val="0"/>
          <w:marTop w:val="100"/>
          <w:marBottom w:val="100"/>
          <w:divBdr>
            <w:top w:val="none" w:sz="0" w:space="0" w:color="auto"/>
            <w:left w:val="none" w:sz="0" w:space="0" w:color="auto"/>
            <w:bottom w:val="none" w:sz="0" w:space="0" w:color="auto"/>
            <w:right w:val="none" w:sz="0" w:space="0" w:color="auto"/>
          </w:divBdr>
        </w:div>
        <w:div w:id="1946182808">
          <w:marLeft w:val="0"/>
          <w:marRight w:val="0"/>
          <w:marTop w:val="100"/>
          <w:marBottom w:val="100"/>
          <w:divBdr>
            <w:top w:val="none" w:sz="0" w:space="0" w:color="auto"/>
            <w:left w:val="none" w:sz="0" w:space="0" w:color="auto"/>
            <w:bottom w:val="none" w:sz="0" w:space="0" w:color="auto"/>
            <w:right w:val="none" w:sz="0" w:space="0" w:color="auto"/>
          </w:divBdr>
        </w:div>
      </w:divsChild>
    </w:div>
    <w:div w:id="1051808970">
      <w:marLeft w:val="0"/>
      <w:marRight w:val="0"/>
      <w:marTop w:val="190"/>
      <w:marBottom w:val="100"/>
      <w:divBdr>
        <w:top w:val="none" w:sz="0" w:space="0" w:color="auto"/>
        <w:left w:val="none" w:sz="0" w:space="0" w:color="auto"/>
        <w:bottom w:val="none" w:sz="0" w:space="0" w:color="auto"/>
        <w:right w:val="none" w:sz="0" w:space="0" w:color="auto"/>
      </w:divBdr>
      <w:divsChild>
        <w:div w:id="1831218073">
          <w:marLeft w:val="0"/>
          <w:marRight w:val="0"/>
          <w:marTop w:val="0"/>
          <w:marBottom w:val="0"/>
          <w:divBdr>
            <w:top w:val="none" w:sz="0" w:space="0" w:color="auto"/>
            <w:left w:val="none" w:sz="0" w:space="0" w:color="auto"/>
            <w:bottom w:val="none" w:sz="0" w:space="0" w:color="auto"/>
            <w:right w:val="none" w:sz="0" w:space="0" w:color="auto"/>
          </w:divBdr>
        </w:div>
        <w:div w:id="760028465">
          <w:marLeft w:val="0"/>
          <w:marRight w:val="0"/>
          <w:marTop w:val="0"/>
          <w:marBottom w:val="0"/>
          <w:divBdr>
            <w:top w:val="none" w:sz="0" w:space="0" w:color="auto"/>
            <w:left w:val="none" w:sz="0" w:space="0" w:color="auto"/>
            <w:bottom w:val="none" w:sz="0" w:space="0" w:color="auto"/>
            <w:right w:val="none" w:sz="0" w:space="0" w:color="auto"/>
          </w:divBdr>
        </w:div>
        <w:div w:id="1621838566">
          <w:marLeft w:val="0"/>
          <w:marRight w:val="0"/>
          <w:marTop w:val="0"/>
          <w:marBottom w:val="0"/>
          <w:divBdr>
            <w:top w:val="none" w:sz="0" w:space="0" w:color="auto"/>
            <w:left w:val="none" w:sz="0" w:space="0" w:color="auto"/>
            <w:bottom w:val="none" w:sz="0" w:space="0" w:color="auto"/>
            <w:right w:val="none" w:sz="0" w:space="0" w:color="auto"/>
          </w:divBdr>
        </w:div>
        <w:div w:id="1902864232">
          <w:marLeft w:val="0"/>
          <w:marRight w:val="0"/>
          <w:marTop w:val="0"/>
          <w:marBottom w:val="0"/>
          <w:divBdr>
            <w:top w:val="none" w:sz="0" w:space="0" w:color="auto"/>
            <w:left w:val="none" w:sz="0" w:space="0" w:color="auto"/>
            <w:bottom w:val="none" w:sz="0" w:space="0" w:color="auto"/>
            <w:right w:val="none" w:sz="0" w:space="0" w:color="auto"/>
          </w:divBdr>
        </w:div>
      </w:divsChild>
    </w:div>
    <w:div w:id="1052269144">
      <w:marLeft w:val="0"/>
      <w:marRight w:val="0"/>
      <w:marTop w:val="100"/>
      <w:marBottom w:val="100"/>
      <w:divBdr>
        <w:top w:val="none" w:sz="0" w:space="0" w:color="auto"/>
        <w:left w:val="none" w:sz="0" w:space="0" w:color="auto"/>
        <w:bottom w:val="none" w:sz="0" w:space="0" w:color="auto"/>
        <w:right w:val="none" w:sz="0" w:space="0" w:color="auto"/>
      </w:divBdr>
    </w:div>
    <w:div w:id="1055736949">
      <w:marLeft w:val="0"/>
      <w:marRight w:val="0"/>
      <w:marTop w:val="0"/>
      <w:marBottom w:val="0"/>
      <w:divBdr>
        <w:top w:val="none" w:sz="0" w:space="0" w:color="auto"/>
        <w:left w:val="none" w:sz="0" w:space="0" w:color="auto"/>
        <w:bottom w:val="none" w:sz="0" w:space="0" w:color="auto"/>
        <w:right w:val="none" w:sz="0" w:space="0" w:color="auto"/>
      </w:divBdr>
    </w:div>
    <w:div w:id="1057162917">
      <w:marLeft w:val="0"/>
      <w:marRight w:val="0"/>
      <w:marTop w:val="100"/>
      <w:marBottom w:val="100"/>
      <w:divBdr>
        <w:top w:val="none" w:sz="0" w:space="0" w:color="auto"/>
        <w:left w:val="none" w:sz="0" w:space="0" w:color="auto"/>
        <w:bottom w:val="none" w:sz="0" w:space="0" w:color="auto"/>
        <w:right w:val="none" w:sz="0" w:space="0" w:color="auto"/>
      </w:divBdr>
    </w:div>
    <w:div w:id="1057783752">
      <w:marLeft w:val="0"/>
      <w:marRight w:val="0"/>
      <w:marTop w:val="0"/>
      <w:marBottom w:val="0"/>
      <w:divBdr>
        <w:top w:val="none" w:sz="0" w:space="0" w:color="auto"/>
        <w:left w:val="none" w:sz="0" w:space="0" w:color="auto"/>
        <w:bottom w:val="none" w:sz="0" w:space="0" w:color="auto"/>
        <w:right w:val="none" w:sz="0" w:space="0" w:color="auto"/>
      </w:divBdr>
      <w:divsChild>
        <w:div w:id="1180007014">
          <w:marLeft w:val="0"/>
          <w:marRight w:val="0"/>
          <w:marTop w:val="0"/>
          <w:marBottom w:val="0"/>
          <w:divBdr>
            <w:top w:val="none" w:sz="0" w:space="0" w:color="auto"/>
            <w:left w:val="none" w:sz="0" w:space="0" w:color="auto"/>
            <w:bottom w:val="none" w:sz="0" w:space="0" w:color="auto"/>
            <w:right w:val="none" w:sz="0" w:space="0" w:color="auto"/>
          </w:divBdr>
          <w:divsChild>
            <w:div w:id="14356357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59093379">
      <w:marLeft w:val="0"/>
      <w:marRight w:val="0"/>
      <w:marTop w:val="180"/>
      <w:marBottom w:val="0"/>
      <w:divBdr>
        <w:top w:val="none" w:sz="0" w:space="0" w:color="auto"/>
        <w:left w:val="none" w:sz="0" w:space="0" w:color="auto"/>
        <w:bottom w:val="none" w:sz="0" w:space="0" w:color="auto"/>
        <w:right w:val="none" w:sz="0" w:space="0" w:color="auto"/>
      </w:divBdr>
    </w:div>
    <w:div w:id="1059717558">
      <w:marLeft w:val="0"/>
      <w:marRight w:val="0"/>
      <w:marTop w:val="100"/>
      <w:marBottom w:val="0"/>
      <w:divBdr>
        <w:top w:val="none" w:sz="0" w:space="0" w:color="auto"/>
        <w:left w:val="none" w:sz="0" w:space="0" w:color="auto"/>
        <w:bottom w:val="none" w:sz="0" w:space="0" w:color="auto"/>
        <w:right w:val="none" w:sz="0" w:space="0" w:color="auto"/>
      </w:divBdr>
    </w:div>
    <w:div w:id="1061515362">
      <w:marLeft w:val="0"/>
      <w:marRight w:val="0"/>
      <w:marTop w:val="100"/>
      <w:marBottom w:val="100"/>
      <w:divBdr>
        <w:top w:val="none" w:sz="0" w:space="0" w:color="auto"/>
        <w:left w:val="none" w:sz="0" w:space="0" w:color="auto"/>
        <w:bottom w:val="none" w:sz="0" w:space="0" w:color="auto"/>
        <w:right w:val="none" w:sz="0" w:space="0" w:color="auto"/>
      </w:divBdr>
    </w:div>
    <w:div w:id="1070999138">
      <w:marLeft w:val="0"/>
      <w:marRight w:val="0"/>
      <w:marTop w:val="100"/>
      <w:marBottom w:val="100"/>
      <w:divBdr>
        <w:top w:val="none" w:sz="0" w:space="0" w:color="auto"/>
        <w:left w:val="none" w:sz="0" w:space="0" w:color="auto"/>
        <w:bottom w:val="none" w:sz="0" w:space="0" w:color="auto"/>
        <w:right w:val="none" w:sz="0" w:space="0" w:color="auto"/>
      </w:divBdr>
    </w:div>
    <w:div w:id="1074358810">
      <w:marLeft w:val="0"/>
      <w:marRight w:val="0"/>
      <w:marTop w:val="0"/>
      <w:marBottom w:val="0"/>
      <w:divBdr>
        <w:top w:val="none" w:sz="0" w:space="0" w:color="auto"/>
        <w:left w:val="none" w:sz="0" w:space="0" w:color="auto"/>
        <w:bottom w:val="none" w:sz="0" w:space="0" w:color="auto"/>
        <w:right w:val="none" w:sz="0" w:space="0" w:color="auto"/>
      </w:divBdr>
      <w:divsChild>
        <w:div w:id="1651523533">
          <w:marLeft w:val="0"/>
          <w:marRight w:val="0"/>
          <w:marTop w:val="0"/>
          <w:marBottom w:val="0"/>
          <w:divBdr>
            <w:top w:val="none" w:sz="0" w:space="0" w:color="auto"/>
            <w:left w:val="none" w:sz="0" w:space="0" w:color="auto"/>
            <w:bottom w:val="none" w:sz="0" w:space="0" w:color="auto"/>
            <w:right w:val="none" w:sz="0" w:space="0" w:color="auto"/>
          </w:divBdr>
          <w:divsChild>
            <w:div w:id="16655475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79640497">
      <w:marLeft w:val="0"/>
      <w:marRight w:val="0"/>
      <w:marTop w:val="0"/>
      <w:marBottom w:val="0"/>
      <w:divBdr>
        <w:top w:val="none" w:sz="0" w:space="0" w:color="auto"/>
        <w:left w:val="none" w:sz="0" w:space="0" w:color="auto"/>
        <w:bottom w:val="none" w:sz="0" w:space="0" w:color="auto"/>
        <w:right w:val="none" w:sz="0" w:space="0" w:color="auto"/>
      </w:divBdr>
      <w:divsChild>
        <w:div w:id="1088112153">
          <w:marLeft w:val="0"/>
          <w:marRight w:val="0"/>
          <w:marTop w:val="0"/>
          <w:marBottom w:val="0"/>
          <w:divBdr>
            <w:top w:val="none" w:sz="0" w:space="0" w:color="auto"/>
            <w:left w:val="none" w:sz="0" w:space="0" w:color="auto"/>
            <w:bottom w:val="none" w:sz="0" w:space="0" w:color="auto"/>
            <w:right w:val="none" w:sz="0" w:space="0" w:color="auto"/>
          </w:divBdr>
          <w:divsChild>
            <w:div w:id="4557586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80954375">
      <w:marLeft w:val="0"/>
      <w:marRight w:val="0"/>
      <w:marTop w:val="100"/>
      <w:marBottom w:val="100"/>
      <w:divBdr>
        <w:top w:val="none" w:sz="0" w:space="0" w:color="auto"/>
        <w:left w:val="none" w:sz="0" w:space="0" w:color="auto"/>
        <w:bottom w:val="none" w:sz="0" w:space="0" w:color="auto"/>
        <w:right w:val="none" w:sz="0" w:space="0" w:color="auto"/>
      </w:divBdr>
    </w:div>
    <w:div w:id="1084062291">
      <w:marLeft w:val="0"/>
      <w:marRight w:val="0"/>
      <w:marTop w:val="100"/>
      <w:marBottom w:val="100"/>
      <w:divBdr>
        <w:top w:val="none" w:sz="0" w:space="0" w:color="auto"/>
        <w:left w:val="none" w:sz="0" w:space="0" w:color="auto"/>
        <w:bottom w:val="none" w:sz="0" w:space="0" w:color="auto"/>
        <w:right w:val="none" w:sz="0" w:space="0" w:color="auto"/>
      </w:divBdr>
    </w:div>
    <w:div w:id="1086149508">
      <w:marLeft w:val="0"/>
      <w:marRight w:val="0"/>
      <w:marTop w:val="100"/>
      <w:marBottom w:val="100"/>
      <w:divBdr>
        <w:top w:val="none" w:sz="0" w:space="0" w:color="auto"/>
        <w:left w:val="none" w:sz="0" w:space="0" w:color="auto"/>
        <w:bottom w:val="none" w:sz="0" w:space="0" w:color="auto"/>
        <w:right w:val="none" w:sz="0" w:space="0" w:color="auto"/>
      </w:divBdr>
    </w:div>
    <w:div w:id="1090194815">
      <w:marLeft w:val="0"/>
      <w:marRight w:val="0"/>
      <w:marTop w:val="180"/>
      <w:marBottom w:val="0"/>
      <w:divBdr>
        <w:top w:val="none" w:sz="0" w:space="0" w:color="auto"/>
        <w:left w:val="none" w:sz="0" w:space="0" w:color="auto"/>
        <w:bottom w:val="none" w:sz="0" w:space="0" w:color="auto"/>
        <w:right w:val="none" w:sz="0" w:space="0" w:color="auto"/>
      </w:divBdr>
    </w:div>
    <w:div w:id="1090352775">
      <w:marLeft w:val="0"/>
      <w:marRight w:val="0"/>
      <w:marTop w:val="100"/>
      <w:marBottom w:val="100"/>
      <w:divBdr>
        <w:top w:val="none" w:sz="0" w:space="0" w:color="auto"/>
        <w:left w:val="none" w:sz="0" w:space="0" w:color="auto"/>
        <w:bottom w:val="none" w:sz="0" w:space="0" w:color="auto"/>
        <w:right w:val="none" w:sz="0" w:space="0" w:color="auto"/>
      </w:divBdr>
    </w:div>
    <w:div w:id="1094939490">
      <w:marLeft w:val="0"/>
      <w:marRight w:val="0"/>
      <w:marTop w:val="0"/>
      <w:marBottom w:val="0"/>
      <w:divBdr>
        <w:top w:val="none" w:sz="0" w:space="0" w:color="auto"/>
        <w:left w:val="none" w:sz="0" w:space="0" w:color="auto"/>
        <w:bottom w:val="none" w:sz="0" w:space="0" w:color="auto"/>
        <w:right w:val="none" w:sz="0" w:space="0" w:color="auto"/>
      </w:divBdr>
    </w:div>
    <w:div w:id="1098060924">
      <w:marLeft w:val="0"/>
      <w:marRight w:val="0"/>
      <w:marTop w:val="100"/>
      <w:marBottom w:val="100"/>
      <w:divBdr>
        <w:top w:val="none" w:sz="0" w:space="0" w:color="auto"/>
        <w:left w:val="none" w:sz="0" w:space="0" w:color="auto"/>
        <w:bottom w:val="none" w:sz="0" w:space="0" w:color="auto"/>
        <w:right w:val="none" w:sz="0" w:space="0" w:color="auto"/>
      </w:divBdr>
    </w:div>
    <w:div w:id="1105035200">
      <w:marLeft w:val="0"/>
      <w:marRight w:val="0"/>
      <w:marTop w:val="100"/>
      <w:marBottom w:val="100"/>
      <w:divBdr>
        <w:top w:val="none" w:sz="0" w:space="0" w:color="auto"/>
        <w:left w:val="none" w:sz="0" w:space="0" w:color="auto"/>
        <w:bottom w:val="none" w:sz="0" w:space="0" w:color="auto"/>
        <w:right w:val="none" w:sz="0" w:space="0" w:color="auto"/>
      </w:divBdr>
    </w:div>
    <w:div w:id="1108045284">
      <w:marLeft w:val="0"/>
      <w:marRight w:val="0"/>
      <w:marTop w:val="200"/>
      <w:marBottom w:val="100"/>
      <w:divBdr>
        <w:top w:val="none" w:sz="0" w:space="0" w:color="auto"/>
        <w:left w:val="none" w:sz="0" w:space="0" w:color="auto"/>
        <w:bottom w:val="none" w:sz="0" w:space="0" w:color="auto"/>
        <w:right w:val="none" w:sz="0" w:space="0" w:color="auto"/>
      </w:divBdr>
    </w:div>
    <w:div w:id="1111587145">
      <w:marLeft w:val="0"/>
      <w:marRight w:val="0"/>
      <w:marTop w:val="0"/>
      <w:marBottom w:val="0"/>
      <w:divBdr>
        <w:top w:val="none" w:sz="0" w:space="0" w:color="auto"/>
        <w:left w:val="none" w:sz="0" w:space="0" w:color="auto"/>
        <w:bottom w:val="none" w:sz="0" w:space="0" w:color="auto"/>
        <w:right w:val="none" w:sz="0" w:space="0" w:color="auto"/>
      </w:divBdr>
    </w:div>
    <w:div w:id="1113327153">
      <w:marLeft w:val="0"/>
      <w:marRight w:val="0"/>
      <w:marTop w:val="0"/>
      <w:marBottom w:val="0"/>
      <w:divBdr>
        <w:top w:val="none" w:sz="0" w:space="0" w:color="auto"/>
        <w:left w:val="none" w:sz="0" w:space="0" w:color="auto"/>
        <w:bottom w:val="none" w:sz="0" w:space="0" w:color="auto"/>
        <w:right w:val="none" w:sz="0" w:space="0" w:color="auto"/>
      </w:divBdr>
    </w:div>
    <w:div w:id="1120538856">
      <w:marLeft w:val="0"/>
      <w:marRight w:val="0"/>
      <w:marTop w:val="0"/>
      <w:marBottom w:val="0"/>
      <w:divBdr>
        <w:top w:val="none" w:sz="0" w:space="0" w:color="auto"/>
        <w:left w:val="none" w:sz="0" w:space="0" w:color="auto"/>
        <w:bottom w:val="none" w:sz="0" w:space="0" w:color="auto"/>
        <w:right w:val="none" w:sz="0" w:space="0" w:color="auto"/>
      </w:divBdr>
    </w:div>
    <w:div w:id="1123309566">
      <w:marLeft w:val="0"/>
      <w:marRight w:val="0"/>
      <w:marTop w:val="100"/>
      <w:marBottom w:val="100"/>
      <w:divBdr>
        <w:top w:val="none" w:sz="0" w:space="0" w:color="auto"/>
        <w:left w:val="none" w:sz="0" w:space="0" w:color="auto"/>
        <w:bottom w:val="none" w:sz="0" w:space="0" w:color="auto"/>
        <w:right w:val="none" w:sz="0" w:space="0" w:color="auto"/>
      </w:divBdr>
    </w:div>
    <w:div w:id="1123504833">
      <w:marLeft w:val="0"/>
      <w:marRight w:val="0"/>
      <w:marTop w:val="100"/>
      <w:marBottom w:val="100"/>
      <w:divBdr>
        <w:top w:val="none" w:sz="0" w:space="0" w:color="auto"/>
        <w:left w:val="none" w:sz="0" w:space="0" w:color="auto"/>
        <w:bottom w:val="none" w:sz="0" w:space="0" w:color="auto"/>
        <w:right w:val="none" w:sz="0" w:space="0" w:color="auto"/>
      </w:divBdr>
    </w:div>
    <w:div w:id="1124344600">
      <w:marLeft w:val="0"/>
      <w:marRight w:val="0"/>
      <w:marTop w:val="0"/>
      <w:marBottom w:val="0"/>
      <w:divBdr>
        <w:top w:val="none" w:sz="0" w:space="0" w:color="auto"/>
        <w:left w:val="none" w:sz="0" w:space="0" w:color="auto"/>
        <w:bottom w:val="none" w:sz="0" w:space="0" w:color="auto"/>
        <w:right w:val="none" w:sz="0" w:space="0" w:color="auto"/>
      </w:divBdr>
      <w:divsChild>
        <w:div w:id="827598410">
          <w:marLeft w:val="0"/>
          <w:marRight w:val="0"/>
          <w:marTop w:val="100"/>
          <w:marBottom w:val="100"/>
          <w:divBdr>
            <w:top w:val="none" w:sz="0" w:space="0" w:color="auto"/>
            <w:left w:val="none" w:sz="0" w:space="0" w:color="auto"/>
            <w:bottom w:val="none" w:sz="0" w:space="0" w:color="auto"/>
            <w:right w:val="none" w:sz="0" w:space="0" w:color="auto"/>
          </w:divBdr>
        </w:div>
        <w:div w:id="1764186884">
          <w:marLeft w:val="0"/>
          <w:marRight w:val="0"/>
          <w:marTop w:val="100"/>
          <w:marBottom w:val="100"/>
          <w:divBdr>
            <w:top w:val="none" w:sz="0" w:space="0" w:color="auto"/>
            <w:left w:val="none" w:sz="0" w:space="0" w:color="auto"/>
            <w:bottom w:val="none" w:sz="0" w:space="0" w:color="auto"/>
            <w:right w:val="none" w:sz="0" w:space="0" w:color="auto"/>
          </w:divBdr>
        </w:div>
      </w:divsChild>
    </w:div>
    <w:div w:id="1125268918">
      <w:marLeft w:val="0"/>
      <w:marRight w:val="0"/>
      <w:marTop w:val="100"/>
      <w:marBottom w:val="100"/>
      <w:divBdr>
        <w:top w:val="none" w:sz="0" w:space="0" w:color="auto"/>
        <w:left w:val="none" w:sz="0" w:space="0" w:color="auto"/>
        <w:bottom w:val="none" w:sz="0" w:space="0" w:color="auto"/>
        <w:right w:val="none" w:sz="0" w:space="0" w:color="auto"/>
      </w:divBdr>
    </w:div>
    <w:div w:id="1133063783">
      <w:marLeft w:val="0"/>
      <w:marRight w:val="0"/>
      <w:marTop w:val="100"/>
      <w:marBottom w:val="100"/>
      <w:divBdr>
        <w:top w:val="none" w:sz="0" w:space="0" w:color="auto"/>
        <w:left w:val="none" w:sz="0" w:space="0" w:color="auto"/>
        <w:bottom w:val="none" w:sz="0" w:space="0" w:color="auto"/>
        <w:right w:val="none" w:sz="0" w:space="0" w:color="auto"/>
      </w:divBdr>
    </w:div>
    <w:div w:id="1143354217">
      <w:marLeft w:val="0"/>
      <w:marRight w:val="0"/>
      <w:marTop w:val="0"/>
      <w:marBottom w:val="0"/>
      <w:divBdr>
        <w:top w:val="none" w:sz="0" w:space="0" w:color="auto"/>
        <w:left w:val="none" w:sz="0" w:space="0" w:color="auto"/>
        <w:bottom w:val="none" w:sz="0" w:space="0" w:color="auto"/>
        <w:right w:val="none" w:sz="0" w:space="0" w:color="auto"/>
      </w:divBdr>
    </w:div>
    <w:div w:id="1159077607">
      <w:marLeft w:val="0"/>
      <w:marRight w:val="0"/>
      <w:marTop w:val="0"/>
      <w:marBottom w:val="0"/>
      <w:divBdr>
        <w:top w:val="none" w:sz="0" w:space="0" w:color="auto"/>
        <w:left w:val="none" w:sz="0" w:space="0" w:color="auto"/>
        <w:bottom w:val="none" w:sz="0" w:space="0" w:color="auto"/>
        <w:right w:val="none" w:sz="0" w:space="0" w:color="auto"/>
      </w:divBdr>
      <w:divsChild>
        <w:div w:id="29764679">
          <w:marLeft w:val="0"/>
          <w:marRight w:val="0"/>
          <w:marTop w:val="0"/>
          <w:marBottom w:val="0"/>
          <w:divBdr>
            <w:top w:val="none" w:sz="0" w:space="0" w:color="auto"/>
            <w:left w:val="none" w:sz="0" w:space="0" w:color="auto"/>
            <w:bottom w:val="none" w:sz="0" w:space="0" w:color="auto"/>
            <w:right w:val="none" w:sz="0" w:space="0" w:color="auto"/>
          </w:divBdr>
          <w:divsChild>
            <w:div w:id="10301043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5049418">
      <w:marLeft w:val="0"/>
      <w:marRight w:val="0"/>
      <w:marTop w:val="100"/>
      <w:marBottom w:val="100"/>
      <w:divBdr>
        <w:top w:val="none" w:sz="0" w:space="0" w:color="auto"/>
        <w:left w:val="none" w:sz="0" w:space="0" w:color="auto"/>
        <w:bottom w:val="none" w:sz="0" w:space="0" w:color="auto"/>
        <w:right w:val="none" w:sz="0" w:space="0" w:color="auto"/>
      </w:divBdr>
    </w:div>
    <w:div w:id="1187134047">
      <w:marLeft w:val="0"/>
      <w:marRight w:val="0"/>
      <w:marTop w:val="0"/>
      <w:marBottom w:val="0"/>
      <w:divBdr>
        <w:top w:val="none" w:sz="0" w:space="0" w:color="auto"/>
        <w:left w:val="none" w:sz="0" w:space="0" w:color="auto"/>
        <w:bottom w:val="none" w:sz="0" w:space="0" w:color="auto"/>
        <w:right w:val="none" w:sz="0" w:space="0" w:color="auto"/>
      </w:divBdr>
    </w:div>
    <w:div w:id="1187258619">
      <w:marLeft w:val="0"/>
      <w:marRight w:val="0"/>
      <w:marTop w:val="180"/>
      <w:marBottom w:val="0"/>
      <w:divBdr>
        <w:top w:val="none" w:sz="0" w:space="0" w:color="auto"/>
        <w:left w:val="none" w:sz="0" w:space="0" w:color="auto"/>
        <w:bottom w:val="none" w:sz="0" w:space="0" w:color="auto"/>
        <w:right w:val="none" w:sz="0" w:space="0" w:color="auto"/>
      </w:divBdr>
    </w:div>
    <w:div w:id="1190676782">
      <w:marLeft w:val="0"/>
      <w:marRight w:val="0"/>
      <w:marTop w:val="100"/>
      <w:marBottom w:val="100"/>
      <w:divBdr>
        <w:top w:val="none" w:sz="0" w:space="0" w:color="auto"/>
        <w:left w:val="none" w:sz="0" w:space="0" w:color="auto"/>
        <w:bottom w:val="none" w:sz="0" w:space="0" w:color="auto"/>
        <w:right w:val="none" w:sz="0" w:space="0" w:color="auto"/>
      </w:divBdr>
    </w:div>
    <w:div w:id="1194533393">
      <w:marLeft w:val="0"/>
      <w:marRight w:val="0"/>
      <w:marTop w:val="100"/>
      <w:marBottom w:val="100"/>
      <w:divBdr>
        <w:top w:val="none" w:sz="0" w:space="0" w:color="auto"/>
        <w:left w:val="none" w:sz="0" w:space="0" w:color="auto"/>
        <w:bottom w:val="none" w:sz="0" w:space="0" w:color="auto"/>
        <w:right w:val="none" w:sz="0" w:space="0" w:color="auto"/>
      </w:divBdr>
    </w:div>
    <w:div w:id="1196623412">
      <w:marLeft w:val="0"/>
      <w:marRight w:val="0"/>
      <w:marTop w:val="100"/>
      <w:marBottom w:val="100"/>
      <w:divBdr>
        <w:top w:val="none" w:sz="0" w:space="0" w:color="auto"/>
        <w:left w:val="none" w:sz="0" w:space="0" w:color="auto"/>
        <w:bottom w:val="none" w:sz="0" w:space="0" w:color="auto"/>
        <w:right w:val="none" w:sz="0" w:space="0" w:color="auto"/>
      </w:divBdr>
    </w:div>
    <w:div w:id="1197888129">
      <w:marLeft w:val="0"/>
      <w:marRight w:val="0"/>
      <w:marTop w:val="100"/>
      <w:marBottom w:val="100"/>
      <w:divBdr>
        <w:top w:val="none" w:sz="0" w:space="0" w:color="auto"/>
        <w:left w:val="none" w:sz="0" w:space="0" w:color="auto"/>
        <w:bottom w:val="none" w:sz="0" w:space="0" w:color="auto"/>
        <w:right w:val="none" w:sz="0" w:space="0" w:color="auto"/>
      </w:divBdr>
    </w:div>
    <w:div w:id="1201630268">
      <w:marLeft w:val="0"/>
      <w:marRight w:val="0"/>
      <w:marTop w:val="180"/>
      <w:marBottom w:val="0"/>
      <w:divBdr>
        <w:top w:val="none" w:sz="0" w:space="0" w:color="auto"/>
        <w:left w:val="none" w:sz="0" w:space="0" w:color="auto"/>
        <w:bottom w:val="none" w:sz="0" w:space="0" w:color="auto"/>
        <w:right w:val="none" w:sz="0" w:space="0" w:color="auto"/>
      </w:divBdr>
    </w:div>
    <w:div w:id="1202278155">
      <w:marLeft w:val="0"/>
      <w:marRight w:val="0"/>
      <w:marTop w:val="0"/>
      <w:marBottom w:val="0"/>
      <w:divBdr>
        <w:top w:val="none" w:sz="0" w:space="0" w:color="auto"/>
        <w:left w:val="none" w:sz="0" w:space="0" w:color="auto"/>
        <w:bottom w:val="none" w:sz="0" w:space="0" w:color="auto"/>
        <w:right w:val="none" w:sz="0" w:space="0" w:color="auto"/>
      </w:divBdr>
      <w:divsChild>
        <w:div w:id="1913081736">
          <w:marLeft w:val="0"/>
          <w:marRight w:val="0"/>
          <w:marTop w:val="100"/>
          <w:marBottom w:val="100"/>
          <w:divBdr>
            <w:top w:val="none" w:sz="0" w:space="0" w:color="auto"/>
            <w:left w:val="none" w:sz="0" w:space="0" w:color="auto"/>
            <w:bottom w:val="none" w:sz="0" w:space="0" w:color="auto"/>
            <w:right w:val="none" w:sz="0" w:space="0" w:color="auto"/>
          </w:divBdr>
        </w:div>
        <w:div w:id="649679409">
          <w:marLeft w:val="0"/>
          <w:marRight w:val="0"/>
          <w:marTop w:val="100"/>
          <w:marBottom w:val="100"/>
          <w:divBdr>
            <w:top w:val="none" w:sz="0" w:space="0" w:color="auto"/>
            <w:left w:val="none" w:sz="0" w:space="0" w:color="auto"/>
            <w:bottom w:val="none" w:sz="0" w:space="0" w:color="auto"/>
            <w:right w:val="none" w:sz="0" w:space="0" w:color="auto"/>
          </w:divBdr>
        </w:div>
      </w:divsChild>
    </w:div>
    <w:div w:id="1207058690">
      <w:marLeft w:val="0"/>
      <w:marRight w:val="0"/>
      <w:marTop w:val="100"/>
      <w:marBottom w:val="100"/>
      <w:divBdr>
        <w:top w:val="none" w:sz="0" w:space="0" w:color="auto"/>
        <w:left w:val="none" w:sz="0" w:space="0" w:color="auto"/>
        <w:bottom w:val="none" w:sz="0" w:space="0" w:color="auto"/>
        <w:right w:val="none" w:sz="0" w:space="0" w:color="auto"/>
      </w:divBdr>
    </w:div>
    <w:div w:id="1208179021">
      <w:marLeft w:val="0"/>
      <w:marRight w:val="0"/>
      <w:marTop w:val="0"/>
      <w:marBottom w:val="0"/>
      <w:divBdr>
        <w:top w:val="none" w:sz="0" w:space="0" w:color="auto"/>
        <w:left w:val="none" w:sz="0" w:space="0" w:color="auto"/>
        <w:bottom w:val="none" w:sz="0" w:space="0" w:color="auto"/>
        <w:right w:val="none" w:sz="0" w:space="0" w:color="auto"/>
      </w:divBdr>
      <w:divsChild>
        <w:div w:id="1885752147">
          <w:marLeft w:val="0"/>
          <w:marRight w:val="0"/>
          <w:marTop w:val="0"/>
          <w:marBottom w:val="0"/>
          <w:divBdr>
            <w:top w:val="none" w:sz="0" w:space="0" w:color="auto"/>
            <w:left w:val="none" w:sz="0" w:space="0" w:color="auto"/>
            <w:bottom w:val="none" w:sz="0" w:space="0" w:color="auto"/>
            <w:right w:val="none" w:sz="0" w:space="0" w:color="auto"/>
          </w:divBdr>
          <w:divsChild>
            <w:div w:id="12637558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08489800">
      <w:marLeft w:val="0"/>
      <w:marRight w:val="0"/>
      <w:marTop w:val="180"/>
      <w:marBottom w:val="0"/>
      <w:divBdr>
        <w:top w:val="none" w:sz="0" w:space="0" w:color="auto"/>
        <w:left w:val="none" w:sz="0" w:space="0" w:color="auto"/>
        <w:bottom w:val="none" w:sz="0" w:space="0" w:color="auto"/>
        <w:right w:val="none" w:sz="0" w:space="0" w:color="auto"/>
      </w:divBdr>
    </w:div>
    <w:div w:id="1214462713">
      <w:marLeft w:val="0"/>
      <w:marRight w:val="0"/>
      <w:marTop w:val="180"/>
      <w:marBottom w:val="0"/>
      <w:divBdr>
        <w:top w:val="none" w:sz="0" w:space="0" w:color="auto"/>
        <w:left w:val="none" w:sz="0" w:space="0" w:color="auto"/>
        <w:bottom w:val="none" w:sz="0" w:space="0" w:color="auto"/>
        <w:right w:val="none" w:sz="0" w:space="0" w:color="auto"/>
      </w:divBdr>
    </w:div>
    <w:div w:id="1235554638">
      <w:marLeft w:val="0"/>
      <w:marRight w:val="0"/>
      <w:marTop w:val="100"/>
      <w:marBottom w:val="100"/>
      <w:divBdr>
        <w:top w:val="none" w:sz="0" w:space="0" w:color="auto"/>
        <w:left w:val="none" w:sz="0" w:space="0" w:color="auto"/>
        <w:bottom w:val="none" w:sz="0" w:space="0" w:color="auto"/>
        <w:right w:val="none" w:sz="0" w:space="0" w:color="auto"/>
      </w:divBdr>
      <w:divsChild>
        <w:div w:id="1830095895">
          <w:marLeft w:val="0"/>
          <w:marRight w:val="0"/>
          <w:marTop w:val="0"/>
          <w:marBottom w:val="0"/>
          <w:divBdr>
            <w:top w:val="none" w:sz="0" w:space="0" w:color="auto"/>
            <w:left w:val="none" w:sz="0" w:space="0" w:color="auto"/>
            <w:bottom w:val="none" w:sz="0" w:space="0" w:color="auto"/>
            <w:right w:val="none" w:sz="0" w:space="0" w:color="auto"/>
          </w:divBdr>
        </w:div>
        <w:div w:id="1726180378">
          <w:marLeft w:val="0"/>
          <w:marRight w:val="0"/>
          <w:marTop w:val="0"/>
          <w:marBottom w:val="0"/>
          <w:divBdr>
            <w:top w:val="none" w:sz="0" w:space="0" w:color="auto"/>
            <w:left w:val="none" w:sz="0" w:space="0" w:color="auto"/>
            <w:bottom w:val="none" w:sz="0" w:space="0" w:color="auto"/>
            <w:right w:val="none" w:sz="0" w:space="0" w:color="auto"/>
          </w:divBdr>
        </w:div>
        <w:div w:id="1056127623">
          <w:marLeft w:val="0"/>
          <w:marRight w:val="0"/>
          <w:marTop w:val="0"/>
          <w:marBottom w:val="0"/>
          <w:divBdr>
            <w:top w:val="none" w:sz="0" w:space="0" w:color="auto"/>
            <w:left w:val="none" w:sz="0" w:space="0" w:color="auto"/>
            <w:bottom w:val="none" w:sz="0" w:space="0" w:color="auto"/>
            <w:right w:val="none" w:sz="0" w:space="0" w:color="auto"/>
          </w:divBdr>
        </w:div>
        <w:div w:id="1948805246">
          <w:marLeft w:val="0"/>
          <w:marRight w:val="0"/>
          <w:marTop w:val="0"/>
          <w:marBottom w:val="0"/>
          <w:divBdr>
            <w:top w:val="none" w:sz="0" w:space="0" w:color="auto"/>
            <w:left w:val="none" w:sz="0" w:space="0" w:color="auto"/>
            <w:bottom w:val="none" w:sz="0" w:space="0" w:color="auto"/>
            <w:right w:val="none" w:sz="0" w:space="0" w:color="auto"/>
          </w:divBdr>
        </w:div>
        <w:div w:id="1594629925">
          <w:marLeft w:val="0"/>
          <w:marRight w:val="0"/>
          <w:marTop w:val="0"/>
          <w:marBottom w:val="0"/>
          <w:divBdr>
            <w:top w:val="none" w:sz="0" w:space="0" w:color="auto"/>
            <w:left w:val="none" w:sz="0" w:space="0" w:color="auto"/>
            <w:bottom w:val="none" w:sz="0" w:space="0" w:color="auto"/>
            <w:right w:val="none" w:sz="0" w:space="0" w:color="auto"/>
          </w:divBdr>
        </w:div>
        <w:div w:id="1855879856">
          <w:marLeft w:val="0"/>
          <w:marRight w:val="0"/>
          <w:marTop w:val="0"/>
          <w:marBottom w:val="0"/>
          <w:divBdr>
            <w:top w:val="none" w:sz="0" w:space="0" w:color="auto"/>
            <w:left w:val="none" w:sz="0" w:space="0" w:color="auto"/>
            <w:bottom w:val="none" w:sz="0" w:space="0" w:color="auto"/>
            <w:right w:val="none" w:sz="0" w:space="0" w:color="auto"/>
          </w:divBdr>
        </w:div>
        <w:div w:id="1707900100">
          <w:marLeft w:val="0"/>
          <w:marRight w:val="0"/>
          <w:marTop w:val="0"/>
          <w:marBottom w:val="0"/>
          <w:divBdr>
            <w:top w:val="none" w:sz="0" w:space="0" w:color="auto"/>
            <w:left w:val="none" w:sz="0" w:space="0" w:color="auto"/>
            <w:bottom w:val="none" w:sz="0" w:space="0" w:color="auto"/>
            <w:right w:val="none" w:sz="0" w:space="0" w:color="auto"/>
          </w:divBdr>
        </w:div>
        <w:div w:id="388001525">
          <w:marLeft w:val="0"/>
          <w:marRight w:val="0"/>
          <w:marTop w:val="0"/>
          <w:marBottom w:val="0"/>
          <w:divBdr>
            <w:top w:val="none" w:sz="0" w:space="0" w:color="auto"/>
            <w:left w:val="none" w:sz="0" w:space="0" w:color="auto"/>
            <w:bottom w:val="none" w:sz="0" w:space="0" w:color="auto"/>
            <w:right w:val="none" w:sz="0" w:space="0" w:color="auto"/>
          </w:divBdr>
        </w:div>
        <w:div w:id="1290890685">
          <w:marLeft w:val="0"/>
          <w:marRight w:val="0"/>
          <w:marTop w:val="0"/>
          <w:marBottom w:val="0"/>
          <w:divBdr>
            <w:top w:val="none" w:sz="0" w:space="0" w:color="auto"/>
            <w:left w:val="none" w:sz="0" w:space="0" w:color="auto"/>
            <w:bottom w:val="none" w:sz="0" w:space="0" w:color="auto"/>
            <w:right w:val="none" w:sz="0" w:space="0" w:color="auto"/>
          </w:divBdr>
        </w:div>
        <w:div w:id="40134043">
          <w:marLeft w:val="0"/>
          <w:marRight w:val="0"/>
          <w:marTop w:val="0"/>
          <w:marBottom w:val="0"/>
          <w:divBdr>
            <w:top w:val="none" w:sz="0" w:space="0" w:color="auto"/>
            <w:left w:val="none" w:sz="0" w:space="0" w:color="auto"/>
            <w:bottom w:val="none" w:sz="0" w:space="0" w:color="auto"/>
            <w:right w:val="none" w:sz="0" w:space="0" w:color="auto"/>
          </w:divBdr>
        </w:div>
      </w:divsChild>
    </w:div>
    <w:div w:id="1236012812">
      <w:marLeft w:val="0"/>
      <w:marRight w:val="0"/>
      <w:marTop w:val="0"/>
      <w:marBottom w:val="0"/>
      <w:divBdr>
        <w:top w:val="none" w:sz="0" w:space="0" w:color="auto"/>
        <w:left w:val="none" w:sz="0" w:space="0" w:color="auto"/>
        <w:bottom w:val="none" w:sz="0" w:space="0" w:color="auto"/>
        <w:right w:val="none" w:sz="0" w:space="0" w:color="auto"/>
      </w:divBdr>
    </w:div>
    <w:div w:id="1249266360">
      <w:marLeft w:val="0"/>
      <w:marRight w:val="0"/>
      <w:marTop w:val="100"/>
      <w:marBottom w:val="100"/>
      <w:divBdr>
        <w:top w:val="none" w:sz="0" w:space="0" w:color="auto"/>
        <w:left w:val="none" w:sz="0" w:space="0" w:color="auto"/>
        <w:bottom w:val="none" w:sz="0" w:space="0" w:color="auto"/>
        <w:right w:val="none" w:sz="0" w:space="0" w:color="auto"/>
      </w:divBdr>
    </w:div>
    <w:div w:id="1250315844">
      <w:marLeft w:val="0"/>
      <w:marRight w:val="0"/>
      <w:marTop w:val="0"/>
      <w:marBottom w:val="0"/>
      <w:divBdr>
        <w:top w:val="none" w:sz="0" w:space="0" w:color="auto"/>
        <w:left w:val="none" w:sz="0" w:space="0" w:color="auto"/>
        <w:bottom w:val="none" w:sz="0" w:space="0" w:color="auto"/>
        <w:right w:val="none" w:sz="0" w:space="0" w:color="auto"/>
      </w:divBdr>
      <w:divsChild>
        <w:div w:id="977806691">
          <w:marLeft w:val="0"/>
          <w:marRight w:val="0"/>
          <w:marTop w:val="0"/>
          <w:marBottom w:val="0"/>
          <w:divBdr>
            <w:top w:val="none" w:sz="0" w:space="0" w:color="auto"/>
            <w:left w:val="none" w:sz="0" w:space="0" w:color="auto"/>
            <w:bottom w:val="none" w:sz="0" w:space="0" w:color="auto"/>
            <w:right w:val="none" w:sz="0" w:space="0" w:color="auto"/>
          </w:divBdr>
          <w:divsChild>
            <w:div w:id="20226565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0584315">
      <w:marLeft w:val="0"/>
      <w:marRight w:val="0"/>
      <w:marTop w:val="0"/>
      <w:marBottom w:val="0"/>
      <w:divBdr>
        <w:top w:val="none" w:sz="0" w:space="0" w:color="auto"/>
        <w:left w:val="none" w:sz="0" w:space="0" w:color="auto"/>
        <w:bottom w:val="none" w:sz="0" w:space="0" w:color="auto"/>
        <w:right w:val="none" w:sz="0" w:space="0" w:color="auto"/>
      </w:divBdr>
      <w:divsChild>
        <w:div w:id="1796943036">
          <w:marLeft w:val="0"/>
          <w:marRight w:val="0"/>
          <w:marTop w:val="0"/>
          <w:marBottom w:val="0"/>
          <w:divBdr>
            <w:top w:val="none" w:sz="0" w:space="0" w:color="auto"/>
            <w:left w:val="none" w:sz="0" w:space="0" w:color="auto"/>
            <w:bottom w:val="none" w:sz="0" w:space="0" w:color="auto"/>
            <w:right w:val="none" w:sz="0" w:space="0" w:color="auto"/>
          </w:divBdr>
          <w:divsChild>
            <w:div w:id="15667228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5632589">
      <w:marLeft w:val="0"/>
      <w:marRight w:val="0"/>
      <w:marTop w:val="0"/>
      <w:marBottom w:val="0"/>
      <w:divBdr>
        <w:top w:val="none" w:sz="0" w:space="0" w:color="auto"/>
        <w:left w:val="none" w:sz="0" w:space="0" w:color="auto"/>
        <w:bottom w:val="none" w:sz="0" w:space="0" w:color="auto"/>
        <w:right w:val="none" w:sz="0" w:space="0" w:color="auto"/>
      </w:divBdr>
    </w:div>
    <w:div w:id="1260024519">
      <w:marLeft w:val="0"/>
      <w:marRight w:val="0"/>
      <w:marTop w:val="180"/>
      <w:marBottom w:val="0"/>
      <w:divBdr>
        <w:top w:val="none" w:sz="0" w:space="0" w:color="auto"/>
        <w:left w:val="none" w:sz="0" w:space="0" w:color="auto"/>
        <w:bottom w:val="none" w:sz="0" w:space="0" w:color="auto"/>
        <w:right w:val="none" w:sz="0" w:space="0" w:color="auto"/>
      </w:divBdr>
    </w:div>
    <w:div w:id="1260724279">
      <w:marLeft w:val="0"/>
      <w:marRight w:val="0"/>
      <w:marTop w:val="100"/>
      <w:marBottom w:val="100"/>
      <w:divBdr>
        <w:top w:val="none" w:sz="0" w:space="0" w:color="auto"/>
        <w:left w:val="none" w:sz="0" w:space="0" w:color="auto"/>
        <w:bottom w:val="none" w:sz="0" w:space="0" w:color="auto"/>
        <w:right w:val="none" w:sz="0" w:space="0" w:color="auto"/>
      </w:divBdr>
    </w:div>
    <w:div w:id="1267150092">
      <w:marLeft w:val="0"/>
      <w:marRight w:val="0"/>
      <w:marTop w:val="100"/>
      <w:marBottom w:val="100"/>
      <w:divBdr>
        <w:top w:val="none" w:sz="0" w:space="0" w:color="auto"/>
        <w:left w:val="none" w:sz="0" w:space="0" w:color="auto"/>
        <w:bottom w:val="none" w:sz="0" w:space="0" w:color="auto"/>
        <w:right w:val="none" w:sz="0" w:space="0" w:color="auto"/>
      </w:divBdr>
    </w:div>
    <w:div w:id="1269199333">
      <w:marLeft w:val="0"/>
      <w:marRight w:val="0"/>
      <w:marTop w:val="0"/>
      <w:marBottom w:val="0"/>
      <w:divBdr>
        <w:top w:val="none" w:sz="0" w:space="0" w:color="auto"/>
        <w:left w:val="none" w:sz="0" w:space="0" w:color="auto"/>
        <w:bottom w:val="none" w:sz="0" w:space="0" w:color="auto"/>
        <w:right w:val="none" w:sz="0" w:space="0" w:color="auto"/>
      </w:divBdr>
    </w:div>
    <w:div w:id="1270772259">
      <w:marLeft w:val="0"/>
      <w:marRight w:val="0"/>
      <w:marTop w:val="180"/>
      <w:marBottom w:val="0"/>
      <w:divBdr>
        <w:top w:val="none" w:sz="0" w:space="0" w:color="auto"/>
        <w:left w:val="none" w:sz="0" w:space="0" w:color="auto"/>
        <w:bottom w:val="none" w:sz="0" w:space="0" w:color="auto"/>
        <w:right w:val="none" w:sz="0" w:space="0" w:color="auto"/>
      </w:divBdr>
    </w:div>
    <w:div w:id="1271427671">
      <w:marLeft w:val="0"/>
      <w:marRight w:val="0"/>
      <w:marTop w:val="0"/>
      <w:marBottom w:val="0"/>
      <w:divBdr>
        <w:top w:val="none" w:sz="0" w:space="0" w:color="auto"/>
        <w:left w:val="none" w:sz="0" w:space="0" w:color="auto"/>
        <w:bottom w:val="none" w:sz="0" w:space="0" w:color="auto"/>
        <w:right w:val="none" w:sz="0" w:space="0" w:color="auto"/>
      </w:divBdr>
      <w:divsChild>
        <w:div w:id="1595701640">
          <w:marLeft w:val="0"/>
          <w:marRight w:val="0"/>
          <w:marTop w:val="100"/>
          <w:marBottom w:val="100"/>
          <w:divBdr>
            <w:top w:val="none" w:sz="0" w:space="0" w:color="auto"/>
            <w:left w:val="none" w:sz="0" w:space="0" w:color="auto"/>
            <w:bottom w:val="none" w:sz="0" w:space="0" w:color="auto"/>
            <w:right w:val="none" w:sz="0" w:space="0" w:color="auto"/>
          </w:divBdr>
        </w:div>
        <w:div w:id="2075424828">
          <w:marLeft w:val="0"/>
          <w:marRight w:val="0"/>
          <w:marTop w:val="100"/>
          <w:marBottom w:val="100"/>
          <w:divBdr>
            <w:top w:val="none" w:sz="0" w:space="0" w:color="auto"/>
            <w:left w:val="none" w:sz="0" w:space="0" w:color="auto"/>
            <w:bottom w:val="none" w:sz="0" w:space="0" w:color="auto"/>
            <w:right w:val="none" w:sz="0" w:space="0" w:color="auto"/>
          </w:divBdr>
        </w:div>
      </w:divsChild>
    </w:div>
    <w:div w:id="1271817917">
      <w:marLeft w:val="0"/>
      <w:marRight w:val="0"/>
      <w:marTop w:val="100"/>
      <w:marBottom w:val="100"/>
      <w:divBdr>
        <w:top w:val="none" w:sz="0" w:space="0" w:color="auto"/>
        <w:left w:val="none" w:sz="0" w:space="0" w:color="auto"/>
        <w:bottom w:val="none" w:sz="0" w:space="0" w:color="auto"/>
        <w:right w:val="none" w:sz="0" w:space="0" w:color="auto"/>
      </w:divBdr>
    </w:div>
    <w:div w:id="1272590705">
      <w:marLeft w:val="0"/>
      <w:marRight w:val="0"/>
      <w:marTop w:val="0"/>
      <w:marBottom w:val="0"/>
      <w:divBdr>
        <w:top w:val="none" w:sz="0" w:space="0" w:color="auto"/>
        <w:left w:val="none" w:sz="0" w:space="0" w:color="auto"/>
        <w:bottom w:val="none" w:sz="0" w:space="0" w:color="auto"/>
        <w:right w:val="none" w:sz="0" w:space="0" w:color="auto"/>
      </w:divBdr>
    </w:div>
    <w:div w:id="1275598731">
      <w:marLeft w:val="0"/>
      <w:marRight w:val="0"/>
      <w:marTop w:val="100"/>
      <w:marBottom w:val="0"/>
      <w:divBdr>
        <w:top w:val="none" w:sz="0" w:space="0" w:color="auto"/>
        <w:left w:val="none" w:sz="0" w:space="0" w:color="auto"/>
        <w:bottom w:val="none" w:sz="0" w:space="0" w:color="auto"/>
        <w:right w:val="none" w:sz="0" w:space="0" w:color="auto"/>
      </w:divBdr>
    </w:div>
    <w:div w:id="1289165515">
      <w:marLeft w:val="0"/>
      <w:marRight w:val="0"/>
      <w:marTop w:val="0"/>
      <w:marBottom w:val="0"/>
      <w:divBdr>
        <w:top w:val="none" w:sz="0" w:space="0" w:color="auto"/>
        <w:left w:val="none" w:sz="0" w:space="0" w:color="auto"/>
        <w:bottom w:val="none" w:sz="0" w:space="0" w:color="auto"/>
        <w:right w:val="none" w:sz="0" w:space="0" w:color="auto"/>
      </w:divBdr>
      <w:divsChild>
        <w:div w:id="506795522">
          <w:marLeft w:val="0"/>
          <w:marRight w:val="0"/>
          <w:marTop w:val="0"/>
          <w:marBottom w:val="0"/>
          <w:divBdr>
            <w:top w:val="none" w:sz="0" w:space="0" w:color="auto"/>
            <w:left w:val="none" w:sz="0" w:space="0" w:color="auto"/>
            <w:bottom w:val="none" w:sz="0" w:space="0" w:color="auto"/>
            <w:right w:val="none" w:sz="0" w:space="0" w:color="auto"/>
          </w:divBdr>
          <w:divsChild>
            <w:div w:id="17048606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9432693">
      <w:marLeft w:val="0"/>
      <w:marRight w:val="0"/>
      <w:marTop w:val="0"/>
      <w:marBottom w:val="0"/>
      <w:divBdr>
        <w:top w:val="none" w:sz="0" w:space="0" w:color="auto"/>
        <w:left w:val="none" w:sz="0" w:space="0" w:color="auto"/>
        <w:bottom w:val="none" w:sz="0" w:space="0" w:color="auto"/>
        <w:right w:val="none" w:sz="0" w:space="0" w:color="auto"/>
      </w:divBdr>
    </w:div>
    <w:div w:id="1291590495">
      <w:marLeft w:val="0"/>
      <w:marRight w:val="0"/>
      <w:marTop w:val="100"/>
      <w:marBottom w:val="100"/>
      <w:divBdr>
        <w:top w:val="none" w:sz="0" w:space="0" w:color="auto"/>
        <w:left w:val="none" w:sz="0" w:space="0" w:color="auto"/>
        <w:bottom w:val="none" w:sz="0" w:space="0" w:color="auto"/>
        <w:right w:val="none" w:sz="0" w:space="0" w:color="auto"/>
      </w:divBdr>
      <w:divsChild>
        <w:div w:id="1500075152">
          <w:marLeft w:val="0"/>
          <w:marRight w:val="0"/>
          <w:marTop w:val="40"/>
          <w:marBottom w:val="40"/>
          <w:divBdr>
            <w:top w:val="none" w:sz="0" w:space="0" w:color="auto"/>
            <w:left w:val="none" w:sz="0" w:space="0" w:color="auto"/>
            <w:bottom w:val="none" w:sz="0" w:space="0" w:color="auto"/>
            <w:right w:val="none" w:sz="0" w:space="0" w:color="auto"/>
          </w:divBdr>
        </w:div>
        <w:div w:id="776101020">
          <w:marLeft w:val="0"/>
          <w:marRight w:val="0"/>
          <w:marTop w:val="40"/>
          <w:marBottom w:val="40"/>
          <w:divBdr>
            <w:top w:val="none" w:sz="0" w:space="0" w:color="auto"/>
            <w:left w:val="none" w:sz="0" w:space="0" w:color="auto"/>
            <w:bottom w:val="none" w:sz="0" w:space="0" w:color="auto"/>
            <w:right w:val="none" w:sz="0" w:space="0" w:color="auto"/>
          </w:divBdr>
        </w:div>
      </w:divsChild>
    </w:div>
    <w:div w:id="1304314811">
      <w:marLeft w:val="0"/>
      <w:marRight w:val="0"/>
      <w:marTop w:val="100"/>
      <w:marBottom w:val="100"/>
      <w:divBdr>
        <w:top w:val="none" w:sz="0" w:space="0" w:color="auto"/>
        <w:left w:val="none" w:sz="0" w:space="0" w:color="auto"/>
        <w:bottom w:val="none" w:sz="0" w:space="0" w:color="auto"/>
        <w:right w:val="none" w:sz="0" w:space="0" w:color="auto"/>
      </w:divBdr>
    </w:div>
    <w:div w:id="1314486791">
      <w:marLeft w:val="0"/>
      <w:marRight w:val="0"/>
      <w:marTop w:val="180"/>
      <w:marBottom w:val="0"/>
      <w:divBdr>
        <w:top w:val="none" w:sz="0" w:space="0" w:color="auto"/>
        <w:left w:val="none" w:sz="0" w:space="0" w:color="auto"/>
        <w:bottom w:val="none" w:sz="0" w:space="0" w:color="auto"/>
        <w:right w:val="none" w:sz="0" w:space="0" w:color="auto"/>
      </w:divBdr>
    </w:div>
    <w:div w:id="1315142037">
      <w:marLeft w:val="0"/>
      <w:marRight w:val="0"/>
      <w:marTop w:val="0"/>
      <w:marBottom w:val="0"/>
      <w:divBdr>
        <w:top w:val="none" w:sz="0" w:space="0" w:color="auto"/>
        <w:left w:val="none" w:sz="0" w:space="0" w:color="auto"/>
        <w:bottom w:val="none" w:sz="0" w:space="0" w:color="auto"/>
        <w:right w:val="none" w:sz="0" w:space="0" w:color="auto"/>
      </w:divBdr>
    </w:div>
    <w:div w:id="1315258324">
      <w:marLeft w:val="0"/>
      <w:marRight w:val="0"/>
      <w:marTop w:val="180"/>
      <w:marBottom w:val="0"/>
      <w:divBdr>
        <w:top w:val="none" w:sz="0" w:space="0" w:color="auto"/>
        <w:left w:val="none" w:sz="0" w:space="0" w:color="auto"/>
        <w:bottom w:val="none" w:sz="0" w:space="0" w:color="auto"/>
        <w:right w:val="none" w:sz="0" w:space="0" w:color="auto"/>
      </w:divBdr>
    </w:div>
    <w:div w:id="1317223304">
      <w:marLeft w:val="0"/>
      <w:marRight w:val="0"/>
      <w:marTop w:val="0"/>
      <w:marBottom w:val="0"/>
      <w:divBdr>
        <w:top w:val="none" w:sz="0" w:space="0" w:color="auto"/>
        <w:left w:val="none" w:sz="0" w:space="0" w:color="auto"/>
        <w:bottom w:val="none" w:sz="0" w:space="0" w:color="auto"/>
        <w:right w:val="none" w:sz="0" w:space="0" w:color="auto"/>
      </w:divBdr>
    </w:div>
    <w:div w:id="1318732311">
      <w:marLeft w:val="0"/>
      <w:marRight w:val="0"/>
      <w:marTop w:val="180"/>
      <w:marBottom w:val="0"/>
      <w:divBdr>
        <w:top w:val="none" w:sz="0" w:space="0" w:color="auto"/>
        <w:left w:val="none" w:sz="0" w:space="0" w:color="auto"/>
        <w:bottom w:val="none" w:sz="0" w:space="0" w:color="auto"/>
        <w:right w:val="none" w:sz="0" w:space="0" w:color="auto"/>
      </w:divBdr>
    </w:div>
    <w:div w:id="1319532593">
      <w:marLeft w:val="0"/>
      <w:marRight w:val="0"/>
      <w:marTop w:val="100"/>
      <w:marBottom w:val="100"/>
      <w:divBdr>
        <w:top w:val="none" w:sz="0" w:space="0" w:color="auto"/>
        <w:left w:val="none" w:sz="0" w:space="0" w:color="auto"/>
        <w:bottom w:val="none" w:sz="0" w:space="0" w:color="auto"/>
        <w:right w:val="none" w:sz="0" w:space="0" w:color="auto"/>
      </w:divBdr>
    </w:div>
    <w:div w:id="1325476308">
      <w:marLeft w:val="0"/>
      <w:marRight w:val="0"/>
      <w:marTop w:val="0"/>
      <w:marBottom w:val="0"/>
      <w:divBdr>
        <w:top w:val="none" w:sz="0" w:space="0" w:color="auto"/>
        <w:left w:val="none" w:sz="0" w:space="0" w:color="auto"/>
        <w:bottom w:val="none" w:sz="0" w:space="0" w:color="auto"/>
        <w:right w:val="none" w:sz="0" w:space="0" w:color="auto"/>
      </w:divBdr>
    </w:div>
    <w:div w:id="1327857120">
      <w:marLeft w:val="0"/>
      <w:marRight w:val="0"/>
      <w:marTop w:val="100"/>
      <w:marBottom w:val="100"/>
      <w:divBdr>
        <w:top w:val="none" w:sz="0" w:space="0" w:color="auto"/>
        <w:left w:val="none" w:sz="0" w:space="0" w:color="auto"/>
        <w:bottom w:val="none" w:sz="0" w:space="0" w:color="auto"/>
        <w:right w:val="none" w:sz="0" w:space="0" w:color="auto"/>
      </w:divBdr>
    </w:div>
    <w:div w:id="1338732901">
      <w:marLeft w:val="0"/>
      <w:marRight w:val="0"/>
      <w:marTop w:val="0"/>
      <w:marBottom w:val="0"/>
      <w:divBdr>
        <w:top w:val="none" w:sz="0" w:space="0" w:color="auto"/>
        <w:left w:val="none" w:sz="0" w:space="0" w:color="auto"/>
        <w:bottom w:val="none" w:sz="0" w:space="0" w:color="auto"/>
        <w:right w:val="none" w:sz="0" w:space="0" w:color="auto"/>
      </w:divBdr>
    </w:div>
    <w:div w:id="1341735045">
      <w:marLeft w:val="0"/>
      <w:marRight w:val="0"/>
      <w:marTop w:val="180"/>
      <w:marBottom w:val="0"/>
      <w:divBdr>
        <w:top w:val="none" w:sz="0" w:space="0" w:color="auto"/>
        <w:left w:val="none" w:sz="0" w:space="0" w:color="auto"/>
        <w:bottom w:val="none" w:sz="0" w:space="0" w:color="auto"/>
        <w:right w:val="none" w:sz="0" w:space="0" w:color="auto"/>
      </w:divBdr>
    </w:div>
    <w:div w:id="1342198491">
      <w:marLeft w:val="0"/>
      <w:marRight w:val="0"/>
      <w:marTop w:val="180"/>
      <w:marBottom w:val="0"/>
      <w:divBdr>
        <w:top w:val="none" w:sz="0" w:space="0" w:color="auto"/>
        <w:left w:val="none" w:sz="0" w:space="0" w:color="auto"/>
        <w:bottom w:val="none" w:sz="0" w:space="0" w:color="auto"/>
        <w:right w:val="none" w:sz="0" w:space="0" w:color="auto"/>
      </w:divBdr>
    </w:div>
    <w:div w:id="1347437060">
      <w:marLeft w:val="0"/>
      <w:marRight w:val="0"/>
      <w:marTop w:val="0"/>
      <w:marBottom w:val="0"/>
      <w:divBdr>
        <w:top w:val="none" w:sz="0" w:space="0" w:color="auto"/>
        <w:left w:val="none" w:sz="0" w:space="0" w:color="auto"/>
        <w:bottom w:val="none" w:sz="0" w:space="0" w:color="auto"/>
        <w:right w:val="none" w:sz="0" w:space="0" w:color="auto"/>
      </w:divBdr>
    </w:div>
    <w:div w:id="1347441858">
      <w:marLeft w:val="0"/>
      <w:marRight w:val="0"/>
      <w:marTop w:val="180"/>
      <w:marBottom w:val="0"/>
      <w:divBdr>
        <w:top w:val="none" w:sz="0" w:space="0" w:color="auto"/>
        <w:left w:val="none" w:sz="0" w:space="0" w:color="auto"/>
        <w:bottom w:val="none" w:sz="0" w:space="0" w:color="auto"/>
        <w:right w:val="none" w:sz="0" w:space="0" w:color="auto"/>
      </w:divBdr>
    </w:div>
    <w:div w:id="1355301604">
      <w:marLeft w:val="0"/>
      <w:marRight w:val="0"/>
      <w:marTop w:val="0"/>
      <w:marBottom w:val="0"/>
      <w:divBdr>
        <w:top w:val="none" w:sz="0" w:space="0" w:color="auto"/>
        <w:left w:val="none" w:sz="0" w:space="0" w:color="auto"/>
        <w:bottom w:val="none" w:sz="0" w:space="0" w:color="auto"/>
        <w:right w:val="none" w:sz="0" w:space="0" w:color="auto"/>
      </w:divBdr>
    </w:div>
    <w:div w:id="1355500649">
      <w:marLeft w:val="0"/>
      <w:marRight w:val="0"/>
      <w:marTop w:val="100"/>
      <w:marBottom w:val="100"/>
      <w:divBdr>
        <w:top w:val="none" w:sz="0" w:space="0" w:color="auto"/>
        <w:left w:val="none" w:sz="0" w:space="0" w:color="auto"/>
        <w:bottom w:val="none" w:sz="0" w:space="0" w:color="auto"/>
        <w:right w:val="none" w:sz="0" w:space="0" w:color="auto"/>
      </w:divBdr>
    </w:div>
    <w:div w:id="1359086251">
      <w:marLeft w:val="0"/>
      <w:marRight w:val="0"/>
      <w:marTop w:val="0"/>
      <w:marBottom w:val="0"/>
      <w:divBdr>
        <w:top w:val="none" w:sz="0" w:space="0" w:color="auto"/>
        <w:left w:val="none" w:sz="0" w:space="0" w:color="auto"/>
        <w:bottom w:val="none" w:sz="0" w:space="0" w:color="auto"/>
        <w:right w:val="none" w:sz="0" w:space="0" w:color="auto"/>
      </w:divBdr>
    </w:div>
    <w:div w:id="1362197915">
      <w:marLeft w:val="0"/>
      <w:marRight w:val="0"/>
      <w:marTop w:val="100"/>
      <w:marBottom w:val="100"/>
      <w:divBdr>
        <w:top w:val="none" w:sz="0" w:space="0" w:color="auto"/>
        <w:left w:val="none" w:sz="0" w:space="0" w:color="auto"/>
        <w:bottom w:val="none" w:sz="0" w:space="0" w:color="auto"/>
        <w:right w:val="none" w:sz="0" w:space="0" w:color="auto"/>
      </w:divBdr>
    </w:div>
    <w:div w:id="1363288732">
      <w:marLeft w:val="0"/>
      <w:marRight w:val="0"/>
      <w:marTop w:val="100"/>
      <w:marBottom w:val="100"/>
      <w:divBdr>
        <w:top w:val="none" w:sz="0" w:space="0" w:color="auto"/>
        <w:left w:val="none" w:sz="0" w:space="0" w:color="auto"/>
        <w:bottom w:val="none" w:sz="0" w:space="0" w:color="auto"/>
        <w:right w:val="none" w:sz="0" w:space="0" w:color="auto"/>
      </w:divBdr>
    </w:div>
    <w:div w:id="1370498406">
      <w:marLeft w:val="0"/>
      <w:marRight w:val="0"/>
      <w:marTop w:val="100"/>
      <w:marBottom w:val="0"/>
      <w:divBdr>
        <w:top w:val="none" w:sz="0" w:space="0" w:color="auto"/>
        <w:left w:val="none" w:sz="0" w:space="0" w:color="auto"/>
        <w:bottom w:val="none" w:sz="0" w:space="0" w:color="auto"/>
        <w:right w:val="none" w:sz="0" w:space="0" w:color="auto"/>
      </w:divBdr>
    </w:div>
    <w:div w:id="1378235643">
      <w:marLeft w:val="0"/>
      <w:marRight w:val="0"/>
      <w:marTop w:val="80"/>
      <w:marBottom w:val="100"/>
      <w:divBdr>
        <w:top w:val="none" w:sz="0" w:space="0" w:color="auto"/>
        <w:left w:val="none" w:sz="0" w:space="0" w:color="auto"/>
        <w:bottom w:val="none" w:sz="0" w:space="0" w:color="auto"/>
        <w:right w:val="none" w:sz="0" w:space="0" w:color="auto"/>
      </w:divBdr>
    </w:div>
    <w:div w:id="1384671086">
      <w:marLeft w:val="0"/>
      <w:marRight w:val="0"/>
      <w:marTop w:val="180"/>
      <w:marBottom w:val="0"/>
      <w:divBdr>
        <w:top w:val="none" w:sz="0" w:space="0" w:color="auto"/>
        <w:left w:val="none" w:sz="0" w:space="0" w:color="auto"/>
        <w:bottom w:val="none" w:sz="0" w:space="0" w:color="auto"/>
        <w:right w:val="none" w:sz="0" w:space="0" w:color="auto"/>
      </w:divBdr>
      <w:divsChild>
        <w:div w:id="1139299647">
          <w:marLeft w:val="0"/>
          <w:marRight w:val="0"/>
          <w:marTop w:val="0"/>
          <w:marBottom w:val="0"/>
          <w:divBdr>
            <w:top w:val="none" w:sz="0" w:space="0" w:color="auto"/>
            <w:left w:val="none" w:sz="0" w:space="0" w:color="auto"/>
            <w:bottom w:val="none" w:sz="0" w:space="0" w:color="auto"/>
            <w:right w:val="none" w:sz="0" w:space="0" w:color="auto"/>
          </w:divBdr>
        </w:div>
      </w:divsChild>
    </w:div>
    <w:div w:id="1386297167">
      <w:marLeft w:val="0"/>
      <w:marRight w:val="0"/>
      <w:marTop w:val="100"/>
      <w:marBottom w:val="100"/>
      <w:divBdr>
        <w:top w:val="none" w:sz="0" w:space="0" w:color="auto"/>
        <w:left w:val="none" w:sz="0" w:space="0" w:color="auto"/>
        <w:bottom w:val="none" w:sz="0" w:space="0" w:color="auto"/>
        <w:right w:val="none" w:sz="0" w:space="0" w:color="auto"/>
      </w:divBdr>
    </w:div>
    <w:div w:id="1390227632">
      <w:marLeft w:val="0"/>
      <w:marRight w:val="0"/>
      <w:marTop w:val="180"/>
      <w:marBottom w:val="100"/>
      <w:divBdr>
        <w:top w:val="none" w:sz="0" w:space="0" w:color="auto"/>
        <w:left w:val="none" w:sz="0" w:space="0" w:color="auto"/>
        <w:bottom w:val="none" w:sz="0" w:space="0" w:color="auto"/>
        <w:right w:val="none" w:sz="0" w:space="0" w:color="auto"/>
      </w:divBdr>
    </w:div>
    <w:div w:id="1391146857">
      <w:marLeft w:val="0"/>
      <w:marRight w:val="0"/>
      <w:marTop w:val="180"/>
      <w:marBottom w:val="100"/>
      <w:divBdr>
        <w:top w:val="none" w:sz="0" w:space="0" w:color="auto"/>
        <w:left w:val="none" w:sz="0" w:space="0" w:color="auto"/>
        <w:bottom w:val="none" w:sz="0" w:space="0" w:color="auto"/>
        <w:right w:val="none" w:sz="0" w:space="0" w:color="auto"/>
      </w:divBdr>
    </w:div>
    <w:div w:id="1392197346">
      <w:marLeft w:val="0"/>
      <w:marRight w:val="0"/>
      <w:marTop w:val="180"/>
      <w:marBottom w:val="100"/>
      <w:divBdr>
        <w:top w:val="none" w:sz="0" w:space="0" w:color="auto"/>
        <w:left w:val="none" w:sz="0" w:space="0" w:color="auto"/>
        <w:bottom w:val="none" w:sz="0" w:space="0" w:color="auto"/>
        <w:right w:val="none" w:sz="0" w:space="0" w:color="auto"/>
      </w:divBdr>
    </w:div>
    <w:div w:id="1393772371">
      <w:marLeft w:val="0"/>
      <w:marRight w:val="0"/>
      <w:marTop w:val="0"/>
      <w:marBottom w:val="0"/>
      <w:divBdr>
        <w:top w:val="none" w:sz="0" w:space="0" w:color="auto"/>
        <w:left w:val="none" w:sz="0" w:space="0" w:color="auto"/>
        <w:bottom w:val="none" w:sz="0" w:space="0" w:color="auto"/>
        <w:right w:val="none" w:sz="0" w:space="0" w:color="auto"/>
      </w:divBdr>
    </w:div>
    <w:div w:id="1396854482">
      <w:marLeft w:val="0"/>
      <w:marRight w:val="0"/>
      <w:marTop w:val="0"/>
      <w:marBottom w:val="0"/>
      <w:divBdr>
        <w:top w:val="none" w:sz="0" w:space="0" w:color="auto"/>
        <w:left w:val="none" w:sz="0" w:space="0" w:color="auto"/>
        <w:bottom w:val="none" w:sz="0" w:space="0" w:color="auto"/>
        <w:right w:val="none" w:sz="0" w:space="0" w:color="auto"/>
      </w:divBdr>
    </w:div>
    <w:div w:id="1400904292">
      <w:marLeft w:val="0"/>
      <w:marRight w:val="0"/>
      <w:marTop w:val="180"/>
      <w:marBottom w:val="0"/>
      <w:divBdr>
        <w:top w:val="none" w:sz="0" w:space="0" w:color="auto"/>
        <w:left w:val="none" w:sz="0" w:space="0" w:color="auto"/>
        <w:bottom w:val="none" w:sz="0" w:space="0" w:color="auto"/>
        <w:right w:val="none" w:sz="0" w:space="0" w:color="auto"/>
      </w:divBdr>
    </w:div>
    <w:div w:id="1402099301">
      <w:marLeft w:val="0"/>
      <w:marRight w:val="0"/>
      <w:marTop w:val="0"/>
      <w:marBottom w:val="0"/>
      <w:divBdr>
        <w:top w:val="none" w:sz="0" w:space="0" w:color="auto"/>
        <w:left w:val="none" w:sz="0" w:space="0" w:color="auto"/>
        <w:bottom w:val="none" w:sz="0" w:space="0" w:color="auto"/>
        <w:right w:val="none" w:sz="0" w:space="0" w:color="auto"/>
      </w:divBdr>
      <w:divsChild>
        <w:div w:id="2045054984">
          <w:marLeft w:val="0"/>
          <w:marRight w:val="0"/>
          <w:marTop w:val="100"/>
          <w:marBottom w:val="100"/>
          <w:divBdr>
            <w:top w:val="none" w:sz="0" w:space="0" w:color="auto"/>
            <w:left w:val="none" w:sz="0" w:space="0" w:color="auto"/>
            <w:bottom w:val="none" w:sz="0" w:space="0" w:color="auto"/>
            <w:right w:val="none" w:sz="0" w:space="0" w:color="auto"/>
          </w:divBdr>
        </w:div>
        <w:div w:id="424150962">
          <w:marLeft w:val="0"/>
          <w:marRight w:val="0"/>
          <w:marTop w:val="100"/>
          <w:marBottom w:val="100"/>
          <w:divBdr>
            <w:top w:val="none" w:sz="0" w:space="0" w:color="auto"/>
            <w:left w:val="none" w:sz="0" w:space="0" w:color="auto"/>
            <w:bottom w:val="none" w:sz="0" w:space="0" w:color="auto"/>
            <w:right w:val="none" w:sz="0" w:space="0" w:color="auto"/>
          </w:divBdr>
        </w:div>
      </w:divsChild>
    </w:div>
    <w:div w:id="1403483701">
      <w:marLeft w:val="0"/>
      <w:marRight w:val="0"/>
      <w:marTop w:val="180"/>
      <w:marBottom w:val="0"/>
      <w:divBdr>
        <w:top w:val="none" w:sz="0" w:space="0" w:color="auto"/>
        <w:left w:val="none" w:sz="0" w:space="0" w:color="auto"/>
        <w:bottom w:val="none" w:sz="0" w:space="0" w:color="auto"/>
        <w:right w:val="none" w:sz="0" w:space="0" w:color="auto"/>
      </w:divBdr>
    </w:div>
    <w:div w:id="1405102415">
      <w:marLeft w:val="0"/>
      <w:marRight w:val="0"/>
      <w:marTop w:val="0"/>
      <w:marBottom w:val="0"/>
      <w:divBdr>
        <w:top w:val="none" w:sz="0" w:space="0" w:color="auto"/>
        <w:left w:val="none" w:sz="0" w:space="0" w:color="auto"/>
        <w:bottom w:val="none" w:sz="0" w:space="0" w:color="auto"/>
        <w:right w:val="none" w:sz="0" w:space="0" w:color="auto"/>
      </w:divBdr>
    </w:div>
    <w:div w:id="1408570949">
      <w:marLeft w:val="0"/>
      <w:marRight w:val="0"/>
      <w:marTop w:val="0"/>
      <w:marBottom w:val="0"/>
      <w:divBdr>
        <w:top w:val="none" w:sz="0" w:space="0" w:color="auto"/>
        <w:left w:val="none" w:sz="0" w:space="0" w:color="auto"/>
        <w:bottom w:val="none" w:sz="0" w:space="0" w:color="auto"/>
        <w:right w:val="none" w:sz="0" w:space="0" w:color="auto"/>
      </w:divBdr>
    </w:div>
    <w:div w:id="1410925528">
      <w:marLeft w:val="0"/>
      <w:marRight w:val="0"/>
      <w:marTop w:val="0"/>
      <w:marBottom w:val="0"/>
      <w:divBdr>
        <w:top w:val="none" w:sz="0" w:space="0" w:color="auto"/>
        <w:left w:val="none" w:sz="0" w:space="0" w:color="auto"/>
        <w:bottom w:val="none" w:sz="0" w:space="0" w:color="auto"/>
        <w:right w:val="none" w:sz="0" w:space="0" w:color="auto"/>
      </w:divBdr>
      <w:divsChild>
        <w:div w:id="425155848">
          <w:marLeft w:val="0"/>
          <w:marRight w:val="0"/>
          <w:marTop w:val="100"/>
          <w:marBottom w:val="100"/>
          <w:divBdr>
            <w:top w:val="none" w:sz="0" w:space="0" w:color="auto"/>
            <w:left w:val="none" w:sz="0" w:space="0" w:color="auto"/>
            <w:bottom w:val="none" w:sz="0" w:space="0" w:color="auto"/>
            <w:right w:val="none" w:sz="0" w:space="0" w:color="auto"/>
          </w:divBdr>
        </w:div>
        <w:div w:id="223489650">
          <w:marLeft w:val="0"/>
          <w:marRight w:val="0"/>
          <w:marTop w:val="100"/>
          <w:marBottom w:val="100"/>
          <w:divBdr>
            <w:top w:val="none" w:sz="0" w:space="0" w:color="auto"/>
            <w:left w:val="none" w:sz="0" w:space="0" w:color="auto"/>
            <w:bottom w:val="none" w:sz="0" w:space="0" w:color="auto"/>
            <w:right w:val="none" w:sz="0" w:space="0" w:color="auto"/>
          </w:divBdr>
        </w:div>
      </w:divsChild>
    </w:div>
    <w:div w:id="1416050773">
      <w:marLeft w:val="0"/>
      <w:marRight w:val="0"/>
      <w:marTop w:val="100"/>
      <w:marBottom w:val="100"/>
      <w:divBdr>
        <w:top w:val="none" w:sz="0" w:space="0" w:color="auto"/>
        <w:left w:val="none" w:sz="0" w:space="0" w:color="auto"/>
        <w:bottom w:val="none" w:sz="0" w:space="0" w:color="auto"/>
        <w:right w:val="none" w:sz="0" w:space="0" w:color="auto"/>
      </w:divBdr>
    </w:div>
    <w:div w:id="1419517291">
      <w:marLeft w:val="0"/>
      <w:marRight w:val="0"/>
      <w:marTop w:val="180"/>
      <w:marBottom w:val="0"/>
      <w:divBdr>
        <w:top w:val="none" w:sz="0" w:space="0" w:color="auto"/>
        <w:left w:val="none" w:sz="0" w:space="0" w:color="auto"/>
        <w:bottom w:val="none" w:sz="0" w:space="0" w:color="auto"/>
        <w:right w:val="none" w:sz="0" w:space="0" w:color="auto"/>
      </w:divBdr>
    </w:div>
    <w:div w:id="1420105328">
      <w:marLeft w:val="0"/>
      <w:marRight w:val="0"/>
      <w:marTop w:val="100"/>
      <w:marBottom w:val="100"/>
      <w:divBdr>
        <w:top w:val="none" w:sz="0" w:space="0" w:color="auto"/>
        <w:left w:val="none" w:sz="0" w:space="0" w:color="auto"/>
        <w:bottom w:val="none" w:sz="0" w:space="0" w:color="auto"/>
        <w:right w:val="none" w:sz="0" w:space="0" w:color="auto"/>
      </w:divBdr>
    </w:div>
    <w:div w:id="1421680238">
      <w:marLeft w:val="0"/>
      <w:marRight w:val="0"/>
      <w:marTop w:val="80"/>
      <w:marBottom w:val="100"/>
      <w:divBdr>
        <w:top w:val="none" w:sz="0" w:space="0" w:color="auto"/>
        <w:left w:val="none" w:sz="0" w:space="0" w:color="auto"/>
        <w:bottom w:val="none" w:sz="0" w:space="0" w:color="auto"/>
        <w:right w:val="none" w:sz="0" w:space="0" w:color="auto"/>
      </w:divBdr>
    </w:div>
    <w:div w:id="1421834900">
      <w:marLeft w:val="0"/>
      <w:marRight w:val="0"/>
      <w:marTop w:val="100"/>
      <w:marBottom w:val="100"/>
      <w:divBdr>
        <w:top w:val="none" w:sz="0" w:space="0" w:color="auto"/>
        <w:left w:val="none" w:sz="0" w:space="0" w:color="auto"/>
        <w:bottom w:val="none" w:sz="0" w:space="0" w:color="auto"/>
        <w:right w:val="none" w:sz="0" w:space="0" w:color="auto"/>
      </w:divBdr>
    </w:div>
    <w:div w:id="1427384511">
      <w:marLeft w:val="0"/>
      <w:marRight w:val="0"/>
      <w:marTop w:val="100"/>
      <w:marBottom w:val="100"/>
      <w:divBdr>
        <w:top w:val="none" w:sz="0" w:space="0" w:color="auto"/>
        <w:left w:val="none" w:sz="0" w:space="0" w:color="auto"/>
        <w:bottom w:val="none" w:sz="0" w:space="0" w:color="auto"/>
        <w:right w:val="none" w:sz="0" w:space="0" w:color="auto"/>
      </w:divBdr>
    </w:div>
    <w:div w:id="1437480507">
      <w:marLeft w:val="0"/>
      <w:marRight w:val="0"/>
      <w:marTop w:val="80"/>
      <w:marBottom w:val="100"/>
      <w:divBdr>
        <w:top w:val="none" w:sz="0" w:space="0" w:color="auto"/>
        <w:left w:val="none" w:sz="0" w:space="0" w:color="auto"/>
        <w:bottom w:val="none" w:sz="0" w:space="0" w:color="auto"/>
        <w:right w:val="none" w:sz="0" w:space="0" w:color="auto"/>
      </w:divBdr>
    </w:div>
    <w:div w:id="1437672783">
      <w:marLeft w:val="0"/>
      <w:marRight w:val="0"/>
      <w:marTop w:val="100"/>
      <w:marBottom w:val="100"/>
      <w:divBdr>
        <w:top w:val="none" w:sz="0" w:space="0" w:color="auto"/>
        <w:left w:val="none" w:sz="0" w:space="0" w:color="auto"/>
        <w:bottom w:val="none" w:sz="0" w:space="0" w:color="auto"/>
        <w:right w:val="none" w:sz="0" w:space="0" w:color="auto"/>
      </w:divBdr>
    </w:div>
    <w:div w:id="1443186178">
      <w:marLeft w:val="0"/>
      <w:marRight w:val="0"/>
      <w:marTop w:val="100"/>
      <w:marBottom w:val="100"/>
      <w:divBdr>
        <w:top w:val="none" w:sz="0" w:space="0" w:color="auto"/>
        <w:left w:val="none" w:sz="0" w:space="0" w:color="auto"/>
        <w:bottom w:val="none" w:sz="0" w:space="0" w:color="auto"/>
        <w:right w:val="none" w:sz="0" w:space="0" w:color="auto"/>
      </w:divBdr>
    </w:div>
    <w:div w:id="1445877685">
      <w:marLeft w:val="0"/>
      <w:marRight w:val="0"/>
      <w:marTop w:val="80"/>
      <w:marBottom w:val="100"/>
      <w:divBdr>
        <w:top w:val="none" w:sz="0" w:space="0" w:color="auto"/>
        <w:left w:val="none" w:sz="0" w:space="0" w:color="auto"/>
        <w:bottom w:val="none" w:sz="0" w:space="0" w:color="auto"/>
        <w:right w:val="none" w:sz="0" w:space="0" w:color="auto"/>
      </w:divBdr>
    </w:div>
    <w:div w:id="1446340560">
      <w:marLeft w:val="0"/>
      <w:marRight w:val="0"/>
      <w:marTop w:val="100"/>
      <w:marBottom w:val="100"/>
      <w:divBdr>
        <w:top w:val="none" w:sz="0" w:space="0" w:color="auto"/>
        <w:left w:val="none" w:sz="0" w:space="0" w:color="auto"/>
        <w:bottom w:val="none" w:sz="0" w:space="0" w:color="auto"/>
        <w:right w:val="none" w:sz="0" w:space="0" w:color="auto"/>
      </w:divBdr>
    </w:div>
    <w:div w:id="1451045041">
      <w:marLeft w:val="0"/>
      <w:marRight w:val="0"/>
      <w:marTop w:val="180"/>
      <w:marBottom w:val="0"/>
      <w:divBdr>
        <w:top w:val="none" w:sz="0" w:space="0" w:color="auto"/>
        <w:left w:val="none" w:sz="0" w:space="0" w:color="auto"/>
        <w:bottom w:val="none" w:sz="0" w:space="0" w:color="auto"/>
        <w:right w:val="none" w:sz="0" w:space="0" w:color="auto"/>
      </w:divBdr>
    </w:div>
    <w:div w:id="1463108013">
      <w:marLeft w:val="0"/>
      <w:marRight w:val="0"/>
      <w:marTop w:val="100"/>
      <w:marBottom w:val="100"/>
      <w:divBdr>
        <w:top w:val="none" w:sz="0" w:space="0" w:color="auto"/>
        <w:left w:val="none" w:sz="0" w:space="0" w:color="auto"/>
        <w:bottom w:val="none" w:sz="0" w:space="0" w:color="auto"/>
        <w:right w:val="none" w:sz="0" w:space="0" w:color="auto"/>
      </w:divBdr>
      <w:divsChild>
        <w:div w:id="404693573">
          <w:marLeft w:val="0"/>
          <w:marRight w:val="0"/>
          <w:marTop w:val="0"/>
          <w:marBottom w:val="0"/>
          <w:divBdr>
            <w:top w:val="none" w:sz="0" w:space="0" w:color="auto"/>
            <w:left w:val="none" w:sz="0" w:space="0" w:color="auto"/>
            <w:bottom w:val="none" w:sz="0" w:space="0" w:color="auto"/>
            <w:right w:val="none" w:sz="0" w:space="0" w:color="auto"/>
          </w:divBdr>
        </w:div>
      </w:divsChild>
    </w:div>
    <w:div w:id="1466043163">
      <w:marLeft w:val="0"/>
      <w:marRight w:val="0"/>
      <w:marTop w:val="100"/>
      <w:marBottom w:val="100"/>
      <w:divBdr>
        <w:top w:val="none" w:sz="0" w:space="0" w:color="auto"/>
        <w:left w:val="none" w:sz="0" w:space="0" w:color="auto"/>
        <w:bottom w:val="none" w:sz="0" w:space="0" w:color="auto"/>
        <w:right w:val="none" w:sz="0" w:space="0" w:color="auto"/>
      </w:divBdr>
    </w:div>
    <w:div w:id="1466661338">
      <w:marLeft w:val="0"/>
      <w:marRight w:val="0"/>
      <w:marTop w:val="0"/>
      <w:marBottom w:val="0"/>
      <w:divBdr>
        <w:top w:val="none" w:sz="0" w:space="0" w:color="auto"/>
        <w:left w:val="none" w:sz="0" w:space="0" w:color="auto"/>
        <w:bottom w:val="none" w:sz="0" w:space="0" w:color="auto"/>
        <w:right w:val="none" w:sz="0" w:space="0" w:color="auto"/>
      </w:divBdr>
    </w:div>
    <w:div w:id="1468624156">
      <w:marLeft w:val="0"/>
      <w:marRight w:val="0"/>
      <w:marTop w:val="0"/>
      <w:marBottom w:val="0"/>
      <w:divBdr>
        <w:top w:val="none" w:sz="0" w:space="0" w:color="auto"/>
        <w:left w:val="none" w:sz="0" w:space="0" w:color="auto"/>
        <w:bottom w:val="none" w:sz="0" w:space="0" w:color="auto"/>
        <w:right w:val="none" w:sz="0" w:space="0" w:color="auto"/>
      </w:divBdr>
    </w:div>
    <w:div w:id="1470903254">
      <w:marLeft w:val="0"/>
      <w:marRight w:val="0"/>
      <w:marTop w:val="80"/>
      <w:marBottom w:val="100"/>
      <w:divBdr>
        <w:top w:val="none" w:sz="0" w:space="0" w:color="auto"/>
        <w:left w:val="none" w:sz="0" w:space="0" w:color="auto"/>
        <w:bottom w:val="none" w:sz="0" w:space="0" w:color="auto"/>
        <w:right w:val="none" w:sz="0" w:space="0" w:color="auto"/>
      </w:divBdr>
    </w:div>
    <w:div w:id="1475217860">
      <w:marLeft w:val="0"/>
      <w:marRight w:val="0"/>
      <w:marTop w:val="0"/>
      <w:marBottom w:val="0"/>
      <w:divBdr>
        <w:top w:val="none" w:sz="0" w:space="0" w:color="auto"/>
        <w:left w:val="none" w:sz="0" w:space="0" w:color="auto"/>
        <w:bottom w:val="none" w:sz="0" w:space="0" w:color="auto"/>
        <w:right w:val="none" w:sz="0" w:space="0" w:color="auto"/>
      </w:divBdr>
      <w:divsChild>
        <w:div w:id="737484698">
          <w:marLeft w:val="0"/>
          <w:marRight w:val="0"/>
          <w:marTop w:val="0"/>
          <w:marBottom w:val="0"/>
          <w:divBdr>
            <w:top w:val="none" w:sz="0" w:space="0" w:color="auto"/>
            <w:left w:val="none" w:sz="0" w:space="0" w:color="auto"/>
            <w:bottom w:val="none" w:sz="0" w:space="0" w:color="auto"/>
            <w:right w:val="none" w:sz="0" w:space="0" w:color="auto"/>
          </w:divBdr>
          <w:divsChild>
            <w:div w:id="16394133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77448726">
      <w:marLeft w:val="0"/>
      <w:marRight w:val="0"/>
      <w:marTop w:val="100"/>
      <w:marBottom w:val="100"/>
      <w:divBdr>
        <w:top w:val="none" w:sz="0" w:space="0" w:color="auto"/>
        <w:left w:val="none" w:sz="0" w:space="0" w:color="auto"/>
        <w:bottom w:val="none" w:sz="0" w:space="0" w:color="auto"/>
        <w:right w:val="none" w:sz="0" w:space="0" w:color="auto"/>
      </w:divBdr>
    </w:div>
    <w:div w:id="1480077679">
      <w:marLeft w:val="0"/>
      <w:marRight w:val="0"/>
      <w:marTop w:val="0"/>
      <w:marBottom w:val="0"/>
      <w:divBdr>
        <w:top w:val="none" w:sz="0" w:space="0" w:color="auto"/>
        <w:left w:val="none" w:sz="0" w:space="0" w:color="auto"/>
        <w:bottom w:val="none" w:sz="0" w:space="0" w:color="auto"/>
        <w:right w:val="none" w:sz="0" w:space="0" w:color="auto"/>
      </w:divBdr>
    </w:div>
    <w:div w:id="1488474565">
      <w:marLeft w:val="0"/>
      <w:marRight w:val="0"/>
      <w:marTop w:val="0"/>
      <w:marBottom w:val="0"/>
      <w:divBdr>
        <w:top w:val="none" w:sz="0" w:space="0" w:color="auto"/>
        <w:left w:val="none" w:sz="0" w:space="0" w:color="auto"/>
        <w:bottom w:val="none" w:sz="0" w:space="0" w:color="auto"/>
        <w:right w:val="none" w:sz="0" w:space="0" w:color="auto"/>
      </w:divBdr>
      <w:divsChild>
        <w:div w:id="1560558748">
          <w:marLeft w:val="0"/>
          <w:marRight w:val="0"/>
          <w:marTop w:val="0"/>
          <w:marBottom w:val="0"/>
          <w:divBdr>
            <w:top w:val="none" w:sz="0" w:space="0" w:color="auto"/>
            <w:left w:val="none" w:sz="0" w:space="0" w:color="auto"/>
            <w:bottom w:val="none" w:sz="0" w:space="0" w:color="auto"/>
            <w:right w:val="none" w:sz="0" w:space="0" w:color="auto"/>
          </w:divBdr>
          <w:divsChild>
            <w:div w:id="3225924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90293376">
      <w:marLeft w:val="0"/>
      <w:marRight w:val="0"/>
      <w:marTop w:val="100"/>
      <w:marBottom w:val="100"/>
      <w:divBdr>
        <w:top w:val="none" w:sz="0" w:space="0" w:color="auto"/>
        <w:left w:val="none" w:sz="0" w:space="0" w:color="auto"/>
        <w:bottom w:val="none" w:sz="0" w:space="0" w:color="auto"/>
        <w:right w:val="none" w:sz="0" w:space="0" w:color="auto"/>
      </w:divBdr>
    </w:div>
    <w:div w:id="1490560355">
      <w:marLeft w:val="0"/>
      <w:marRight w:val="0"/>
      <w:marTop w:val="100"/>
      <w:marBottom w:val="100"/>
      <w:divBdr>
        <w:top w:val="none" w:sz="0" w:space="0" w:color="auto"/>
        <w:left w:val="none" w:sz="0" w:space="0" w:color="auto"/>
        <w:bottom w:val="none" w:sz="0" w:space="0" w:color="auto"/>
        <w:right w:val="none" w:sz="0" w:space="0" w:color="auto"/>
      </w:divBdr>
    </w:div>
    <w:div w:id="1491406326">
      <w:marLeft w:val="0"/>
      <w:marRight w:val="0"/>
      <w:marTop w:val="0"/>
      <w:marBottom w:val="0"/>
      <w:divBdr>
        <w:top w:val="none" w:sz="0" w:space="0" w:color="auto"/>
        <w:left w:val="none" w:sz="0" w:space="0" w:color="auto"/>
        <w:bottom w:val="none" w:sz="0" w:space="0" w:color="auto"/>
        <w:right w:val="none" w:sz="0" w:space="0" w:color="auto"/>
      </w:divBdr>
      <w:divsChild>
        <w:div w:id="1421876697">
          <w:marLeft w:val="0"/>
          <w:marRight w:val="0"/>
          <w:marTop w:val="100"/>
          <w:marBottom w:val="100"/>
          <w:divBdr>
            <w:top w:val="none" w:sz="0" w:space="0" w:color="auto"/>
            <w:left w:val="none" w:sz="0" w:space="0" w:color="auto"/>
            <w:bottom w:val="none" w:sz="0" w:space="0" w:color="auto"/>
            <w:right w:val="none" w:sz="0" w:space="0" w:color="auto"/>
          </w:divBdr>
        </w:div>
        <w:div w:id="391082464">
          <w:marLeft w:val="0"/>
          <w:marRight w:val="0"/>
          <w:marTop w:val="100"/>
          <w:marBottom w:val="100"/>
          <w:divBdr>
            <w:top w:val="none" w:sz="0" w:space="0" w:color="auto"/>
            <w:left w:val="none" w:sz="0" w:space="0" w:color="auto"/>
            <w:bottom w:val="none" w:sz="0" w:space="0" w:color="auto"/>
            <w:right w:val="none" w:sz="0" w:space="0" w:color="auto"/>
          </w:divBdr>
        </w:div>
      </w:divsChild>
    </w:div>
    <w:div w:id="1493177067">
      <w:marLeft w:val="0"/>
      <w:marRight w:val="0"/>
      <w:marTop w:val="100"/>
      <w:marBottom w:val="100"/>
      <w:divBdr>
        <w:top w:val="none" w:sz="0" w:space="0" w:color="auto"/>
        <w:left w:val="none" w:sz="0" w:space="0" w:color="auto"/>
        <w:bottom w:val="none" w:sz="0" w:space="0" w:color="auto"/>
        <w:right w:val="none" w:sz="0" w:space="0" w:color="auto"/>
      </w:divBdr>
    </w:div>
    <w:div w:id="1494957107">
      <w:marLeft w:val="0"/>
      <w:marRight w:val="0"/>
      <w:marTop w:val="100"/>
      <w:marBottom w:val="100"/>
      <w:divBdr>
        <w:top w:val="none" w:sz="0" w:space="0" w:color="auto"/>
        <w:left w:val="none" w:sz="0" w:space="0" w:color="auto"/>
        <w:bottom w:val="none" w:sz="0" w:space="0" w:color="auto"/>
        <w:right w:val="none" w:sz="0" w:space="0" w:color="auto"/>
      </w:divBdr>
    </w:div>
    <w:div w:id="1496258944">
      <w:marLeft w:val="0"/>
      <w:marRight w:val="0"/>
      <w:marTop w:val="100"/>
      <w:marBottom w:val="100"/>
      <w:divBdr>
        <w:top w:val="none" w:sz="0" w:space="0" w:color="auto"/>
        <w:left w:val="none" w:sz="0" w:space="0" w:color="auto"/>
        <w:bottom w:val="none" w:sz="0" w:space="0" w:color="auto"/>
        <w:right w:val="none" w:sz="0" w:space="0" w:color="auto"/>
      </w:divBdr>
    </w:div>
    <w:div w:id="1496646957">
      <w:marLeft w:val="0"/>
      <w:marRight w:val="0"/>
      <w:marTop w:val="180"/>
      <w:marBottom w:val="0"/>
      <w:divBdr>
        <w:top w:val="none" w:sz="0" w:space="0" w:color="auto"/>
        <w:left w:val="none" w:sz="0" w:space="0" w:color="auto"/>
        <w:bottom w:val="none" w:sz="0" w:space="0" w:color="auto"/>
        <w:right w:val="none" w:sz="0" w:space="0" w:color="auto"/>
      </w:divBdr>
    </w:div>
    <w:div w:id="1499732992">
      <w:marLeft w:val="0"/>
      <w:marRight w:val="0"/>
      <w:marTop w:val="180"/>
      <w:marBottom w:val="0"/>
      <w:divBdr>
        <w:top w:val="none" w:sz="0" w:space="0" w:color="auto"/>
        <w:left w:val="none" w:sz="0" w:space="0" w:color="auto"/>
        <w:bottom w:val="none" w:sz="0" w:space="0" w:color="auto"/>
        <w:right w:val="none" w:sz="0" w:space="0" w:color="auto"/>
      </w:divBdr>
    </w:div>
    <w:div w:id="1501655680">
      <w:marLeft w:val="0"/>
      <w:marRight w:val="0"/>
      <w:marTop w:val="0"/>
      <w:marBottom w:val="0"/>
      <w:divBdr>
        <w:top w:val="none" w:sz="0" w:space="0" w:color="auto"/>
        <w:left w:val="none" w:sz="0" w:space="0" w:color="auto"/>
        <w:bottom w:val="none" w:sz="0" w:space="0" w:color="auto"/>
        <w:right w:val="none" w:sz="0" w:space="0" w:color="auto"/>
      </w:divBdr>
    </w:div>
    <w:div w:id="1508976894">
      <w:marLeft w:val="0"/>
      <w:marRight w:val="0"/>
      <w:marTop w:val="100"/>
      <w:marBottom w:val="0"/>
      <w:divBdr>
        <w:top w:val="none" w:sz="0" w:space="0" w:color="auto"/>
        <w:left w:val="none" w:sz="0" w:space="0" w:color="auto"/>
        <w:bottom w:val="none" w:sz="0" w:space="0" w:color="auto"/>
        <w:right w:val="none" w:sz="0" w:space="0" w:color="auto"/>
      </w:divBdr>
    </w:div>
    <w:div w:id="1510875601">
      <w:marLeft w:val="0"/>
      <w:marRight w:val="0"/>
      <w:marTop w:val="0"/>
      <w:marBottom w:val="0"/>
      <w:divBdr>
        <w:top w:val="none" w:sz="0" w:space="0" w:color="auto"/>
        <w:left w:val="none" w:sz="0" w:space="0" w:color="auto"/>
        <w:bottom w:val="none" w:sz="0" w:space="0" w:color="auto"/>
        <w:right w:val="none" w:sz="0" w:space="0" w:color="auto"/>
      </w:divBdr>
    </w:div>
    <w:div w:id="1511487261">
      <w:marLeft w:val="0"/>
      <w:marRight w:val="0"/>
      <w:marTop w:val="180"/>
      <w:marBottom w:val="0"/>
      <w:divBdr>
        <w:top w:val="none" w:sz="0" w:space="0" w:color="auto"/>
        <w:left w:val="none" w:sz="0" w:space="0" w:color="auto"/>
        <w:bottom w:val="none" w:sz="0" w:space="0" w:color="auto"/>
        <w:right w:val="none" w:sz="0" w:space="0" w:color="auto"/>
      </w:divBdr>
    </w:div>
    <w:div w:id="1514493112">
      <w:marLeft w:val="0"/>
      <w:marRight w:val="0"/>
      <w:marTop w:val="20"/>
      <w:marBottom w:val="40"/>
      <w:divBdr>
        <w:top w:val="none" w:sz="0" w:space="0" w:color="auto"/>
        <w:left w:val="none" w:sz="0" w:space="0" w:color="auto"/>
        <w:bottom w:val="none" w:sz="0" w:space="0" w:color="auto"/>
        <w:right w:val="none" w:sz="0" w:space="0" w:color="auto"/>
      </w:divBdr>
    </w:div>
    <w:div w:id="1515920302">
      <w:marLeft w:val="0"/>
      <w:marRight w:val="0"/>
      <w:marTop w:val="0"/>
      <w:marBottom w:val="0"/>
      <w:divBdr>
        <w:top w:val="none" w:sz="0" w:space="0" w:color="auto"/>
        <w:left w:val="none" w:sz="0" w:space="0" w:color="auto"/>
        <w:bottom w:val="none" w:sz="0" w:space="0" w:color="auto"/>
        <w:right w:val="none" w:sz="0" w:space="0" w:color="auto"/>
      </w:divBdr>
    </w:div>
    <w:div w:id="1517309265">
      <w:marLeft w:val="0"/>
      <w:marRight w:val="0"/>
      <w:marTop w:val="100"/>
      <w:marBottom w:val="100"/>
      <w:divBdr>
        <w:top w:val="none" w:sz="0" w:space="0" w:color="auto"/>
        <w:left w:val="none" w:sz="0" w:space="0" w:color="auto"/>
        <w:bottom w:val="none" w:sz="0" w:space="0" w:color="auto"/>
        <w:right w:val="none" w:sz="0" w:space="0" w:color="auto"/>
      </w:divBdr>
    </w:div>
    <w:div w:id="1518814395">
      <w:marLeft w:val="0"/>
      <w:marRight w:val="0"/>
      <w:marTop w:val="100"/>
      <w:marBottom w:val="100"/>
      <w:divBdr>
        <w:top w:val="none" w:sz="0" w:space="0" w:color="auto"/>
        <w:left w:val="none" w:sz="0" w:space="0" w:color="auto"/>
        <w:bottom w:val="none" w:sz="0" w:space="0" w:color="auto"/>
        <w:right w:val="none" w:sz="0" w:space="0" w:color="auto"/>
      </w:divBdr>
    </w:div>
    <w:div w:id="1525481854">
      <w:marLeft w:val="0"/>
      <w:marRight w:val="0"/>
      <w:marTop w:val="180"/>
      <w:marBottom w:val="0"/>
      <w:divBdr>
        <w:top w:val="none" w:sz="0" w:space="0" w:color="auto"/>
        <w:left w:val="none" w:sz="0" w:space="0" w:color="auto"/>
        <w:bottom w:val="none" w:sz="0" w:space="0" w:color="auto"/>
        <w:right w:val="none" w:sz="0" w:space="0" w:color="auto"/>
      </w:divBdr>
    </w:div>
    <w:div w:id="1525482400">
      <w:marLeft w:val="0"/>
      <w:marRight w:val="0"/>
      <w:marTop w:val="0"/>
      <w:marBottom w:val="0"/>
      <w:divBdr>
        <w:top w:val="none" w:sz="0" w:space="0" w:color="auto"/>
        <w:left w:val="none" w:sz="0" w:space="0" w:color="auto"/>
        <w:bottom w:val="none" w:sz="0" w:space="0" w:color="auto"/>
        <w:right w:val="none" w:sz="0" w:space="0" w:color="auto"/>
      </w:divBdr>
    </w:div>
    <w:div w:id="1534807679">
      <w:marLeft w:val="0"/>
      <w:marRight w:val="0"/>
      <w:marTop w:val="180"/>
      <w:marBottom w:val="0"/>
      <w:divBdr>
        <w:top w:val="none" w:sz="0" w:space="0" w:color="auto"/>
        <w:left w:val="none" w:sz="0" w:space="0" w:color="auto"/>
        <w:bottom w:val="none" w:sz="0" w:space="0" w:color="auto"/>
        <w:right w:val="none" w:sz="0" w:space="0" w:color="auto"/>
      </w:divBdr>
    </w:div>
    <w:div w:id="1539471451">
      <w:marLeft w:val="0"/>
      <w:marRight w:val="0"/>
      <w:marTop w:val="100"/>
      <w:marBottom w:val="0"/>
      <w:divBdr>
        <w:top w:val="none" w:sz="0" w:space="0" w:color="auto"/>
        <w:left w:val="none" w:sz="0" w:space="0" w:color="auto"/>
        <w:bottom w:val="none" w:sz="0" w:space="0" w:color="auto"/>
        <w:right w:val="none" w:sz="0" w:space="0" w:color="auto"/>
      </w:divBdr>
    </w:div>
    <w:div w:id="1544906514">
      <w:marLeft w:val="0"/>
      <w:marRight w:val="0"/>
      <w:marTop w:val="180"/>
      <w:marBottom w:val="0"/>
      <w:divBdr>
        <w:top w:val="none" w:sz="0" w:space="0" w:color="auto"/>
        <w:left w:val="none" w:sz="0" w:space="0" w:color="auto"/>
        <w:bottom w:val="none" w:sz="0" w:space="0" w:color="auto"/>
        <w:right w:val="none" w:sz="0" w:space="0" w:color="auto"/>
      </w:divBdr>
    </w:div>
    <w:div w:id="1546136145">
      <w:marLeft w:val="0"/>
      <w:marRight w:val="0"/>
      <w:marTop w:val="180"/>
      <w:marBottom w:val="0"/>
      <w:divBdr>
        <w:top w:val="none" w:sz="0" w:space="0" w:color="auto"/>
        <w:left w:val="none" w:sz="0" w:space="0" w:color="auto"/>
        <w:bottom w:val="none" w:sz="0" w:space="0" w:color="auto"/>
        <w:right w:val="none" w:sz="0" w:space="0" w:color="auto"/>
      </w:divBdr>
    </w:div>
    <w:div w:id="1548643588">
      <w:marLeft w:val="0"/>
      <w:marRight w:val="0"/>
      <w:marTop w:val="100"/>
      <w:marBottom w:val="100"/>
      <w:divBdr>
        <w:top w:val="none" w:sz="0" w:space="0" w:color="auto"/>
        <w:left w:val="none" w:sz="0" w:space="0" w:color="auto"/>
        <w:bottom w:val="none" w:sz="0" w:space="0" w:color="auto"/>
        <w:right w:val="none" w:sz="0" w:space="0" w:color="auto"/>
      </w:divBdr>
    </w:div>
    <w:div w:id="1550803533">
      <w:marLeft w:val="0"/>
      <w:marRight w:val="0"/>
      <w:marTop w:val="0"/>
      <w:marBottom w:val="0"/>
      <w:divBdr>
        <w:top w:val="none" w:sz="0" w:space="0" w:color="auto"/>
        <w:left w:val="none" w:sz="0" w:space="0" w:color="auto"/>
        <w:bottom w:val="none" w:sz="0" w:space="0" w:color="auto"/>
        <w:right w:val="none" w:sz="0" w:space="0" w:color="auto"/>
      </w:divBdr>
    </w:div>
    <w:div w:id="1550914602">
      <w:marLeft w:val="0"/>
      <w:marRight w:val="0"/>
      <w:marTop w:val="0"/>
      <w:marBottom w:val="0"/>
      <w:divBdr>
        <w:top w:val="none" w:sz="0" w:space="0" w:color="auto"/>
        <w:left w:val="none" w:sz="0" w:space="0" w:color="auto"/>
        <w:bottom w:val="none" w:sz="0" w:space="0" w:color="auto"/>
        <w:right w:val="none" w:sz="0" w:space="0" w:color="auto"/>
      </w:divBdr>
    </w:div>
    <w:div w:id="1553423325">
      <w:marLeft w:val="0"/>
      <w:marRight w:val="0"/>
      <w:marTop w:val="180"/>
      <w:marBottom w:val="0"/>
      <w:divBdr>
        <w:top w:val="none" w:sz="0" w:space="0" w:color="auto"/>
        <w:left w:val="none" w:sz="0" w:space="0" w:color="auto"/>
        <w:bottom w:val="none" w:sz="0" w:space="0" w:color="auto"/>
        <w:right w:val="none" w:sz="0" w:space="0" w:color="auto"/>
      </w:divBdr>
    </w:div>
    <w:div w:id="1553729314">
      <w:marLeft w:val="0"/>
      <w:marRight w:val="0"/>
      <w:marTop w:val="0"/>
      <w:marBottom w:val="0"/>
      <w:divBdr>
        <w:top w:val="none" w:sz="0" w:space="0" w:color="auto"/>
        <w:left w:val="none" w:sz="0" w:space="0" w:color="auto"/>
        <w:bottom w:val="none" w:sz="0" w:space="0" w:color="auto"/>
        <w:right w:val="none" w:sz="0" w:space="0" w:color="auto"/>
      </w:divBdr>
    </w:div>
    <w:div w:id="1554199377">
      <w:marLeft w:val="0"/>
      <w:marRight w:val="0"/>
      <w:marTop w:val="100"/>
      <w:marBottom w:val="100"/>
      <w:divBdr>
        <w:top w:val="none" w:sz="0" w:space="0" w:color="auto"/>
        <w:left w:val="none" w:sz="0" w:space="0" w:color="auto"/>
        <w:bottom w:val="none" w:sz="0" w:space="0" w:color="auto"/>
        <w:right w:val="none" w:sz="0" w:space="0" w:color="auto"/>
      </w:divBdr>
    </w:div>
    <w:div w:id="1555388327">
      <w:marLeft w:val="0"/>
      <w:marRight w:val="0"/>
      <w:marTop w:val="0"/>
      <w:marBottom w:val="0"/>
      <w:divBdr>
        <w:top w:val="none" w:sz="0" w:space="0" w:color="auto"/>
        <w:left w:val="none" w:sz="0" w:space="0" w:color="auto"/>
        <w:bottom w:val="none" w:sz="0" w:space="0" w:color="auto"/>
        <w:right w:val="none" w:sz="0" w:space="0" w:color="auto"/>
      </w:divBdr>
      <w:divsChild>
        <w:div w:id="491874535">
          <w:marLeft w:val="0"/>
          <w:marRight w:val="0"/>
          <w:marTop w:val="100"/>
          <w:marBottom w:val="100"/>
          <w:divBdr>
            <w:top w:val="none" w:sz="0" w:space="0" w:color="auto"/>
            <w:left w:val="none" w:sz="0" w:space="0" w:color="auto"/>
            <w:bottom w:val="none" w:sz="0" w:space="0" w:color="auto"/>
            <w:right w:val="none" w:sz="0" w:space="0" w:color="auto"/>
          </w:divBdr>
        </w:div>
        <w:div w:id="381757515">
          <w:marLeft w:val="0"/>
          <w:marRight w:val="0"/>
          <w:marTop w:val="100"/>
          <w:marBottom w:val="100"/>
          <w:divBdr>
            <w:top w:val="none" w:sz="0" w:space="0" w:color="auto"/>
            <w:left w:val="none" w:sz="0" w:space="0" w:color="auto"/>
            <w:bottom w:val="none" w:sz="0" w:space="0" w:color="auto"/>
            <w:right w:val="none" w:sz="0" w:space="0" w:color="auto"/>
          </w:divBdr>
        </w:div>
      </w:divsChild>
    </w:div>
    <w:div w:id="1555851498">
      <w:marLeft w:val="0"/>
      <w:marRight w:val="0"/>
      <w:marTop w:val="100"/>
      <w:marBottom w:val="100"/>
      <w:divBdr>
        <w:top w:val="none" w:sz="0" w:space="0" w:color="auto"/>
        <w:left w:val="none" w:sz="0" w:space="0" w:color="auto"/>
        <w:bottom w:val="none" w:sz="0" w:space="0" w:color="auto"/>
        <w:right w:val="none" w:sz="0" w:space="0" w:color="auto"/>
      </w:divBdr>
    </w:div>
    <w:div w:id="1556547165">
      <w:marLeft w:val="0"/>
      <w:marRight w:val="0"/>
      <w:marTop w:val="180"/>
      <w:marBottom w:val="0"/>
      <w:divBdr>
        <w:top w:val="none" w:sz="0" w:space="0" w:color="auto"/>
        <w:left w:val="none" w:sz="0" w:space="0" w:color="auto"/>
        <w:bottom w:val="none" w:sz="0" w:space="0" w:color="auto"/>
        <w:right w:val="none" w:sz="0" w:space="0" w:color="auto"/>
      </w:divBdr>
    </w:div>
    <w:div w:id="1556814342">
      <w:marLeft w:val="0"/>
      <w:marRight w:val="0"/>
      <w:marTop w:val="0"/>
      <w:marBottom w:val="0"/>
      <w:divBdr>
        <w:top w:val="none" w:sz="0" w:space="0" w:color="auto"/>
        <w:left w:val="none" w:sz="0" w:space="0" w:color="auto"/>
        <w:bottom w:val="none" w:sz="0" w:space="0" w:color="auto"/>
        <w:right w:val="none" w:sz="0" w:space="0" w:color="auto"/>
      </w:divBdr>
      <w:divsChild>
        <w:div w:id="1894345698">
          <w:marLeft w:val="0"/>
          <w:marRight w:val="0"/>
          <w:marTop w:val="0"/>
          <w:marBottom w:val="0"/>
          <w:divBdr>
            <w:top w:val="none" w:sz="0" w:space="0" w:color="auto"/>
            <w:left w:val="none" w:sz="0" w:space="0" w:color="auto"/>
            <w:bottom w:val="none" w:sz="0" w:space="0" w:color="auto"/>
            <w:right w:val="none" w:sz="0" w:space="0" w:color="auto"/>
          </w:divBdr>
          <w:divsChild>
            <w:div w:id="10967045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58976952">
      <w:marLeft w:val="0"/>
      <w:marRight w:val="0"/>
      <w:marTop w:val="0"/>
      <w:marBottom w:val="0"/>
      <w:divBdr>
        <w:top w:val="none" w:sz="0" w:space="0" w:color="auto"/>
        <w:left w:val="none" w:sz="0" w:space="0" w:color="auto"/>
        <w:bottom w:val="none" w:sz="0" w:space="0" w:color="auto"/>
        <w:right w:val="none" w:sz="0" w:space="0" w:color="auto"/>
      </w:divBdr>
    </w:div>
    <w:div w:id="1561016225">
      <w:marLeft w:val="0"/>
      <w:marRight w:val="0"/>
      <w:marTop w:val="100"/>
      <w:marBottom w:val="100"/>
      <w:divBdr>
        <w:top w:val="none" w:sz="0" w:space="0" w:color="auto"/>
        <w:left w:val="none" w:sz="0" w:space="0" w:color="auto"/>
        <w:bottom w:val="none" w:sz="0" w:space="0" w:color="auto"/>
        <w:right w:val="none" w:sz="0" w:space="0" w:color="auto"/>
      </w:divBdr>
    </w:div>
    <w:div w:id="1562402436">
      <w:marLeft w:val="0"/>
      <w:marRight w:val="0"/>
      <w:marTop w:val="100"/>
      <w:marBottom w:val="100"/>
      <w:divBdr>
        <w:top w:val="none" w:sz="0" w:space="0" w:color="auto"/>
        <w:left w:val="none" w:sz="0" w:space="0" w:color="auto"/>
        <w:bottom w:val="none" w:sz="0" w:space="0" w:color="auto"/>
        <w:right w:val="none" w:sz="0" w:space="0" w:color="auto"/>
      </w:divBdr>
    </w:div>
    <w:div w:id="1562517058">
      <w:marLeft w:val="0"/>
      <w:marRight w:val="0"/>
      <w:marTop w:val="180"/>
      <w:marBottom w:val="100"/>
      <w:divBdr>
        <w:top w:val="none" w:sz="0" w:space="0" w:color="auto"/>
        <w:left w:val="none" w:sz="0" w:space="0" w:color="auto"/>
        <w:bottom w:val="none" w:sz="0" w:space="0" w:color="auto"/>
        <w:right w:val="none" w:sz="0" w:space="0" w:color="auto"/>
      </w:divBdr>
    </w:div>
    <w:div w:id="1565724250">
      <w:marLeft w:val="0"/>
      <w:marRight w:val="0"/>
      <w:marTop w:val="0"/>
      <w:marBottom w:val="0"/>
      <w:divBdr>
        <w:top w:val="none" w:sz="0" w:space="0" w:color="auto"/>
        <w:left w:val="none" w:sz="0" w:space="0" w:color="auto"/>
        <w:bottom w:val="none" w:sz="0" w:space="0" w:color="auto"/>
        <w:right w:val="none" w:sz="0" w:space="0" w:color="auto"/>
      </w:divBdr>
    </w:div>
    <w:div w:id="1565749659">
      <w:marLeft w:val="0"/>
      <w:marRight w:val="0"/>
      <w:marTop w:val="100"/>
      <w:marBottom w:val="100"/>
      <w:divBdr>
        <w:top w:val="none" w:sz="0" w:space="0" w:color="auto"/>
        <w:left w:val="none" w:sz="0" w:space="0" w:color="auto"/>
        <w:bottom w:val="none" w:sz="0" w:space="0" w:color="auto"/>
        <w:right w:val="none" w:sz="0" w:space="0" w:color="auto"/>
      </w:divBdr>
    </w:div>
    <w:div w:id="1566068478">
      <w:marLeft w:val="0"/>
      <w:marRight w:val="0"/>
      <w:marTop w:val="0"/>
      <w:marBottom w:val="0"/>
      <w:divBdr>
        <w:top w:val="none" w:sz="0" w:space="0" w:color="auto"/>
        <w:left w:val="none" w:sz="0" w:space="0" w:color="auto"/>
        <w:bottom w:val="none" w:sz="0" w:space="0" w:color="auto"/>
        <w:right w:val="none" w:sz="0" w:space="0" w:color="auto"/>
      </w:divBdr>
    </w:div>
    <w:div w:id="1568295502">
      <w:marLeft w:val="0"/>
      <w:marRight w:val="0"/>
      <w:marTop w:val="100"/>
      <w:marBottom w:val="100"/>
      <w:divBdr>
        <w:top w:val="none" w:sz="0" w:space="0" w:color="auto"/>
        <w:left w:val="none" w:sz="0" w:space="0" w:color="auto"/>
        <w:bottom w:val="none" w:sz="0" w:space="0" w:color="auto"/>
        <w:right w:val="none" w:sz="0" w:space="0" w:color="auto"/>
      </w:divBdr>
    </w:div>
    <w:div w:id="1569146941">
      <w:marLeft w:val="0"/>
      <w:marRight w:val="0"/>
      <w:marTop w:val="180"/>
      <w:marBottom w:val="100"/>
      <w:divBdr>
        <w:top w:val="none" w:sz="0" w:space="0" w:color="auto"/>
        <w:left w:val="none" w:sz="0" w:space="0" w:color="auto"/>
        <w:bottom w:val="none" w:sz="0" w:space="0" w:color="auto"/>
        <w:right w:val="none" w:sz="0" w:space="0" w:color="auto"/>
      </w:divBdr>
    </w:div>
    <w:div w:id="1569417197">
      <w:marLeft w:val="0"/>
      <w:marRight w:val="0"/>
      <w:marTop w:val="100"/>
      <w:marBottom w:val="100"/>
      <w:divBdr>
        <w:top w:val="none" w:sz="0" w:space="0" w:color="auto"/>
        <w:left w:val="none" w:sz="0" w:space="0" w:color="auto"/>
        <w:bottom w:val="none" w:sz="0" w:space="0" w:color="auto"/>
        <w:right w:val="none" w:sz="0" w:space="0" w:color="auto"/>
      </w:divBdr>
    </w:div>
    <w:div w:id="1569684228">
      <w:marLeft w:val="0"/>
      <w:marRight w:val="0"/>
      <w:marTop w:val="180"/>
      <w:marBottom w:val="0"/>
      <w:divBdr>
        <w:top w:val="none" w:sz="0" w:space="0" w:color="auto"/>
        <w:left w:val="none" w:sz="0" w:space="0" w:color="auto"/>
        <w:bottom w:val="none" w:sz="0" w:space="0" w:color="auto"/>
        <w:right w:val="none" w:sz="0" w:space="0" w:color="auto"/>
      </w:divBdr>
    </w:div>
    <w:div w:id="1570723388">
      <w:marLeft w:val="0"/>
      <w:marRight w:val="0"/>
      <w:marTop w:val="180"/>
      <w:marBottom w:val="0"/>
      <w:divBdr>
        <w:top w:val="none" w:sz="0" w:space="0" w:color="auto"/>
        <w:left w:val="none" w:sz="0" w:space="0" w:color="auto"/>
        <w:bottom w:val="none" w:sz="0" w:space="0" w:color="auto"/>
        <w:right w:val="none" w:sz="0" w:space="0" w:color="auto"/>
      </w:divBdr>
    </w:div>
    <w:div w:id="1576815627">
      <w:marLeft w:val="0"/>
      <w:marRight w:val="0"/>
      <w:marTop w:val="100"/>
      <w:marBottom w:val="100"/>
      <w:divBdr>
        <w:top w:val="none" w:sz="0" w:space="0" w:color="auto"/>
        <w:left w:val="none" w:sz="0" w:space="0" w:color="auto"/>
        <w:bottom w:val="none" w:sz="0" w:space="0" w:color="auto"/>
        <w:right w:val="none" w:sz="0" w:space="0" w:color="auto"/>
      </w:divBdr>
    </w:div>
    <w:div w:id="1578199419">
      <w:marLeft w:val="0"/>
      <w:marRight w:val="0"/>
      <w:marTop w:val="100"/>
      <w:marBottom w:val="100"/>
      <w:divBdr>
        <w:top w:val="none" w:sz="0" w:space="0" w:color="auto"/>
        <w:left w:val="none" w:sz="0" w:space="0" w:color="auto"/>
        <w:bottom w:val="none" w:sz="0" w:space="0" w:color="auto"/>
        <w:right w:val="none" w:sz="0" w:space="0" w:color="auto"/>
      </w:divBdr>
    </w:div>
    <w:div w:id="1579635501">
      <w:marLeft w:val="0"/>
      <w:marRight w:val="0"/>
      <w:marTop w:val="100"/>
      <w:marBottom w:val="100"/>
      <w:divBdr>
        <w:top w:val="none" w:sz="0" w:space="0" w:color="auto"/>
        <w:left w:val="none" w:sz="0" w:space="0" w:color="auto"/>
        <w:bottom w:val="none" w:sz="0" w:space="0" w:color="auto"/>
        <w:right w:val="none" w:sz="0" w:space="0" w:color="auto"/>
      </w:divBdr>
    </w:div>
    <w:div w:id="1581714929">
      <w:marLeft w:val="0"/>
      <w:marRight w:val="0"/>
      <w:marTop w:val="100"/>
      <w:marBottom w:val="100"/>
      <w:divBdr>
        <w:top w:val="none" w:sz="0" w:space="0" w:color="auto"/>
        <w:left w:val="none" w:sz="0" w:space="0" w:color="auto"/>
        <w:bottom w:val="none" w:sz="0" w:space="0" w:color="auto"/>
        <w:right w:val="none" w:sz="0" w:space="0" w:color="auto"/>
      </w:divBdr>
    </w:div>
    <w:div w:id="1594821237">
      <w:marLeft w:val="0"/>
      <w:marRight w:val="0"/>
      <w:marTop w:val="100"/>
      <w:marBottom w:val="100"/>
      <w:divBdr>
        <w:top w:val="none" w:sz="0" w:space="0" w:color="auto"/>
        <w:left w:val="none" w:sz="0" w:space="0" w:color="auto"/>
        <w:bottom w:val="none" w:sz="0" w:space="0" w:color="auto"/>
        <w:right w:val="none" w:sz="0" w:space="0" w:color="auto"/>
      </w:divBdr>
      <w:divsChild>
        <w:div w:id="1534029360">
          <w:marLeft w:val="0"/>
          <w:marRight w:val="0"/>
          <w:marTop w:val="0"/>
          <w:marBottom w:val="0"/>
          <w:divBdr>
            <w:top w:val="none" w:sz="0" w:space="0" w:color="auto"/>
            <w:left w:val="none" w:sz="0" w:space="0" w:color="auto"/>
            <w:bottom w:val="none" w:sz="0" w:space="0" w:color="auto"/>
            <w:right w:val="none" w:sz="0" w:space="0" w:color="auto"/>
          </w:divBdr>
        </w:div>
        <w:div w:id="1180046966">
          <w:marLeft w:val="0"/>
          <w:marRight w:val="0"/>
          <w:marTop w:val="0"/>
          <w:marBottom w:val="0"/>
          <w:divBdr>
            <w:top w:val="none" w:sz="0" w:space="0" w:color="auto"/>
            <w:left w:val="none" w:sz="0" w:space="0" w:color="auto"/>
            <w:bottom w:val="none" w:sz="0" w:space="0" w:color="auto"/>
            <w:right w:val="none" w:sz="0" w:space="0" w:color="auto"/>
          </w:divBdr>
        </w:div>
        <w:div w:id="955984323">
          <w:marLeft w:val="0"/>
          <w:marRight w:val="0"/>
          <w:marTop w:val="0"/>
          <w:marBottom w:val="0"/>
          <w:divBdr>
            <w:top w:val="none" w:sz="0" w:space="0" w:color="auto"/>
            <w:left w:val="none" w:sz="0" w:space="0" w:color="auto"/>
            <w:bottom w:val="none" w:sz="0" w:space="0" w:color="auto"/>
            <w:right w:val="none" w:sz="0" w:space="0" w:color="auto"/>
          </w:divBdr>
        </w:div>
        <w:div w:id="822816291">
          <w:marLeft w:val="0"/>
          <w:marRight w:val="0"/>
          <w:marTop w:val="0"/>
          <w:marBottom w:val="0"/>
          <w:divBdr>
            <w:top w:val="none" w:sz="0" w:space="0" w:color="auto"/>
            <w:left w:val="none" w:sz="0" w:space="0" w:color="auto"/>
            <w:bottom w:val="none" w:sz="0" w:space="0" w:color="auto"/>
            <w:right w:val="none" w:sz="0" w:space="0" w:color="auto"/>
          </w:divBdr>
        </w:div>
        <w:div w:id="2134398075">
          <w:marLeft w:val="0"/>
          <w:marRight w:val="0"/>
          <w:marTop w:val="0"/>
          <w:marBottom w:val="0"/>
          <w:divBdr>
            <w:top w:val="none" w:sz="0" w:space="0" w:color="auto"/>
            <w:left w:val="none" w:sz="0" w:space="0" w:color="auto"/>
            <w:bottom w:val="none" w:sz="0" w:space="0" w:color="auto"/>
            <w:right w:val="none" w:sz="0" w:space="0" w:color="auto"/>
          </w:divBdr>
        </w:div>
        <w:div w:id="423847381">
          <w:marLeft w:val="0"/>
          <w:marRight w:val="0"/>
          <w:marTop w:val="0"/>
          <w:marBottom w:val="0"/>
          <w:divBdr>
            <w:top w:val="none" w:sz="0" w:space="0" w:color="auto"/>
            <w:left w:val="none" w:sz="0" w:space="0" w:color="auto"/>
            <w:bottom w:val="none" w:sz="0" w:space="0" w:color="auto"/>
            <w:right w:val="none" w:sz="0" w:space="0" w:color="auto"/>
          </w:divBdr>
        </w:div>
      </w:divsChild>
    </w:div>
    <w:div w:id="1608198581">
      <w:marLeft w:val="0"/>
      <w:marRight w:val="0"/>
      <w:marTop w:val="0"/>
      <w:marBottom w:val="0"/>
      <w:divBdr>
        <w:top w:val="none" w:sz="0" w:space="0" w:color="auto"/>
        <w:left w:val="none" w:sz="0" w:space="0" w:color="auto"/>
        <w:bottom w:val="none" w:sz="0" w:space="0" w:color="auto"/>
        <w:right w:val="none" w:sz="0" w:space="0" w:color="auto"/>
      </w:divBdr>
      <w:divsChild>
        <w:div w:id="1855220212">
          <w:marLeft w:val="0"/>
          <w:marRight w:val="0"/>
          <w:marTop w:val="0"/>
          <w:marBottom w:val="0"/>
          <w:divBdr>
            <w:top w:val="none" w:sz="0" w:space="0" w:color="auto"/>
            <w:left w:val="none" w:sz="0" w:space="0" w:color="auto"/>
            <w:bottom w:val="none" w:sz="0" w:space="0" w:color="auto"/>
            <w:right w:val="none" w:sz="0" w:space="0" w:color="auto"/>
          </w:divBdr>
          <w:divsChild>
            <w:div w:id="5711621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18102276">
      <w:marLeft w:val="0"/>
      <w:marRight w:val="0"/>
      <w:marTop w:val="80"/>
      <w:marBottom w:val="100"/>
      <w:divBdr>
        <w:top w:val="none" w:sz="0" w:space="0" w:color="auto"/>
        <w:left w:val="none" w:sz="0" w:space="0" w:color="auto"/>
        <w:bottom w:val="none" w:sz="0" w:space="0" w:color="auto"/>
        <w:right w:val="none" w:sz="0" w:space="0" w:color="auto"/>
      </w:divBdr>
    </w:div>
    <w:div w:id="1618413732">
      <w:marLeft w:val="0"/>
      <w:marRight w:val="0"/>
      <w:marTop w:val="0"/>
      <w:marBottom w:val="0"/>
      <w:divBdr>
        <w:top w:val="none" w:sz="0" w:space="0" w:color="auto"/>
        <w:left w:val="none" w:sz="0" w:space="0" w:color="auto"/>
        <w:bottom w:val="none" w:sz="0" w:space="0" w:color="auto"/>
        <w:right w:val="none" w:sz="0" w:space="0" w:color="auto"/>
      </w:divBdr>
      <w:divsChild>
        <w:div w:id="1809081582">
          <w:marLeft w:val="0"/>
          <w:marRight w:val="0"/>
          <w:marTop w:val="100"/>
          <w:marBottom w:val="100"/>
          <w:divBdr>
            <w:top w:val="none" w:sz="0" w:space="0" w:color="auto"/>
            <w:left w:val="none" w:sz="0" w:space="0" w:color="auto"/>
            <w:bottom w:val="none" w:sz="0" w:space="0" w:color="auto"/>
            <w:right w:val="none" w:sz="0" w:space="0" w:color="auto"/>
          </w:divBdr>
        </w:div>
        <w:div w:id="387925850">
          <w:marLeft w:val="0"/>
          <w:marRight w:val="0"/>
          <w:marTop w:val="100"/>
          <w:marBottom w:val="100"/>
          <w:divBdr>
            <w:top w:val="none" w:sz="0" w:space="0" w:color="auto"/>
            <w:left w:val="none" w:sz="0" w:space="0" w:color="auto"/>
            <w:bottom w:val="none" w:sz="0" w:space="0" w:color="auto"/>
            <w:right w:val="none" w:sz="0" w:space="0" w:color="auto"/>
          </w:divBdr>
        </w:div>
      </w:divsChild>
    </w:div>
    <w:div w:id="1619022749">
      <w:marLeft w:val="0"/>
      <w:marRight w:val="0"/>
      <w:marTop w:val="0"/>
      <w:marBottom w:val="0"/>
      <w:divBdr>
        <w:top w:val="none" w:sz="0" w:space="0" w:color="auto"/>
        <w:left w:val="none" w:sz="0" w:space="0" w:color="auto"/>
        <w:bottom w:val="none" w:sz="0" w:space="0" w:color="auto"/>
        <w:right w:val="none" w:sz="0" w:space="0" w:color="auto"/>
      </w:divBdr>
      <w:divsChild>
        <w:div w:id="67002039">
          <w:marLeft w:val="0"/>
          <w:marRight w:val="0"/>
          <w:marTop w:val="100"/>
          <w:marBottom w:val="100"/>
          <w:divBdr>
            <w:top w:val="none" w:sz="0" w:space="0" w:color="auto"/>
            <w:left w:val="none" w:sz="0" w:space="0" w:color="auto"/>
            <w:bottom w:val="none" w:sz="0" w:space="0" w:color="auto"/>
            <w:right w:val="none" w:sz="0" w:space="0" w:color="auto"/>
          </w:divBdr>
        </w:div>
        <w:div w:id="736977079">
          <w:marLeft w:val="0"/>
          <w:marRight w:val="0"/>
          <w:marTop w:val="100"/>
          <w:marBottom w:val="100"/>
          <w:divBdr>
            <w:top w:val="none" w:sz="0" w:space="0" w:color="auto"/>
            <w:left w:val="none" w:sz="0" w:space="0" w:color="auto"/>
            <w:bottom w:val="none" w:sz="0" w:space="0" w:color="auto"/>
            <w:right w:val="none" w:sz="0" w:space="0" w:color="auto"/>
          </w:divBdr>
        </w:div>
      </w:divsChild>
    </w:div>
    <w:div w:id="1621254829">
      <w:marLeft w:val="0"/>
      <w:marRight w:val="0"/>
      <w:marTop w:val="0"/>
      <w:marBottom w:val="0"/>
      <w:divBdr>
        <w:top w:val="none" w:sz="0" w:space="0" w:color="auto"/>
        <w:left w:val="none" w:sz="0" w:space="0" w:color="auto"/>
        <w:bottom w:val="none" w:sz="0" w:space="0" w:color="auto"/>
        <w:right w:val="none" w:sz="0" w:space="0" w:color="auto"/>
      </w:divBdr>
    </w:div>
    <w:div w:id="1621258136">
      <w:marLeft w:val="0"/>
      <w:marRight w:val="0"/>
      <w:marTop w:val="0"/>
      <w:marBottom w:val="0"/>
      <w:divBdr>
        <w:top w:val="none" w:sz="0" w:space="0" w:color="auto"/>
        <w:left w:val="none" w:sz="0" w:space="0" w:color="auto"/>
        <w:bottom w:val="none" w:sz="0" w:space="0" w:color="auto"/>
        <w:right w:val="none" w:sz="0" w:space="0" w:color="auto"/>
      </w:divBdr>
      <w:divsChild>
        <w:div w:id="564874344">
          <w:marLeft w:val="0"/>
          <w:marRight w:val="0"/>
          <w:marTop w:val="0"/>
          <w:marBottom w:val="0"/>
          <w:divBdr>
            <w:top w:val="none" w:sz="0" w:space="0" w:color="auto"/>
            <w:left w:val="none" w:sz="0" w:space="0" w:color="auto"/>
            <w:bottom w:val="none" w:sz="0" w:space="0" w:color="auto"/>
            <w:right w:val="none" w:sz="0" w:space="0" w:color="auto"/>
          </w:divBdr>
          <w:divsChild>
            <w:div w:id="6420007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1767218">
      <w:marLeft w:val="0"/>
      <w:marRight w:val="0"/>
      <w:marTop w:val="180"/>
      <w:marBottom w:val="0"/>
      <w:divBdr>
        <w:top w:val="none" w:sz="0" w:space="0" w:color="auto"/>
        <w:left w:val="none" w:sz="0" w:space="0" w:color="auto"/>
        <w:bottom w:val="none" w:sz="0" w:space="0" w:color="auto"/>
        <w:right w:val="none" w:sz="0" w:space="0" w:color="auto"/>
      </w:divBdr>
    </w:div>
    <w:div w:id="1622688002">
      <w:marLeft w:val="0"/>
      <w:marRight w:val="0"/>
      <w:marTop w:val="180"/>
      <w:marBottom w:val="100"/>
      <w:divBdr>
        <w:top w:val="none" w:sz="0" w:space="0" w:color="auto"/>
        <w:left w:val="none" w:sz="0" w:space="0" w:color="auto"/>
        <w:bottom w:val="none" w:sz="0" w:space="0" w:color="auto"/>
        <w:right w:val="none" w:sz="0" w:space="0" w:color="auto"/>
      </w:divBdr>
    </w:div>
    <w:div w:id="1628319490">
      <w:marLeft w:val="0"/>
      <w:marRight w:val="0"/>
      <w:marTop w:val="100"/>
      <w:marBottom w:val="100"/>
      <w:divBdr>
        <w:top w:val="none" w:sz="0" w:space="0" w:color="auto"/>
        <w:left w:val="none" w:sz="0" w:space="0" w:color="auto"/>
        <w:bottom w:val="none" w:sz="0" w:space="0" w:color="auto"/>
        <w:right w:val="none" w:sz="0" w:space="0" w:color="auto"/>
      </w:divBdr>
    </w:div>
    <w:div w:id="1629237916">
      <w:marLeft w:val="0"/>
      <w:marRight w:val="0"/>
      <w:marTop w:val="100"/>
      <w:marBottom w:val="0"/>
      <w:divBdr>
        <w:top w:val="none" w:sz="0" w:space="0" w:color="auto"/>
        <w:left w:val="none" w:sz="0" w:space="0" w:color="auto"/>
        <w:bottom w:val="none" w:sz="0" w:space="0" w:color="auto"/>
        <w:right w:val="none" w:sz="0" w:space="0" w:color="auto"/>
      </w:divBdr>
    </w:div>
    <w:div w:id="1631206156">
      <w:marLeft w:val="0"/>
      <w:marRight w:val="0"/>
      <w:marTop w:val="0"/>
      <w:marBottom w:val="0"/>
      <w:divBdr>
        <w:top w:val="none" w:sz="0" w:space="0" w:color="auto"/>
        <w:left w:val="none" w:sz="0" w:space="0" w:color="auto"/>
        <w:bottom w:val="none" w:sz="0" w:space="0" w:color="auto"/>
        <w:right w:val="none" w:sz="0" w:space="0" w:color="auto"/>
      </w:divBdr>
      <w:divsChild>
        <w:div w:id="1451700670">
          <w:marLeft w:val="0"/>
          <w:marRight w:val="0"/>
          <w:marTop w:val="0"/>
          <w:marBottom w:val="0"/>
          <w:divBdr>
            <w:top w:val="none" w:sz="0" w:space="0" w:color="auto"/>
            <w:left w:val="none" w:sz="0" w:space="0" w:color="auto"/>
            <w:bottom w:val="none" w:sz="0" w:space="0" w:color="auto"/>
            <w:right w:val="none" w:sz="0" w:space="0" w:color="auto"/>
          </w:divBdr>
          <w:divsChild>
            <w:div w:id="229489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1865166">
      <w:marLeft w:val="0"/>
      <w:marRight w:val="0"/>
      <w:marTop w:val="0"/>
      <w:marBottom w:val="0"/>
      <w:divBdr>
        <w:top w:val="none" w:sz="0" w:space="0" w:color="auto"/>
        <w:left w:val="none" w:sz="0" w:space="0" w:color="auto"/>
        <w:bottom w:val="none" w:sz="0" w:space="0" w:color="auto"/>
        <w:right w:val="none" w:sz="0" w:space="0" w:color="auto"/>
      </w:divBdr>
      <w:divsChild>
        <w:div w:id="1160585351">
          <w:marLeft w:val="0"/>
          <w:marRight w:val="0"/>
          <w:marTop w:val="0"/>
          <w:marBottom w:val="0"/>
          <w:divBdr>
            <w:top w:val="none" w:sz="0" w:space="0" w:color="auto"/>
            <w:left w:val="none" w:sz="0" w:space="0" w:color="auto"/>
            <w:bottom w:val="none" w:sz="0" w:space="0" w:color="auto"/>
            <w:right w:val="none" w:sz="0" w:space="0" w:color="auto"/>
          </w:divBdr>
          <w:divsChild>
            <w:div w:id="11066542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6061134">
      <w:marLeft w:val="0"/>
      <w:marRight w:val="0"/>
      <w:marTop w:val="100"/>
      <w:marBottom w:val="0"/>
      <w:divBdr>
        <w:top w:val="none" w:sz="0" w:space="0" w:color="auto"/>
        <w:left w:val="none" w:sz="0" w:space="0" w:color="auto"/>
        <w:bottom w:val="none" w:sz="0" w:space="0" w:color="auto"/>
        <w:right w:val="none" w:sz="0" w:space="0" w:color="auto"/>
      </w:divBdr>
    </w:div>
    <w:div w:id="1641424053">
      <w:marLeft w:val="0"/>
      <w:marRight w:val="0"/>
      <w:marTop w:val="0"/>
      <w:marBottom w:val="0"/>
      <w:divBdr>
        <w:top w:val="none" w:sz="0" w:space="0" w:color="auto"/>
        <w:left w:val="none" w:sz="0" w:space="0" w:color="auto"/>
        <w:bottom w:val="none" w:sz="0" w:space="0" w:color="auto"/>
        <w:right w:val="none" w:sz="0" w:space="0" w:color="auto"/>
      </w:divBdr>
    </w:div>
    <w:div w:id="1642155626">
      <w:marLeft w:val="0"/>
      <w:marRight w:val="0"/>
      <w:marTop w:val="0"/>
      <w:marBottom w:val="0"/>
      <w:divBdr>
        <w:top w:val="none" w:sz="0" w:space="0" w:color="auto"/>
        <w:left w:val="none" w:sz="0" w:space="0" w:color="auto"/>
        <w:bottom w:val="none" w:sz="0" w:space="0" w:color="auto"/>
        <w:right w:val="none" w:sz="0" w:space="0" w:color="auto"/>
      </w:divBdr>
    </w:div>
    <w:div w:id="1646012942">
      <w:marLeft w:val="0"/>
      <w:marRight w:val="0"/>
      <w:marTop w:val="0"/>
      <w:marBottom w:val="0"/>
      <w:divBdr>
        <w:top w:val="none" w:sz="0" w:space="0" w:color="auto"/>
        <w:left w:val="none" w:sz="0" w:space="0" w:color="auto"/>
        <w:bottom w:val="none" w:sz="0" w:space="0" w:color="auto"/>
        <w:right w:val="none" w:sz="0" w:space="0" w:color="auto"/>
      </w:divBdr>
      <w:divsChild>
        <w:div w:id="1476723361">
          <w:marLeft w:val="0"/>
          <w:marRight w:val="0"/>
          <w:marTop w:val="0"/>
          <w:marBottom w:val="0"/>
          <w:divBdr>
            <w:top w:val="none" w:sz="0" w:space="0" w:color="auto"/>
            <w:left w:val="none" w:sz="0" w:space="0" w:color="auto"/>
            <w:bottom w:val="none" w:sz="0" w:space="0" w:color="auto"/>
            <w:right w:val="none" w:sz="0" w:space="0" w:color="auto"/>
          </w:divBdr>
          <w:divsChild>
            <w:div w:id="974917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49895214">
      <w:marLeft w:val="0"/>
      <w:marRight w:val="0"/>
      <w:marTop w:val="180"/>
      <w:marBottom w:val="0"/>
      <w:divBdr>
        <w:top w:val="none" w:sz="0" w:space="0" w:color="auto"/>
        <w:left w:val="none" w:sz="0" w:space="0" w:color="auto"/>
        <w:bottom w:val="none" w:sz="0" w:space="0" w:color="auto"/>
        <w:right w:val="none" w:sz="0" w:space="0" w:color="auto"/>
      </w:divBdr>
    </w:div>
    <w:div w:id="1651984184">
      <w:marLeft w:val="0"/>
      <w:marRight w:val="0"/>
      <w:marTop w:val="100"/>
      <w:marBottom w:val="100"/>
      <w:divBdr>
        <w:top w:val="none" w:sz="0" w:space="0" w:color="auto"/>
        <w:left w:val="none" w:sz="0" w:space="0" w:color="auto"/>
        <w:bottom w:val="none" w:sz="0" w:space="0" w:color="auto"/>
        <w:right w:val="none" w:sz="0" w:space="0" w:color="auto"/>
      </w:divBdr>
    </w:div>
    <w:div w:id="1656107329">
      <w:marLeft w:val="0"/>
      <w:marRight w:val="0"/>
      <w:marTop w:val="100"/>
      <w:marBottom w:val="60"/>
      <w:divBdr>
        <w:top w:val="none" w:sz="0" w:space="0" w:color="auto"/>
        <w:left w:val="none" w:sz="0" w:space="0" w:color="auto"/>
        <w:bottom w:val="none" w:sz="0" w:space="0" w:color="auto"/>
        <w:right w:val="none" w:sz="0" w:space="0" w:color="auto"/>
      </w:divBdr>
    </w:div>
    <w:div w:id="1661153318">
      <w:marLeft w:val="0"/>
      <w:marRight w:val="0"/>
      <w:marTop w:val="100"/>
      <w:marBottom w:val="100"/>
      <w:divBdr>
        <w:top w:val="none" w:sz="0" w:space="0" w:color="auto"/>
        <w:left w:val="none" w:sz="0" w:space="0" w:color="auto"/>
        <w:bottom w:val="none" w:sz="0" w:space="0" w:color="auto"/>
        <w:right w:val="none" w:sz="0" w:space="0" w:color="auto"/>
      </w:divBdr>
    </w:div>
    <w:div w:id="1661346022">
      <w:marLeft w:val="0"/>
      <w:marRight w:val="0"/>
      <w:marTop w:val="180"/>
      <w:marBottom w:val="100"/>
      <w:divBdr>
        <w:top w:val="none" w:sz="0" w:space="0" w:color="auto"/>
        <w:left w:val="none" w:sz="0" w:space="0" w:color="auto"/>
        <w:bottom w:val="none" w:sz="0" w:space="0" w:color="auto"/>
        <w:right w:val="none" w:sz="0" w:space="0" w:color="auto"/>
      </w:divBdr>
    </w:div>
    <w:div w:id="1661688100">
      <w:marLeft w:val="0"/>
      <w:marRight w:val="0"/>
      <w:marTop w:val="0"/>
      <w:marBottom w:val="0"/>
      <w:divBdr>
        <w:top w:val="none" w:sz="0" w:space="0" w:color="auto"/>
        <w:left w:val="none" w:sz="0" w:space="0" w:color="auto"/>
        <w:bottom w:val="none" w:sz="0" w:space="0" w:color="auto"/>
        <w:right w:val="none" w:sz="0" w:space="0" w:color="auto"/>
      </w:divBdr>
    </w:div>
    <w:div w:id="1662779883">
      <w:marLeft w:val="0"/>
      <w:marRight w:val="0"/>
      <w:marTop w:val="100"/>
      <w:marBottom w:val="100"/>
      <w:divBdr>
        <w:top w:val="none" w:sz="0" w:space="0" w:color="auto"/>
        <w:left w:val="none" w:sz="0" w:space="0" w:color="auto"/>
        <w:bottom w:val="none" w:sz="0" w:space="0" w:color="auto"/>
        <w:right w:val="none" w:sz="0" w:space="0" w:color="auto"/>
      </w:divBdr>
    </w:div>
    <w:div w:id="1662927411">
      <w:marLeft w:val="0"/>
      <w:marRight w:val="0"/>
      <w:marTop w:val="180"/>
      <w:marBottom w:val="0"/>
      <w:divBdr>
        <w:top w:val="none" w:sz="0" w:space="0" w:color="auto"/>
        <w:left w:val="none" w:sz="0" w:space="0" w:color="auto"/>
        <w:bottom w:val="none" w:sz="0" w:space="0" w:color="auto"/>
        <w:right w:val="none" w:sz="0" w:space="0" w:color="auto"/>
      </w:divBdr>
    </w:div>
    <w:div w:id="1664119041">
      <w:marLeft w:val="0"/>
      <w:marRight w:val="0"/>
      <w:marTop w:val="0"/>
      <w:marBottom w:val="0"/>
      <w:divBdr>
        <w:top w:val="none" w:sz="0" w:space="0" w:color="auto"/>
        <w:left w:val="none" w:sz="0" w:space="0" w:color="auto"/>
        <w:bottom w:val="none" w:sz="0" w:space="0" w:color="auto"/>
        <w:right w:val="none" w:sz="0" w:space="0" w:color="auto"/>
      </w:divBdr>
    </w:div>
    <w:div w:id="1668745483">
      <w:marLeft w:val="0"/>
      <w:marRight w:val="0"/>
      <w:marTop w:val="0"/>
      <w:marBottom w:val="0"/>
      <w:divBdr>
        <w:top w:val="none" w:sz="0" w:space="0" w:color="auto"/>
        <w:left w:val="none" w:sz="0" w:space="0" w:color="auto"/>
        <w:bottom w:val="none" w:sz="0" w:space="0" w:color="auto"/>
        <w:right w:val="none" w:sz="0" w:space="0" w:color="auto"/>
      </w:divBdr>
      <w:divsChild>
        <w:div w:id="1378429791">
          <w:marLeft w:val="0"/>
          <w:marRight w:val="0"/>
          <w:marTop w:val="0"/>
          <w:marBottom w:val="0"/>
          <w:divBdr>
            <w:top w:val="none" w:sz="0" w:space="0" w:color="auto"/>
            <w:left w:val="none" w:sz="0" w:space="0" w:color="auto"/>
            <w:bottom w:val="none" w:sz="0" w:space="0" w:color="auto"/>
            <w:right w:val="none" w:sz="0" w:space="0" w:color="auto"/>
          </w:divBdr>
          <w:divsChild>
            <w:div w:id="4370649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4262953">
      <w:marLeft w:val="0"/>
      <w:marRight w:val="0"/>
      <w:marTop w:val="0"/>
      <w:marBottom w:val="0"/>
      <w:divBdr>
        <w:top w:val="none" w:sz="0" w:space="0" w:color="auto"/>
        <w:left w:val="none" w:sz="0" w:space="0" w:color="auto"/>
        <w:bottom w:val="none" w:sz="0" w:space="0" w:color="auto"/>
        <w:right w:val="none" w:sz="0" w:space="0" w:color="auto"/>
      </w:divBdr>
    </w:div>
    <w:div w:id="1681470788">
      <w:marLeft w:val="0"/>
      <w:marRight w:val="0"/>
      <w:marTop w:val="0"/>
      <w:marBottom w:val="0"/>
      <w:divBdr>
        <w:top w:val="none" w:sz="0" w:space="0" w:color="auto"/>
        <w:left w:val="none" w:sz="0" w:space="0" w:color="auto"/>
        <w:bottom w:val="none" w:sz="0" w:space="0" w:color="auto"/>
        <w:right w:val="none" w:sz="0" w:space="0" w:color="auto"/>
      </w:divBdr>
    </w:div>
    <w:div w:id="1681808331">
      <w:marLeft w:val="0"/>
      <w:marRight w:val="0"/>
      <w:marTop w:val="180"/>
      <w:marBottom w:val="0"/>
      <w:divBdr>
        <w:top w:val="none" w:sz="0" w:space="0" w:color="auto"/>
        <w:left w:val="none" w:sz="0" w:space="0" w:color="auto"/>
        <w:bottom w:val="none" w:sz="0" w:space="0" w:color="auto"/>
        <w:right w:val="none" w:sz="0" w:space="0" w:color="auto"/>
      </w:divBdr>
    </w:div>
    <w:div w:id="1685546840">
      <w:marLeft w:val="0"/>
      <w:marRight w:val="0"/>
      <w:marTop w:val="0"/>
      <w:marBottom w:val="0"/>
      <w:divBdr>
        <w:top w:val="none" w:sz="0" w:space="0" w:color="auto"/>
        <w:left w:val="none" w:sz="0" w:space="0" w:color="auto"/>
        <w:bottom w:val="none" w:sz="0" w:space="0" w:color="auto"/>
        <w:right w:val="none" w:sz="0" w:space="0" w:color="auto"/>
      </w:divBdr>
      <w:divsChild>
        <w:div w:id="34349614">
          <w:marLeft w:val="0"/>
          <w:marRight w:val="0"/>
          <w:marTop w:val="100"/>
          <w:marBottom w:val="100"/>
          <w:divBdr>
            <w:top w:val="none" w:sz="0" w:space="0" w:color="auto"/>
            <w:left w:val="none" w:sz="0" w:space="0" w:color="auto"/>
            <w:bottom w:val="none" w:sz="0" w:space="0" w:color="auto"/>
            <w:right w:val="none" w:sz="0" w:space="0" w:color="auto"/>
          </w:divBdr>
        </w:div>
        <w:div w:id="1635913288">
          <w:marLeft w:val="0"/>
          <w:marRight w:val="0"/>
          <w:marTop w:val="100"/>
          <w:marBottom w:val="100"/>
          <w:divBdr>
            <w:top w:val="none" w:sz="0" w:space="0" w:color="auto"/>
            <w:left w:val="none" w:sz="0" w:space="0" w:color="auto"/>
            <w:bottom w:val="none" w:sz="0" w:space="0" w:color="auto"/>
            <w:right w:val="none" w:sz="0" w:space="0" w:color="auto"/>
          </w:divBdr>
        </w:div>
      </w:divsChild>
    </w:div>
    <w:div w:id="1686469530">
      <w:marLeft w:val="0"/>
      <w:marRight w:val="0"/>
      <w:marTop w:val="180"/>
      <w:marBottom w:val="0"/>
      <w:divBdr>
        <w:top w:val="none" w:sz="0" w:space="0" w:color="auto"/>
        <w:left w:val="none" w:sz="0" w:space="0" w:color="auto"/>
        <w:bottom w:val="none" w:sz="0" w:space="0" w:color="auto"/>
        <w:right w:val="none" w:sz="0" w:space="0" w:color="auto"/>
      </w:divBdr>
    </w:div>
    <w:div w:id="1691179068">
      <w:marLeft w:val="0"/>
      <w:marRight w:val="0"/>
      <w:marTop w:val="100"/>
      <w:marBottom w:val="0"/>
      <w:divBdr>
        <w:top w:val="none" w:sz="0" w:space="0" w:color="auto"/>
        <w:left w:val="none" w:sz="0" w:space="0" w:color="auto"/>
        <w:bottom w:val="none" w:sz="0" w:space="0" w:color="auto"/>
        <w:right w:val="none" w:sz="0" w:space="0" w:color="auto"/>
      </w:divBdr>
    </w:div>
    <w:div w:id="1692222681">
      <w:marLeft w:val="0"/>
      <w:marRight w:val="0"/>
      <w:marTop w:val="0"/>
      <w:marBottom w:val="0"/>
      <w:divBdr>
        <w:top w:val="none" w:sz="0" w:space="0" w:color="auto"/>
        <w:left w:val="none" w:sz="0" w:space="0" w:color="auto"/>
        <w:bottom w:val="none" w:sz="0" w:space="0" w:color="auto"/>
        <w:right w:val="none" w:sz="0" w:space="0" w:color="auto"/>
      </w:divBdr>
      <w:divsChild>
        <w:div w:id="215359873">
          <w:marLeft w:val="0"/>
          <w:marRight w:val="0"/>
          <w:marTop w:val="100"/>
          <w:marBottom w:val="100"/>
          <w:divBdr>
            <w:top w:val="none" w:sz="0" w:space="0" w:color="auto"/>
            <w:left w:val="none" w:sz="0" w:space="0" w:color="auto"/>
            <w:bottom w:val="none" w:sz="0" w:space="0" w:color="auto"/>
            <w:right w:val="none" w:sz="0" w:space="0" w:color="auto"/>
          </w:divBdr>
        </w:div>
        <w:div w:id="1451775542">
          <w:marLeft w:val="0"/>
          <w:marRight w:val="0"/>
          <w:marTop w:val="100"/>
          <w:marBottom w:val="100"/>
          <w:divBdr>
            <w:top w:val="none" w:sz="0" w:space="0" w:color="auto"/>
            <w:left w:val="none" w:sz="0" w:space="0" w:color="auto"/>
            <w:bottom w:val="none" w:sz="0" w:space="0" w:color="auto"/>
            <w:right w:val="none" w:sz="0" w:space="0" w:color="auto"/>
          </w:divBdr>
        </w:div>
      </w:divsChild>
    </w:div>
    <w:div w:id="1692950052">
      <w:marLeft w:val="0"/>
      <w:marRight w:val="0"/>
      <w:marTop w:val="180"/>
      <w:marBottom w:val="0"/>
      <w:divBdr>
        <w:top w:val="none" w:sz="0" w:space="0" w:color="auto"/>
        <w:left w:val="none" w:sz="0" w:space="0" w:color="auto"/>
        <w:bottom w:val="none" w:sz="0" w:space="0" w:color="auto"/>
        <w:right w:val="none" w:sz="0" w:space="0" w:color="auto"/>
      </w:divBdr>
    </w:div>
    <w:div w:id="1694766559">
      <w:marLeft w:val="0"/>
      <w:marRight w:val="0"/>
      <w:marTop w:val="80"/>
      <w:marBottom w:val="100"/>
      <w:divBdr>
        <w:top w:val="none" w:sz="0" w:space="0" w:color="auto"/>
        <w:left w:val="none" w:sz="0" w:space="0" w:color="auto"/>
        <w:bottom w:val="none" w:sz="0" w:space="0" w:color="auto"/>
        <w:right w:val="none" w:sz="0" w:space="0" w:color="auto"/>
      </w:divBdr>
    </w:div>
    <w:div w:id="1696804855">
      <w:marLeft w:val="0"/>
      <w:marRight w:val="0"/>
      <w:marTop w:val="180"/>
      <w:marBottom w:val="0"/>
      <w:divBdr>
        <w:top w:val="none" w:sz="0" w:space="0" w:color="auto"/>
        <w:left w:val="none" w:sz="0" w:space="0" w:color="auto"/>
        <w:bottom w:val="none" w:sz="0" w:space="0" w:color="auto"/>
        <w:right w:val="none" w:sz="0" w:space="0" w:color="auto"/>
      </w:divBdr>
    </w:div>
    <w:div w:id="1699283118">
      <w:marLeft w:val="0"/>
      <w:marRight w:val="0"/>
      <w:marTop w:val="0"/>
      <w:marBottom w:val="0"/>
      <w:divBdr>
        <w:top w:val="none" w:sz="0" w:space="0" w:color="auto"/>
        <w:left w:val="none" w:sz="0" w:space="0" w:color="auto"/>
        <w:bottom w:val="none" w:sz="0" w:space="0" w:color="auto"/>
        <w:right w:val="none" w:sz="0" w:space="0" w:color="auto"/>
      </w:divBdr>
    </w:div>
    <w:div w:id="1700204585">
      <w:marLeft w:val="0"/>
      <w:marRight w:val="0"/>
      <w:marTop w:val="180"/>
      <w:marBottom w:val="0"/>
      <w:divBdr>
        <w:top w:val="none" w:sz="0" w:space="0" w:color="auto"/>
        <w:left w:val="none" w:sz="0" w:space="0" w:color="auto"/>
        <w:bottom w:val="none" w:sz="0" w:space="0" w:color="auto"/>
        <w:right w:val="none" w:sz="0" w:space="0" w:color="auto"/>
      </w:divBdr>
    </w:div>
    <w:div w:id="1700426767">
      <w:marLeft w:val="0"/>
      <w:marRight w:val="0"/>
      <w:marTop w:val="100"/>
      <w:marBottom w:val="100"/>
      <w:divBdr>
        <w:top w:val="none" w:sz="0" w:space="0" w:color="auto"/>
        <w:left w:val="none" w:sz="0" w:space="0" w:color="auto"/>
        <w:bottom w:val="none" w:sz="0" w:space="0" w:color="auto"/>
        <w:right w:val="none" w:sz="0" w:space="0" w:color="auto"/>
      </w:divBdr>
    </w:div>
    <w:div w:id="1704279838">
      <w:marLeft w:val="0"/>
      <w:marRight w:val="0"/>
      <w:marTop w:val="180"/>
      <w:marBottom w:val="0"/>
      <w:divBdr>
        <w:top w:val="none" w:sz="0" w:space="0" w:color="auto"/>
        <w:left w:val="none" w:sz="0" w:space="0" w:color="auto"/>
        <w:bottom w:val="none" w:sz="0" w:space="0" w:color="auto"/>
        <w:right w:val="none" w:sz="0" w:space="0" w:color="auto"/>
      </w:divBdr>
    </w:div>
    <w:div w:id="1706754150">
      <w:marLeft w:val="0"/>
      <w:marRight w:val="0"/>
      <w:marTop w:val="100"/>
      <w:marBottom w:val="100"/>
      <w:divBdr>
        <w:top w:val="none" w:sz="0" w:space="0" w:color="auto"/>
        <w:left w:val="none" w:sz="0" w:space="0" w:color="auto"/>
        <w:bottom w:val="none" w:sz="0" w:space="0" w:color="auto"/>
        <w:right w:val="none" w:sz="0" w:space="0" w:color="auto"/>
      </w:divBdr>
    </w:div>
    <w:div w:id="1711145043">
      <w:marLeft w:val="0"/>
      <w:marRight w:val="0"/>
      <w:marTop w:val="100"/>
      <w:marBottom w:val="100"/>
      <w:divBdr>
        <w:top w:val="none" w:sz="0" w:space="0" w:color="auto"/>
        <w:left w:val="none" w:sz="0" w:space="0" w:color="auto"/>
        <w:bottom w:val="none" w:sz="0" w:space="0" w:color="auto"/>
        <w:right w:val="none" w:sz="0" w:space="0" w:color="auto"/>
      </w:divBdr>
    </w:div>
    <w:div w:id="1718385934">
      <w:marLeft w:val="0"/>
      <w:marRight w:val="0"/>
      <w:marTop w:val="0"/>
      <w:marBottom w:val="0"/>
      <w:divBdr>
        <w:top w:val="none" w:sz="0" w:space="0" w:color="auto"/>
        <w:left w:val="none" w:sz="0" w:space="0" w:color="auto"/>
        <w:bottom w:val="none" w:sz="0" w:space="0" w:color="auto"/>
        <w:right w:val="none" w:sz="0" w:space="0" w:color="auto"/>
      </w:divBdr>
      <w:divsChild>
        <w:div w:id="2040667841">
          <w:marLeft w:val="0"/>
          <w:marRight w:val="0"/>
          <w:marTop w:val="0"/>
          <w:marBottom w:val="0"/>
          <w:divBdr>
            <w:top w:val="none" w:sz="0" w:space="0" w:color="auto"/>
            <w:left w:val="none" w:sz="0" w:space="0" w:color="auto"/>
            <w:bottom w:val="none" w:sz="0" w:space="0" w:color="auto"/>
            <w:right w:val="none" w:sz="0" w:space="0" w:color="auto"/>
          </w:divBdr>
          <w:divsChild>
            <w:div w:id="17524648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19821824">
      <w:marLeft w:val="0"/>
      <w:marRight w:val="0"/>
      <w:marTop w:val="100"/>
      <w:marBottom w:val="100"/>
      <w:divBdr>
        <w:top w:val="none" w:sz="0" w:space="0" w:color="auto"/>
        <w:left w:val="none" w:sz="0" w:space="0" w:color="auto"/>
        <w:bottom w:val="none" w:sz="0" w:space="0" w:color="auto"/>
        <w:right w:val="none" w:sz="0" w:space="0" w:color="auto"/>
      </w:divBdr>
    </w:div>
    <w:div w:id="1728996241">
      <w:marLeft w:val="0"/>
      <w:marRight w:val="0"/>
      <w:marTop w:val="100"/>
      <w:marBottom w:val="100"/>
      <w:divBdr>
        <w:top w:val="none" w:sz="0" w:space="0" w:color="auto"/>
        <w:left w:val="none" w:sz="0" w:space="0" w:color="auto"/>
        <w:bottom w:val="none" w:sz="0" w:space="0" w:color="auto"/>
        <w:right w:val="none" w:sz="0" w:space="0" w:color="auto"/>
      </w:divBdr>
    </w:div>
    <w:div w:id="1734888438">
      <w:marLeft w:val="0"/>
      <w:marRight w:val="0"/>
      <w:marTop w:val="100"/>
      <w:marBottom w:val="100"/>
      <w:divBdr>
        <w:top w:val="none" w:sz="0" w:space="0" w:color="auto"/>
        <w:left w:val="none" w:sz="0" w:space="0" w:color="auto"/>
        <w:bottom w:val="none" w:sz="0" w:space="0" w:color="auto"/>
        <w:right w:val="none" w:sz="0" w:space="0" w:color="auto"/>
      </w:divBdr>
    </w:div>
    <w:div w:id="1736316593">
      <w:marLeft w:val="0"/>
      <w:marRight w:val="0"/>
      <w:marTop w:val="100"/>
      <w:marBottom w:val="100"/>
      <w:divBdr>
        <w:top w:val="none" w:sz="0" w:space="0" w:color="auto"/>
        <w:left w:val="none" w:sz="0" w:space="0" w:color="auto"/>
        <w:bottom w:val="none" w:sz="0" w:space="0" w:color="auto"/>
        <w:right w:val="none" w:sz="0" w:space="0" w:color="auto"/>
      </w:divBdr>
    </w:div>
    <w:div w:id="1738164979">
      <w:marLeft w:val="0"/>
      <w:marRight w:val="0"/>
      <w:marTop w:val="0"/>
      <w:marBottom w:val="0"/>
      <w:divBdr>
        <w:top w:val="none" w:sz="0" w:space="0" w:color="auto"/>
        <w:left w:val="none" w:sz="0" w:space="0" w:color="auto"/>
        <w:bottom w:val="none" w:sz="0" w:space="0" w:color="auto"/>
        <w:right w:val="none" w:sz="0" w:space="0" w:color="auto"/>
      </w:divBdr>
      <w:divsChild>
        <w:div w:id="1390231482">
          <w:marLeft w:val="0"/>
          <w:marRight w:val="0"/>
          <w:marTop w:val="0"/>
          <w:marBottom w:val="0"/>
          <w:divBdr>
            <w:top w:val="none" w:sz="0" w:space="0" w:color="auto"/>
            <w:left w:val="none" w:sz="0" w:space="0" w:color="auto"/>
            <w:bottom w:val="none" w:sz="0" w:space="0" w:color="auto"/>
            <w:right w:val="none" w:sz="0" w:space="0" w:color="auto"/>
          </w:divBdr>
          <w:divsChild>
            <w:div w:id="16817370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0909041">
      <w:marLeft w:val="0"/>
      <w:marRight w:val="0"/>
      <w:marTop w:val="100"/>
      <w:marBottom w:val="100"/>
      <w:divBdr>
        <w:top w:val="none" w:sz="0" w:space="0" w:color="auto"/>
        <w:left w:val="none" w:sz="0" w:space="0" w:color="auto"/>
        <w:bottom w:val="none" w:sz="0" w:space="0" w:color="auto"/>
        <w:right w:val="none" w:sz="0" w:space="0" w:color="auto"/>
      </w:divBdr>
    </w:div>
    <w:div w:id="1746681892">
      <w:marLeft w:val="0"/>
      <w:marRight w:val="0"/>
      <w:marTop w:val="0"/>
      <w:marBottom w:val="0"/>
      <w:divBdr>
        <w:top w:val="none" w:sz="0" w:space="0" w:color="auto"/>
        <w:left w:val="none" w:sz="0" w:space="0" w:color="auto"/>
        <w:bottom w:val="none" w:sz="0" w:space="0" w:color="auto"/>
        <w:right w:val="none" w:sz="0" w:space="0" w:color="auto"/>
      </w:divBdr>
    </w:div>
    <w:div w:id="1748918120">
      <w:marLeft w:val="0"/>
      <w:marRight w:val="0"/>
      <w:marTop w:val="100"/>
      <w:marBottom w:val="100"/>
      <w:divBdr>
        <w:top w:val="none" w:sz="0" w:space="0" w:color="auto"/>
        <w:left w:val="none" w:sz="0" w:space="0" w:color="auto"/>
        <w:bottom w:val="none" w:sz="0" w:space="0" w:color="auto"/>
        <w:right w:val="none" w:sz="0" w:space="0" w:color="auto"/>
      </w:divBdr>
    </w:div>
    <w:div w:id="1759132417">
      <w:marLeft w:val="0"/>
      <w:marRight w:val="0"/>
      <w:marTop w:val="0"/>
      <w:marBottom w:val="0"/>
      <w:divBdr>
        <w:top w:val="none" w:sz="0" w:space="0" w:color="auto"/>
        <w:left w:val="none" w:sz="0" w:space="0" w:color="auto"/>
        <w:bottom w:val="none" w:sz="0" w:space="0" w:color="auto"/>
        <w:right w:val="none" w:sz="0" w:space="0" w:color="auto"/>
      </w:divBdr>
    </w:div>
    <w:div w:id="1759667930">
      <w:marLeft w:val="0"/>
      <w:marRight w:val="0"/>
      <w:marTop w:val="0"/>
      <w:marBottom w:val="0"/>
      <w:divBdr>
        <w:top w:val="none" w:sz="0" w:space="0" w:color="auto"/>
        <w:left w:val="none" w:sz="0" w:space="0" w:color="auto"/>
        <w:bottom w:val="none" w:sz="0" w:space="0" w:color="auto"/>
        <w:right w:val="none" w:sz="0" w:space="0" w:color="auto"/>
      </w:divBdr>
    </w:div>
    <w:div w:id="1770347827">
      <w:marLeft w:val="0"/>
      <w:marRight w:val="0"/>
      <w:marTop w:val="0"/>
      <w:marBottom w:val="0"/>
      <w:divBdr>
        <w:top w:val="none" w:sz="0" w:space="0" w:color="auto"/>
        <w:left w:val="none" w:sz="0" w:space="0" w:color="auto"/>
        <w:bottom w:val="none" w:sz="0" w:space="0" w:color="auto"/>
        <w:right w:val="none" w:sz="0" w:space="0" w:color="auto"/>
      </w:divBdr>
    </w:div>
    <w:div w:id="1772823074">
      <w:marLeft w:val="0"/>
      <w:marRight w:val="0"/>
      <w:marTop w:val="100"/>
      <w:marBottom w:val="100"/>
      <w:divBdr>
        <w:top w:val="none" w:sz="0" w:space="0" w:color="auto"/>
        <w:left w:val="none" w:sz="0" w:space="0" w:color="auto"/>
        <w:bottom w:val="none" w:sz="0" w:space="0" w:color="auto"/>
        <w:right w:val="none" w:sz="0" w:space="0" w:color="auto"/>
      </w:divBdr>
    </w:div>
    <w:div w:id="1773016089">
      <w:marLeft w:val="0"/>
      <w:marRight w:val="0"/>
      <w:marTop w:val="100"/>
      <w:marBottom w:val="100"/>
      <w:divBdr>
        <w:top w:val="none" w:sz="0" w:space="0" w:color="auto"/>
        <w:left w:val="none" w:sz="0" w:space="0" w:color="auto"/>
        <w:bottom w:val="none" w:sz="0" w:space="0" w:color="auto"/>
        <w:right w:val="none" w:sz="0" w:space="0" w:color="auto"/>
      </w:divBdr>
    </w:div>
    <w:div w:id="1774326223">
      <w:marLeft w:val="0"/>
      <w:marRight w:val="0"/>
      <w:marTop w:val="0"/>
      <w:marBottom w:val="0"/>
      <w:divBdr>
        <w:top w:val="none" w:sz="0" w:space="0" w:color="auto"/>
        <w:left w:val="none" w:sz="0" w:space="0" w:color="auto"/>
        <w:bottom w:val="none" w:sz="0" w:space="0" w:color="auto"/>
        <w:right w:val="none" w:sz="0" w:space="0" w:color="auto"/>
      </w:divBdr>
    </w:div>
    <w:div w:id="1779372468">
      <w:marLeft w:val="0"/>
      <w:marRight w:val="0"/>
      <w:marTop w:val="100"/>
      <w:marBottom w:val="100"/>
      <w:divBdr>
        <w:top w:val="none" w:sz="0" w:space="0" w:color="auto"/>
        <w:left w:val="none" w:sz="0" w:space="0" w:color="auto"/>
        <w:bottom w:val="none" w:sz="0" w:space="0" w:color="auto"/>
        <w:right w:val="none" w:sz="0" w:space="0" w:color="auto"/>
      </w:divBdr>
    </w:div>
    <w:div w:id="1780875631">
      <w:marLeft w:val="0"/>
      <w:marRight w:val="0"/>
      <w:marTop w:val="0"/>
      <w:marBottom w:val="0"/>
      <w:divBdr>
        <w:top w:val="none" w:sz="0" w:space="0" w:color="auto"/>
        <w:left w:val="none" w:sz="0" w:space="0" w:color="auto"/>
        <w:bottom w:val="none" w:sz="0" w:space="0" w:color="auto"/>
        <w:right w:val="none" w:sz="0" w:space="0" w:color="auto"/>
      </w:divBdr>
      <w:divsChild>
        <w:div w:id="1778718017">
          <w:marLeft w:val="0"/>
          <w:marRight w:val="0"/>
          <w:marTop w:val="0"/>
          <w:marBottom w:val="0"/>
          <w:divBdr>
            <w:top w:val="none" w:sz="0" w:space="0" w:color="auto"/>
            <w:left w:val="none" w:sz="0" w:space="0" w:color="auto"/>
            <w:bottom w:val="none" w:sz="0" w:space="0" w:color="auto"/>
            <w:right w:val="none" w:sz="0" w:space="0" w:color="auto"/>
          </w:divBdr>
          <w:divsChild>
            <w:div w:id="8877650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84156206">
      <w:marLeft w:val="0"/>
      <w:marRight w:val="0"/>
      <w:marTop w:val="0"/>
      <w:marBottom w:val="0"/>
      <w:divBdr>
        <w:top w:val="none" w:sz="0" w:space="0" w:color="auto"/>
        <w:left w:val="none" w:sz="0" w:space="0" w:color="auto"/>
        <w:bottom w:val="none" w:sz="0" w:space="0" w:color="auto"/>
        <w:right w:val="none" w:sz="0" w:space="0" w:color="auto"/>
      </w:divBdr>
    </w:div>
    <w:div w:id="1788348716">
      <w:marLeft w:val="0"/>
      <w:marRight w:val="0"/>
      <w:marTop w:val="0"/>
      <w:marBottom w:val="0"/>
      <w:divBdr>
        <w:top w:val="none" w:sz="0" w:space="0" w:color="auto"/>
        <w:left w:val="none" w:sz="0" w:space="0" w:color="auto"/>
        <w:bottom w:val="none" w:sz="0" w:space="0" w:color="auto"/>
        <w:right w:val="none" w:sz="0" w:space="0" w:color="auto"/>
      </w:divBdr>
      <w:divsChild>
        <w:div w:id="2009944126">
          <w:marLeft w:val="0"/>
          <w:marRight w:val="0"/>
          <w:marTop w:val="0"/>
          <w:marBottom w:val="0"/>
          <w:divBdr>
            <w:top w:val="none" w:sz="0" w:space="0" w:color="auto"/>
            <w:left w:val="none" w:sz="0" w:space="0" w:color="auto"/>
            <w:bottom w:val="none" w:sz="0" w:space="0" w:color="auto"/>
            <w:right w:val="none" w:sz="0" w:space="0" w:color="auto"/>
          </w:divBdr>
          <w:divsChild>
            <w:div w:id="7096486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89007589">
      <w:marLeft w:val="0"/>
      <w:marRight w:val="0"/>
      <w:marTop w:val="0"/>
      <w:marBottom w:val="0"/>
      <w:divBdr>
        <w:top w:val="none" w:sz="0" w:space="0" w:color="auto"/>
        <w:left w:val="none" w:sz="0" w:space="0" w:color="auto"/>
        <w:bottom w:val="none" w:sz="0" w:space="0" w:color="auto"/>
        <w:right w:val="none" w:sz="0" w:space="0" w:color="auto"/>
      </w:divBdr>
      <w:divsChild>
        <w:div w:id="713582018">
          <w:marLeft w:val="0"/>
          <w:marRight w:val="0"/>
          <w:marTop w:val="0"/>
          <w:marBottom w:val="0"/>
          <w:divBdr>
            <w:top w:val="none" w:sz="0" w:space="0" w:color="auto"/>
            <w:left w:val="none" w:sz="0" w:space="0" w:color="auto"/>
            <w:bottom w:val="none" w:sz="0" w:space="0" w:color="auto"/>
            <w:right w:val="none" w:sz="0" w:space="0" w:color="auto"/>
          </w:divBdr>
          <w:divsChild>
            <w:div w:id="4636920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91823059">
      <w:marLeft w:val="0"/>
      <w:marRight w:val="0"/>
      <w:marTop w:val="180"/>
      <w:marBottom w:val="0"/>
      <w:divBdr>
        <w:top w:val="none" w:sz="0" w:space="0" w:color="auto"/>
        <w:left w:val="none" w:sz="0" w:space="0" w:color="auto"/>
        <w:bottom w:val="none" w:sz="0" w:space="0" w:color="auto"/>
        <w:right w:val="none" w:sz="0" w:space="0" w:color="auto"/>
      </w:divBdr>
    </w:div>
    <w:div w:id="1793670015">
      <w:marLeft w:val="0"/>
      <w:marRight w:val="0"/>
      <w:marTop w:val="0"/>
      <w:marBottom w:val="0"/>
      <w:divBdr>
        <w:top w:val="none" w:sz="0" w:space="0" w:color="auto"/>
        <w:left w:val="none" w:sz="0" w:space="0" w:color="auto"/>
        <w:bottom w:val="none" w:sz="0" w:space="0" w:color="auto"/>
        <w:right w:val="none" w:sz="0" w:space="0" w:color="auto"/>
      </w:divBdr>
    </w:div>
    <w:div w:id="1803770795">
      <w:marLeft w:val="0"/>
      <w:marRight w:val="0"/>
      <w:marTop w:val="100"/>
      <w:marBottom w:val="100"/>
      <w:divBdr>
        <w:top w:val="none" w:sz="0" w:space="0" w:color="auto"/>
        <w:left w:val="none" w:sz="0" w:space="0" w:color="auto"/>
        <w:bottom w:val="none" w:sz="0" w:space="0" w:color="auto"/>
        <w:right w:val="none" w:sz="0" w:space="0" w:color="auto"/>
      </w:divBdr>
    </w:div>
    <w:div w:id="1805736011">
      <w:marLeft w:val="0"/>
      <w:marRight w:val="0"/>
      <w:marTop w:val="100"/>
      <w:marBottom w:val="100"/>
      <w:divBdr>
        <w:top w:val="none" w:sz="0" w:space="0" w:color="auto"/>
        <w:left w:val="none" w:sz="0" w:space="0" w:color="auto"/>
        <w:bottom w:val="none" w:sz="0" w:space="0" w:color="auto"/>
        <w:right w:val="none" w:sz="0" w:space="0" w:color="auto"/>
      </w:divBdr>
    </w:div>
    <w:div w:id="1806656716">
      <w:marLeft w:val="0"/>
      <w:marRight w:val="0"/>
      <w:marTop w:val="0"/>
      <w:marBottom w:val="0"/>
      <w:divBdr>
        <w:top w:val="none" w:sz="0" w:space="0" w:color="auto"/>
        <w:left w:val="none" w:sz="0" w:space="0" w:color="auto"/>
        <w:bottom w:val="none" w:sz="0" w:space="0" w:color="auto"/>
        <w:right w:val="none" w:sz="0" w:space="0" w:color="auto"/>
      </w:divBdr>
      <w:divsChild>
        <w:div w:id="44066858">
          <w:marLeft w:val="0"/>
          <w:marRight w:val="0"/>
          <w:marTop w:val="100"/>
          <w:marBottom w:val="100"/>
          <w:divBdr>
            <w:top w:val="none" w:sz="0" w:space="0" w:color="auto"/>
            <w:left w:val="none" w:sz="0" w:space="0" w:color="auto"/>
            <w:bottom w:val="none" w:sz="0" w:space="0" w:color="auto"/>
            <w:right w:val="none" w:sz="0" w:space="0" w:color="auto"/>
          </w:divBdr>
        </w:div>
        <w:div w:id="1050425564">
          <w:marLeft w:val="0"/>
          <w:marRight w:val="0"/>
          <w:marTop w:val="100"/>
          <w:marBottom w:val="100"/>
          <w:divBdr>
            <w:top w:val="none" w:sz="0" w:space="0" w:color="auto"/>
            <w:left w:val="none" w:sz="0" w:space="0" w:color="auto"/>
            <w:bottom w:val="none" w:sz="0" w:space="0" w:color="auto"/>
            <w:right w:val="none" w:sz="0" w:space="0" w:color="auto"/>
          </w:divBdr>
        </w:div>
      </w:divsChild>
    </w:div>
    <w:div w:id="1814326890">
      <w:marLeft w:val="0"/>
      <w:marRight w:val="0"/>
      <w:marTop w:val="180"/>
      <w:marBottom w:val="0"/>
      <w:divBdr>
        <w:top w:val="none" w:sz="0" w:space="0" w:color="auto"/>
        <w:left w:val="none" w:sz="0" w:space="0" w:color="auto"/>
        <w:bottom w:val="none" w:sz="0" w:space="0" w:color="auto"/>
        <w:right w:val="none" w:sz="0" w:space="0" w:color="auto"/>
      </w:divBdr>
    </w:div>
    <w:div w:id="1819766107">
      <w:marLeft w:val="0"/>
      <w:marRight w:val="0"/>
      <w:marTop w:val="180"/>
      <w:marBottom w:val="0"/>
      <w:divBdr>
        <w:top w:val="none" w:sz="0" w:space="0" w:color="auto"/>
        <w:left w:val="none" w:sz="0" w:space="0" w:color="auto"/>
        <w:bottom w:val="none" w:sz="0" w:space="0" w:color="auto"/>
        <w:right w:val="none" w:sz="0" w:space="0" w:color="auto"/>
      </w:divBdr>
    </w:div>
    <w:div w:id="1826581967">
      <w:marLeft w:val="0"/>
      <w:marRight w:val="0"/>
      <w:marTop w:val="100"/>
      <w:marBottom w:val="100"/>
      <w:divBdr>
        <w:top w:val="none" w:sz="0" w:space="0" w:color="auto"/>
        <w:left w:val="none" w:sz="0" w:space="0" w:color="auto"/>
        <w:bottom w:val="none" w:sz="0" w:space="0" w:color="auto"/>
        <w:right w:val="none" w:sz="0" w:space="0" w:color="auto"/>
      </w:divBdr>
    </w:div>
    <w:div w:id="1827353047">
      <w:marLeft w:val="0"/>
      <w:marRight w:val="0"/>
      <w:marTop w:val="0"/>
      <w:marBottom w:val="0"/>
      <w:divBdr>
        <w:top w:val="none" w:sz="0" w:space="0" w:color="auto"/>
        <w:left w:val="none" w:sz="0" w:space="0" w:color="auto"/>
        <w:bottom w:val="none" w:sz="0" w:space="0" w:color="auto"/>
        <w:right w:val="none" w:sz="0" w:space="0" w:color="auto"/>
      </w:divBdr>
    </w:div>
    <w:div w:id="1829636251">
      <w:marLeft w:val="0"/>
      <w:marRight w:val="0"/>
      <w:marTop w:val="180"/>
      <w:marBottom w:val="0"/>
      <w:divBdr>
        <w:top w:val="none" w:sz="0" w:space="0" w:color="auto"/>
        <w:left w:val="none" w:sz="0" w:space="0" w:color="auto"/>
        <w:bottom w:val="none" w:sz="0" w:space="0" w:color="auto"/>
        <w:right w:val="none" w:sz="0" w:space="0" w:color="auto"/>
      </w:divBdr>
    </w:div>
    <w:div w:id="1831141481">
      <w:marLeft w:val="0"/>
      <w:marRight w:val="0"/>
      <w:marTop w:val="180"/>
      <w:marBottom w:val="100"/>
      <w:divBdr>
        <w:top w:val="none" w:sz="0" w:space="0" w:color="auto"/>
        <w:left w:val="none" w:sz="0" w:space="0" w:color="auto"/>
        <w:bottom w:val="none" w:sz="0" w:space="0" w:color="auto"/>
        <w:right w:val="none" w:sz="0" w:space="0" w:color="auto"/>
      </w:divBdr>
    </w:div>
    <w:div w:id="1833057821">
      <w:marLeft w:val="0"/>
      <w:marRight w:val="0"/>
      <w:marTop w:val="100"/>
      <w:marBottom w:val="60"/>
      <w:divBdr>
        <w:top w:val="none" w:sz="0" w:space="0" w:color="auto"/>
        <w:left w:val="none" w:sz="0" w:space="0" w:color="auto"/>
        <w:bottom w:val="none" w:sz="0" w:space="0" w:color="auto"/>
        <w:right w:val="none" w:sz="0" w:space="0" w:color="auto"/>
      </w:divBdr>
    </w:div>
    <w:div w:id="1834446897">
      <w:marLeft w:val="0"/>
      <w:marRight w:val="0"/>
      <w:marTop w:val="100"/>
      <w:marBottom w:val="100"/>
      <w:divBdr>
        <w:top w:val="none" w:sz="0" w:space="0" w:color="auto"/>
        <w:left w:val="none" w:sz="0" w:space="0" w:color="auto"/>
        <w:bottom w:val="none" w:sz="0" w:space="0" w:color="auto"/>
        <w:right w:val="none" w:sz="0" w:space="0" w:color="auto"/>
      </w:divBdr>
    </w:div>
    <w:div w:id="1837181529">
      <w:marLeft w:val="0"/>
      <w:marRight w:val="0"/>
      <w:marTop w:val="0"/>
      <w:marBottom w:val="0"/>
      <w:divBdr>
        <w:top w:val="none" w:sz="0" w:space="0" w:color="auto"/>
        <w:left w:val="none" w:sz="0" w:space="0" w:color="auto"/>
        <w:bottom w:val="none" w:sz="0" w:space="0" w:color="auto"/>
        <w:right w:val="none" w:sz="0" w:space="0" w:color="auto"/>
      </w:divBdr>
      <w:divsChild>
        <w:div w:id="1833525539">
          <w:marLeft w:val="0"/>
          <w:marRight w:val="0"/>
          <w:marTop w:val="100"/>
          <w:marBottom w:val="100"/>
          <w:divBdr>
            <w:top w:val="none" w:sz="0" w:space="0" w:color="auto"/>
            <w:left w:val="none" w:sz="0" w:space="0" w:color="auto"/>
            <w:bottom w:val="none" w:sz="0" w:space="0" w:color="auto"/>
            <w:right w:val="none" w:sz="0" w:space="0" w:color="auto"/>
          </w:divBdr>
        </w:div>
        <w:div w:id="714625256">
          <w:marLeft w:val="0"/>
          <w:marRight w:val="0"/>
          <w:marTop w:val="100"/>
          <w:marBottom w:val="100"/>
          <w:divBdr>
            <w:top w:val="none" w:sz="0" w:space="0" w:color="auto"/>
            <w:left w:val="none" w:sz="0" w:space="0" w:color="auto"/>
            <w:bottom w:val="none" w:sz="0" w:space="0" w:color="auto"/>
            <w:right w:val="none" w:sz="0" w:space="0" w:color="auto"/>
          </w:divBdr>
        </w:div>
      </w:divsChild>
    </w:div>
    <w:div w:id="1837767100">
      <w:marLeft w:val="0"/>
      <w:marRight w:val="0"/>
      <w:marTop w:val="100"/>
      <w:marBottom w:val="100"/>
      <w:divBdr>
        <w:top w:val="none" w:sz="0" w:space="0" w:color="auto"/>
        <w:left w:val="none" w:sz="0" w:space="0" w:color="auto"/>
        <w:bottom w:val="none" w:sz="0" w:space="0" w:color="auto"/>
        <w:right w:val="none" w:sz="0" w:space="0" w:color="auto"/>
      </w:divBdr>
    </w:div>
    <w:div w:id="1839691597">
      <w:marLeft w:val="0"/>
      <w:marRight w:val="0"/>
      <w:marTop w:val="180"/>
      <w:marBottom w:val="0"/>
      <w:divBdr>
        <w:top w:val="none" w:sz="0" w:space="0" w:color="auto"/>
        <w:left w:val="none" w:sz="0" w:space="0" w:color="auto"/>
        <w:bottom w:val="none" w:sz="0" w:space="0" w:color="auto"/>
        <w:right w:val="none" w:sz="0" w:space="0" w:color="auto"/>
      </w:divBdr>
    </w:div>
    <w:div w:id="1842430989">
      <w:marLeft w:val="0"/>
      <w:marRight w:val="0"/>
      <w:marTop w:val="180"/>
      <w:marBottom w:val="0"/>
      <w:divBdr>
        <w:top w:val="none" w:sz="0" w:space="0" w:color="auto"/>
        <w:left w:val="none" w:sz="0" w:space="0" w:color="auto"/>
        <w:bottom w:val="none" w:sz="0" w:space="0" w:color="auto"/>
        <w:right w:val="none" w:sz="0" w:space="0" w:color="auto"/>
      </w:divBdr>
    </w:div>
    <w:div w:id="1853297397">
      <w:marLeft w:val="0"/>
      <w:marRight w:val="0"/>
      <w:marTop w:val="100"/>
      <w:marBottom w:val="100"/>
      <w:divBdr>
        <w:top w:val="none" w:sz="0" w:space="0" w:color="auto"/>
        <w:left w:val="none" w:sz="0" w:space="0" w:color="auto"/>
        <w:bottom w:val="none" w:sz="0" w:space="0" w:color="auto"/>
        <w:right w:val="none" w:sz="0" w:space="0" w:color="auto"/>
      </w:divBdr>
    </w:div>
    <w:div w:id="1857114274">
      <w:marLeft w:val="0"/>
      <w:marRight w:val="0"/>
      <w:marTop w:val="80"/>
      <w:marBottom w:val="100"/>
      <w:divBdr>
        <w:top w:val="none" w:sz="0" w:space="0" w:color="auto"/>
        <w:left w:val="none" w:sz="0" w:space="0" w:color="auto"/>
        <w:bottom w:val="none" w:sz="0" w:space="0" w:color="auto"/>
        <w:right w:val="none" w:sz="0" w:space="0" w:color="auto"/>
      </w:divBdr>
    </w:div>
    <w:div w:id="1860193783">
      <w:marLeft w:val="0"/>
      <w:marRight w:val="0"/>
      <w:marTop w:val="100"/>
      <w:marBottom w:val="100"/>
      <w:divBdr>
        <w:top w:val="none" w:sz="0" w:space="0" w:color="auto"/>
        <w:left w:val="none" w:sz="0" w:space="0" w:color="auto"/>
        <w:bottom w:val="none" w:sz="0" w:space="0" w:color="auto"/>
        <w:right w:val="none" w:sz="0" w:space="0" w:color="auto"/>
      </w:divBdr>
      <w:divsChild>
        <w:div w:id="133256809">
          <w:marLeft w:val="0"/>
          <w:marRight w:val="0"/>
          <w:marTop w:val="0"/>
          <w:marBottom w:val="0"/>
          <w:divBdr>
            <w:top w:val="none" w:sz="0" w:space="0" w:color="auto"/>
            <w:left w:val="none" w:sz="0" w:space="0" w:color="auto"/>
            <w:bottom w:val="none" w:sz="0" w:space="0" w:color="auto"/>
            <w:right w:val="none" w:sz="0" w:space="0" w:color="auto"/>
          </w:divBdr>
        </w:div>
      </w:divsChild>
    </w:div>
    <w:div w:id="1861310519">
      <w:marLeft w:val="0"/>
      <w:marRight w:val="0"/>
      <w:marTop w:val="0"/>
      <w:marBottom w:val="0"/>
      <w:divBdr>
        <w:top w:val="none" w:sz="0" w:space="0" w:color="auto"/>
        <w:left w:val="none" w:sz="0" w:space="0" w:color="auto"/>
        <w:bottom w:val="none" w:sz="0" w:space="0" w:color="auto"/>
        <w:right w:val="none" w:sz="0" w:space="0" w:color="auto"/>
      </w:divBdr>
      <w:divsChild>
        <w:div w:id="1130897536">
          <w:marLeft w:val="0"/>
          <w:marRight w:val="0"/>
          <w:marTop w:val="0"/>
          <w:marBottom w:val="0"/>
          <w:divBdr>
            <w:top w:val="none" w:sz="0" w:space="0" w:color="auto"/>
            <w:left w:val="none" w:sz="0" w:space="0" w:color="auto"/>
            <w:bottom w:val="none" w:sz="0" w:space="0" w:color="auto"/>
            <w:right w:val="none" w:sz="0" w:space="0" w:color="auto"/>
          </w:divBdr>
          <w:divsChild>
            <w:div w:id="14420640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65941582">
      <w:marLeft w:val="0"/>
      <w:marRight w:val="0"/>
      <w:marTop w:val="100"/>
      <w:marBottom w:val="100"/>
      <w:divBdr>
        <w:top w:val="none" w:sz="0" w:space="0" w:color="auto"/>
        <w:left w:val="none" w:sz="0" w:space="0" w:color="auto"/>
        <w:bottom w:val="none" w:sz="0" w:space="0" w:color="auto"/>
        <w:right w:val="none" w:sz="0" w:space="0" w:color="auto"/>
      </w:divBdr>
    </w:div>
    <w:div w:id="1869643081">
      <w:marLeft w:val="0"/>
      <w:marRight w:val="0"/>
      <w:marTop w:val="100"/>
      <w:marBottom w:val="100"/>
      <w:divBdr>
        <w:top w:val="none" w:sz="0" w:space="0" w:color="auto"/>
        <w:left w:val="none" w:sz="0" w:space="0" w:color="auto"/>
        <w:bottom w:val="none" w:sz="0" w:space="0" w:color="auto"/>
        <w:right w:val="none" w:sz="0" w:space="0" w:color="auto"/>
      </w:divBdr>
    </w:div>
    <w:div w:id="1875386747">
      <w:marLeft w:val="0"/>
      <w:marRight w:val="0"/>
      <w:marTop w:val="0"/>
      <w:marBottom w:val="0"/>
      <w:divBdr>
        <w:top w:val="none" w:sz="0" w:space="0" w:color="auto"/>
        <w:left w:val="none" w:sz="0" w:space="0" w:color="auto"/>
        <w:bottom w:val="none" w:sz="0" w:space="0" w:color="auto"/>
        <w:right w:val="none" w:sz="0" w:space="0" w:color="auto"/>
      </w:divBdr>
      <w:divsChild>
        <w:div w:id="1572810371">
          <w:marLeft w:val="0"/>
          <w:marRight w:val="0"/>
          <w:marTop w:val="100"/>
          <w:marBottom w:val="100"/>
          <w:divBdr>
            <w:top w:val="none" w:sz="0" w:space="0" w:color="auto"/>
            <w:left w:val="none" w:sz="0" w:space="0" w:color="auto"/>
            <w:bottom w:val="none" w:sz="0" w:space="0" w:color="auto"/>
            <w:right w:val="none" w:sz="0" w:space="0" w:color="auto"/>
          </w:divBdr>
        </w:div>
        <w:div w:id="1731296664">
          <w:marLeft w:val="0"/>
          <w:marRight w:val="0"/>
          <w:marTop w:val="100"/>
          <w:marBottom w:val="100"/>
          <w:divBdr>
            <w:top w:val="none" w:sz="0" w:space="0" w:color="auto"/>
            <w:left w:val="none" w:sz="0" w:space="0" w:color="auto"/>
            <w:bottom w:val="none" w:sz="0" w:space="0" w:color="auto"/>
            <w:right w:val="none" w:sz="0" w:space="0" w:color="auto"/>
          </w:divBdr>
        </w:div>
      </w:divsChild>
    </w:div>
    <w:div w:id="1882395607">
      <w:marLeft w:val="0"/>
      <w:marRight w:val="0"/>
      <w:marTop w:val="0"/>
      <w:marBottom w:val="0"/>
      <w:divBdr>
        <w:top w:val="none" w:sz="0" w:space="0" w:color="auto"/>
        <w:left w:val="none" w:sz="0" w:space="0" w:color="auto"/>
        <w:bottom w:val="none" w:sz="0" w:space="0" w:color="auto"/>
        <w:right w:val="none" w:sz="0" w:space="0" w:color="auto"/>
      </w:divBdr>
    </w:div>
    <w:div w:id="1885098511">
      <w:marLeft w:val="0"/>
      <w:marRight w:val="0"/>
      <w:marTop w:val="100"/>
      <w:marBottom w:val="100"/>
      <w:divBdr>
        <w:top w:val="none" w:sz="0" w:space="0" w:color="auto"/>
        <w:left w:val="none" w:sz="0" w:space="0" w:color="auto"/>
        <w:bottom w:val="none" w:sz="0" w:space="0" w:color="auto"/>
        <w:right w:val="none" w:sz="0" w:space="0" w:color="auto"/>
      </w:divBdr>
    </w:div>
    <w:div w:id="1890415725">
      <w:marLeft w:val="0"/>
      <w:marRight w:val="0"/>
      <w:marTop w:val="0"/>
      <w:marBottom w:val="0"/>
      <w:divBdr>
        <w:top w:val="none" w:sz="0" w:space="0" w:color="auto"/>
        <w:left w:val="none" w:sz="0" w:space="0" w:color="auto"/>
        <w:bottom w:val="none" w:sz="0" w:space="0" w:color="auto"/>
        <w:right w:val="none" w:sz="0" w:space="0" w:color="auto"/>
      </w:divBdr>
      <w:divsChild>
        <w:div w:id="714622997">
          <w:marLeft w:val="0"/>
          <w:marRight w:val="0"/>
          <w:marTop w:val="0"/>
          <w:marBottom w:val="0"/>
          <w:divBdr>
            <w:top w:val="none" w:sz="0" w:space="0" w:color="auto"/>
            <w:left w:val="none" w:sz="0" w:space="0" w:color="auto"/>
            <w:bottom w:val="none" w:sz="0" w:space="0" w:color="auto"/>
            <w:right w:val="none" w:sz="0" w:space="0" w:color="auto"/>
          </w:divBdr>
          <w:divsChild>
            <w:div w:id="15255616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94416252">
      <w:marLeft w:val="0"/>
      <w:marRight w:val="0"/>
      <w:marTop w:val="100"/>
      <w:marBottom w:val="100"/>
      <w:divBdr>
        <w:top w:val="none" w:sz="0" w:space="0" w:color="auto"/>
        <w:left w:val="none" w:sz="0" w:space="0" w:color="auto"/>
        <w:bottom w:val="none" w:sz="0" w:space="0" w:color="auto"/>
        <w:right w:val="none" w:sz="0" w:space="0" w:color="auto"/>
      </w:divBdr>
    </w:div>
    <w:div w:id="1900745221">
      <w:marLeft w:val="0"/>
      <w:marRight w:val="0"/>
      <w:marTop w:val="100"/>
      <w:marBottom w:val="100"/>
      <w:divBdr>
        <w:top w:val="none" w:sz="0" w:space="0" w:color="auto"/>
        <w:left w:val="none" w:sz="0" w:space="0" w:color="auto"/>
        <w:bottom w:val="none" w:sz="0" w:space="0" w:color="auto"/>
        <w:right w:val="none" w:sz="0" w:space="0" w:color="auto"/>
      </w:divBdr>
    </w:div>
    <w:div w:id="1907032251">
      <w:marLeft w:val="0"/>
      <w:marRight w:val="0"/>
      <w:marTop w:val="0"/>
      <w:marBottom w:val="0"/>
      <w:divBdr>
        <w:top w:val="none" w:sz="0" w:space="0" w:color="auto"/>
        <w:left w:val="none" w:sz="0" w:space="0" w:color="auto"/>
        <w:bottom w:val="none" w:sz="0" w:space="0" w:color="auto"/>
        <w:right w:val="none" w:sz="0" w:space="0" w:color="auto"/>
      </w:divBdr>
      <w:divsChild>
        <w:div w:id="1118062864">
          <w:marLeft w:val="0"/>
          <w:marRight w:val="0"/>
          <w:marTop w:val="100"/>
          <w:marBottom w:val="100"/>
          <w:divBdr>
            <w:top w:val="none" w:sz="0" w:space="0" w:color="auto"/>
            <w:left w:val="none" w:sz="0" w:space="0" w:color="auto"/>
            <w:bottom w:val="none" w:sz="0" w:space="0" w:color="auto"/>
            <w:right w:val="none" w:sz="0" w:space="0" w:color="auto"/>
          </w:divBdr>
        </w:div>
        <w:div w:id="463427703">
          <w:marLeft w:val="0"/>
          <w:marRight w:val="0"/>
          <w:marTop w:val="100"/>
          <w:marBottom w:val="100"/>
          <w:divBdr>
            <w:top w:val="none" w:sz="0" w:space="0" w:color="auto"/>
            <w:left w:val="none" w:sz="0" w:space="0" w:color="auto"/>
            <w:bottom w:val="none" w:sz="0" w:space="0" w:color="auto"/>
            <w:right w:val="none" w:sz="0" w:space="0" w:color="auto"/>
          </w:divBdr>
        </w:div>
      </w:divsChild>
    </w:div>
    <w:div w:id="1910187782">
      <w:marLeft w:val="0"/>
      <w:marRight w:val="0"/>
      <w:marTop w:val="0"/>
      <w:marBottom w:val="0"/>
      <w:divBdr>
        <w:top w:val="none" w:sz="0" w:space="0" w:color="auto"/>
        <w:left w:val="none" w:sz="0" w:space="0" w:color="auto"/>
        <w:bottom w:val="none" w:sz="0" w:space="0" w:color="auto"/>
        <w:right w:val="none" w:sz="0" w:space="0" w:color="auto"/>
      </w:divBdr>
    </w:div>
    <w:div w:id="1915162068">
      <w:marLeft w:val="0"/>
      <w:marRight w:val="0"/>
      <w:marTop w:val="0"/>
      <w:marBottom w:val="0"/>
      <w:divBdr>
        <w:top w:val="none" w:sz="0" w:space="0" w:color="auto"/>
        <w:left w:val="none" w:sz="0" w:space="0" w:color="auto"/>
        <w:bottom w:val="none" w:sz="0" w:space="0" w:color="auto"/>
        <w:right w:val="none" w:sz="0" w:space="0" w:color="auto"/>
      </w:divBdr>
      <w:divsChild>
        <w:div w:id="213808496">
          <w:marLeft w:val="0"/>
          <w:marRight w:val="0"/>
          <w:marTop w:val="100"/>
          <w:marBottom w:val="100"/>
          <w:divBdr>
            <w:top w:val="none" w:sz="0" w:space="0" w:color="auto"/>
            <w:left w:val="none" w:sz="0" w:space="0" w:color="auto"/>
            <w:bottom w:val="none" w:sz="0" w:space="0" w:color="auto"/>
            <w:right w:val="none" w:sz="0" w:space="0" w:color="auto"/>
          </w:divBdr>
        </w:div>
        <w:div w:id="1661080690">
          <w:marLeft w:val="0"/>
          <w:marRight w:val="0"/>
          <w:marTop w:val="100"/>
          <w:marBottom w:val="100"/>
          <w:divBdr>
            <w:top w:val="none" w:sz="0" w:space="0" w:color="auto"/>
            <w:left w:val="none" w:sz="0" w:space="0" w:color="auto"/>
            <w:bottom w:val="none" w:sz="0" w:space="0" w:color="auto"/>
            <w:right w:val="none" w:sz="0" w:space="0" w:color="auto"/>
          </w:divBdr>
        </w:div>
      </w:divsChild>
    </w:div>
    <w:div w:id="1932087074">
      <w:marLeft w:val="0"/>
      <w:marRight w:val="0"/>
      <w:marTop w:val="0"/>
      <w:marBottom w:val="0"/>
      <w:divBdr>
        <w:top w:val="none" w:sz="0" w:space="0" w:color="auto"/>
        <w:left w:val="none" w:sz="0" w:space="0" w:color="auto"/>
        <w:bottom w:val="none" w:sz="0" w:space="0" w:color="auto"/>
        <w:right w:val="none" w:sz="0" w:space="0" w:color="auto"/>
      </w:divBdr>
    </w:div>
    <w:div w:id="1932736460">
      <w:marLeft w:val="0"/>
      <w:marRight w:val="0"/>
      <w:marTop w:val="0"/>
      <w:marBottom w:val="0"/>
      <w:divBdr>
        <w:top w:val="none" w:sz="0" w:space="0" w:color="auto"/>
        <w:left w:val="none" w:sz="0" w:space="0" w:color="auto"/>
        <w:bottom w:val="none" w:sz="0" w:space="0" w:color="auto"/>
        <w:right w:val="none" w:sz="0" w:space="0" w:color="auto"/>
      </w:divBdr>
      <w:divsChild>
        <w:div w:id="919564098">
          <w:marLeft w:val="0"/>
          <w:marRight w:val="0"/>
          <w:marTop w:val="0"/>
          <w:marBottom w:val="0"/>
          <w:divBdr>
            <w:top w:val="none" w:sz="0" w:space="0" w:color="auto"/>
            <w:left w:val="none" w:sz="0" w:space="0" w:color="auto"/>
            <w:bottom w:val="none" w:sz="0" w:space="0" w:color="auto"/>
            <w:right w:val="none" w:sz="0" w:space="0" w:color="auto"/>
          </w:divBdr>
          <w:divsChild>
            <w:div w:id="6729556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37907150">
      <w:marLeft w:val="0"/>
      <w:marRight w:val="0"/>
      <w:marTop w:val="0"/>
      <w:marBottom w:val="0"/>
      <w:divBdr>
        <w:top w:val="none" w:sz="0" w:space="0" w:color="auto"/>
        <w:left w:val="none" w:sz="0" w:space="0" w:color="auto"/>
        <w:bottom w:val="none" w:sz="0" w:space="0" w:color="auto"/>
        <w:right w:val="none" w:sz="0" w:space="0" w:color="auto"/>
      </w:divBdr>
    </w:div>
    <w:div w:id="1938128787">
      <w:marLeft w:val="0"/>
      <w:marRight w:val="0"/>
      <w:marTop w:val="100"/>
      <w:marBottom w:val="100"/>
      <w:divBdr>
        <w:top w:val="none" w:sz="0" w:space="0" w:color="auto"/>
        <w:left w:val="none" w:sz="0" w:space="0" w:color="auto"/>
        <w:bottom w:val="none" w:sz="0" w:space="0" w:color="auto"/>
        <w:right w:val="none" w:sz="0" w:space="0" w:color="auto"/>
      </w:divBdr>
    </w:div>
    <w:div w:id="1940796340">
      <w:marLeft w:val="0"/>
      <w:marRight w:val="0"/>
      <w:marTop w:val="0"/>
      <w:marBottom w:val="0"/>
      <w:divBdr>
        <w:top w:val="none" w:sz="0" w:space="0" w:color="auto"/>
        <w:left w:val="none" w:sz="0" w:space="0" w:color="auto"/>
        <w:bottom w:val="none" w:sz="0" w:space="0" w:color="auto"/>
        <w:right w:val="none" w:sz="0" w:space="0" w:color="auto"/>
      </w:divBdr>
      <w:divsChild>
        <w:div w:id="1242371351">
          <w:marLeft w:val="0"/>
          <w:marRight w:val="0"/>
          <w:marTop w:val="100"/>
          <w:marBottom w:val="100"/>
          <w:divBdr>
            <w:top w:val="none" w:sz="0" w:space="0" w:color="auto"/>
            <w:left w:val="none" w:sz="0" w:space="0" w:color="auto"/>
            <w:bottom w:val="none" w:sz="0" w:space="0" w:color="auto"/>
            <w:right w:val="none" w:sz="0" w:space="0" w:color="auto"/>
          </w:divBdr>
        </w:div>
        <w:div w:id="365525317">
          <w:marLeft w:val="0"/>
          <w:marRight w:val="0"/>
          <w:marTop w:val="100"/>
          <w:marBottom w:val="100"/>
          <w:divBdr>
            <w:top w:val="none" w:sz="0" w:space="0" w:color="auto"/>
            <w:left w:val="none" w:sz="0" w:space="0" w:color="auto"/>
            <w:bottom w:val="none" w:sz="0" w:space="0" w:color="auto"/>
            <w:right w:val="none" w:sz="0" w:space="0" w:color="auto"/>
          </w:divBdr>
        </w:div>
      </w:divsChild>
    </w:div>
    <w:div w:id="1945846515">
      <w:marLeft w:val="0"/>
      <w:marRight w:val="0"/>
      <w:marTop w:val="100"/>
      <w:marBottom w:val="100"/>
      <w:divBdr>
        <w:top w:val="none" w:sz="0" w:space="0" w:color="auto"/>
        <w:left w:val="none" w:sz="0" w:space="0" w:color="auto"/>
        <w:bottom w:val="none" w:sz="0" w:space="0" w:color="auto"/>
        <w:right w:val="none" w:sz="0" w:space="0" w:color="auto"/>
      </w:divBdr>
    </w:div>
    <w:div w:id="1949238545">
      <w:marLeft w:val="0"/>
      <w:marRight w:val="0"/>
      <w:marTop w:val="100"/>
      <w:marBottom w:val="100"/>
      <w:divBdr>
        <w:top w:val="none" w:sz="0" w:space="0" w:color="auto"/>
        <w:left w:val="none" w:sz="0" w:space="0" w:color="auto"/>
        <w:bottom w:val="none" w:sz="0" w:space="0" w:color="auto"/>
        <w:right w:val="none" w:sz="0" w:space="0" w:color="auto"/>
      </w:divBdr>
    </w:div>
    <w:div w:id="1955016065">
      <w:marLeft w:val="0"/>
      <w:marRight w:val="0"/>
      <w:marTop w:val="0"/>
      <w:marBottom w:val="0"/>
      <w:divBdr>
        <w:top w:val="none" w:sz="0" w:space="0" w:color="auto"/>
        <w:left w:val="none" w:sz="0" w:space="0" w:color="auto"/>
        <w:bottom w:val="none" w:sz="0" w:space="0" w:color="auto"/>
        <w:right w:val="none" w:sz="0" w:space="0" w:color="auto"/>
      </w:divBdr>
      <w:divsChild>
        <w:div w:id="1567914566">
          <w:marLeft w:val="0"/>
          <w:marRight w:val="0"/>
          <w:marTop w:val="0"/>
          <w:marBottom w:val="0"/>
          <w:divBdr>
            <w:top w:val="none" w:sz="0" w:space="0" w:color="auto"/>
            <w:left w:val="none" w:sz="0" w:space="0" w:color="auto"/>
            <w:bottom w:val="none" w:sz="0" w:space="0" w:color="auto"/>
            <w:right w:val="none" w:sz="0" w:space="0" w:color="auto"/>
          </w:divBdr>
          <w:divsChild>
            <w:div w:id="19318890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57591849">
      <w:marLeft w:val="0"/>
      <w:marRight w:val="0"/>
      <w:marTop w:val="100"/>
      <w:marBottom w:val="100"/>
      <w:divBdr>
        <w:top w:val="none" w:sz="0" w:space="0" w:color="auto"/>
        <w:left w:val="none" w:sz="0" w:space="0" w:color="auto"/>
        <w:bottom w:val="none" w:sz="0" w:space="0" w:color="auto"/>
        <w:right w:val="none" w:sz="0" w:space="0" w:color="auto"/>
      </w:divBdr>
    </w:div>
    <w:div w:id="1961959664">
      <w:marLeft w:val="0"/>
      <w:marRight w:val="0"/>
      <w:marTop w:val="180"/>
      <w:marBottom w:val="0"/>
      <w:divBdr>
        <w:top w:val="none" w:sz="0" w:space="0" w:color="auto"/>
        <w:left w:val="none" w:sz="0" w:space="0" w:color="auto"/>
        <w:bottom w:val="none" w:sz="0" w:space="0" w:color="auto"/>
        <w:right w:val="none" w:sz="0" w:space="0" w:color="auto"/>
      </w:divBdr>
    </w:div>
    <w:div w:id="1968850554">
      <w:marLeft w:val="0"/>
      <w:marRight w:val="0"/>
      <w:marTop w:val="180"/>
      <w:marBottom w:val="0"/>
      <w:divBdr>
        <w:top w:val="none" w:sz="0" w:space="0" w:color="auto"/>
        <w:left w:val="none" w:sz="0" w:space="0" w:color="auto"/>
        <w:bottom w:val="none" w:sz="0" w:space="0" w:color="auto"/>
        <w:right w:val="none" w:sz="0" w:space="0" w:color="auto"/>
      </w:divBdr>
    </w:div>
    <w:div w:id="1969192665">
      <w:marLeft w:val="0"/>
      <w:marRight w:val="0"/>
      <w:marTop w:val="0"/>
      <w:marBottom w:val="0"/>
      <w:divBdr>
        <w:top w:val="none" w:sz="0" w:space="0" w:color="auto"/>
        <w:left w:val="none" w:sz="0" w:space="0" w:color="auto"/>
        <w:bottom w:val="none" w:sz="0" w:space="0" w:color="auto"/>
        <w:right w:val="none" w:sz="0" w:space="0" w:color="auto"/>
      </w:divBdr>
    </w:div>
    <w:div w:id="1979339550">
      <w:marLeft w:val="0"/>
      <w:marRight w:val="0"/>
      <w:marTop w:val="0"/>
      <w:marBottom w:val="0"/>
      <w:divBdr>
        <w:top w:val="none" w:sz="0" w:space="0" w:color="auto"/>
        <w:left w:val="none" w:sz="0" w:space="0" w:color="auto"/>
        <w:bottom w:val="none" w:sz="0" w:space="0" w:color="auto"/>
        <w:right w:val="none" w:sz="0" w:space="0" w:color="auto"/>
      </w:divBdr>
      <w:divsChild>
        <w:div w:id="1914241828">
          <w:marLeft w:val="0"/>
          <w:marRight w:val="0"/>
          <w:marTop w:val="0"/>
          <w:marBottom w:val="0"/>
          <w:divBdr>
            <w:top w:val="none" w:sz="0" w:space="0" w:color="auto"/>
            <w:left w:val="none" w:sz="0" w:space="0" w:color="auto"/>
            <w:bottom w:val="none" w:sz="0" w:space="0" w:color="auto"/>
            <w:right w:val="none" w:sz="0" w:space="0" w:color="auto"/>
          </w:divBdr>
          <w:divsChild>
            <w:div w:id="918969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86855562">
      <w:marLeft w:val="0"/>
      <w:marRight w:val="0"/>
      <w:marTop w:val="80"/>
      <w:marBottom w:val="100"/>
      <w:divBdr>
        <w:top w:val="none" w:sz="0" w:space="0" w:color="auto"/>
        <w:left w:val="none" w:sz="0" w:space="0" w:color="auto"/>
        <w:bottom w:val="none" w:sz="0" w:space="0" w:color="auto"/>
        <w:right w:val="none" w:sz="0" w:space="0" w:color="auto"/>
      </w:divBdr>
    </w:div>
    <w:div w:id="1990592656">
      <w:marLeft w:val="0"/>
      <w:marRight w:val="0"/>
      <w:marTop w:val="180"/>
      <w:marBottom w:val="100"/>
      <w:divBdr>
        <w:top w:val="none" w:sz="0" w:space="0" w:color="auto"/>
        <w:left w:val="none" w:sz="0" w:space="0" w:color="auto"/>
        <w:bottom w:val="none" w:sz="0" w:space="0" w:color="auto"/>
        <w:right w:val="none" w:sz="0" w:space="0" w:color="auto"/>
      </w:divBdr>
    </w:div>
    <w:div w:id="1993945257">
      <w:marLeft w:val="0"/>
      <w:marRight w:val="0"/>
      <w:marTop w:val="100"/>
      <w:marBottom w:val="100"/>
      <w:divBdr>
        <w:top w:val="none" w:sz="0" w:space="0" w:color="auto"/>
        <w:left w:val="none" w:sz="0" w:space="0" w:color="auto"/>
        <w:bottom w:val="none" w:sz="0" w:space="0" w:color="auto"/>
        <w:right w:val="none" w:sz="0" w:space="0" w:color="auto"/>
      </w:divBdr>
      <w:divsChild>
        <w:div w:id="305548624">
          <w:marLeft w:val="0"/>
          <w:marRight w:val="0"/>
          <w:marTop w:val="0"/>
          <w:marBottom w:val="0"/>
          <w:divBdr>
            <w:top w:val="none" w:sz="0" w:space="0" w:color="auto"/>
            <w:left w:val="none" w:sz="0" w:space="0" w:color="auto"/>
            <w:bottom w:val="none" w:sz="0" w:space="0" w:color="auto"/>
            <w:right w:val="none" w:sz="0" w:space="0" w:color="auto"/>
          </w:divBdr>
        </w:div>
        <w:div w:id="144975383">
          <w:marLeft w:val="0"/>
          <w:marRight w:val="0"/>
          <w:marTop w:val="0"/>
          <w:marBottom w:val="0"/>
          <w:divBdr>
            <w:top w:val="none" w:sz="0" w:space="0" w:color="auto"/>
            <w:left w:val="none" w:sz="0" w:space="0" w:color="auto"/>
            <w:bottom w:val="none" w:sz="0" w:space="0" w:color="auto"/>
            <w:right w:val="none" w:sz="0" w:space="0" w:color="auto"/>
          </w:divBdr>
        </w:div>
      </w:divsChild>
    </w:div>
    <w:div w:id="1997684098">
      <w:marLeft w:val="0"/>
      <w:marRight w:val="0"/>
      <w:marTop w:val="100"/>
      <w:marBottom w:val="100"/>
      <w:divBdr>
        <w:top w:val="none" w:sz="0" w:space="0" w:color="auto"/>
        <w:left w:val="none" w:sz="0" w:space="0" w:color="auto"/>
        <w:bottom w:val="none" w:sz="0" w:space="0" w:color="auto"/>
        <w:right w:val="none" w:sz="0" w:space="0" w:color="auto"/>
      </w:divBdr>
      <w:divsChild>
        <w:div w:id="859775565">
          <w:marLeft w:val="0"/>
          <w:marRight w:val="0"/>
          <w:marTop w:val="0"/>
          <w:marBottom w:val="0"/>
          <w:divBdr>
            <w:top w:val="none" w:sz="0" w:space="0" w:color="auto"/>
            <w:left w:val="none" w:sz="0" w:space="0" w:color="auto"/>
            <w:bottom w:val="none" w:sz="0" w:space="0" w:color="auto"/>
            <w:right w:val="none" w:sz="0" w:space="0" w:color="auto"/>
          </w:divBdr>
        </w:div>
      </w:divsChild>
    </w:div>
    <w:div w:id="1997880713">
      <w:marLeft w:val="0"/>
      <w:marRight w:val="0"/>
      <w:marTop w:val="0"/>
      <w:marBottom w:val="0"/>
      <w:divBdr>
        <w:top w:val="none" w:sz="0" w:space="0" w:color="auto"/>
        <w:left w:val="none" w:sz="0" w:space="0" w:color="auto"/>
        <w:bottom w:val="none" w:sz="0" w:space="0" w:color="auto"/>
        <w:right w:val="none" w:sz="0" w:space="0" w:color="auto"/>
      </w:divBdr>
    </w:div>
    <w:div w:id="2003389368">
      <w:marLeft w:val="0"/>
      <w:marRight w:val="0"/>
      <w:marTop w:val="180"/>
      <w:marBottom w:val="0"/>
      <w:divBdr>
        <w:top w:val="none" w:sz="0" w:space="0" w:color="auto"/>
        <w:left w:val="none" w:sz="0" w:space="0" w:color="auto"/>
        <w:bottom w:val="none" w:sz="0" w:space="0" w:color="auto"/>
        <w:right w:val="none" w:sz="0" w:space="0" w:color="auto"/>
      </w:divBdr>
    </w:div>
    <w:div w:id="2011642960">
      <w:marLeft w:val="0"/>
      <w:marRight w:val="0"/>
      <w:marTop w:val="0"/>
      <w:marBottom w:val="0"/>
      <w:divBdr>
        <w:top w:val="none" w:sz="0" w:space="0" w:color="auto"/>
        <w:left w:val="none" w:sz="0" w:space="0" w:color="auto"/>
        <w:bottom w:val="none" w:sz="0" w:space="0" w:color="auto"/>
        <w:right w:val="none" w:sz="0" w:space="0" w:color="auto"/>
      </w:divBdr>
    </w:div>
    <w:div w:id="2013606081">
      <w:marLeft w:val="0"/>
      <w:marRight w:val="0"/>
      <w:marTop w:val="180"/>
      <w:marBottom w:val="0"/>
      <w:divBdr>
        <w:top w:val="none" w:sz="0" w:space="0" w:color="auto"/>
        <w:left w:val="none" w:sz="0" w:space="0" w:color="auto"/>
        <w:bottom w:val="none" w:sz="0" w:space="0" w:color="auto"/>
        <w:right w:val="none" w:sz="0" w:space="0" w:color="auto"/>
      </w:divBdr>
    </w:div>
    <w:div w:id="2018534579">
      <w:marLeft w:val="0"/>
      <w:marRight w:val="0"/>
      <w:marTop w:val="0"/>
      <w:marBottom w:val="0"/>
      <w:divBdr>
        <w:top w:val="none" w:sz="0" w:space="0" w:color="auto"/>
        <w:left w:val="none" w:sz="0" w:space="0" w:color="auto"/>
        <w:bottom w:val="none" w:sz="0" w:space="0" w:color="auto"/>
        <w:right w:val="none" w:sz="0" w:space="0" w:color="auto"/>
      </w:divBdr>
    </w:div>
    <w:div w:id="2022660897">
      <w:marLeft w:val="0"/>
      <w:marRight w:val="0"/>
      <w:marTop w:val="100"/>
      <w:marBottom w:val="100"/>
      <w:divBdr>
        <w:top w:val="none" w:sz="0" w:space="0" w:color="auto"/>
        <w:left w:val="none" w:sz="0" w:space="0" w:color="auto"/>
        <w:bottom w:val="none" w:sz="0" w:space="0" w:color="auto"/>
        <w:right w:val="none" w:sz="0" w:space="0" w:color="auto"/>
      </w:divBdr>
    </w:div>
    <w:div w:id="2023627496">
      <w:marLeft w:val="0"/>
      <w:marRight w:val="0"/>
      <w:marTop w:val="0"/>
      <w:marBottom w:val="0"/>
      <w:divBdr>
        <w:top w:val="none" w:sz="0" w:space="0" w:color="auto"/>
        <w:left w:val="none" w:sz="0" w:space="0" w:color="auto"/>
        <w:bottom w:val="none" w:sz="0" w:space="0" w:color="auto"/>
        <w:right w:val="none" w:sz="0" w:space="0" w:color="auto"/>
      </w:divBdr>
      <w:divsChild>
        <w:div w:id="1065684910">
          <w:marLeft w:val="0"/>
          <w:marRight w:val="0"/>
          <w:marTop w:val="100"/>
          <w:marBottom w:val="100"/>
          <w:divBdr>
            <w:top w:val="none" w:sz="0" w:space="0" w:color="auto"/>
            <w:left w:val="none" w:sz="0" w:space="0" w:color="auto"/>
            <w:bottom w:val="none" w:sz="0" w:space="0" w:color="auto"/>
            <w:right w:val="none" w:sz="0" w:space="0" w:color="auto"/>
          </w:divBdr>
        </w:div>
        <w:div w:id="224267304">
          <w:marLeft w:val="0"/>
          <w:marRight w:val="0"/>
          <w:marTop w:val="100"/>
          <w:marBottom w:val="100"/>
          <w:divBdr>
            <w:top w:val="none" w:sz="0" w:space="0" w:color="auto"/>
            <w:left w:val="none" w:sz="0" w:space="0" w:color="auto"/>
            <w:bottom w:val="none" w:sz="0" w:space="0" w:color="auto"/>
            <w:right w:val="none" w:sz="0" w:space="0" w:color="auto"/>
          </w:divBdr>
        </w:div>
      </w:divsChild>
    </w:div>
    <w:div w:id="2027899353">
      <w:marLeft w:val="0"/>
      <w:marRight w:val="0"/>
      <w:marTop w:val="0"/>
      <w:marBottom w:val="0"/>
      <w:divBdr>
        <w:top w:val="none" w:sz="0" w:space="0" w:color="auto"/>
        <w:left w:val="none" w:sz="0" w:space="0" w:color="auto"/>
        <w:bottom w:val="none" w:sz="0" w:space="0" w:color="auto"/>
        <w:right w:val="none" w:sz="0" w:space="0" w:color="auto"/>
      </w:divBdr>
      <w:divsChild>
        <w:div w:id="766122871">
          <w:marLeft w:val="0"/>
          <w:marRight w:val="0"/>
          <w:marTop w:val="100"/>
          <w:marBottom w:val="100"/>
          <w:divBdr>
            <w:top w:val="none" w:sz="0" w:space="0" w:color="auto"/>
            <w:left w:val="none" w:sz="0" w:space="0" w:color="auto"/>
            <w:bottom w:val="none" w:sz="0" w:space="0" w:color="auto"/>
            <w:right w:val="none" w:sz="0" w:space="0" w:color="auto"/>
          </w:divBdr>
        </w:div>
        <w:div w:id="923337841">
          <w:marLeft w:val="0"/>
          <w:marRight w:val="0"/>
          <w:marTop w:val="100"/>
          <w:marBottom w:val="100"/>
          <w:divBdr>
            <w:top w:val="none" w:sz="0" w:space="0" w:color="auto"/>
            <w:left w:val="none" w:sz="0" w:space="0" w:color="auto"/>
            <w:bottom w:val="none" w:sz="0" w:space="0" w:color="auto"/>
            <w:right w:val="none" w:sz="0" w:space="0" w:color="auto"/>
          </w:divBdr>
        </w:div>
      </w:divsChild>
    </w:div>
    <w:div w:id="2033798774">
      <w:marLeft w:val="0"/>
      <w:marRight w:val="0"/>
      <w:marTop w:val="100"/>
      <w:marBottom w:val="100"/>
      <w:divBdr>
        <w:top w:val="none" w:sz="0" w:space="0" w:color="auto"/>
        <w:left w:val="none" w:sz="0" w:space="0" w:color="auto"/>
        <w:bottom w:val="none" w:sz="0" w:space="0" w:color="auto"/>
        <w:right w:val="none" w:sz="0" w:space="0" w:color="auto"/>
      </w:divBdr>
    </w:div>
    <w:div w:id="2034842661">
      <w:marLeft w:val="0"/>
      <w:marRight w:val="0"/>
      <w:marTop w:val="180"/>
      <w:marBottom w:val="0"/>
      <w:divBdr>
        <w:top w:val="none" w:sz="0" w:space="0" w:color="auto"/>
        <w:left w:val="none" w:sz="0" w:space="0" w:color="auto"/>
        <w:bottom w:val="none" w:sz="0" w:space="0" w:color="auto"/>
        <w:right w:val="none" w:sz="0" w:space="0" w:color="auto"/>
      </w:divBdr>
    </w:div>
    <w:div w:id="2037852374">
      <w:marLeft w:val="0"/>
      <w:marRight w:val="0"/>
      <w:marTop w:val="100"/>
      <w:marBottom w:val="100"/>
      <w:divBdr>
        <w:top w:val="none" w:sz="0" w:space="0" w:color="auto"/>
        <w:left w:val="none" w:sz="0" w:space="0" w:color="auto"/>
        <w:bottom w:val="none" w:sz="0" w:space="0" w:color="auto"/>
        <w:right w:val="none" w:sz="0" w:space="0" w:color="auto"/>
      </w:divBdr>
    </w:div>
    <w:div w:id="2038389343">
      <w:marLeft w:val="0"/>
      <w:marRight w:val="0"/>
      <w:marTop w:val="180"/>
      <w:marBottom w:val="0"/>
      <w:divBdr>
        <w:top w:val="none" w:sz="0" w:space="0" w:color="auto"/>
        <w:left w:val="none" w:sz="0" w:space="0" w:color="auto"/>
        <w:bottom w:val="none" w:sz="0" w:space="0" w:color="auto"/>
        <w:right w:val="none" w:sz="0" w:space="0" w:color="auto"/>
      </w:divBdr>
    </w:div>
    <w:div w:id="2039046538">
      <w:marLeft w:val="0"/>
      <w:marRight w:val="0"/>
      <w:marTop w:val="0"/>
      <w:marBottom w:val="0"/>
      <w:divBdr>
        <w:top w:val="none" w:sz="0" w:space="0" w:color="auto"/>
        <w:left w:val="none" w:sz="0" w:space="0" w:color="auto"/>
        <w:bottom w:val="none" w:sz="0" w:space="0" w:color="auto"/>
        <w:right w:val="none" w:sz="0" w:space="0" w:color="auto"/>
      </w:divBdr>
      <w:divsChild>
        <w:div w:id="2068336018">
          <w:marLeft w:val="0"/>
          <w:marRight w:val="0"/>
          <w:marTop w:val="0"/>
          <w:marBottom w:val="0"/>
          <w:divBdr>
            <w:top w:val="none" w:sz="0" w:space="0" w:color="auto"/>
            <w:left w:val="none" w:sz="0" w:space="0" w:color="auto"/>
            <w:bottom w:val="none" w:sz="0" w:space="0" w:color="auto"/>
            <w:right w:val="none" w:sz="0" w:space="0" w:color="auto"/>
          </w:divBdr>
          <w:divsChild>
            <w:div w:id="175138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39546508">
      <w:marLeft w:val="0"/>
      <w:marRight w:val="0"/>
      <w:marTop w:val="100"/>
      <w:marBottom w:val="100"/>
      <w:divBdr>
        <w:top w:val="none" w:sz="0" w:space="0" w:color="auto"/>
        <w:left w:val="none" w:sz="0" w:space="0" w:color="auto"/>
        <w:bottom w:val="none" w:sz="0" w:space="0" w:color="auto"/>
        <w:right w:val="none" w:sz="0" w:space="0" w:color="auto"/>
      </w:divBdr>
    </w:div>
    <w:div w:id="2039969219">
      <w:marLeft w:val="0"/>
      <w:marRight w:val="0"/>
      <w:marTop w:val="100"/>
      <w:marBottom w:val="100"/>
      <w:divBdr>
        <w:top w:val="none" w:sz="0" w:space="0" w:color="auto"/>
        <w:left w:val="none" w:sz="0" w:space="0" w:color="auto"/>
        <w:bottom w:val="none" w:sz="0" w:space="0" w:color="auto"/>
        <w:right w:val="none" w:sz="0" w:space="0" w:color="auto"/>
      </w:divBdr>
    </w:div>
    <w:div w:id="2043556742">
      <w:marLeft w:val="0"/>
      <w:marRight w:val="0"/>
      <w:marTop w:val="100"/>
      <w:marBottom w:val="100"/>
      <w:divBdr>
        <w:top w:val="none" w:sz="0" w:space="0" w:color="auto"/>
        <w:left w:val="none" w:sz="0" w:space="0" w:color="auto"/>
        <w:bottom w:val="none" w:sz="0" w:space="0" w:color="auto"/>
        <w:right w:val="none" w:sz="0" w:space="0" w:color="auto"/>
      </w:divBdr>
    </w:div>
    <w:div w:id="2045910427">
      <w:marLeft w:val="0"/>
      <w:marRight w:val="0"/>
      <w:marTop w:val="0"/>
      <w:marBottom w:val="0"/>
      <w:divBdr>
        <w:top w:val="none" w:sz="0" w:space="0" w:color="auto"/>
        <w:left w:val="none" w:sz="0" w:space="0" w:color="auto"/>
        <w:bottom w:val="none" w:sz="0" w:space="0" w:color="auto"/>
        <w:right w:val="none" w:sz="0" w:space="0" w:color="auto"/>
      </w:divBdr>
      <w:divsChild>
        <w:div w:id="11345416">
          <w:marLeft w:val="0"/>
          <w:marRight w:val="0"/>
          <w:marTop w:val="100"/>
          <w:marBottom w:val="100"/>
          <w:divBdr>
            <w:top w:val="none" w:sz="0" w:space="0" w:color="auto"/>
            <w:left w:val="none" w:sz="0" w:space="0" w:color="auto"/>
            <w:bottom w:val="none" w:sz="0" w:space="0" w:color="auto"/>
            <w:right w:val="none" w:sz="0" w:space="0" w:color="auto"/>
          </w:divBdr>
        </w:div>
        <w:div w:id="862406427">
          <w:marLeft w:val="0"/>
          <w:marRight w:val="0"/>
          <w:marTop w:val="100"/>
          <w:marBottom w:val="100"/>
          <w:divBdr>
            <w:top w:val="none" w:sz="0" w:space="0" w:color="auto"/>
            <w:left w:val="none" w:sz="0" w:space="0" w:color="auto"/>
            <w:bottom w:val="none" w:sz="0" w:space="0" w:color="auto"/>
            <w:right w:val="none" w:sz="0" w:space="0" w:color="auto"/>
          </w:divBdr>
        </w:div>
      </w:divsChild>
    </w:div>
    <w:div w:id="2049794315">
      <w:marLeft w:val="0"/>
      <w:marRight w:val="0"/>
      <w:marTop w:val="100"/>
      <w:marBottom w:val="100"/>
      <w:divBdr>
        <w:top w:val="none" w:sz="0" w:space="0" w:color="auto"/>
        <w:left w:val="none" w:sz="0" w:space="0" w:color="auto"/>
        <w:bottom w:val="none" w:sz="0" w:space="0" w:color="auto"/>
        <w:right w:val="none" w:sz="0" w:space="0" w:color="auto"/>
      </w:divBdr>
    </w:div>
    <w:div w:id="2051225418">
      <w:marLeft w:val="0"/>
      <w:marRight w:val="0"/>
      <w:marTop w:val="0"/>
      <w:marBottom w:val="0"/>
      <w:divBdr>
        <w:top w:val="none" w:sz="0" w:space="0" w:color="auto"/>
        <w:left w:val="none" w:sz="0" w:space="0" w:color="auto"/>
        <w:bottom w:val="none" w:sz="0" w:space="0" w:color="auto"/>
        <w:right w:val="none" w:sz="0" w:space="0" w:color="auto"/>
      </w:divBdr>
    </w:div>
    <w:div w:id="2052609367">
      <w:marLeft w:val="0"/>
      <w:marRight w:val="0"/>
      <w:marTop w:val="100"/>
      <w:marBottom w:val="100"/>
      <w:divBdr>
        <w:top w:val="none" w:sz="0" w:space="0" w:color="auto"/>
        <w:left w:val="none" w:sz="0" w:space="0" w:color="auto"/>
        <w:bottom w:val="none" w:sz="0" w:space="0" w:color="auto"/>
        <w:right w:val="none" w:sz="0" w:space="0" w:color="auto"/>
      </w:divBdr>
    </w:div>
    <w:div w:id="2055083928">
      <w:marLeft w:val="0"/>
      <w:marRight w:val="0"/>
      <w:marTop w:val="0"/>
      <w:marBottom w:val="0"/>
      <w:divBdr>
        <w:top w:val="none" w:sz="0" w:space="0" w:color="auto"/>
        <w:left w:val="none" w:sz="0" w:space="0" w:color="auto"/>
        <w:bottom w:val="none" w:sz="0" w:space="0" w:color="auto"/>
        <w:right w:val="none" w:sz="0" w:space="0" w:color="auto"/>
      </w:divBdr>
    </w:div>
    <w:div w:id="2061662962">
      <w:marLeft w:val="0"/>
      <w:marRight w:val="0"/>
      <w:marTop w:val="100"/>
      <w:marBottom w:val="100"/>
      <w:divBdr>
        <w:top w:val="none" w:sz="0" w:space="0" w:color="auto"/>
        <w:left w:val="none" w:sz="0" w:space="0" w:color="auto"/>
        <w:bottom w:val="none" w:sz="0" w:space="0" w:color="auto"/>
        <w:right w:val="none" w:sz="0" w:space="0" w:color="auto"/>
      </w:divBdr>
      <w:divsChild>
        <w:div w:id="1384717015">
          <w:marLeft w:val="0"/>
          <w:marRight w:val="0"/>
          <w:marTop w:val="0"/>
          <w:marBottom w:val="0"/>
          <w:divBdr>
            <w:top w:val="none" w:sz="0" w:space="0" w:color="auto"/>
            <w:left w:val="none" w:sz="0" w:space="0" w:color="auto"/>
            <w:bottom w:val="none" w:sz="0" w:space="0" w:color="auto"/>
            <w:right w:val="none" w:sz="0" w:space="0" w:color="auto"/>
          </w:divBdr>
        </w:div>
        <w:div w:id="724838800">
          <w:marLeft w:val="0"/>
          <w:marRight w:val="0"/>
          <w:marTop w:val="0"/>
          <w:marBottom w:val="0"/>
          <w:divBdr>
            <w:top w:val="none" w:sz="0" w:space="0" w:color="auto"/>
            <w:left w:val="none" w:sz="0" w:space="0" w:color="auto"/>
            <w:bottom w:val="none" w:sz="0" w:space="0" w:color="auto"/>
            <w:right w:val="none" w:sz="0" w:space="0" w:color="auto"/>
          </w:divBdr>
        </w:div>
      </w:divsChild>
    </w:div>
    <w:div w:id="2064063178">
      <w:marLeft w:val="0"/>
      <w:marRight w:val="0"/>
      <w:marTop w:val="0"/>
      <w:marBottom w:val="0"/>
      <w:divBdr>
        <w:top w:val="none" w:sz="0" w:space="0" w:color="auto"/>
        <w:left w:val="none" w:sz="0" w:space="0" w:color="auto"/>
        <w:bottom w:val="none" w:sz="0" w:space="0" w:color="auto"/>
        <w:right w:val="none" w:sz="0" w:space="0" w:color="auto"/>
      </w:divBdr>
    </w:div>
    <w:div w:id="2067869761">
      <w:marLeft w:val="0"/>
      <w:marRight w:val="0"/>
      <w:marTop w:val="0"/>
      <w:marBottom w:val="0"/>
      <w:divBdr>
        <w:top w:val="none" w:sz="0" w:space="0" w:color="auto"/>
        <w:left w:val="none" w:sz="0" w:space="0" w:color="auto"/>
        <w:bottom w:val="none" w:sz="0" w:space="0" w:color="auto"/>
        <w:right w:val="none" w:sz="0" w:space="0" w:color="auto"/>
      </w:divBdr>
    </w:div>
    <w:div w:id="2068599582">
      <w:marLeft w:val="0"/>
      <w:marRight w:val="0"/>
      <w:marTop w:val="100"/>
      <w:marBottom w:val="100"/>
      <w:divBdr>
        <w:top w:val="none" w:sz="0" w:space="0" w:color="auto"/>
        <w:left w:val="none" w:sz="0" w:space="0" w:color="auto"/>
        <w:bottom w:val="none" w:sz="0" w:space="0" w:color="auto"/>
        <w:right w:val="none" w:sz="0" w:space="0" w:color="auto"/>
      </w:divBdr>
    </w:div>
    <w:div w:id="2069376072">
      <w:marLeft w:val="0"/>
      <w:marRight w:val="0"/>
      <w:marTop w:val="180"/>
      <w:marBottom w:val="100"/>
      <w:divBdr>
        <w:top w:val="none" w:sz="0" w:space="0" w:color="auto"/>
        <w:left w:val="none" w:sz="0" w:space="0" w:color="auto"/>
        <w:bottom w:val="none" w:sz="0" w:space="0" w:color="auto"/>
        <w:right w:val="none" w:sz="0" w:space="0" w:color="auto"/>
      </w:divBdr>
    </w:div>
    <w:div w:id="2072076228">
      <w:marLeft w:val="0"/>
      <w:marRight w:val="0"/>
      <w:marTop w:val="0"/>
      <w:marBottom w:val="0"/>
      <w:divBdr>
        <w:top w:val="none" w:sz="0" w:space="0" w:color="auto"/>
        <w:left w:val="none" w:sz="0" w:space="0" w:color="auto"/>
        <w:bottom w:val="none" w:sz="0" w:space="0" w:color="auto"/>
        <w:right w:val="none" w:sz="0" w:space="0" w:color="auto"/>
      </w:divBdr>
      <w:divsChild>
        <w:div w:id="1515344921">
          <w:marLeft w:val="0"/>
          <w:marRight w:val="0"/>
          <w:marTop w:val="100"/>
          <w:marBottom w:val="100"/>
          <w:divBdr>
            <w:top w:val="none" w:sz="0" w:space="0" w:color="auto"/>
            <w:left w:val="none" w:sz="0" w:space="0" w:color="auto"/>
            <w:bottom w:val="none" w:sz="0" w:space="0" w:color="auto"/>
            <w:right w:val="none" w:sz="0" w:space="0" w:color="auto"/>
          </w:divBdr>
        </w:div>
        <w:div w:id="1420442014">
          <w:marLeft w:val="0"/>
          <w:marRight w:val="0"/>
          <w:marTop w:val="100"/>
          <w:marBottom w:val="100"/>
          <w:divBdr>
            <w:top w:val="none" w:sz="0" w:space="0" w:color="auto"/>
            <w:left w:val="none" w:sz="0" w:space="0" w:color="auto"/>
            <w:bottom w:val="none" w:sz="0" w:space="0" w:color="auto"/>
            <w:right w:val="none" w:sz="0" w:space="0" w:color="auto"/>
          </w:divBdr>
        </w:div>
      </w:divsChild>
    </w:div>
    <w:div w:id="2073850253">
      <w:marLeft w:val="0"/>
      <w:marRight w:val="0"/>
      <w:marTop w:val="100"/>
      <w:marBottom w:val="100"/>
      <w:divBdr>
        <w:top w:val="none" w:sz="0" w:space="0" w:color="auto"/>
        <w:left w:val="none" w:sz="0" w:space="0" w:color="auto"/>
        <w:bottom w:val="none" w:sz="0" w:space="0" w:color="auto"/>
        <w:right w:val="none" w:sz="0" w:space="0" w:color="auto"/>
      </w:divBdr>
    </w:div>
    <w:div w:id="2077046534">
      <w:marLeft w:val="0"/>
      <w:marRight w:val="0"/>
      <w:marTop w:val="180"/>
      <w:marBottom w:val="0"/>
      <w:divBdr>
        <w:top w:val="none" w:sz="0" w:space="0" w:color="auto"/>
        <w:left w:val="none" w:sz="0" w:space="0" w:color="auto"/>
        <w:bottom w:val="none" w:sz="0" w:space="0" w:color="auto"/>
        <w:right w:val="none" w:sz="0" w:space="0" w:color="auto"/>
      </w:divBdr>
    </w:div>
    <w:div w:id="2077625552">
      <w:marLeft w:val="0"/>
      <w:marRight w:val="0"/>
      <w:marTop w:val="180"/>
      <w:marBottom w:val="0"/>
      <w:divBdr>
        <w:top w:val="none" w:sz="0" w:space="0" w:color="auto"/>
        <w:left w:val="none" w:sz="0" w:space="0" w:color="auto"/>
        <w:bottom w:val="none" w:sz="0" w:space="0" w:color="auto"/>
        <w:right w:val="none" w:sz="0" w:space="0" w:color="auto"/>
      </w:divBdr>
    </w:div>
    <w:div w:id="2094934932">
      <w:marLeft w:val="0"/>
      <w:marRight w:val="0"/>
      <w:marTop w:val="0"/>
      <w:marBottom w:val="0"/>
      <w:divBdr>
        <w:top w:val="none" w:sz="0" w:space="0" w:color="auto"/>
        <w:left w:val="none" w:sz="0" w:space="0" w:color="auto"/>
        <w:bottom w:val="none" w:sz="0" w:space="0" w:color="auto"/>
        <w:right w:val="none" w:sz="0" w:space="0" w:color="auto"/>
      </w:divBdr>
    </w:div>
    <w:div w:id="2095349534">
      <w:marLeft w:val="0"/>
      <w:marRight w:val="0"/>
      <w:marTop w:val="100"/>
      <w:marBottom w:val="60"/>
      <w:divBdr>
        <w:top w:val="none" w:sz="0" w:space="0" w:color="auto"/>
        <w:left w:val="none" w:sz="0" w:space="0" w:color="auto"/>
        <w:bottom w:val="none" w:sz="0" w:space="0" w:color="auto"/>
        <w:right w:val="none" w:sz="0" w:space="0" w:color="auto"/>
      </w:divBdr>
    </w:div>
    <w:div w:id="2095466009">
      <w:marLeft w:val="0"/>
      <w:marRight w:val="0"/>
      <w:marTop w:val="100"/>
      <w:marBottom w:val="0"/>
      <w:divBdr>
        <w:top w:val="none" w:sz="0" w:space="0" w:color="auto"/>
        <w:left w:val="none" w:sz="0" w:space="0" w:color="auto"/>
        <w:bottom w:val="none" w:sz="0" w:space="0" w:color="auto"/>
        <w:right w:val="none" w:sz="0" w:space="0" w:color="auto"/>
      </w:divBdr>
    </w:div>
    <w:div w:id="2100522409">
      <w:marLeft w:val="0"/>
      <w:marRight w:val="0"/>
      <w:marTop w:val="0"/>
      <w:marBottom w:val="0"/>
      <w:divBdr>
        <w:top w:val="none" w:sz="0" w:space="0" w:color="auto"/>
        <w:left w:val="none" w:sz="0" w:space="0" w:color="auto"/>
        <w:bottom w:val="none" w:sz="0" w:space="0" w:color="auto"/>
        <w:right w:val="none" w:sz="0" w:space="0" w:color="auto"/>
      </w:divBdr>
      <w:divsChild>
        <w:div w:id="1367873887">
          <w:marLeft w:val="0"/>
          <w:marRight w:val="0"/>
          <w:marTop w:val="100"/>
          <w:marBottom w:val="100"/>
          <w:divBdr>
            <w:top w:val="none" w:sz="0" w:space="0" w:color="auto"/>
            <w:left w:val="none" w:sz="0" w:space="0" w:color="auto"/>
            <w:bottom w:val="none" w:sz="0" w:space="0" w:color="auto"/>
            <w:right w:val="none" w:sz="0" w:space="0" w:color="auto"/>
          </w:divBdr>
        </w:div>
        <w:div w:id="1744986132">
          <w:marLeft w:val="0"/>
          <w:marRight w:val="0"/>
          <w:marTop w:val="100"/>
          <w:marBottom w:val="100"/>
          <w:divBdr>
            <w:top w:val="none" w:sz="0" w:space="0" w:color="auto"/>
            <w:left w:val="none" w:sz="0" w:space="0" w:color="auto"/>
            <w:bottom w:val="none" w:sz="0" w:space="0" w:color="auto"/>
            <w:right w:val="none" w:sz="0" w:space="0" w:color="auto"/>
          </w:divBdr>
        </w:div>
      </w:divsChild>
    </w:div>
    <w:div w:id="2102020884">
      <w:marLeft w:val="0"/>
      <w:marRight w:val="0"/>
      <w:marTop w:val="100"/>
      <w:marBottom w:val="100"/>
      <w:divBdr>
        <w:top w:val="none" w:sz="0" w:space="0" w:color="auto"/>
        <w:left w:val="none" w:sz="0" w:space="0" w:color="auto"/>
        <w:bottom w:val="none" w:sz="0" w:space="0" w:color="auto"/>
        <w:right w:val="none" w:sz="0" w:space="0" w:color="auto"/>
      </w:divBdr>
    </w:div>
    <w:div w:id="2106417007">
      <w:marLeft w:val="0"/>
      <w:marRight w:val="0"/>
      <w:marTop w:val="100"/>
      <w:marBottom w:val="100"/>
      <w:divBdr>
        <w:top w:val="none" w:sz="0" w:space="0" w:color="auto"/>
        <w:left w:val="none" w:sz="0" w:space="0" w:color="auto"/>
        <w:bottom w:val="none" w:sz="0" w:space="0" w:color="auto"/>
        <w:right w:val="none" w:sz="0" w:space="0" w:color="auto"/>
      </w:divBdr>
    </w:div>
    <w:div w:id="2108651814">
      <w:marLeft w:val="0"/>
      <w:marRight w:val="0"/>
      <w:marTop w:val="100"/>
      <w:marBottom w:val="100"/>
      <w:divBdr>
        <w:top w:val="none" w:sz="0" w:space="0" w:color="auto"/>
        <w:left w:val="none" w:sz="0" w:space="0" w:color="auto"/>
        <w:bottom w:val="none" w:sz="0" w:space="0" w:color="auto"/>
        <w:right w:val="none" w:sz="0" w:space="0" w:color="auto"/>
      </w:divBdr>
    </w:div>
    <w:div w:id="2115634724">
      <w:marLeft w:val="0"/>
      <w:marRight w:val="0"/>
      <w:marTop w:val="100"/>
      <w:marBottom w:val="100"/>
      <w:divBdr>
        <w:top w:val="none" w:sz="0" w:space="0" w:color="auto"/>
        <w:left w:val="none" w:sz="0" w:space="0" w:color="auto"/>
        <w:bottom w:val="none" w:sz="0" w:space="0" w:color="auto"/>
        <w:right w:val="none" w:sz="0" w:space="0" w:color="auto"/>
      </w:divBdr>
    </w:div>
    <w:div w:id="2116364084">
      <w:marLeft w:val="0"/>
      <w:marRight w:val="0"/>
      <w:marTop w:val="100"/>
      <w:marBottom w:val="100"/>
      <w:divBdr>
        <w:top w:val="none" w:sz="0" w:space="0" w:color="auto"/>
        <w:left w:val="none" w:sz="0" w:space="0" w:color="auto"/>
        <w:bottom w:val="none" w:sz="0" w:space="0" w:color="auto"/>
        <w:right w:val="none" w:sz="0" w:space="0" w:color="auto"/>
      </w:divBdr>
    </w:div>
    <w:div w:id="2120449941">
      <w:marLeft w:val="0"/>
      <w:marRight w:val="0"/>
      <w:marTop w:val="0"/>
      <w:marBottom w:val="0"/>
      <w:divBdr>
        <w:top w:val="none" w:sz="0" w:space="0" w:color="auto"/>
        <w:left w:val="none" w:sz="0" w:space="0" w:color="auto"/>
        <w:bottom w:val="none" w:sz="0" w:space="0" w:color="auto"/>
        <w:right w:val="none" w:sz="0" w:space="0" w:color="auto"/>
      </w:divBdr>
      <w:divsChild>
        <w:div w:id="1551921431">
          <w:marLeft w:val="0"/>
          <w:marRight w:val="0"/>
          <w:marTop w:val="100"/>
          <w:marBottom w:val="100"/>
          <w:divBdr>
            <w:top w:val="none" w:sz="0" w:space="0" w:color="auto"/>
            <w:left w:val="none" w:sz="0" w:space="0" w:color="auto"/>
            <w:bottom w:val="none" w:sz="0" w:space="0" w:color="auto"/>
            <w:right w:val="none" w:sz="0" w:space="0" w:color="auto"/>
          </w:divBdr>
        </w:div>
        <w:div w:id="855769692">
          <w:marLeft w:val="0"/>
          <w:marRight w:val="0"/>
          <w:marTop w:val="100"/>
          <w:marBottom w:val="100"/>
          <w:divBdr>
            <w:top w:val="none" w:sz="0" w:space="0" w:color="auto"/>
            <w:left w:val="none" w:sz="0" w:space="0" w:color="auto"/>
            <w:bottom w:val="none" w:sz="0" w:space="0" w:color="auto"/>
            <w:right w:val="none" w:sz="0" w:space="0" w:color="auto"/>
          </w:divBdr>
        </w:div>
      </w:divsChild>
    </w:div>
    <w:div w:id="2123106212">
      <w:marLeft w:val="0"/>
      <w:marRight w:val="0"/>
      <w:marTop w:val="0"/>
      <w:marBottom w:val="0"/>
      <w:divBdr>
        <w:top w:val="none" w:sz="0" w:space="0" w:color="auto"/>
        <w:left w:val="none" w:sz="0" w:space="0" w:color="auto"/>
        <w:bottom w:val="none" w:sz="0" w:space="0" w:color="auto"/>
        <w:right w:val="none" w:sz="0" w:space="0" w:color="auto"/>
      </w:divBdr>
    </w:div>
    <w:div w:id="2125541604">
      <w:marLeft w:val="0"/>
      <w:marRight w:val="0"/>
      <w:marTop w:val="100"/>
      <w:marBottom w:val="100"/>
      <w:divBdr>
        <w:top w:val="none" w:sz="0" w:space="0" w:color="auto"/>
        <w:left w:val="none" w:sz="0" w:space="0" w:color="auto"/>
        <w:bottom w:val="none" w:sz="0" w:space="0" w:color="auto"/>
        <w:right w:val="none" w:sz="0" w:space="0" w:color="auto"/>
      </w:divBdr>
      <w:divsChild>
        <w:div w:id="1121653229">
          <w:marLeft w:val="0"/>
          <w:marRight w:val="0"/>
          <w:marTop w:val="0"/>
          <w:marBottom w:val="0"/>
          <w:divBdr>
            <w:top w:val="none" w:sz="0" w:space="0" w:color="auto"/>
            <w:left w:val="none" w:sz="0" w:space="0" w:color="auto"/>
            <w:bottom w:val="none" w:sz="0" w:space="0" w:color="auto"/>
            <w:right w:val="none" w:sz="0" w:space="0" w:color="auto"/>
          </w:divBdr>
        </w:div>
        <w:div w:id="1144808971">
          <w:marLeft w:val="0"/>
          <w:marRight w:val="0"/>
          <w:marTop w:val="0"/>
          <w:marBottom w:val="0"/>
          <w:divBdr>
            <w:top w:val="none" w:sz="0" w:space="0" w:color="auto"/>
            <w:left w:val="none" w:sz="0" w:space="0" w:color="auto"/>
            <w:bottom w:val="none" w:sz="0" w:space="0" w:color="auto"/>
            <w:right w:val="none" w:sz="0" w:space="0" w:color="auto"/>
          </w:divBdr>
        </w:div>
      </w:divsChild>
    </w:div>
    <w:div w:id="2125884833">
      <w:marLeft w:val="0"/>
      <w:marRight w:val="0"/>
      <w:marTop w:val="180"/>
      <w:marBottom w:val="0"/>
      <w:divBdr>
        <w:top w:val="none" w:sz="0" w:space="0" w:color="auto"/>
        <w:left w:val="none" w:sz="0" w:space="0" w:color="auto"/>
        <w:bottom w:val="none" w:sz="0" w:space="0" w:color="auto"/>
        <w:right w:val="none" w:sz="0" w:space="0" w:color="auto"/>
      </w:divBdr>
    </w:div>
    <w:div w:id="2130004229">
      <w:marLeft w:val="0"/>
      <w:marRight w:val="0"/>
      <w:marTop w:val="100"/>
      <w:marBottom w:val="100"/>
      <w:divBdr>
        <w:top w:val="none" w:sz="0" w:space="0" w:color="auto"/>
        <w:left w:val="none" w:sz="0" w:space="0" w:color="auto"/>
        <w:bottom w:val="none" w:sz="0" w:space="0" w:color="auto"/>
        <w:right w:val="none" w:sz="0" w:space="0" w:color="auto"/>
      </w:divBdr>
    </w:div>
    <w:div w:id="2130394271">
      <w:marLeft w:val="0"/>
      <w:marRight w:val="0"/>
      <w:marTop w:val="100"/>
      <w:marBottom w:val="100"/>
      <w:divBdr>
        <w:top w:val="none" w:sz="0" w:space="0" w:color="auto"/>
        <w:left w:val="none" w:sz="0" w:space="0" w:color="auto"/>
        <w:bottom w:val="none" w:sz="0" w:space="0" w:color="auto"/>
        <w:right w:val="none" w:sz="0" w:space="0" w:color="auto"/>
      </w:divBdr>
    </w:div>
    <w:div w:id="2132626424">
      <w:marLeft w:val="0"/>
      <w:marRight w:val="0"/>
      <w:marTop w:val="18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2-rspamendment4.htm" TargetMode="External"/><Relationship Id="rId13" Type="http://schemas.openxmlformats.org/officeDocument/2006/relationships/hyperlink" Target="exhibit322q2cy2110-q.htm" TargetMode="External"/><Relationship Id="rId3" Type="http://schemas.openxmlformats.org/officeDocument/2006/relationships/webSettings" Target="webSettings.xml"/><Relationship Id="rId7" Type="http://schemas.openxmlformats.org/officeDocument/2006/relationships/hyperlink" Target="exhibit101-rspamendment3.htm" TargetMode="External"/><Relationship Id="rId12" Type="http://schemas.openxmlformats.org/officeDocument/2006/relationships/hyperlink" Target="exhibit321q2cy2110-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202058/000020205820000027/bylawsamendedandrestated.htm" TargetMode="External"/><Relationship Id="rId11" Type="http://schemas.openxmlformats.org/officeDocument/2006/relationships/hyperlink" Target="exhibit312q2cy2110-q.htm" TargetMode="External"/><Relationship Id="rId5" Type="http://schemas.openxmlformats.org/officeDocument/2006/relationships/hyperlink" Target="http://www.sec.gov/Archives/edgar/data/202058/000020205820000040/restatedcertificateofinc.htm" TargetMode="External"/><Relationship Id="rId15" Type="http://schemas.openxmlformats.org/officeDocument/2006/relationships/theme" Target="theme/theme1.xml"/><Relationship Id="rId10" Type="http://schemas.openxmlformats.org/officeDocument/2006/relationships/hyperlink" Target="exhibit311q2cy2110-q.htm" TargetMode="External"/><Relationship Id="rId4" Type="http://schemas.openxmlformats.org/officeDocument/2006/relationships/image" Target="file:///E:\projects\LLMs\new_data_collection\data_new\htm\L3HARRIS%20TECHNOLOGIES,%20INC\hrs-20210702_g1.jpg" TargetMode="External"/><Relationship Id="rId9" Type="http://schemas.openxmlformats.org/officeDocument/2006/relationships/hyperlink" Target="exhibit15q2cy2110-q.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34318</Words>
  <Characters>195616</Characters>
  <Application>Microsoft Office Word</Application>
  <DocSecurity>0</DocSecurity>
  <Lines>1630</Lines>
  <Paragraphs>458</Paragraphs>
  <ScaleCrop>false</ScaleCrop>
  <Company/>
  <LinksUpToDate>false</LinksUpToDate>
  <CharactersWithSpaces>229476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hrs-20210702</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